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0.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9BB61" w14:textId="77777777" w:rsidR="009F6E91" w:rsidRPr="00D427D8" w:rsidRDefault="009F6E91" w:rsidP="000F6F9A">
      <w:pPr>
        <w:pStyle w:val="Centred"/>
        <w:rPr>
          <w:rStyle w:val="BoldText"/>
        </w:rPr>
      </w:pPr>
      <w:r w:rsidRPr="00D427D8">
        <w:rPr>
          <w:rStyle w:val="BoldText"/>
        </w:rPr>
        <w:t>PROSPECTUS</w:t>
      </w:r>
    </w:p>
    <w:p w14:paraId="5316481C" w14:textId="77777777" w:rsidR="009F6E91" w:rsidRPr="00D427D8" w:rsidRDefault="009F6E91" w:rsidP="000F6F9A">
      <w:pPr>
        <w:pStyle w:val="Centred"/>
        <w:rPr>
          <w:rStyle w:val="BoldText"/>
        </w:rPr>
      </w:pPr>
      <w:r w:rsidRPr="00D427D8">
        <w:rPr>
          <w:rStyle w:val="BoldText"/>
        </w:rPr>
        <w:t>ECARAT DE S.A.</w:t>
      </w:r>
      <w:r w:rsidRPr="00D427D8">
        <w:rPr>
          <w:rStyle w:val="BoldText"/>
        </w:rPr>
        <w:br/>
        <w:t>ACTING ON BEHALF AND FOR THE ACCOUNT OF ITS COMPARTMENT LEASE 2025-1</w:t>
      </w:r>
      <w:r w:rsidRPr="00D427D8">
        <w:rPr>
          <w:rStyle w:val="BoldText"/>
        </w:rPr>
        <w:br/>
      </w:r>
    </w:p>
    <w:p w14:paraId="634ABF1E" w14:textId="6BD842AB" w:rsidR="009F6E91" w:rsidRPr="00D427D8" w:rsidRDefault="009F6E91" w:rsidP="000F6F9A">
      <w:pPr>
        <w:pStyle w:val="Centred"/>
        <w:rPr>
          <w:rStyle w:val="BoldText"/>
        </w:rPr>
      </w:pPr>
      <w:r w:rsidRPr="00D427D8">
        <w:rPr>
          <w:rStyle w:val="BoldText"/>
        </w:rPr>
        <w:t>EUR</w:t>
      </w:r>
      <w:r w:rsidR="0031208E">
        <w:rPr>
          <w:rStyle w:val="BoldText"/>
        </w:rPr>
        <w:t xml:space="preserve"> 717,500,000</w:t>
      </w:r>
      <w:r w:rsidRPr="00D427D8">
        <w:rPr>
          <w:rStyle w:val="BoldText"/>
        </w:rPr>
        <w:t xml:space="preserve"> Class A Asset-Backed Notes</w:t>
      </w:r>
      <w:r w:rsidR="000F6F9A" w:rsidRPr="00D427D8">
        <w:rPr>
          <w:rStyle w:val="BoldText"/>
        </w:rPr>
        <w:br/>
      </w:r>
      <w:r w:rsidRPr="00D427D8">
        <w:rPr>
          <w:rStyle w:val="BoldText"/>
        </w:rPr>
        <w:t xml:space="preserve">EUR </w:t>
      </w:r>
      <w:r w:rsidR="0031208E">
        <w:rPr>
          <w:rStyle w:val="BoldText"/>
        </w:rPr>
        <w:t>57,500,000</w:t>
      </w:r>
      <w:r w:rsidR="0031208E" w:rsidRPr="00D427D8">
        <w:rPr>
          <w:rStyle w:val="BoldText"/>
        </w:rPr>
        <w:t xml:space="preserve"> </w:t>
      </w:r>
      <w:r w:rsidRPr="00D427D8">
        <w:rPr>
          <w:rStyle w:val="BoldText"/>
        </w:rPr>
        <w:t>Class B Asset-Backed Notes</w:t>
      </w:r>
      <w:r w:rsidRPr="00D427D8">
        <w:rPr>
          <w:rStyle w:val="BoldText"/>
        </w:rPr>
        <w:br/>
        <w:t xml:space="preserve">EUR </w:t>
      </w:r>
      <w:r w:rsidR="0031208E">
        <w:rPr>
          <w:rStyle w:val="BoldText"/>
        </w:rPr>
        <w:t>55,</w:t>
      </w:r>
      <w:r w:rsidR="00C9516B">
        <w:rPr>
          <w:rStyle w:val="BoldText"/>
        </w:rPr>
        <w:t>0</w:t>
      </w:r>
      <w:r w:rsidR="0031208E">
        <w:rPr>
          <w:rStyle w:val="BoldText"/>
        </w:rPr>
        <w:t>00,000</w:t>
      </w:r>
      <w:r w:rsidR="0031208E" w:rsidRPr="00D427D8">
        <w:rPr>
          <w:rStyle w:val="BoldText"/>
        </w:rPr>
        <w:t xml:space="preserve"> </w:t>
      </w:r>
      <w:r w:rsidRPr="00D427D8">
        <w:rPr>
          <w:rStyle w:val="BoldText"/>
        </w:rPr>
        <w:t>Class C Asset-Backed Notes</w:t>
      </w:r>
      <w:r w:rsidRPr="00D427D8">
        <w:rPr>
          <w:rStyle w:val="BoldText"/>
        </w:rPr>
        <w:br/>
        <w:t xml:space="preserve">EUR </w:t>
      </w:r>
      <w:r w:rsidR="0031208E">
        <w:rPr>
          <w:rStyle w:val="BoldText"/>
        </w:rPr>
        <w:t>45,</w:t>
      </w:r>
      <w:r w:rsidR="00C9516B">
        <w:rPr>
          <w:rStyle w:val="BoldText"/>
        </w:rPr>
        <w:t>0</w:t>
      </w:r>
      <w:r w:rsidR="0031208E">
        <w:rPr>
          <w:rStyle w:val="BoldText"/>
        </w:rPr>
        <w:t>00,000</w:t>
      </w:r>
      <w:r w:rsidR="0031208E" w:rsidRPr="00D427D8">
        <w:rPr>
          <w:rStyle w:val="BoldText"/>
        </w:rPr>
        <w:t xml:space="preserve"> </w:t>
      </w:r>
      <w:r w:rsidRPr="00D427D8">
        <w:rPr>
          <w:rStyle w:val="BoldText"/>
        </w:rPr>
        <w:t>Class D Asset-Backed Notes</w:t>
      </w:r>
      <w:r w:rsidRPr="00D427D8">
        <w:rPr>
          <w:rStyle w:val="BoldText"/>
        </w:rPr>
        <w:br/>
        <w:t xml:space="preserve">EUR </w:t>
      </w:r>
      <w:r w:rsidR="0031208E">
        <w:rPr>
          <w:rStyle w:val="BoldText"/>
        </w:rPr>
        <w:t>85,000,000</w:t>
      </w:r>
      <w:r w:rsidR="0031208E" w:rsidRPr="00D427D8">
        <w:rPr>
          <w:rStyle w:val="BoldText"/>
        </w:rPr>
        <w:t xml:space="preserve"> </w:t>
      </w:r>
      <w:r w:rsidRPr="00D427D8">
        <w:rPr>
          <w:rStyle w:val="BoldText"/>
        </w:rPr>
        <w:t>Class E Asset-Backed Notes</w:t>
      </w:r>
      <w:r w:rsidRPr="00D427D8">
        <w:rPr>
          <w:rStyle w:val="BoldText"/>
        </w:rPr>
        <w:br/>
        <w:t xml:space="preserve">EUR </w:t>
      </w:r>
      <w:r w:rsidR="0031208E">
        <w:rPr>
          <w:rStyle w:val="BoldText"/>
        </w:rPr>
        <w:t>30,000,000</w:t>
      </w:r>
      <w:r w:rsidR="0031208E" w:rsidRPr="00D427D8">
        <w:rPr>
          <w:rStyle w:val="BoldText"/>
        </w:rPr>
        <w:t xml:space="preserve"> </w:t>
      </w:r>
      <w:r w:rsidRPr="00D427D8">
        <w:rPr>
          <w:rStyle w:val="BoldText"/>
        </w:rPr>
        <w:t>Class F Asset-Backed Notes</w:t>
      </w:r>
      <w:r w:rsidRPr="00D427D8">
        <w:rPr>
          <w:rStyle w:val="BoldText"/>
        </w:rPr>
        <w:br/>
        <w:t xml:space="preserve">EUR </w:t>
      </w:r>
      <w:r w:rsidR="0031208E">
        <w:rPr>
          <w:rStyle w:val="BoldText"/>
        </w:rPr>
        <w:t>10,000,000</w:t>
      </w:r>
      <w:r w:rsidR="0031208E" w:rsidRPr="00D427D8">
        <w:rPr>
          <w:rStyle w:val="BoldText"/>
        </w:rPr>
        <w:t xml:space="preserve"> </w:t>
      </w:r>
      <w:r w:rsidRPr="00D427D8">
        <w:rPr>
          <w:rStyle w:val="BoldText"/>
        </w:rPr>
        <w:t>Class G Asset-Backed Notes</w:t>
      </w:r>
      <w:r w:rsidR="002E285C">
        <w:rPr>
          <w:rStyle w:val="BoldText"/>
        </w:rPr>
        <w:t xml:space="preserve"> </w:t>
      </w:r>
    </w:p>
    <w:p w14:paraId="4592CB06" w14:textId="77777777" w:rsidR="009F6E91" w:rsidRPr="00D427D8" w:rsidRDefault="009F6E91" w:rsidP="00D9772D">
      <w:pPr>
        <w:jc w:val="center"/>
        <w:rPr>
          <w:rFonts w:asciiTheme="minorHAnsi" w:hAnsiTheme="minorHAnsi" w:cstheme="minorHAnsi"/>
          <w:b/>
          <w:szCs w:val="19"/>
        </w:rPr>
      </w:pPr>
    </w:p>
    <w:tbl>
      <w:tblPr>
        <w:tblW w:w="9606" w:type="dxa"/>
        <w:jc w:val="center"/>
        <w:tblCellMar>
          <w:left w:w="10" w:type="dxa"/>
          <w:right w:w="10" w:type="dxa"/>
        </w:tblCellMar>
        <w:tblLook w:val="06A0" w:firstRow="1" w:lastRow="0" w:firstColumn="1" w:lastColumn="0" w:noHBand="1" w:noVBand="1"/>
      </w:tblPr>
      <w:tblGrid>
        <w:gridCol w:w="1022"/>
        <w:gridCol w:w="1692"/>
        <w:gridCol w:w="1674"/>
        <w:gridCol w:w="1172"/>
        <w:gridCol w:w="1233"/>
        <w:gridCol w:w="1264"/>
        <w:gridCol w:w="1549"/>
      </w:tblGrid>
      <w:tr w:rsidR="009F6E91" w:rsidRPr="00D427D8" w14:paraId="0F766D0C" w14:textId="77777777" w:rsidTr="00A73A48">
        <w:trPr>
          <w:jc w:val="center"/>
        </w:trPr>
        <w:tc>
          <w:tcPr>
            <w:tcW w:w="1022" w:type="dxa"/>
            <w:tcBorders>
              <w:top w:val="single" w:sz="4" w:space="0" w:color="000000"/>
              <w:right w:val="single" w:sz="4" w:space="0" w:color="000000"/>
            </w:tcBorders>
          </w:tcPr>
          <w:p w14:paraId="2B8378F3" w14:textId="77777777" w:rsidR="009F6E91" w:rsidRPr="00D427D8" w:rsidRDefault="009F6E91" w:rsidP="00213866">
            <w:pPr>
              <w:spacing w:afterLines="60" w:after="144"/>
              <w:jc w:val="center"/>
              <w:rPr>
                <w:rStyle w:val="BoldItalicText"/>
              </w:rPr>
            </w:pPr>
            <w:r w:rsidRPr="00D427D8">
              <w:rPr>
                <w:rStyle w:val="BoldItalicText"/>
              </w:rPr>
              <w:t>Notes</w:t>
            </w:r>
          </w:p>
        </w:tc>
        <w:tc>
          <w:tcPr>
            <w:tcW w:w="1692" w:type="dxa"/>
            <w:tcBorders>
              <w:top w:val="single" w:sz="4" w:space="0" w:color="000000"/>
              <w:left w:val="single" w:sz="4" w:space="0" w:color="000000"/>
            </w:tcBorders>
          </w:tcPr>
          <w:p w14:paraId="6DC3DEF6" w14:textId="77777777" w:rsidR="009F6E91" w:rsidRPr="00D427D8" w:rsidRDefault="009F6E91" w:rsidP="00213866">
            <w:pPr>
              <w:spacing w:afterLines="60" w:after="144"/>
              <w:jc w:val="center"/>
              <w:rPr>
                <w:rStyle w:val="BoldItalicText"/>
              </w:rPr>
            </w:pPr>
            <w:r w:rsidRPr="00D427D8">
              <w:rPr>
                <w:rStyle w:val="BoldItalicText"/>
              </w:rPr>
              <w:t>Initial Principal Amount</w:t>
            </w:r>
          </w:p>
        </w:tc>
        <w:tc>
          <w:tcPr>
            <w:tcW w:w="1674" w:type="dxa"/>
            <w:tcBorders>
              <w:top w:val="single" w:sz="4" w:space="0" w:color="000000"/>
            </w:tcBorders>
          </w:tcPr>
          <w:p w14:paraId="0E4D77A9" w14:textId="77777777" w:rsidR="009F6E91" w:rsidRPr="00D427D8" w:rsidRDefault="009F6E91" w:rsidP="00E208D2">
            <w:pPr>
              <w:spacing w:afterLines="60" w:after="144"/>
              <w:jc w:val="center"/>
              <w:rPr>
                <w:rStyle w:val="BoldItalicText"/>
              </w:rPr>
            </w:pPr>
            <w:r w:rsidRPr="00D427D8">
              <w:rPr>
                <w:rStyle w:val="BoldItalicText"/>
              </w:rPr>
              <w:t>Issue Price</w:t>
            </w:r>
          </w:p>
        </w:tc>
        <w:tc>
          <w:tcPr>
            <w:tcW w:w="1172" w:type="dxa"/>
            <w:tcBorders>
              <w:top w:val="single" w:sz="4" w:space="0" w:color="000000"/>
            </w:tcBorders>
          </w:tcPr>
          <w:p w14:paraId="4CF43E46" w14:textId="77777777" w:rsidR="009F6E91" w:rsidRPr="00D427D8" w:rsidRDefault="009F6E91" w:rsidP="00213866">
            <w:pPr>
              <w:spacing w:afterLines="60" w:after="144"/>
              <w:jc w:val="center"/>
              <w:rPr>
                <w:rStyle w:val="BoldItalicText"/>
              </w:rPr>
            </w:pPr>
            <w:r w:rsidRPr="00D427D8">
              <w:rPr>
                <w:rStyle w:val="BoldItalicText"/>
              </w:rPr>
              <w:t>Notes Interest Rate</w:t>
            </w:r>
          </w:p>
        </w:tc>
        <w:tc>
          <w:tcPr>
            <w:tcW w:w="1233" w:type="dxa"/>
            <w:tcBorders>
              <w:top w:val="single" w:sz="4" w:space="0" w:color="000000"/>
            </w:tcBorders>
          </w:tcPr>
          <w:p w14:paraId="5105DFE4" w14:textId="77777777" w:rsidR="009F6E91" w:rsidRPr="00D427D8" w:rsidRDefault="009F6E91" w:rsidP="00213866">
            <w:pPr>
              <w:spacing w:afterLines="60" w:after="144"/>
              <w:jc w:val="center"/>
              <w:rPr>
                <w:rStyle w:val="BoldItalicText"/>
              </w:rPr>
            </w:pPr>
            <w:r w:rsidRPr="00D427D8">
              <w:rPr>
                <w:rStyle w:val="BoldItalicText"/>
              </w:rPr>
              <w:t>Final Legal Maturity Date</w:t>
            </w:r>
          </w:p>
        </w:tc>
        <w:tc>
          <w:tcPr>
            <w:tcW w:w="1264" w:type="dxa"/>
            <w:tcBorders>
              <w:top w:val="single" w:sz="4" w:space="0" w:color="000000"/>
            </w:tcBorders>
          </w:tcPr>
          <w:p w14:paraId="696B0D36" w14:textId="77777777" w:rsidR="009F6E91" w:rsidRPr="00D427D8" w:rsidRDefault="009F6E91" w:rsidP="009E0DF9">
            <w:pPr>
              <w:spacing w:afterLines="60" w:after="144"/>
              <w:jc w:val="center"/>
              <w:rPr>
                <w:rStyle w:val="BoldItalicText"/>
              </w:rPr>
            </w:pPr>
            <w:r w:rsidRPr="00D427D8">
              <w:rPr>
                <w:rStyle w:val="BoldItalicText"/>
              </w:rPr>
              <w:t>Tranche size in % of Aggregate Discounted Asset Balance</w:t>
            </w:r>
          </w:p>
        </w:tc>
        <w:tc>
          <w:tcPr>
            <w:tcW w:w="1549" w:type="dxa"/>
            <w:tcBorders>
              <w:top w:val="single" w:sz="4" w:space="0" w:color="000000"/>
            </w:tcBorders>
          </w:tcPr>
          <w:p w14:paraId="4AE6B339" w14:textId="77777777" w:rsidR="009F6E91" w:rsidRPr="00D427D8" w:rsidRDefault="009F6E91" w:rsidP="00213866">
            <w:pPr>
              <w:spacing w:afterLines="60" w:after="144"/>
              <w:jc w:val="center"/>
              <w:rPr>
                <w:rStyle w:val="BoldItalicText"/>
              </w:rPr>
            </w:pPr>
            <w:r w:rsidRPr="00D427D8">
              <w:rPr>
                <w:rStyle w:val="BoldItalicText"/>
              </w:rPr>
              <w:t>Expected Rating</w:t>
            </w:r>
          </w:p>
        </w:tc>
      </w:tr>
      <w:tr w:rsidR="00CB16CF" w:rsidRPr="00D427D8" w14:paraId="51335B5F" w14:textId="77777777" w:rsidTr="00A73A48">
        <w:trPr>
          <w:jc w:val="center"/>
        </w:trPr>
        <w:tc>
          <w:tcPr>
            <w:tcW w:w="1022" w:type="dxa"/>
            <w:tcBorders>
              <w:top w:val="single" w:sz="4" w:space="0" w:color="000000"/>
              <w:right w:val="single" w:sz="4" w:space="0" w:color="000000"/>
            </w:tcBorders>
          </w:tcPr>
          <w:p w14:paraId="4D4228F2" w14:textId="77777777" w:rsidR="00CB16CF" w:rsidRPr="00D427D8" w:rsidRDefault="00CB16CF" w:rsidP="00CB16CF">
            <w:pPr>
              <w:spacing w:afterLines="60" w:after="144"/>
              <w:jc w:val="center"/>
              <w:rPr>
                <w:rStyle w:val="BoldText"/>
              </w:rPr>
            </w:pPr>
            <w:r w:rsidRPr="00D427D8">
              <w:rPr>
                <w:rStyle w:val="BoldText"/>
              </w:rPr>
              <w:t>Class A Notes</w:t>
            </w:r>
          </w:p>
        </w:tc>
        <w:tc>
          <w:tcPr>
            <w:tcW w:w="1692" w:type="dxa"/>
            <w:tcBorders>
              <w:top w:val="single" w:sz="4" w:space="0" w:color="000000"/>
              <w:left w:val="single" w:sz="4" w:space="0" w:color="000000"/>
            </w:tcBorders>
          </w:tcPr>
          <w:p w14:paraId="7E299F9B" w14:textId="1CAF0AC5" w:rsidR="00CB16CF" w:rsidRPr="00D427D8" w:rsidRDefault="00CB16CF" w:rsidP="00CB16CF">
            <w:pPr>
              <w:spacing w:afterLines="60" w:after="144"/>
              <w:rPr>
                <w:szCs w:val="16"/>
              </w:rPr>
            </w:pPr>
            <w:r w:rsidRPr="00D427D8">
              <w:rPr>
                <w:szCs w:val="16"/>
              </w:rPr>
              <w:t>EUR </w:t>
            </w:r>
            <w:r w:rsidRPr="0031208E">
              <w:rPr>
                <w:szCs w:val="16"/>
              </w:rPr>
              <w:t xml:space="preserve">717,500,000 </w:t>
            </w:r>
          </w:p>
        </w:tc>
        <w:tc>
          <w:tcPr>
            <w:tcW w:w="1674" w:type="dxa"/>
            <w:tcBorders>
              <w:top w:val="single" w:sz="4" w:space="0" w:color="000000"/>
            </w:tcBorders>
          </w:tcPr>
          <w:p w14:paraId="1DDCF964" w14:textId="77777777" w:rsidR="00CB16CF" w:rsidRPr="00D427D8" w:rsidRDefault="00CB16CF" w:rsidP="00CB16CF">
            <w:pPr>
              <w:spacing w:afterLines="60" w:after="144"/>
              <w:rPr>
                <w:szCs w:val="16"/>
              </w:rPr>
            </w:pPr>
            <w:r w:rsidRPr="00D427D8">
              <w:rPr>
                <w:szCs w:val="16"/>
              </w:rPr>
              <w:t>100 per cent</w:t>
            </w:r>
          </w:p>
        </w:tc>
        <w:tc>
          <w:tcPr>
            <w:tcW w:w="1172" w:type="dxa"/>
            <w:tcBorders>
              <w:top w:val="single" w:sz="4" w:space="0" w:color="000000"/>
            </w:tcBorders>
          </w:tcPr>
          <w:p w14:paraId="41584360" w14:textId="023CF113" w:rsidR="00CB16CF" w:rsidRPr="00D427D8" w:rsidRDefault="00CB16CF" w:rsidP="00CB16CF">
            <w:pPr>
              <w:spacing w:afterLines="60" w:after="144"/>
              <w:jc w:val="center"/>
              <w:rPr>
                <w:szCs w:val="16"/>
              </w:rPr>
            </w:pPr>
            <w:r w:rsidRPr="00D427D8">
              <w:rPr>
                <w:szCs w:val="16"/>
              </w:rPr>
              <w:t>1-Month EURIBOR</w:t>
            </w:r>
            <w:r w:rsidRPr="00D427D8" w:rsidDel="00EF4ED4">
              <w:rPr>
                <w:szCs w:val="16"/>
              </w:rPr>
              <w:t xml:space="preserve"> </w:t>
            </w:r>
            <w:r w:rsidRPr="00D427D8">
              <w:rPr>
                <w:szCs w:val="16"/>
              </w:rPr>
              <w:t xml:space="preserve">+ </w:t>
            </w:r>
            <w:r>
              <w:rPr>
                <w:szCs w:val="16"/>
              </w:rPr>
              <w:t>0.64</w:t>
            </w:r>
            <w:r w:rsidRPr="00D427D8">
              <w:rPr>
                <w:szCs w:val="16"/>
              </w:rPr>
              <w:t xml:space="preserve"> per cent.</w:t>
            </w:r>
          </w:p>
        </w:tc>
        <w:tc>
          <w:tcPr>
            <w:tcW w:w="1233" w:type="dxa"/>
            <w:tcBorders>
              <w:top w:val="single" w:sz="4" w:space="0" w:color="000000"/>
            </w:tcBorders>
          </w:tcPr>
          <w:p w14:paraId="721D8FBD" w14:textId="4E66435E" w:rsidR="00CB16CF" w:rsidRPr="00D427D8" w:rsidRDefault="00CB16CF" w:rsidP="00CB16CF">
            <w:pPr>
              <w:spacing w:afterLines="60" w:after="144"/>
              <w:jc w:val="center"/>
              <w:rPr>
                <w:szCs w:val="16"/>
              </w:rPr>
            </w:pPr>
            <w:r w:rsidRPr="00D427D8">
              <w:rPr>
                <w:szCs w:val="16"/>
              </w:rPr>
              <w:t>Distribution Date falling in May</w:t>
            </w:r>
            <w:r>
              <w:rPr>
                <w:szCs w:val="16"/>
              </w:rPr>
              <w:t xml:space="preserve"> </w:t>
            </w:r>
            <w:r w:rsidRPr="00D427D8">
              <w:rPr>
                <w:szCs w:val="16"/>
              </w:rPr>
              <w:t>2034</w:t>
            </w:r>
          </w:p>
        </w:tc>
        <w:tc>
          <w:tcPr>
            <w:tcW w:w="1264" w:type="dxa"/>
            <w:tcBorders>
              <w:top w:val="single" w:sz="4" w:space="0" w:color="000000"/>
            </w:tcBorders>
          </w:tcPr>
          <w:p w14:paraId="73204C01" w14:textId="3A1B7C8B" w:rsidR="00CB16CF" w:rsidRPr="00D427D8" w:rsidRDefault="00CB16CF" w:rsidP="00CB16CF">
            <w:pPr>
              <w:spacing w:afterLines="60" w:after="144"/>
              <w:jc w:val="center"/>
              <w:rPr>
                <w:szCs w:val="16"/>
              </w:rPr>
            </w:pPr>
            <w:r w:rsidRPr="00C83CD8">
              <w:t>71.25%</w:t>
            </w:r>
          </w:p>
        </w:tc>
        <w:tc>
          <w:tcPr>
            <w:tcW w:w="1549" w:type="dxa"/>
            <w:tcBorders>
              <w:top w:val="single" w:sz="4" w:space="0" w:color="000000"/>
            </w:tcBorders>
          </w:tcPr>
          <w:p w14:paraId="3910B66E" w14:textId="31313E54" w:rsidR="00CB16CF" w:rsidRPr="00D427D8" w:rsidRDefault="00CB16CF" w:rsidP="00CB16CF">
            <w:pPr>
              <w:spacing w:afterLines="60" w:after="144"/>
              <w:jc w:val="center"/>
              <w:rPr>
                <w:szCs w:val="16"/>
              </w:rPr>
            </w:pPr>
            <w:r w:rsidRPr="00D427D8">
              <w:rPr>
                <w:szCs w:val="16"/>
              </w:rPr>
              <w:t>[AAA]</w:t>
            </w:r>
            <w:r w:rsidRPr="00D427D8" w:rsidDel="00DA4D31">
              <w:rPr>
                <w:szCs w:val="18"/>
              </w:rPr>
              <w:t xml:space="preserve"> </w:t>
            </w:r>
            <w:r w:rsidRPr="00D427D8">
              <w:rPr>
                <w:szCs w:val="18"/>
              </w:rPr>
              <w:t>(sf) by DBRS</w:t>
            </w:r>
            <w:r w:rsidRPr="00D427D8">
              <w:rPr>
                <w:szCs w:val="18"/>
              </w:rPr>
              <w:br/>
              <w:t>and</w:t>
            </w:r>
            <w:r w:rsidRPr="00D427D8">
              <w:rPr>
                <w:rFonts w:asciiTheme="minorHAnsi" w:hAnsiTheme="minorHAnsi" w:cstheme="minorHAnsi"/>
                <w:szCs w:val="18"/>
              </w:rPr>
              <w:br/>
            </w:r>
            <w:r w:rsidRPr="00D427D8">
              <w:rPr>
                <w:szCs w:val="16"/>
              </w:rPr>
              <w:t>Aaa</w:t>
            </w:r>
            <w:r w:rsidRPr="00D427D8" w:rsidDel="00DA4D31">
              <w:rPr>
                <w:szCs w:val="18"/>
              </w:rPr>
              <w:t xml:space="preserve"> </w:t>
            </w:r>
            <w:r w:rsidRPr="00D427D8">
              <w:rPr>
                <w:szCs w:val="18"/>
              </w:rPr>
              <w:t>(sf) by Moody's</w:t>
            </w:r>
          </w:p>
        </w:tc>
      </w:tr>
      <w:tr w:rsidR="00CB16CF" w:rsidRPr="00D427D8" w14:paraId="7B603E75" w14:textId="77777777" w:rsidTr="00A73A48">
        <w:trPr>
          <w:jc w:val="center"/>
        </w:trPr>
        <w:tc>
          <w:tcPr>
            <w:tcW w:w="1022" w:type="dxa"/>
            <w:tcBorders>
              <w:right w:val="single" w:sz="4" w:space="0" w:color="000000"/>
            </w:tcBorders>
          </w:tcPr>
          <w:p w14:paraId="3A453B4E" w14:textId="77777777" w:rsidR="00CB16CF" w:rsidRPr="00D427D8" w:rsidRDefault="00CB16CF" w:rsidP="00CB16CF">
            <w:pPr>
              <w:spacing w:afterLines="60" w:after="144"/>
              <w:jc w:val="center"/>
              <w:rPr>
                <w:rStyle w:val="BoldText"/>
              </w:rPr>
            </w:pPr>
            <w:r w:rsidRPr="00D427D8">
              <w:rPr>
                <w:rStyle w:val="BoldText"/>
              </w:rPr>
              <w:t>Class B Notes</w:t>
            </w:r>
          </w:p>
        </w:tc>
        <w:tc>
          <w:tcPr>
            <w:tcW w:w="1692" w:type="dxa"/>
            <w:tcBorders>
              <w:left w:val="single" w:sz="4" w:space="0" w:color="000000"/>
            </w:tcBorders>
          </w:tcPr>
          <w:p w14:paraId="0D00F97A" w14:textId="44334D6E" w:rsidR="00CB16CF" w:rsidRPr="00D427D8" w:rsidRDefault="00CB16CF" w:rsidP="00CB16CF">
            <w:pPr>
              <w:spacing w:afterLines="60" w:after="144"/>
              <w:rPr>
                <w:szCs w:val="16"/>
              </w:rPr>
            </w:pPr>
            <w:r w:rsidRPr="00D427D8">
              <w:rPr>
                <w:szCs w:val="16"/>
              </w:rPr>
              <w:t>EUR </w:t>
            </w:r>
            <w:r w:rsidRPr="0031208E">
              <w:rPr>
                <w:szCs w:val="16"/>
              </w:rPr>
              <w:t xml:space="preserve">57,500,000 </w:t>
            </w:r>
          </w:p>
        </w:tc>
        <w:tc>
          <w:tcPr>
            <w:tcW w:w="1674" w:type="dxa"/>
          </w:tcPr>
          <w:p w14:paraId="796F8480" w14:textId="77777777" w:rsidR="00CB16CF" w:rsidRPr="00D427D8" w:rsidRDefault="00CB16CF" w:rsidP="00CB16CF">
            <w:pPr>
              <w:spacing w:afterLines="60" w:after="144"/>
              <w:rPr>
                <w:szCs w:val="16"/>
              </w:rPr>
            </w:pPr>
            <w:r w:rsidRPr="00D427D8">
              <w:rPr>
                <w:szCs w:val="16"/>
              </w:rPr>
              <w:t>100 per cent</w:t>
            </w:r>
          </w:p>
        </w:tc>
        <w:tc>
          <w:tcPr>
            <w:tcW w:w="1172" w:type="dxa"/>
          </w:tcPr>
          <w:p w14:paraId="463B11C5" w14:textId="7F2E5E75" w:rsidR="00CB16CF" w:rsidRPr="00D427D8" w:rsidRDefault="00CB16CF" w:rsidP="00CB16CF">
            <w:pPr>
              <w:spacing w:afterLines="60" w:after="144"/>
              <w:jc w:val="center"/>
              <w:rPr>
                <w:szCs w:val="16"/>
              </w:rPr>
            </w:pPr>
            <w:r w:rsidRPr="00D427D8">
              <w:rPr>
                <w:szCs w:val="16"/>
              </w:rPr>
              <w:t>1-Month EURIBOR</w:t>
            </w:r>
            <w:r w:rsidRPr="00D427D8" w:rsidDel="00EF4ED4">
              <w:rPr>
                <w:szCs w:val="16"/>
              </w:rPr>
              <w:t xml:space="preserve"> </w:t>
            </w:r>
            <w:r w:rsidRPr="00D427D8">
              <w:rPr>
                <w:szCs w:val="16"/>
              </w:rPr>
              <w:t xml:space="preserve">+ </w:t>
            </w:r>
            <w:r>
              <w:rPr>
                <w:szCs w:val="16"/>
              </w:rPr>
              <w:t>1.00</w:t>
            </w:r>
            <w:r w:rsidRPr="00D427D8">
              <w:rPr>
                <w:szCs w:val="16"/>
              </w:rPr>
              <w:t xml:space="preserve"> per cent.</w:t>
            </w:r>
          </w:p>
        </w:tc>
        <w:tc>
          <w:tcPr>
            <w:tcW w:w="1233" w:type="dxa"/>
          </w:tcPr>
          <w:p w14:paraId="6325825D" w14:textId="3FEC47DA" w:rsidR="00CB16CF" w:rsidRPr="00D427D8" w:rsidRDefault="00CB16CF" w:rsidP="00CB16CF">
            <w:pPr>
              <w:spacing w:afterLines="60" w:after="144"/>
              <w:jc w:val="center"/>
              <w:rPr>
                <w:szCs w:val="16"/>
              </w:rPr>
            </w:pPr>
            <w:r w:rsidRPr="006B7A65">
              <w:rPr>
                <w:szCs w:val="16"/>
              </w:rPr>
              <w:t>Distribution Date falling in May 2034</w:t>
            </w:r>
          </w:p>
        </w:tc>
        <w:tc>
          <w:tcPr>
            <w:tcW w:w="1264" w:type="dxa"/>
          </w:tcPr>
          <w:p w14:paraId="310714C9" w14:textId="40C841A4" w:rsidR="00CB16CF" w:rsidRPr="00D427D8" w:rsidRDefault="00CB16CF" w:rsidP="00CB16CF">
            <w:pPr>
              <w:spacing w:afterLines="60" w:after="144"/>
              <w:jc w:val="center"/>
              <w:rPr>
                <w:szCs w:val="16"/>
              </w:rPr>
            </w:pPr>
            <w:r w:rsidRPr="00C83CD8">
              <w:t>5.75%</w:t>
            </w:r>
          </w:p>
        </w:tc>
        <w:tc>
          <w:tcPr>
            <w:tcW w:w="1549" w:type="dxa"/>
          </w:tcPr>
          <w:p w14:paraId="77B5252E" w14:textId="75A45B86" w:rsidR="00CB16CF" w:rsidRPr="00D427D8" w:rsidRDefault="00CB16CF" w:rsidP="00CB16CF">
            <w:pPr>
              <w:spacing w:afterLines="60" w:after="144"/>
              <w:jc w:val="center"/>
              <w:rPr>
                <w:szCs w:val="16"/>
              </w:rPr>
            </w:pPr>
            <w:r w:rsidRPr="00D427D8">
              <w:rPr>
                <w:szCs w:val="16"/>
              </w:rPr>
              <w:t>[AA]</w:t>
            </w:r>
            <w:r w:rsidRPr="00D427D8" w:rsidDel="00DA4D31">
              <w:rPr>
                <w:szCs w:val="18"/>
              </w:rPr>
              <w:t xml:space="preserve"> </w:t>
            </w:r>
            <w:r w:rsidRPr="00D427D8">
              <w:rPr>
                <w:szCs w:val="18"/>
              </w:rPr>
              <w:t>(sf) by DBRS</w:t>
            </w:r>
            <w:r w:rsidRPr="00D427D8">
              <w:rPr>
                <w:szCs w:val="18"/>
              </w:rPr>
              <w:br/>
              <w:t>and</w:t>
            </w:r>
            <w:r w:rsidRPr="00D427D8">
              <w:rPr>
                <w:rFonts w:asciiTheme="minorHAnsi" w:hAnsiTheme="minorHAnsi" w:cstheme="minorHAnsi"/>
                <w:szCs w:val="18"/>
              </w:rPr>
              <w:br/>
            </w:r>
            <w:r w:rsidRPr="00D427D8">
              <w:rPr>
                <w:szCs w:val="16"/>
              </w:rPr>
              <w:t>Aa2</w:t>
            </w:r>
            <w:r w:rsidRPr="00D427D8" w:rsidDel="00DA4D31">
              <w:rPr>
                <w:szCs w:val="18"/>
              </w:rPr>
              <w:t xml:space="preserve"> </w:t>
            </w:r>
            <w:r w:rsidRPr="00D427D8">
              <w:rPr>
                <w:szCs w:val="18"/>
              </w:rPr>
              <w:t>(sf) by Moody's</w:t>
            </w:r>
          </w:p>
        </w:tc>
      </w:tr>
      <w:tr w:rsidR="00CB16CF" w:rsidRPr="00D427D8" w14:paraId="4A175FDE" w14:textId="77777777" w:rsidTr="00A73A48">
        <w:trPr>
          <w:jc w:val="center"/>
        </w:trPr>
        <w:tc>
          <w:tcPr>
            <w:tcW w:w="1022" w:type="dxa"/>
            <w:tcBorders>
              <w:right w:val="single" w:sz="4" w:space="0" w:color="000000"/>
            </w:tcBorders>
          </w:tcPr>
          <w:p w14:paraId="36490C4F" w14:textId="77777777" w:rsidR="00CB16CF" w:rsidRPr="00D427D8" w:rsidRDefault="00CB16CF" w:rsidP="00CB16CF">
            <w:pPr>
              <w:spacing w:afterLines="60" w:after="144"/>
              <w:jc w:val="center"/>
              <w:rPr>
                <w:rStyle w:val="BoldText"/>
              </w:rPr>
            </w:pPr>
            <w:r w:rsidRPr="00D427D8">
              <w:rPr>
                <w:rStyle w:val="BoldText"/>
              </w:rPr>
              <w:t>Class C Notes</w:t>
            </w:r>
          </w:p>
        </w:tc>
        <w:tc>
          <w:tcPr>
            <w:tcW w:w="1692" w:type="dxa"/>
            <w:tcBorders>
              <w:left w:val="single" w:sz="4" w:space="0" w:color="000000"/>
            </w:tcBorders>
          </w:tcPr>
          <w:p w14:paraId="2B6A0BA4" w14:textId="668D5D12" w:rsidR="00CB16CF" w:rsidRPr="00D427D8" w:rsidRDefault="00CB16CF" w:rsidP="00CB16CF">
            <w:pPr>
              <w:spacing w:afterLines="60" w:after="144"/>
              <w:rPr>
                <w:szCs w:val="16"/>
              </w:rPr>
            </w:pPr>
            <w:r w:rsidRPr="00D427D8">
              <w:rPr>
                <w:szCs w:val="16"/>
              </w:rPr>
              <w:t>EUR </w:t>
            </w:r>
            <w:r w:rsidRPr="0031208E">
              <w:rPr>
                <w:szCs w:val="16"/>
              </w:rPr>
              <w:t>55,</w:t>
            </w:r>
            <w:r>
              <w:rPr>
                <w:szCs w:val="16"/>
              </w:rPr>
              <w:t>0</w:t>
            </w:r>
            <w:r w:rsidRPr="0031208E">
              <w:rPr>
                <w:szCs w:val="16"/>
              </w:rPr>
              <w:t xml:space="preserve">00,000 </w:t>
            </w:r>
          </w:p>
        </w:tc>
        <w:tc>
          <w:tcPr>
            <w:tcW w:w="1674" w:type="dxa"/>
          </w:tcPr>
          <w:p w14:paraId="1E4D5D5C" w14:textId="77777777" w:rsidR="00CB16CF" w:rsidRPr="00D427D8" w:rsidRDefault="00CB16CF" w:rsidP="00CB16CF">
            <w:pPr>
              <w:spacing w:afterLines="60" w:after="144"/>
              <w:rPr>
                <w:szCs w:val="16"/>
              </w:rPr>
            </w:pPr>
            <w:r w:rsidRPr="00D427D8">
              <w:rPr>
                <w:szCs w:val="16"/>
              </w:rPr>
              <w:t>100 per cent</w:t>
            </w:r>
          </w:p>
        </w:tc>
        <w:tc>
          <w:tcPr>
            <w:tcW w:w="1172" w:type="dxa"/>
          </w:tcPr>
          <w:p w14:paraId="1903508A" w14:textId="58386470" w:rsidR="00CB16CF" w:rsidRPr="00D427D8" w:rsidRDefault="00CB16CF" w:rsidP="00CB16CF">
            <w:pPr>
              <w:spacing w:afterLines="60" w:after="144"/>
              <w:jc w:val="center"/>
              <w:rPr>
                <w:szCs w:val="16"/>
              </w:rPr>
            </w:pPr>
            <w:r w:rsidRPr="00D427D8">
              <w:rPr>
                <w:szCs w:val="16"/>
              </w:rPr>
              <w:t>1-Month EURIBOR</w:t>
            </w:r>
            <w:r w:rsidRPr="00D427D8" w:rsidDel="00EF4ED4">
              <w:rPr>
                <w:szCs w:val="16"/>
              </w:rPr>
              <w:t xml:space="preserve"> </w:t>
            </w:r>
            <w:r w:rsidRPr="00D427D8">
              <w:rPr>
                <w:szCs w:val="16"/>
              </w:rPr>
              <w:t xml:space="preserve">+ </w:t>
            </w:r>
            <w:r>
              <w:rPr>
                <w:szCs w:val="16"/>
              </w:rPr>
              <w:t>1.25</w:t>
            </w:r>
            <w:r w:rsidRPr="00D427D8">
              <w:rPr>
                <w:szCs w:val="16"/>
              </w:rPr>
              <w:t xml:space="preserve"> per cent.</w:t>
            </w:r>
          </w:p>
        </w:tc>
        <w:tc>
          <w:tcPr>
            <w:tcW w:w="1233" w:type="dxa"/>
          </w:tcPr>
          <w:p w14:paraId="2F3587DD" w14:textId="13D8A741" w:rsidR="00CB16CF" w:rsidRPr="00D427D8" w:rsidRDefault="00CB16CF" w:rsidP="00CB16CF">
            <w:pPr>
              <w:spacing w:afterLines="60" w:after="144"/>
              <w:jc w:val="center"/>
              <w:rPr>
                <w:szCs w:val="16"/>
              </w:rPr>
            </w:pPr>
            <w:r w:rsidRPr="006B7A65">
              <w:rPr>
                <w:szCs w:val="16"/>
              </w:rPr>
              <w:t>Distribution Date falling in May 2034</w:t>
            </w:r>
          </w:p>
        </w:tc>
        <w:tc>
          <w:tcPr>
            <w:tcW w:w="1264" w:type="dxa"/>
          </w:tcPr>
          <w:p w14:paraId="33A9F8EF" w14:textId="787648D4" w:rsidR="00CB16CF" w:rsidRPr="00D427D8" w:rsidRDefault="00CB16CF" w:rsidP="00CB16CF">
            <w:pPr>
              <w:spacing w:afterLines="60" w:after="144"/>
              <w:jc w:val="center"/>
              <w:rPr>
                <w:szCs w:val="16"/>
              </w:rPr>
            </w:pPr>
            <w:r w:rsidRPr="00C83CD8">
              <w:t>5.50%</w:t>
            </w:r>
          </w:p>
        </w:tc>
        <w:tc>
          <w:tcPr>
            <w:tcW w:w="1549" w:type="dxa"/>
          </w:tcPr>
          <w:p w14:paraId="1ABFC5E3" w14:textId="7554D5A9" w:rsidR="00CB16CF" w:rsidRPr="00D427D8" w:rsidRDefault="00CB16CF" w:rsidP="00CB16CF">
            <w:pPr>
              <w:spacing w:afterLines="60" w:after="144"/>
              <w:jc w:val="center"/>
              <w:rPr>
                <w:szCs w:val="16"/>
              </w:rPr>
            </w:pPr>
            <w:r w:rsidRPr="00D427D8">
              <w:rPr>
                <w:szCs w:val="16"/>
              </w:rPr>
              <w:t>[A]</w:t>
            </w:r>
            <w:r w:rsidRPr="00D427D8" w:rsidDel="00DA4D31">
              <w:rPr>
                <w:szCs w:val="18"/>
              </w:rPr>
              <w:t xml:space="preserve"> </w:t>
            </w:r>
            <w:r w:rsidRPr="00D427D8">
              <w:rPr>
                <w:szCs w:val="18"/>
              </w:rPr>
              <w:t>(sf) by DBRS</w:t>
            </w:r>
            <w:r w:rsidRPr="00D427D8">
              <w:rPr>
                <w:szCs w:val="18"/>
              </w:rPr>
              <w:br/>
              <w:t>and</w:t>
            </w:r>
            <w:r w:rsidRPr="00D427D8">
              <w:rPr>
                <w:rFonts w:asciiTheme="minorHAnsi" w:hAnsiTheme="minorHAnsi" w:cstheme="minorHAnsi"/>
                <w:szCs w:val="18"/>
              </w:rPr>
              <w:br/>
            </w:r>
            <w:r w:rsidR="00A42D68" w:rsidRPr="00D427D8">
              <w:rPr>
                <w:szCs w:val="16"/>
              </w:rPr>
              <w:t>A</w:t>
            </w:r>
            <w:r w:rsidR="00A42D68">
              <w:rPr>
                <w:szCs w:val="16"/>
              </w:rPr>
              <w:t>1</w:t>
            </w:r>
            <w:r w:rsidRPr="00D427D8" w:rsidDel="00DA4D31">
              <w:rPr>
                <w:szCs w:val="18"/>
              </w:rPr>
              <w:t xml:space="preserve"> </w:t>
            </w:r>
            <w:r w:rsidRPr="00D427D8">
              <w:rPr>
                <w:szCs w:val="18"/>
              </w:rPr>
              <w:t>(sf) by Moody's</w:t>
            </w:r>
          </w:p>
        </w:tc>
      </w:tr>
      <w:tr w:rsidR="00CB16CF" w:rsidRPr="00D427D8" w14:paraId="1E74ED09" w14:textId="77777777" w:rsidTr="00A73A48">
        <w:trPr>
          <w:jc w:val="center"/>
        </w:trPr>
        <w:tc>
          <w:tcPr>
            <w:tcW w:w="1022" w:type="dxa"/>
            <w:tcBorders>
              <w:right w:val="single" w:sz="4" w:space="0" w:color="000000"/>
            </w:tcBorders>
          </w:tcPr>
          <w:p w14:paraId="7DC5AFA5" w14:textId="77777777" w:rsidR="00CB16CF" w:rsidRPr="00D427D8" w:rsidRDefault="00CB16CF" w:rsidP="00CB16CF">
            <w:pPr>
              <w:spacing w:afterLines="60" w:after="144"/>
              <w:jc w:val="center"/>
              <w:rPr>
                <w:rStyle w:val="BoldText"/>
              </w:rPr>
            </w:pPr>
            <w:r w:rsidRPr="00D427D8">
              <w:rPr>
                <w:rStyle w:val="BoldText"/>
              </w:rPr>
              <w:t>Class D Notes</w:t>
            </w:r>
          </w:p>
        </w:tc>
        <w:tc>
          <w:tcPr>
            <w:tcW w:w="1692" w:type="dxa"/>
            <w:tcBorders>
              <w:left w:val="single" w:sz="4" w:space="0" w:color="000000"/>
            </w:tcBorders>
          </w:tcPr>
          <w:p w14:paraId="23F051A4" w14:textId="7995230E" w:rsidR="00CB16CF" w:rsidRPr="00D427D8" w:rsidRDefault="00CB16CF" w:rsidP="00CB16CF">
            <w:pPr>
              <w:spacing w:afterLines="60" w:after="144"/>
              <w:rPr>
                <w:szCs w:val="16"/>
              </w:rPr>
            </w:pPr>
            <w:r w:rsidRPr="00D427D8">
              <w:rPr>
                <w:szCs w:val="16"/>
              </w:rPr>
              <w:t>EUR </w:t>
            </w:r>
            <w:r w:rsidRPr="0031208E">
              <w:rPr>
                <w:szCs w:val="16"/>
              </w:rPr>
              <w:t>45,</w:t>
            </w:r>
            <w:r>
              <w:rPr>
                <w:szCs w:val="16"/>
              </w:rPr>
              <w:t>0</w:t>
            </w:r>
            <w:r w:rsidRPr="0031208E">
              <w:rPr>
                <w:szCs w:val="16"/>
              </w:rPr>
              <w:t xml:space="preserve">00,000 </w:t>
            </w:r>
          </w:p>
        </w:tc>
        <w:tc>
          <w:tcPr>
            <w:tcW w:w="1674" w:type="dxa"/>
          </w:tcPr>
          <w:p w14:paraId="5578CE6D" w14:textId="77777777" w:rsidR="00CB16CF" w:rsidRPr="00D427D8" w:rsidRDefault="00CB16CF" w:rsidP="00CB16CF">
            <w:pPr>
              <w:spacing w:afterLines="60" w:after="144"/>
              <w:rPr>
                <w:szCs w:val="16"/>
              </w:rPr>
            </w:pPr>
            <w:r w:rsidRPr="00D427D8">
              <w:rPr>
                <w:szCs w:val="16"/>
              </w:rPr>
              <w:t>100 per cent</w:t>
            </w:r>
          </w:p>
        </w:tc>
        <w:tc>
          <w:tcPr>
            <w:tcW w:w="1172" w:type="dxa"/>
          </w:tcPr>
          <w:p w14:paraId="1694213D" w14:textId="696EC3FF" w:rsidR="00CB16CF" w:rsidRPr="00D427D8" w:rsidRDefault="00CB16CF" w:rsidP="00CB16CF">
            <w:pPr>
              <w:spacing w:afterLines="60" w:after="144"/>
              <w:jc w:val="center"/>
              <w:rPr>
                <w:szCs w:val="16"/>
              </w:rPr>
            </w:pPr>
            <w:r w:rsidRPr="00D427D8">
              <w:rPr>
                <w:szCs w:val="16"/>
              </w:rPr>
              <w:t>1-Month EURIBOR</w:t>
            </w:r>
            <w:r w:rsidRPr="00D427D8" w:rsidDel="00EF4ED4">
              <w:rPr>
                <w:szCs w:val="16"/>
              </w:rPr>
              <w:t xml:space="preserve"> </w:t>
            </w:r>
            <w:r w:rsidRPr="00D427D8">
              <w:rPr>
                <w:szCs w:val="16"/>
              </w:rPr>
              <w:t xml:space="preserve">+ </w:t>
            </w:r>
            <w:r>
              <w:rPr>
                <w:szCs w:val="16"/>
              </w:rPr>
              <w:t xml:space="preserve">1.50 </w:t>
            </w:r>
            <w:r w:rsidRPr="00D427D8">
              <w:rPr>
                <w:szCs w:val="16"/>
              </w:rPr>
              <w:t>per cent.</w:t>
            </w:r>
          </w:p>
        </w:tc>
        <w:tc>
          <w:tcPr>
            <w:tcW w:w="1233" w:type="dxa"/>
          </w:tcPr>
          <w:p w14:paraId="4BCBDB61" w14:textId="6E7225AE" w:rsidR="00CB16CF" w:rsidRPr="00D427D8" w:rsidRDefault="00CB16CF" w:rsidP="00CB16CF">
            <w:pPr>
              <w:spacing w:afterLines="60" w:after="144"/>
              <w:jc w:val="center"/>
              <w:rPr>
                <w:szCs w:val="16"/>
              </w:rPr>
            </w:pPr>
            <w:r w:rsidRPr="006B7A65">
              <w:rPr>
                <w:szCs w:val="16"/>
              </w:rPr>
              <w:t>Distribution Date falling in May 2034</w:t>
            </w:r>
          </w:p>
        </w:tc>
        <w:tc>
          <w:tcPr>
            <w:tcW w:w="1264" w:type="dxa"/>
          </w:tcPr>
          <w:p w14:paraId="66ABF73F" w14:textId="72C45306" w:rsidR="00CB16CF" w:rsidRPr="00D427D8" w:rsidRDefault="00CB16CF" w:rsidP="00CB16CF">
            <w:pPr>
              <w:spacing w:afterLines="60" w:after="144"/>
              <w:jc w:val="center"/>
              <w:rPr>
                <w:szCs w:val="16"/>
              </w:rPr>
            </w:pPr>
            <w:r w:rsidRPr="00C83CD8">
              <w:t>4,50%</w:t>
            </w:r>
          </w:p>
        </w:tc>
        <w:tc>
          <w:tcPr>
            <w:tcW w:w="1549" w:type="dxa"/>
          </w:tcPr>
          <w:p w14:paraId="6E391203" w14:textId="54917F81" w:rsidR="00CB16CF" w:rsidRPr="00D427D8" w:rsidRDefault="00CB16CF" w:rsidP="00CB16CF">
            <w:pPr>
              <w:spacing w:afterLines="60" w:after="144"/>
              <w:jc w:val="center"/>
              <w:rPr>
                <w:szCs w:val="16"/>
              </w:rPr>
            </w:pPr>
            <w:r w:rsidRPr="00D427D8">
              <w:rPr>
                <w:szCs w:val="16"/>
              </w:rPr>
              <w:t>[BBB(high)]</w:t>
            </w:r>
            <w:r w:rsidRPr="00D427D8" w:rsidDel="00DA4D31">
              <w:rPr>
                <w:szCs w:val="18"/>
              </w:rPr>
              <w:t xml:space="preserve"> </w:t>
            </w:r>
            <w:r w:rsidRPr="00D427D8">
              <w:rPr>
                <w:szCs w:val="18"/>
              </w:rPr>
              <w:t>(sf) by DBRS</w:t>
            </w:r>
            <w:r w:rsidRPr="00D427D8">
              <w:rPr>
                <w:szCs w:val="18"/>
              </w:rPr>
              <w:br/>
              <w:t>and</w:t>
            </w:r>
            <w:r w:rsidRPr="00D427D8">
              <w:rPr>
                <w:rFonts w:asciiTheme="minorHAnsi" w:hAnsiTheme="minorHAnsi" w:cstheme="minorHAnsi"/>
                <w:szCs w:val="18"/>
              </w:rPr>
              <w:br/>
            </w:r>
            <w:r w:rsidRPr="00D427D8">
              <w:rPr>
                <w:szCs w:val="16"/>
              </w:rPr>
              <w:t>Baa</w:t>
            </w:r>
            <w:r w:rsidR="00A42D68">
              <w:rPr>
                <w:szCs w:val="16"/>
              </w:rPr>
              <w:t>1</w:t>
            </w:r>
            <w:r w:rsidRPr="00D427D8" w:rsidDel="00DA4D31">
              <w:rPr>
                <w:szCs w:val="18"/>
              </w:rPr>
              <w:t xml:space="preserve"> </w:t>
            </w:r>
            <w:r w:rsidRPr="00D427D8">
              <w:rPr>
                <w:szCs w:val="18"/>
              </w:rPr>
              <w:t>(sf) by Moody's</w:t>
            </w:r>
          </w:p>
        </w:tc>
      </w:tr>
      <w:tr w:rsidR="00CB16CF" w:rsidRPr="00D427D8" w14:paraId="5EC8E84F" w14:textId="77777777" w:rsidTr="00A73A48">
        <w:trPr>
          <w:jc w:val="center"/>
        </w:trPr>
        <w:tc>
          <w:tcPr>
            <w:tcW w:w="1022" w:type="dxa"/>
            <w:tcBorders>
              <w:right w:val="single" w:sz="4" w:space="0" w:color="000000"/>
            </w:tcBorders>
          </w:tcPr>
          <w:p w14:paraId="06B63423" w14:textId="77777777" w:rsidR="00CB16CF" w:rsidRPr="00D427D8" w:rsidRDefault="00CB16CF" w:rsidP="00CB16CF">
            <w:pPr>
              <w:spacing w:afterLines="60" w:after="144"/>
              <w:jc w:val="center"/>
              <w:rPr>
                <w:rStyle w:val="BoldText"/>
              </w:rPr>
            </w:pPr>
            <w:r w:rsidRPr="00D427D8">
              <w:rPr>
                <w:rStyle w:val="BoldText"/>
              </w:rPr>
              <w:t>Class E Notes</w:t>
            </w:r>
          </w:p>
        </w:tc>
        <w:tc>
          <w:tcPr>
            <w:tcW w:w="1692" w:type="dxa"/>
            <w:tcBorders>
              <w:left w:val="single" w:sz="4" w:space="0" w:color="000000"/>
            </w:tcBorders>
          </w:tcPr>
          <w:p w14:paraId="16FAC93B" w14:textId="2C1C78CD" w:rsidR="00CB16CF" w:rsidRPr="00D427D8" w:rsidRDefault="00CB16CF" w:rsidP="00CB16CF">
            <w:pPr>
              <w:spacing w:afterLines="60" w:after="144"/>
              <w:rPr>
                <w:szCs w:val="16"/>
              </w:rPr>
            </w:pPr>
            <w:r w:rsidRPr="00D427D8">
              <w:rPr>
                <w:szCs w:val="16"/>
              </w:rPr>
              <w:t>EUR </w:t>
            </w:r>
            <w:r w:rsidRPr="0031208E">
              <w:rPr>
                <w:szCs w:val="16"/>
              </w:rPr>
              <w:t xml:space="preserve">85,000,000 </w:t>
            </w:r>
          </w:p>
        </w:tc>
        <w:tc>
          <w:tcPr>
            <w:tcW w:w="1674" w:type="dxa"/>
          </w:tcPr>
          <w:p w14:paraId="2E069DD9" w14:textId="77777777" w:rsidR="00CB16CF" w:rsidRPr="00D427D8" w:rsidRDefault="00CB16CF" w:rsidP="00CB16CF">
            <w:pPr>
              <w:spacing w:afterLines="60" w:after="144"/>
              <w:rPr>
                <w:szCs w:val="16"/>
              </w:rPr>
            </w:pPr>
            <w:r w:rsidRPr="00D427D8">
              <w:rPr>
                <w:szCs w:val="16"/>
              </w:rPr>
              <w:t>100 per cent</w:t>
            </w:r>
          </w:p>
        </w:tc>
        <w:tc>
          <w:tcPr>
            <w:tcW w:w="1172" w:type="dxa"/>
          </w:tcPr>
          <w:p w14:paraId="4EE25743" w14:textId="5B531C39" w:rsidR="00CB16CF" w:rsidRPr="00D427D8" w:rsidRDefault="00CB16CF" w:rsidP="00CB16CF">
            <w:pPr>
              <w:spacing w:afterLines="60" w:after="144"/>
              <w:jc w:val="center"/>
              <w:rPr>
                <w:szCs w:val="16"/>
              </w:rPr>
            </w:pPr>
            <w:r w:rsidRPr="00D427D8">
              <w:rPr>
                <w:szCs w:val="16"/>
              </w:rPr>
              <w:t>1-Month EURIBOR</w:t>
            </w:r>
            <w:r w:rsidRPr="00D427D8" w:rsidDel="00EF4ED4">
              <w:rPr>
                <w:szCs w:val="16"/>
              </w:rPr>
              <w:t xml:space="preserve"> </w:t>
            </w:r>
            <w:r w:rsidRPr="00D427D8">
              <w:rPr>
                <w:szCs w:val="16"/>
              </w:rPr>
              <w:t xml:space="preserve">+ </w:t>
            </w:r>
            <w:r>
              <w:rPr>
                <w:szCs w:val="16"/>
              </w:rPr>
              <w:t xml:space="preserve">3.20 </w:t>
            </w:r>
            <w:r w:rsidRPr="00D427D8">
              <w:rPr>
                <w:szCs w:val="16"/>
              </w:rPr>
              <w:t>per cent.</w:t>
            </w:r>
          </w:p>
        </w:tc>
        <w:tc>
          <w:tcPr>
            <w:tcW w:w="1233" w:type="dxa"/>
          </w:tcPr>
          <w:p w14:paraId="5C3A7F7A" w14:textId="4BC0A90B" w:rsidR="00CB16CF" w:rsidRPr="00D427D8" w:rsidRDefault="00CB16CF" w:rsidP="00CB16CF">
            <w:pPr>
              <w:spacing w:afterLines="60" w:after="144"/>
              <w:jc w:val="center"/>
              <w:rPr>
                <w:szCs w:val="16"/>
              </w:rPr>
            </w:pPr>
            <w:r w:rsidRPr="006B7A65">
              <w:rPr>
                <w:szCs w:val="16"/>
              </w:rPr>
              <w:t>Distribution Date falling in May 2034</w:t>
            </w:r>
          </w:p>
        </w:tc>
        <w:tc>
          <w:tcPr>
            <w:tcW w:w="1264" w:type="dxa"/>
          </w:tcPr>
          <w:p w14:paraId="4B3958DD" w14:textId="7FE79822" w:rsidR="00CB16CF" w:rsidRPr="00D427D8" w:rsidRDefault="00CB16CF" w:rsidP="00CB16CF">
            <w:pPr>
              <w:spacing w:afterLines="60" w:after="144"/>
              <w:jc w:val="center"/>
              <w:rPr>
                <w:szCs w:val="16"/>
              </w:rPr>
            </w:pPr>
            <w:r w:rsidRPr="00C83CD8">
              <w:t>8.50%</w:t>
            </w:r>
          </w:p>
        </w:tc>
        <w:tc>
          <w:tcPr>
            <w:tcW w:w="1549" w:type="dxa"/>
          </w:tcPr>
          <w:p w14:paraId="7213058D" w14:textId="4DF16078" w:rsidR="00CB16CF" w:rsidRPr="00D427D8" w:rsidRDefault="00CB16CF" w:rsidP="00CB16CF">
            <w:pPr>
              <w:spacing w:afterLines="60" w:after="144"/>
              <w:jc w:val="center"/>
              <w:rPr>
                <w:szCs w:val="16"/>
              </w:rPr>
            </w:pPr>
            <w:r w:rsidRPr="00D427D8">
              <w:rPr>
                <w:szCs w:val="16"/>
              </w:rPr>
              <w:t>[BB(high)]</w:t>
            </w:r>
            <w:r w:rsidRPr="00D427D8" w:rsidDel="00DA4D31">
              <w:rPr>
                <w:szCs w:val="18"/>
              </w:rPr>
              <w:t xml:space="preserve"> </w:t>
            </w:r>
            <w:r w:rsidRPr="00D427D8">
              <w:rPr>
                <w:szCs w:val="18"/>
              </w:rPr>
              <w:t>(sf) by DBRS</w:t>
            </w:r>
            <w:r w:rsidRPr="00D427D8">
              <w:rPr>
                <w:szCs w:val="18"/>
              </w:rPr>
              <w:br/>
              <w:t>and</w:t>
            </w:r>
            <w:r w:rsidRPr="00D427D8">
              <w:rPr>
                <w:rFonts w:asciiTheme="minorHAnsi" w:hAnsiTheme="minorHAnsi" w:cstheme="minorHAnsi"/>
                <w:szCs w:val="18"/>
              </w:rPr>
              <w:br/>
            </w:r>
            <w:r w:rsidRPr="00D427D8">
              <w:rPr>
                <w:szCs w:val="16"/>
              </w:rPr>
              <w:t>Ba1</w:t>
            </w:r>
            <w:r w:rsidRPr="00D427D8" w:rsidDel="00DA4D31">
              <w:rPr>
                <w:szCs w:val="18"/>
              </w:rPr>
              <w:t xml:space="preserve"> </w:t>
            </w:r>
            <w:r w:rsidRPr="00D427D8">
              <w:rPr>
                <w:szCs w:val="18"/>
              </w:rPr>
              <w:t>(sf) by Moody's</w:t>
            </w:r>
          </w:p>
        </w:tc>
      </w:tr>
      <w:tr w:rsidR="00CB16CF" w:rsidRPr="00D427D8" w14:paraId="3F82BB82" w14:textId="77777777" w:rsidTr="00A73A48">
        <w:trPr>
          <w:jc w:val="center"/>
        </w:trPr>
        <w:tc>
          <w:tcPr>
            <w:tcW w:w="1022" w:type="dxa"/>
            <w:tcBorders>
              <w:right w:val="single" w:sz="4" w:space="0" w:color="000000"/>
            </w:tcBorders>
          </w:tcPr>
          <w:p w14:paraId="5C8502BA" w14:textId="77777777" w:rsidR="00CB16CF" w:rsidRPr="00D427D8" w:rsidRDefault="00CB16CF" w:rsidP="00CB16CF">
            <w:pPr>
              <w:spacing w:afterLines="60" w:after="144"/>
              <w:jc w:val="center"/>
              <w:rPr>
                <w:rStyle w:val="BoldText"/>
              </w:rPr>
            </w:pPr>
            <w:r w:rsidRPr="00D427D8">
              <w:rPr>
                <w:rStyle w:val="BoldText"/>
              </w:rPr>
              <w:t>Class F Notes</w:t>
            </w:r>
          </w:p>
        </w:tc>
        <w:tc>
          <w:tcPr>
            <w:tcW w:w="1692" w:type="dxa"/>
            <w:tcBorders>
              <w:left w:val="single" w:sz="4" w:space="0" w:color="000000"/>
            </w:tcBorders>
          </w:tcPr>
          <w:p w14:paraId="75C68637" w14:textId="3921E0A4" w:rsidR="00CB16CF" w:rsidRPr="00D427D8" w:rsidRDefault="00CB16CF" w:rsidP="00CB16CF">
            <w:pPr>
              <w:spacing w:afterLines="60" w:after="144"/>
              <w:rPr>
                <w:szCs w:val="16"/>
              </w:rPr>
            </w:pPr>
            <w:r w:rsidRPr="00D427D8">
              <w:rPr>
                <w:szCs w:val="16"/>
              </w:rPr>
              <w:t>EUR </w:t>
            </w:r>
            <w:r w:rsidRPr="0031208E">
              <w:rPr>
                <w:szCs w:val="16"/>
              </w:rPr>
              <w:t xml:space="preserve">30,000,000 </w:t>
            </w:r>
          </w:p>
        </w:tc>
        <w:tc>
          <w:tcPr>
            <w:tcW w:w="1674" w:type="dxa"/>
          </w:tcPr>
          <w:p w14:paraId="5C17D45B" w14:textId="77777777" w:rsidR="00CB16CF" w:rsidRPr="00D427D8" w:rsidRDefault="00CB16CF" w:rsidP="00CB16CF">
            <w:pPr>
              <w:spacing w:afterLines="60" w:after="144"/>
              <w:rPr>
                <w:szCs w:val="16"/>
              </w:rPr>
            </w:pPr>
            <w:r w:rsidRPr="00D427D8">
              <w:rPr>
                <w:szCs w:val="16"/>
              </w:rPr>
              <w:t>100 per cent</w:t>
            </w:r>
          </w:p>
        </w:tc>
        <w:tc>
          <w:tcPr>
            <w:tcW w:w="1172" w:type="dxa"/>
          </w:tcPr>
          <w:p w14:paraId="193A81F3" w14:textId="63B3BEA8" w:rsidR="00CB16CF" w:rsidRPr="00D427D8" w:rsidRDefault="00CB16CF" w:rsidP="00CB16CF">
            <w:pPr>
              <w:spacing w:afterLines="60" w:after="144"/>
              <w:jc w:val="center"/>
              <w:rPr>
                <w:szCs w:val="16"/>
              </w:rPr>
            </w:pPr>
            <w:r w:rsidRPr="00D427D8">
              <w:rPr>
                <w:szCs w:val="16"/>
              </w:rPr>
              <w:t>1-Month EURIBOR</w:t>
            </w:r>
            <w:r w:rsidRPr="00D427D8" w:rsidDel="00EF4ED4">
              <w:rPr>
                <w:szCs w:val="16"/>
              </w:rPr>
              <w:t xml:space="preserve"> </w:t>
            </w:r>
            <w:r w:rsidRPr="00D427D8">
              <w:rPr>
                <w:szCs w:val="16"/>
              </w:rPr>
              <w:t xml:space="preserve">+ </w:t>
            </w:r>
            <w:r>
              <w:rPr>
                <w:szCs w:val="16"/>
              </w:rPr>
              <w:t xml:space="preserve">4.50 </w:t>
            </w:r>
            <w:r w:rsidRPr="00D427D8">
              <w:rPr>
                <w:szCs w:val="16"/>
              </w:rPr>
              <w:t>per cent.</w:t>
            </w:r>
          </w:p>
        </w:tc>
        <w:tc>
          <w:tcPr>
            <w:tcW w:w="1233" w:type="dxa"/>
          </w:tcPr>
          <w:p w14:paraId="7498076A" w14:textId="0AA31EC0" w:rsidR="00CB16CF" w:rsidRPr="00D427D8" w:rsidRDefault="00CB16CF" w:rsidP="00CB16CF">
            <w:pPr>
              <w:spacing w:afterLines="60" w:after="144"/>
              <w:jc w:val="center"/>
              <w:rPr>
                <w:szCs w:val="16"/>
              </w:rPr>
            </w:pPr>
            <w:r w:rsidRPr="006B7A65">
              <w:rPr>
                <w:szCs w:val="16"/>
              </w:rPr>
              <w:t>Distribution Date falling in May 2034</w:t>
            </w:r>
          </w:p>
        </w:tc>
        <w:tc>
          <w:tcPr>
            <w:tcW w:w="1264" w:type="dxa"/>
          </w:tcPr>
          <w:p w14:paraId="076159EF" w14:textId="00CC6DD6" w:rsidR="00CB16CF" w:rsidRPr="00D427D8" w:rsidRDefault="00CB16CF" w:rsidP="00CB16CF">
            <w:pPr>
              <w:spacing w:afterLines="60" w:after="144"/>
              <w:jc w:val="center"/>
              <w:rPr>
                <w:szCs w:val="16"/>
              </w:rPr>
            </w:pPr>
            <w:r w:rsidRPr="00C83CD8">
              <w:t>3.00%</w:t>
            </w:r>
          </w:p>
        </w:tc>
        <w:tc>
          <w:tcPr>
            <w:tcW w:w="1549" w:type="dxa"/>
          </w:tcPr>
          <w:p w14:paraId="3CC3D302" w14:textId="0F2AF6CF" w:rsidR="00CB16CF" w:rsidRPr="00D427D8" w:rsidRDefault="00CB16CF" w:rsidP="00CB16CF">
            <w:pPr>
              <w:spacing w:afterLines="60" w:after="144"/>
              <w:jc w:val="center"/>
              <w:rPr>
                <w:szCs w:val="16"/>
              </w:rPr>
            </w:pPr>
            <w:r w:rsidRPr="00D427D8">
              <w:rPr>
                <w:szCs w:val="16"/>
              </w:rPr>
              <w:t>[B(high)]</w:t>
            </w:r>
            <w:r w:rsidRPr="00D427D8" w:rsidDel="00DA4D31">
              <w:rPr>
                <w:szCs w:val="18"/>
              </w:rPr>
              <w:t xml:space="preserve"> </w:t>
            </w:r>
            <w:r w:rsidRPr="00D427D8">
              <w:rPr>
                <w:szCs w:val="18"/>
              </w:rPr>
              <w:t>(sf) by DBRS</w:t>
            </w:r>
            <w:r w:rsidRPr="00D427D8">
              <w:rPr>
                <w:szCs w:val="18"/>
              </w:rPr>
              <w:br/>
              <w:t>and</w:t>
            </w:r>
            <w:r w:rsidRPr="00D427D8">
              <w:rPr>
                <w:rFonts w:asciiTheme="minorHAnsi" w:hAnsiTheme="minorHAnsi" w:cstheme="minorHAnsi"/>
                <w:szCs w:val="18"/>
              </w:rPr>
              <w:br/>
            </w:r>
            <w:r w:rsidRPr="00D427D8">
              <w:rPr>
                <w:szCs w:val="16"/>
              </w:rPr>
              <w:t>Ba</w:t>
            </w:r>
            <w:r>
              <w:rPr>
                <w:szCs w:val="16"/>
              </w:rPr>
              <w:t>2</w:t>
            </w:r>
            <w:r w:rsidRPr="00D427D8" w:rsidDel="00DA4D31">
              <w:rPr>
                <w:szCs w:val="18"/>
              </w:rPr>
              <w:t xml:space="preserve"> </w:t>
            </w:r>
            <w:r w:rsidRPr="00D427D8">
              <w:rPr>
                <w:szCs w:val="18"/>
              </w:rPr>
              <w:t>(sf) by Moody's</w:t>
            </w:r>
          </w:p>
        </w:tc>
      </w:tr>
      <w:tr w:rsidR="00CB16CF" w:rsidRPr="00D427D8" w14:paraId="41FB793B" w14:textId="77777777" w:rsidTr="00A73A48">
        <w:trPr>
          <w:jc w:val="center"/>
        </w:trPr>
        <w:tc>
          <w:tcPr>
            <w:tcW w:w="1022" w:type="dxa"/>
            <w:tcBorders>
              <w:right w:val="single" w:sz="4" w:space="0" w:color="000000"/>
            </w:tcBorders>
          </w:tcPr>
          <w:p w14:paraId="15604485" w14:textId="77777777" w:rsidR="00CB16CF" w:rsidRPr="00D427D8" w:rsidRDefault="00CB16CF" w:rsidP="00CB16CF">
            <w:pPr>
              <w:spacing w:afterLines="60" w:after="144"/>
              <w:jc w:val="center"/>
              <w:rPr>
                <w:rStyle w:val="BoldText"/>
              </w:rPr>
            </w:pPr>
            <w:r w:rsidRPr="00D427D8">
              <w:rPr>
                <w:rStyle w:val="BoldText"/>
              </w:rPr>
              <w:t>Class G Notes</w:t>
            </w:r>
          </w:p>
        </w:tc>
        <w:tc>
          <w:tcPr>
            <w:tcW w:w="1692" w:type="dxa"/>
            <w:tcBorders>
              <w:left w:val="single" w:sz="4" w:space="0" w:color="000000"/>
            </w:tcBorders>
          </w:tcPr>
          <w:p w14:paraId="29315113" w14:textId="2EDF5FD4" w:rsidR="00CB16CF" w:rsidRPr="00D427D8" w:rsidRDefault="00CB16CF" w:rsidP="00CB16CF">
            <w:pPr>
              <w:spacing w:afterLines="60" w:after="144"/>
              <w:rPr>
                <w:szCs w:val="16"/>
              </w:rPr>
            </w:pPr>
            <w:r w:rsidRPr="00D427D8">
              <w:rPr>
                <w:szCs w:val="16"/>
              </w:rPr>
              <w:t>EUR </w:t>
            </w:r>
            <w:r w:rsidRPr="0031208E">
              <w:rPr>
                <w:szCs w:val="16"/>
              </w:rPr>
              <w:t xml:space="preserve">10,000,000 </w:t>
            </w:r>
          </w:p>
        </w:tc>
        <w:tc>
          <w:tcPr>
            <w:tcW w:w="1674" w:type="dxa"/>
          </w:tcPr>
          <w:p w14:paraId="64000690" w14:textId="77777777" w:rsidR="00CB16CF" w:rsidRPr="00D427D8" w:rsidRDefault="00CB16CF" w:rsidP="00CB16CF">
            <w:pPr>
              <w:spacing w:afterLines="60" w:after="144"/>
              <w:rPr>
                <w:szCs w:val="16"/>
              </w:rPr>
            </w:pPr>
            <w:r w:rsidRPr="00D427D8">
              <w:rPr>
                <w:szCs w:val="16"/>
              </w:rPr>
              <w:t>100 per cent</w:t>
            </w:r>
          </w:p>
        </w:tc>
        <w:tc>
          <w:tcPr>
            <w:tcW w:w="1172" w:type="dxa"/>
          </w:tcPr>
          <w:p w14:paraId="7008B925" w14:textId="4A6C04B5" w:rsidR="00CB16CF" w:rsidRPr="00D427D8" w:rsidRDefault="00CB16CF" w:rsidP="00CB16CF">
            <w:pPr>
              <w:spacing w:afterLines="60" w:after="144"/>
              <w:jc w:val="center"/>
              <w:rPr>
                <w:szCs w:val="16"/>
              </w:rPr>
            </w:pPr>
            <w:r w:rsidRPr="00D427D8">
              <w:rPr>
                <w:szCs w:val="16"/>
              </w:rPr>
              <w:t>1-Month EURIBOR</w:t>
            </w:r>
            <w:r w:rsidRPr="00D427D8" w:rsidDel="00EF4ED4">
              <w:rPr>
                <w:szCs w:val="16"/>
              </w:rPr>
              <w:t xml:space="preserve"> </w:t>
            </w:r>
            <w:r w:rsidRPr="00D427D8">
              <w:rPr>
                <w:szCs w:val="16"/>
              </w:rPr>
              <w:t xml:space="preserve">+ </w:t>
            </w:r>
            <w:r>
              <w:rPr>
                <w:szCs w:val="16"/>
              </w:rPr>
              <w:t xml:space="preserve">5.34 </w:t>
            </w:r>
            <w:r w:rsidRPr="00D427D8">
              <w:rPr>
                <w:szCs w:val="16"/>
              </w:rPr>
              <w:t>per cent.</w:t>
            </w:r>
          </w:p>
        </w:tc>
        <w:tc>
          <w:tcPr>
            <w:tcW w:w="1233" w:type="dxa"/>
          </w:tcPr>
          <w:p w14:paraId="19B3C3CB" w14:textId="6D481E00" w:rsidR="00CB16CF" w:rsidRPr="00D427D8" w:rsidRDefault="00CB16CF" w:rsidP="00CB16CF">
            <w:pPr>
              <w:spacing w:afterLines="60" w:after="144"/>
              <w:jc w:val="center"/>
              <w:rPr>
                <w:szCs w:val="16"/>
              </w:rPr>
            </w:pPr>
            <w:r w:rsidRPr="006B7A65">
              <w:rPr>
                <w:szCs w:val="16"/>
              </w:rPr>
              <w:t>Distribution Date falling in May 2034</w:t>
            </w:r>
          </w:p>
        </w:tc>
        <w:tc>
          <w:tcPr>
            <w:tcW w:w="1264" w:type="dxa"/>
          </w:tcPr>
          <w:p w14:paraId="206B0642" w14:textId="3E5E6A3F" w:rsidR="00CB16CF" w:rsidRPr="00D427D8" w:rsidRDefault="00CB16CF" w:rsidP="00CB16CF">
            <w:pPr>
              <w:spacing w:afterLines="60" w:after="144"/>
              <w:jc w:val="center"/>
              <w:rPr>
                <w:szCs w:val="16"/>
              </w:rPr>
            </w:pPr>
            <w:r w:rsidRPr="00C83CD8">
              <w:t>1.00%</w:t>
            </w:r>
          </w:p>
        </w:tc>
        <w:tc>
          <w:tcPr>
            <w:tcW w:w="1549" w:type="dxa"/>
          </w:tcPr>
          <w:p w14:paraId="44DBDEB4" w14:textId="77777777" w:rsidR="00CB16CF" w:rsidRPr="00D427D8" w:rsidRDefault="00CB16CF" w:rsidP="00CB16CF">
            <w:pPr>
              <w:spacing w:afterLines="60" w:after="144"/>
              <w:jc w:val="center"/>
              <w:rPr>
                <w:szCs w:val="16"/>
              </w:rPr>
            </w:pPr>
            <w:r w:rsidRPr="00D427D8">
              <w:rPr>
                <w:szCs w:val="16"/>
              </w:rPr>
              <w:t>not rated</w:t>
            </w:r>
          </w:p>
        </w:tc>
      </w:tr>
      <w:tr w:rsidR="00D427D8" w:rsidRPr="00D427D8" w14:paraId="66CC4B32" w14:textId="77777777" w:rsidTr="00B9453F">
        <w:trPr>
          <w:jc w:val="center"/>
        </w:trPr>
        <w:tc>
          <w:tcPr>
            <w:tcW w:w="9606" w:type="dxa"/>
            <w:gridSpan w:val="7"/>
            <w:tcBorders>
              <w:top w:val="nil"/>
              <w:bottom w:val="single" w:sz="12" w:space="0" w:color="000000"/>
              <w:right w:val="nil"/>
            </w:tcBorders>
          </w:tcPr>
          <w:p w14:paraId="67669E1A" w14:textId="29CAC8F7" w:rsidR="00D427D8" w:rsidRPr="00D427D8" w:rsidRDefault="00D427D8" w:rsidP="00D427D8">
            <w:pPr>
              <w:rPr>
                <w:szCs w:val="16"/>
              </w:rPr>
            </w:pPr>
            <w:r w:rsidRPr="00D427D8">
              <w:rPr>
                <w:szCs w:val="16"/>
              </w:rPr>
              <w:t>The asset-backed Class A Notes, the asset-backed Class B Notes, the asset-backed Class C Notes, the asset-backed Class D Notes, the asset-backed Class E Notes, the asset-backed Class F Notes and the asset-backed Class G Notes, the "</w:t>
            </w:r>
            <w:r w:rsidRPr="00D427D8">
              <w:rPr>
                <w:rStyle w:val="BoldText"/>
              </w:rPr>
              <w:t>Notes</w:t>
            </w:r>
            <w:r w:rsidRPr="00D427D8">
              <w:rPr>
                <w:szCs w:val="16"/>
              </w:rPr>
              <w:t>".</w:t>
            </w:r>
          </w:p>
        </w:tc>
      </w:tr>
    </w:tbl>
    <w:p w14:paraId="466DB1C1" w14:textId="7019CED2" w:rsidR="009F6E91" w:rsidRPr="00D427D8" w:rsidRDefault="009F6E91" w:rsidP="009F6E91">
      <w:pPr>
        <w:pStyle w:val="Body1"/>
      </w:pPr>
      <w:r w:rsidRPr="00D427D8">
        <w:lastRenderedPageBreak/>
        <w:t xml:space="preserve">The Notes will be issued on or about </w:t>
      </w:r>
      <w:r w:rsidR="0031208E">
        <w:t>25 June 2025</w:t>
      </w:r>
      <w:r w:rsidR="0031208E" w:rsidRPr="00D427D8">
        <w:t xml:space="preserve"> </w:t>
      </w:r>
      <w:r w:rsidRPr="00D427D8">
        <w:t xml:space="preserve">(the </w:t>
      </w:r>
      <w:r w:rsidR="00EF7333" w:rsidRPr="00D427D8">
        <w:t>"</w:t>
      </w:r>
      <w:r w:rsidRPr="00D427D8">
        <w:rPr>
          <w:rStyle w:val="BoldText"/>
        </w:rPr>
        <w:t>Closing Date</w:t>
      </w:r>
      <w:r w:rsidR="00EF7333" w:rsidRPr="00D427D8">
        <w:t>"</w:t>
      </w:r>
      <w:r w:rsidRPr="00D427D8">
        <w:t xml:space="preserve">). The initial principal amount of the Notes is </w:t>
      </w:r>
      <w:r w:rsidR="00CB16CF" w:rsidRPr="00CB16CF">
        <w:t>EUR 1,000,000,000.00. 71.75% per cent. of the Lease Receivables and Expectancy Rights purchased by the Issuer (as defined below) is financed by the issuance of the Class A Notes and 28.25% per cent. of the Lease Receivables and Expectancy Rights purchased by the Issuer is financed by the issuance of the Class B Notes, the Class C Notes, the Class D Notes, the Class E Notes, the Class F Notes and the Class G Notes.</w:t>
      </w:r>
    </w:p>
    <w:p w14:paraId="794904DD" w14:textId="77777777" w:rsidR="009F6E91" w:rsidRPr="00D427D8" w:rsidRDefault="009F6E91" w:rsidP="009F6E91">
      <w:pPr>
        <w:pStyle w:val="Body1"/>
      </w:pPr>
      <w:r w:rsidRPr="00D427D8">
        <w:t>All Notes will be listed on the official list and admitted to trading on the regulated market (as defined below) of the Luxembourg Stock Exchange.</w:t>
      </w:r>
    </w:p>
    <w:p w14:paraId="014C84A1" w14:textId="46CA764C" w:rsidR="009F6E91" w:rsidRPr="00D427D8" w:rsidRDefault="009F6E91" w:rsidP="009F6E91">
      <w:pPr>
        <w:pStyle w:val="Body1"/>
      </w:pPr>
      <w:r w:rsidRPr="00D427D8">
        <w:t xml:space="preserve">This Prospectus has been approved by the </w:t>
      </w:r>
      <w:r w:rsidRPr="00D427D8">
        <w:rPr>
          <w:i/>
        </w:rPr>
        <w:t>Commission de Surveillance du Secteur Financier</w:t>
      </w:r>
      <w:r w:rsidRPr="00D427D8">
        <w:t xml:space="preserve"> (the </w:t>
      </w:r>
      <w:r w:rsidR="00EF7333" w:rsidRPr="00D427D8">
        <w:t>"</w:t>
      </w:r>
      <w:r w:rsidRPr="00D427D8">
        <w:rPr>
          <w:rStyle w:val="BoldText"/>
        </w:rPr>
        <w:t>CSSF</w:t>
      </w:r>
      <w:r w:rsidR="00EF7333" w:rsidRPr="00D427D8">
        <w:t>"</w:t>
      </w:r>
      <w:r w:rsidRPr="00D427D8">
        <w:t xml:space="preserve">) of Luxembourg in its capacity as competent authority under Regulation (EU) 2017/1129 (the </w:t>
      </w:r>
      <w:r w:rsidR="00EF7333" w:rsidRPr="00D427D8">
        <w:t>"</w:t>
      </w:r>
      <w:r w:rsidRPr="00D427D8">
        <w:rPr>
          <w:rStyle w:val="BoldText"/>
        </w:rPr>
        <w:t>Prospectus Regulation</w:t>
      </w:r>
      <w:r w:rsidR="00EF7333" w:rsidRPr="00D427D8">
        <w:t>"</w:t>
      </w:r>
      <w:r w:rsidRPr="00D427D8">
        <w:t>) and the Luxembourg law dated 16 July 2019 on prospectuses for securities (</w:t>
      </w:r>
      <w:r w:rsidRPr="00D427D8">
        <w:rPr>
          <w:i/>
        </w:rPr>
        <w:t>loi du 16 juillet 2019 relative aux prospectus pour valeurs mobilières</w:t>
      </w:r>
      <w:r w:rsidRPr="00D427D8">
        <w:t xml:space="preserve">) (the </w:t>
      </w:r>
      <w:r w:rsidR="00EF7333" w:rsidRPr="00D427D8">
        <w:t>"</w:t>
      </w:r>
      <w:r w:rsidRPr="00D427D8">
        <w:rPr>
          <w:rStyle w:val="BoldText"/>
        </w:rPr>
        <w:t>Luxembourg Prospectus Law</w:t>
      </w:r>
      <w:r w:rsidR="00EF7333" w:rsidRPr="00D427D8">
        <w:t>"</w:t>
      </w:r>
      <w:r w:rsidRPr="00D427D8">
        <w:t>). The CSSF only approves this Prospectus as meeting the standards of completeness, comprehensibility and consistency imposed by the Prospectus Regulation and the Luxembourg Prospectus Law.</w:t>
      </w:r>
      <w:r w:rsidRPr="00D427D8">
        <w:rPr>
          <w:lang w:val="en-US"/>
        </w:rPr>
        <w:t xml:space="preserve"> </w:t>
      </w:r>
      <w:r w:rsidRPr="00D427D8">
        <w:t xml:space="preserve">Such approval should not be considered as an endorsement of the quality of the Notes that are subject to this Prospectus or an endorsement of the Issuer that is subject to this Prospectus. Investors should make their own assessment as to the suitability of investing in the Notes. </w:t>
      </w:r>
      <w:r w:rsidRPr="00D427D8">
        <w:rPr>
          <w:lang w:val="en-US"/>
        </w:rPr>
        <w:t>I</w:t>
      </w:r>
      <w:r w:rsidRPr="00D427D8">
        <w:t>n the context of such approval, the CSSF neither assumes any responsibility nor gives any undertaking as to the economic and financial soundness of the transaction and the quality or solvency of the Issuer in line with Article 6(4) of the Luxembourg Prospectus Law. Application will be made to the Luxembourg Stock Exchange for the Notes to be listed on the official list of the Luxembourg Stock Exchange and admitted to trading on the Luxembourg Stock Exchange</w:t>
      </w:r>
      <w:r w:rsidR="00EF7333" w:rsidRPr="00D427D8">
        <w:t>'</w:t>
      </w:r>
      <w:r w:rsidRPr="00D427D8">
        <w:t>s regulated market upon their issuance. The Luxembourg Stock Exchange</w:t>
      </w:r>
      <w:r w:rsidR="00EF7333" w:rsidRPr="00D427D8">
        <w:t>'</w:t>
      </w:r>
      <w:r w:rsidRPr="00D427D8">
        <w:t xml:space="preserve">s regulated market is a regulated market for the purpose of Directive 2014/65/EU. This Prospectus constitutes a prospectus for the purpose of Article 6(3) of the Prospectus Regulation and will be published in electronic form on the website of the Luxembourg Stock Exchange (www.luxse.com). The validity of this Prospectus will expire on </w:t>
      </w:r>
      <w:r w:rsidR="0031208E">
        <w:t>20 June 2026</w:t>
      </w:r>
      <w:r w:rsidRPr="00D427D8">
        <w:t>. After such date there is no obligation of the Issuer to issue supplements to this Prospectus in the event of significant new factors, material mistakes or material inaccuracies. Once this Prospectus has been approved the Issuer will publish this Prospectus on the website of the Corporate Service Provider (</w:t>
      </w:r>
      <w:hyperlink r:id="rId9" w:history="1">
        <w:r w:rsidRPr="00D427D8">
          <w:rPr>
            <w:rStyle w:val="Hyperlink"/>
          </w:rPr>
          <w:t>https://cm.gcm.cscglobal.com/en/default/offering_circulars/results</w:t>
        </w:r>
      </w:hyperlink>
      <w:r w:rsidRPr="00D427D8">
        <w:t>).</w:t>
      </w:r>
    </w:p>
    <w:p w14:paraId="6F88CF28" w14:textId="77777777" w:rsidR="009F6E91" w:rsidRPr="00D427D8" w:rsidRDefault="009F6E91" w:rsidP="009F6E91">
      <w:pPr>
        <w:pStyle w:val="Body1"/>
      </w:pPr>
      <w:r w:rsidRPr="00D427D8">
        <w:t>Any website referred to in this Prospectus does not form part of this Prospectus and has not been scrutinised or approved by the CSSF.</w:t>
      </w:r>
    </w:p>
    <w:p w14:paraId="6E8013FC" w14:textId="3F9F92B8" w:rsidR="009F6E91" w:rsidRPr="00D427D8" w:rsidRDefault="009F6E91" w:rsidP="009F6E91">
      <w:pPr>
        <w:pStyle w:val="Body1"/>
      </w:pPr>
      <w:r w:rsidRPr="00D427D8">
        <w:t>Amounts payable under the Notes are calculated by reference to the Euro Interbank Offered Rate (</w:t>
      </w:r>
      <w:r w:rsidR="00EF7333" w:rsidRPr="00D427D8">
        <w:t>"</w:t>
      </w:r>
      <w:r w:rsidRPr="00D427D8">
        <w:rPr>
          <w:rStyle w:val="BoldText"/>
        </w:rPr>
        <w:t>EURIBOR</w:t>
      </w:r>
      <w:r w:rsidR="00EF7333" w:rsidRPr="00D427D8">
        <w:t>"</w:t>
      </w:r>
      <w:r w:rsidRPr="00D427D8">
        <w:t>), which is provided by European Money Markets Institute, with its office in Brussels, Belgium (the </w:t>
      </w:r>
      <w:r w:rsidR="00EF7333" w:rsidRPr="00D427D8">
        <w:t>"</w:t>
      </w:r>
      <w:r w:rsidRPr="00D427D8">
        <w:rPr>
          <w:rStyle w:val="BoldText"/>
        </w:rPr>
        <w:t>Administrator</w:t>
      </w:r>
      <w:r w:rsidR="00EF7333" w:rsidRPr="00D427D8">
        <w:t>"</w:t>
      </w:r>
      <w:r w:rsidRPr="00D427D8">
        <w:t>). As at the date of this Prospectus, the Administrator does appear on the register of administrators and benchmarks established and maintained by the European Securities and Markets Authority (</w:t>
      </w:r>
      <w:r w:rsidR="00EF7333" w:rsidRPr="00D427D8">
        <w:t>"</w:t>
      </w:r>
      <w:r w:rsidRPr="00D427D8">
        <w:rPr>
          <w:rStyle w:val="BoldText"/>
        </w:rPr>
        <w:t>ESMA</w:t>
      </w:r>
      <w:r w:rsidR="00EF7333" w:rsidRPr="00D427D8">
        <w:t>"</w:t>
      </w:r>
      <w:r w:rsidRPr="00D427D8">
        <w:t xml:space="preserve">) pursuant to Article 36 of the Benchmarks Regulation (Regulation (EU) 2016/1011) (the </w:t>
      </w:r>
      <w:r w:rsidR="00EF7333" w:rsidRPr="00D427D8">
        <w:t>"</w:t>
      </w:r>
      <w:r w:rsidRPr="00D427D8">
        <w:rPr>
          <w:rStyle w:val="BoldText"/>
        </w:rPr>
        <w:t>Benchmarks Regulation</w:t>
      </w:r>
      <w:r w:rsidR="00EF7333" w:rsidRPr="00D427D8">
        <w:t>"</w:t>
      </w:r>
      <w:r w:rsidRPr="00D427D8">
        <w:t>).</w:t>
      </w:r>
    </w:p>
    <w:p w14:paraId="428BA9DA" w14:textId="77777777" w:rsidR="009F6E91" w:rsidRPr="00D427D8" w:rsidRDefault="009F6E91" w:rsidP="00EF7333">
      <w:pPr>
        <w:pStyle w:val="Body1"/>
        <w:rPr>
          <w:rStyle w:val="BoldItalicText"/>
        </w:rPr>
      </w:pPr>
      <w:r w:rsidRPr="00D427D8">
        <w:rPr>
          <w:rStyle w:val="BoldItalicText"/>
        </w:rPr>
        <w:t>EU Securitisation Regulation and UK Securitisation Framework</w:t>
      </w:r>
    </w:p>
    <w:p w14:paraId="02FFDB0D" w14:textId="4F3EA69B" w:rsidR="009F6E91" w:rsidRPr="00D427D8" w:rsidRDefault="009F6E91" w:rsidP="009F6E91">
      <w:pPr>
        <w:pStyle w:val="Body1"/>
      </w:pPr>
      <w:r w:rsidRPr="00D427D8">
        <w:t xml:space="preserve">Stellantis Bank is the </w:t>
      </w:r>
      <w:r w:rsidR="00EF7333" w:rsidRPr="00D427D8">
        <w:t>"</w:t>
      </w:r>
      <w:r w:rsidRPr="00D427D8">
        <w:t>originator</w:t>
      </w:r>
      <w:r w:rsidR="00EF7333" w:rsidRPr="00D427D8">
        <w:t>"</w:t>
      </w:r>
      <w:r w:rsidRPr="00D427D8">
        <w:t xml:space="preserve"> for the purposes of Article 2(3) of Regulation (EU) 2017/2402 of the European Parliament and of the Council of 12 December 2017 laying down a general framework for securitisation and creating a specific framework for simple, transparent and standardised securitisation (as amended from time to time, the </w:t>
      </w:r>
      <w:r w:rsidR="00EF7333" w:rsidRPr="00D427D8">
        <w:t>"</w:t>
      </w:r>
      <w:r w:rsidRPr="00D427D8">
        <w:rPr>
          <w:rStyle w:val="BoldText"/>
        </w:rPr>
        <w:t>EU Securitisation Regulation</w:t>
      </w:r>
      <w:r w:rsidR="00EF7333" w:rsidRPr="00D427D8">
        <w:t>"</w:t>
      </w:r>
      <w:r w:rsidRPr="00D427D8">
        <w:t>). All Lease Receivables purchased by the Issuer have been originated by Stellantis Bank and are sold to the Issuer by Stellantis Bank in its capacity as Seller.</w:t>
      </w:r>
    </w:p>
    <w:p w14:paraId="2C8346CF" w14:textId="77777777" w:rsidR="009F6E91" w:rsidRPr="00D427D8" w:rsidRDefault="009F6E91" w:rsidP="009F6E91">
      <w:pPr>
        <w:pStyle w:val="Body1"/>
        <w:rPr>
          <w:rStyle w:val="ItalicText"/>
        </w:rPr>
      </w:pPr>
      <w:r w:rsidRPr="00D427D8">
        <w:rPr>
          <w:rStyle w:val="ItalicText"/>
        </w:rPr>
        <w:t>EU Securitisation Regulation</w:t>
      </w:r>
    </w:p>
    <w:p w14:paraId="434038CF" w14:textId="171565C6" w:rsidR="009F6E91" w:rsidRPr="00D427D8" w:rsidRDefault="009F6E91" w:rsidP="009F6E91">
      <w:pPr>
        <w:pStyle w:val="Body1"/>
      </w:pPr>
      <w:r w:rsidRPr="00D427D8">
        <w:t xml:space="preserve">The Seller will retain for the life of the Securitisation a material net economic interest of not less than 5 per cent. with respect to the Securitisation in accordance with Article 6(3)(a) of the EU Securitisation Regulation, </w:t>
      </w:r>
      <w:r w:rsidRPr="00D427D8">
        <w:rPr>
          <w:lang w:val="en-US"/>
        </w:rPr>
        <w:t xml:space="preserve">and undertakes that it will not reduce, hedge or otherwise mitigate its credit exposure to the material net economic interest for the purposes of Article 6(1) of the EU Securitisation Regulation and Article 4 of the Commission Delegated Regulation (EU) 2023/2175 or any successor delegated regulation (the </w:t>
      </w:r>
      <w:r w:rsidR="00EF7333" w:rsidRPr="00D427D8">
        <w:rPr>
          <w:lang w:val="en-US"/>
        </w:rPr>
        <w:t>"</w:t>
      </w:r>
      <w:r w:rsidRPr="00D427D8">
        <w:rPr>
          <w:rStyle w:val="BoldText"/>
        </w:rPr>
        <w:t>Commission Delegated Regulation</w:t>
      </w:r>
      <w:r w:rsidR="00EF7333" w:rsidRPr="00D427D8">
        <w:rPr>
          <w:lang w:val="en-US"/>
        </w:rPr>
        <w:t>"</w:t>
      </w:r>
      <w:r w:rsidRPr="00D427D8">
        <w:rPr>
          <w:lang w:val="en-US"/>
        </w:rPr>
        <w:t xml:space="preserve">) specifying the risk retention requirements pursuant to the EU Securitisation Regulation. As at the Closing Date, such interest will, in accordance with Article 6(3)(a) of the EU Securitisation Regulation, be comprised of </w:t>
      </w:r>
      <w:r w:rsidRPr="00D427D8">
        <w:t xml:space="preserve">a vertical tranche which has a </w:t>
      </w:r>
      <w:r w:rsidRPr="00D427D8">
        <w:rPr>
          <w:i/>
        </w:rPr>
        <w:t xml:space="preserve">pro rata </w:t>
      </w:r>
      <w:r w:rsidRPr="00D427D8">
        <w:t>basis of not less than 5% of the total nominal value of each Class of Notes sold or transferred to investors</w:t>
      </w:r>
      <w:r w:rsidRPr="00D427D8">
        <w:rPr>
          <w:lang w:val="en-US"/>
        </w:rPr>
        <w:t>.</w:t>
      </w:r>
      <w:r w:rsidRPr="00D427D8">
        <w:t xml:space="preserve"> The Seller did not select </w:t>
      </w:r>
      <w:r w:rsidRPr="00D427D8">
        <w:lastRenderedPageBreak/>
        <w:t>assets to be transferred to the Issuer with the aim of rendering losses on the Purchased Lease Receivables and the Purchased Expectancy Rights.</w:t>
      </w:r>
    </w:p>
    <w:p w14:paraId="11D0443B" w14:textId="77777777" w:rsidR="009F6E91" w:rsidRPr="00D427D8" w:rsidRDefault="009F6E91" w:rsidP="009F6E91">
      <w:pPr>
        <w:pStyle w:val="Body1"/>
      </w:pPr>
      <w:r w:rsidRPr="00D427D8">
        <w:t>For the purposes of compliance with article 22(5) of the EU Securitisation Regulation, under the Servicing Agreement, the parties thereto have acknowledged that Stellantis Bank in its capacity as originator shall be responsible for compliance with Article 7 of the EU Securitisation Regulation. The Issuer and Stellantis Bank, in its capacity as originator, agree to designate Stellantis Bank in its capacity as originator as the entity to fulfil the reporting requirements pursuant to Articles 7 and 22 of the EU Securitisation Regulation. The Issuer has appointed the Reporting Agent to prepare on its behalf the Monthly Investor Reports. In such Monthly Investor Report relevant information with regard to the Purchased Lease Receivables and Purchased Expectancy Rights will be disclosed publicly together with an overview of the retention and/or any changes in the method of retention of the material net economic interest by the Seller as well as with all information reasonably required with a view to comply with the Securitisation Regulation (EU) Disclosure Requirements.</w:t>
      </w:r>
    </w:p>
    <w:p w14:paraId="7DD6358A" w14:textId="77777777" w:rsidR="009F6E91" w:rsidRPr="00D427D8" w:rsidRDefault="009F6E91" w:rsidP="009F6E91">
      <w:pPr>
        <w:pStyle w:val="Body1"/>
      </w:pPr>
      <w:r w:rsidRPr="00D427D8">
        <w:t>In addition, the Seller has undertaken to provide such information as may be reasonably requested by the Noteholders from time to time in order to enable those persons that are subject to the requirements of Article 5 of the EU Securitisation Regulation to comply with such requirements and to provide all information required to be made available to the Noteholders and potential investors pursuant to the Securitisation Regulation (EU) Disclosure Requirements.</w:t>
      </w:r>
    </w:p>
    <w:p w14:paraId="1DD0F27C" w14:textId="2FD3FEA5" w:rsidR="009F6E91" w:rsidRPr="00D427D8" w:rsidRDefault="009F6E91" w:rsidP="009F6E91">
      <w:pPr>
        <w:pStyle w:val="Body1"/>
      </w:pPr>
      <w:r w:rsidRPr="00D427D8">
        <w:t>Each prospective Noteholder is required to independently assess and determine the sufficiency of the information described in the preceding two paragraphs above and in this Prospectus generally for the purposes of complying with Article 5 of the EU Securitisation Regulation in their relevant jurisdiction which may be relevant and any other regulatory and other rules applying to it and none of the Issuer, Stellantis Bank (in its capacity as the Seller or the Servicer or in any other capacity), the Lead Manager or any other parties to the Transaction Documents make any representation that the information described above or in this Prospectus is sufficient in all circumstances for such purposes. Prospective Noteholders who are uncertain as to the requirements which apply to them in respect of their relevant jurisdiction, should seek guidance from their regulator. The Issuer accepts responsibility for the information set out in this paragraph and in the preceding two paragraphs.</w:t>
      </w:r>
    </w:p>
    <w:p w14:paraId="73F3428E" w14:textId="64347105" w:rsidR="009F6E91" w:rsidRPr="00D427D8" w:rsidRDefault="009F6E91" w:rsidP="009F6E91">
      <w:pPr>
        <w:pStyle w:val="Body1"/>
        <w:rPr>
          <w:lang w:val="en-US"/>
        </w:rPr>
      </w:pPr>
      <w:r w:rsidRPr="00D427D8">
        <w:rPr>
          <w:lang w:val="en-US"/>
        </w:rPr>
        <w:t>Pursuant to Article 27(1) of the EU Securitisation Regulation, the Seller intends to notify the European Securities Markets Authority (</w:t>
      </w:r>
      <w:r w:rsidR="00EF7333" w:rsidRPr="00D427D8">
        <w:rPr>
          <w:lang w:val="en-US"/>
        </w:rPr>
        <w:t>"</w:t>
      </w:r>
      <w:r w:rsidRPr="00D427D8">
        <w:rPr>
          <w:rStyle w:val="BoldText"/>
        </w:rPr>
        <w:t>ESMA</w:t>
      </w:r>
      <w:r w:rsidR="00EF7333" w:rsidRPr="00D427D8">
        <w:rPr>
          <w:lang w:val="en-US"/>
        </w:rPr>
        <w:t>"</w:t>
      </w:r>
      <w:r w:rsidRPr="00D427D8">
        <w:rPr>
          <w:lang w:val="en-US"/>
        </w:rPr>
        <w:t xml:space="preserve">) that the Securitisation will meet the requirements of Articles 20 to 22 of the EU Securitisation Regulation (the </w:t>
      </w:r>
      <w:r w:rsidR="00EF7333" w:rsidRPr="00D427D8">
        <w:rPr>
          <w:lang w:val="en-US"/>
        </w:rPr>
        <w:t>"</w:t>
      </w:r>
      <w:r w:rsidRPr="00D427D8">
        <w:rPr>
          <w:rStyle w:val="BoldText"/>
        </w:rPr>
        <w:t>STS Notification</w:t>
      </w:r>
      <w:r w:rsidR="00EF7333" w:rsidRPr="00D427D8">
        <w:rPr>
          <w:lang w:val="en-US"/>
        </w:rPr>
        <w:t>"</w:t>
      </w:r>
      <w:r w:rsidRPr="00D427D8">
        <w:rPr>
          <w:lang w:val="en-US"/>
        </w:rPr>
        <w:t xml:space="preserve">). The purpose of the STS Notification is to set out how in the opinion of the Seller each requirement of Articles 19 to 22 of the EU Securitisation Regulation has been complied with. </w:t>
      </w:r>
      <w:bookmarkStart w:id="0" w:name="_Hlk86220891"/>
      <w:r w:rsidRPr="00D427D8">
        <w:rPr>
          <w:lang w:val="en-US"/>
        </w:rPr>
        <w:t>The STS Notification will be made available in accordance with the requirements of Commission Delegated Regulation (EU) 2020/1226. ESMA is obliged to maintain on its website a list of all securitisations which the originators and sponsors have notified as meeting the STS Requirements in accordance with Article 27(5) of the Securitisation Regulation. For this purpose, ESMA has set up a register under https://registers.esma.europa.eu/publication/searchRegister?core=esma_registers_stsre.</w:t>
      </w:r>
      <w:bookmarkEnd w:id="0"/>
    </w:p>
    <w:p w14:paraId="564D34AD" w14:textId="77777777" w:rsidR="009F6E91" w:rsidRPr="00D427D8" w:rsidRDefault="009F6E91" w:rsidP="009F6E91">
      <w:pPr>
        <w:pStyle w:val="Body1"/>
        <w:rPr>
          <w:rStyle w:val="ItalicText"/>
        </w:rPr>
      </w:pPr>
      <w:r w:rsidRPr="00D427D8">
        <w:rPr>
          <w:rStyle w:val="ItalicText"/>
        </w:rPr>
        <w:t>UK Securitisation Framework</w:t>
      </w:r>
    </w:p>
    <w:p w14:paraId="6AEAAAAF" w14:textId="6AA633A0" w:rsidR="009F6E91" w:rsidRPr="00D427D8" w:rsidRDefault="009F6E91" w:rsidP="009F6E91">
      <w:pPr>
        <w:pStyle w:val="Body1"/>
        <w:rPr>
          <w:bCs/>
          <w:iCs/>
        </w:rPr>
      </w:pPr>
      <w:bookmarkStart w:id="1" w:name="_Hlk86221791"/>
      <w:r w:rsidRPr="00D427D8">
        <w:rPr>
          <w:bCs/>
          <w:iCs/>
        </w:rPr>
        <w:t xml:space="preserve">The Seller, as originator, is established in France and therefore does not satisfy the requirement under </w:t>
      </w:r>
      <w:r w:rsidRPr="00D427D8">
        <w:rPr>
          <w:lang w:val="en-US"/>
        </w:rPr>
        <w:t>(i) the Securitisation Regulations 2024 (SI 2024/102), as amended (</w:t>
      </w:r>
      <w:r w:rsidR="00EF7333" w:rsidRPr="00D427D8">
        <w:rPr>
          <w:lang w:val="en-US"/>
        </w:rPr>
        <w:t>"</w:t>
      </w:r>
      <w:r w:rsidRPr="00D427D8">
        <w:rPr>
          <w:rStyle w:val="BoldText"/>
        </w:rPr>
        <w:t>SR 2024</w:t>
      </w:r>
      <w:r w:rsidR="00EF7333" w:rsidRPr="00D427D8">
        <w:rPr>
          <w:lang w:val="en-US"/>
        </w:rPr>
        <w:t>"</w:t>
      </w:r>
      <w:r w:rsidRPr="00D427D8">
        <w:rPr>
          <w:lang w:val="en-US"/>
        </w:rPr>
        <w:t xml:space="preserve">); as well as (ii) the relevant provisions of FSMA (iii) the Securitisation Part of the Prudential Regulation Authority (PRA) Rulebook (the </w:t>
      </w:r>
      <w:r w:rsidR="00EF7333" w:rsidRPr="00D427D8">
        <w:rPr>
          <w:lang w:val="en-US"/>
        </w:rPr>
        <w:t>"</w:t>
      </w:r>
      <w:r w:rsidRPr="00D427D8">
        <w:rPr>
          <w:rStyle w:val="BoldText"/>
        </w:rPr>
        <w:t>PRA Securitisation Rules</w:t>
      </w:r>
      <w:r w:rsidR="00EF7333" w:rsidRPr="00D427D8">
        <w:rPr>
          <w:lang w:val="en-US"/>
        </w:rPr>
        <w:t>"</w:t>
      </w:r>
      <w:r w:rsidRPr="00D427D8">
        <w:rPr>
          <w:lang w:val="en-US"/>
        </w:rPr>
        <w:t>) and (iv) the securitisation sourcebook (</w:t>
      </w:r>
      <w:r w:rsidR="00EF7333" w:rsidRPr="00D427D8">
        <w:rPr>
          <w:lang w:val="en-US"/>
        </w:rPr>
        <w:t>"</w:t>
      </w:r>
      <w:r w:rsidRPr="00D427D8">
        <w:rPr>
          <w:rStyle w:val="BoldText"/>
        </w:rPr>
        <w:t>SECN</w:t>
      </w:r>
      <w:r w:rsidR="00EF7333" w:rsidRPr="00D427D8">
        <w:rPr>
          <w:lang w:val="en-US"/>
        </w:rPr>
        <w:t>"</w:t>
      </w:r>
      <w:r w:rsidRPr="00D427D8">
        <w:rPr>
          <w:lang w:val="en-US"/>
        </w:rPr>
        <w:t xml:space="preserve">) of the Financial Conduct Authority (FCA) Handbook (collectively, the </w:t>
      </w:r>
      <w:r w:rsidR="00EF7333" w:rsidRPr="00D427D8">
        <w:rPr>
          <w:lang w:val="en-US"/>
        </w:rPr>
        <w:t>"</w:t>
      </w:r>
      <w:r w:rsidRPr="00D427D8">
        <w:rPr>
          <w:rStyle w:val="BoldText"/>
        </w:rPr>
        <w:t>UK Securitisation Framework</w:t>
      </w:r>
      <w:r w:rsidR="00EF7333" w:rsidRPr="00D427D8">
        <w:rPr>
          <w:lang w:val="en-US"/>
        </w:rPr>
        <w:t>"</w:t>
      </w:r>
      <w:r w:rsidRPr="00D427D8">
        <w:rPr>
          <w:lang w:val="en-US"/>
        </w:rPr>
        <w:t xml:space="preserve">) </w:t>
      </w:r>
      <w:r w:rsidRPr="00D427D8">
        <w:rPr>
          <w:bCs/>
          <w:iCs/>
        </w:rPr>
        <w:t xml:space="preserve">that </w:t>
      </w:r>
      <w:r w:rsidR="00EF7333" w:rsidRPr="00D427D8">
        <w:rPr>
          <w:bCs/>
          <w:iCs/>
        </w:rPr>
        <w:t>'</w:t>
      </w:r>
      <w:r w:rsidRPr="00D427D8">
        <w:rPr>
          <w:bCs/>
          <w:iCs/>
        </w:rPr>
        <w:t>the originator and sponsor involved in a securitisation which is not an ABCP programme or an ABCP transaction and is considered STS must be established in the United Kingdom</w:t>
      </w:r>
      <w:r w:rsidR="00EF7333" w:rsidRPr="00D427D8">
        <w:rPr>
          <w:bCs/>
          <w:iCs/>
        </w:rPr>
        <w:t>'</w:t>
      </w:r>
      <w:r w:rsidRPr="00D427D8">
        <w:rPr>
          <w:bCs/>
          <w:iCs/>
        </w:rPr>
        <w:t>. However, the temporary recognition of EU STS transactions has been extended until 30 June 2026 and any transactions originated prior to this date which are EU STS-compliant will also automatically be UK STS transactions.</w:t>
      </w:r>
    </w:p>
    <w:bookmarkEnd w:id="1"/>
    <w:p w14:paraId="47A2F39C" w14:textId="4615B899" w:rsidR="009F6E91" w:rsidRPr="00D427D8" w:rsidRDefault="009F6E91" w:rsidP="009F6E91">
      <w:pPr>
        <w:pStyle w:val="Body1"/>
      </w:pPr>
      <w:r w:rsidRPr="00D427D8">
        <w:t xml:space="preserve">For further information please refer to the Risk Factor entitled </w:t>
      </w:r>
      <w:r w:rsidR="00EF7333" w:rsidRPr="00D427D8">
        <w:t>"</w:t>
      </w:r>
      <w:r w:rsidRPr="00D427D8">
        <w:rPr>
          <w:rStyle w:val="ItalicText"/>
        </w:rPr>
        <w:t>EU Risk Retention, Transparency Requirements and Due Diligence Requirements under the Securitisation Regulation and Simple, Transparent and Standardised Securitisation</w:t>
      </w:r>
      <w:r w:rsidRPr="00D427D8">
        <w:t>s</w:t>
      </w:r>
      <w:r w:rsidR="00EF7333" w:rsidRPr="00D427D8">
        <w:t>"</w:t>
      </w:r>
      <w:r w:rsidRPr="00D427D8">
        <w:t xml:space="preserve"> and </w:t>
      </w:r>
      <w:r w:rsidR="00EF7333" w:rsidRPr="00D427D8">
        <w:t>"</w:t>
      </w:r>
      <w:r w:rsidRPr="00D427D8">
        <w:rPr>
          <w:rStyle w:val="ItalicText"/>
        </w:rPr>
        <w:t>Investor compliance with due diligence requirements under the UK Securitisation Regulation</w:t>
      </w:r>
      <w:r w:rsidR="00EF7333" w:rsidRPr="00D427D8">
        <w:t>"</w:t>
      </w:r>
      <w:r w:rsidRPr="00D427D8">
        <w:t>.</w:t>
      </w:r>
    </w:p>
    <w:p w14:paraId="51688136" w14:textId="77777777" w:rsidR="009F6E91" w:rsidRPr="00D427D8" w:rsidRDefault="009F6E91" w:rsidP="009F6E91">
      <w:pPr>
        <w:pStyle w:val="Body1"/>
        <w:rPr>
          <w:rStyle w:val="BoldText"/>
        </w:rPr>
      </w:pPr>
      <w:r w:rsidRPr="00D427D8">
        <w:rPr>
          <w:rStyle w:val="BoldText"/>
        </w:rPr>
        <w:t>The terms and conditions of the Notes are complex. An investment in the Notes is suitable only for experienced and financially-sophisticated investors who are in a position to evaluate the risks and who have sufficient resources to be able to bear any losses which may result from such investment.</w:t>
      </w:r>
    </w:p>
    <w:p w14:paraId="3131D0C8" w14:textId="7A2B4C35" w:rsidR="009F6E91" w:rsidRPr="00D427D8" w:rsidRDefault="009F6E91" w:rsidP="009F6E91">
      <w:pPr>
        <w:pStyle w:val="Body1"/>
        <w:rPr>
          <w:rStyle w:val="BoldText"/>
        </w:rPr>
      </w:pPr>
      <w:r w:rsidRPr="00D427D8">
        <w:rPr>
          <w:rStyle w:val="BoldText"/>
        </w:rPr>
        <w:lastRenderedPageBreak/>
        <w:t xml:space="preserve">Before purchasing Notes, investors should ensure that they understand the structure and the risk and should consider the risk factors set out under the section entitled </w:t>
      </w:r>
      <w:r w:rsidR="00EF7333" w:rsidRPr="00D427D8">
        <w:rPr>
          <w:rStyle w:val="BoldText"/>
        </w:rPr>
        <w:t>"</w:t>
      </w:r>
      <w:r w:rsidRPr="00D427D8">
        <w:rPr>
          <w:rStyle w:val="BoldText"/>
        </w:rPr>
        <w:t>Risk Factors</w:t>
      </w:r>
      <w:r w:rsidR="00EF7333" w:rsidRPr="00D427D8">
        <w:rPr>
          <w:rStyle w:val="BoldText"/>
        </w:rPr>
        <w:t>"</w:t>
      </w:r>
      <w:r w:rsidRPr="00D427D8">
        <w:rPr>
          <w:rStyle w:val="BoldText"/>
        </w:rPr>
        <w:t>.</w:t>
      </w:r>
    </w:p>
    <w:p w14:paraId="5F234C2A" w14:textId="77777777" w:rsidR="009F6E91" w:rsidRPr="00D427D8" w:rsidRDefault="009F6E91" w:rsidP="009F6E91">
      <w:pPr>
        <w:pStyle w:val="Body1"/>
        <w:rPr>
          <w:rStyle w:val="BoldText"/>
        </w:rPr>
      </w:pPr>
      <w:r w:rsidRPr="00D427D8">
        <w:rPr>
          <w:rStyle w:val="BoldText"/>
        </w:rPr>
        <w:t>The Issuer is not and will not be regulated as a result of issuing the Notes. Investments in the Notes do not have the status of a bank deposit and are not within the scope of any deposit protection scheme.</w:t>
      </w:r>
    </w:p>
    <w:p w14:paraId="682DDA58" w14:textId="217CB112" w:rsidR="009F6E91" w:rsidRPr="00D427D8" w:rsidRDefault="009F6E91" w:rsidP="009F6E91">
      <w:pPr>
        <w:pStyle w:val="Body1"/>
      </w:pPr>
      <w:r w:rsidRPr="00D427D8">
        <w:t xml:space="preserve">Interest and principal on the Notes are payable monthly on each Distribution Date, subject to adjustment to allow for payment on a Business Day. The first Distribution Date is </w:t>
      </w:r>
      <w:r w:rsidR="00E54B23">
        <w:t>25 July 2025</w:t>
      </w:r>
      <w:r w:rsidRPr="00D427D8">
        <w:t>.</w:t>
      </w:r>
    </w:p>
    <w:p w14:paraId="421E622C" w14:textId="77777777" w:rsidR="009F6E91" w:rsidRPr="00D427D8" w:rsidRDefault="009F6E91" w:rsidP="009F6E91">
      <w:pPr>
        <w:pStyle w:val="Body1"/>
      </w:pPr>
      <w:r w:rsidRPr="00D427D8">
        <w:t>Upon the occurrence of an Accelerated Amortisation Event or Sequential Redemption Event, the Issuer will pay principal sequentially to each Class of Notes in order of seniority (starting with the Class A Notes).</w:t>
      </w:r>
    </w:p>
    <w:p w14:paraId="22A903A9" w14:textId="77777777" w:rsidR="009F6E91" w:rsidRPr="00D427D8" w:rsidRDefault="009F6E91" w:rsidP="009F6E91">
      <w:pPr>
        <w:pStyle w:val="Body1"/>
      </w:pPr>
      <w:r w:rsidRPr="00D427D8">
        <w:t>Payments of interest and principal in respect of the Notes will be subject to any applicable withholding taxes. The Issuer will not be obliged to pay additional amounts therefor.</w:t>
      </w:r>
    </w:p>
    <w:p w14:paraId="48FE1D6C" w14:textId="77777777" w:rsidR="009F6E91" w:rsidRPr="00D427D8" w:rsidRDefault="009F6E91" w:rsidP="0032335E">
      <w:pPr>
        <w:pStyle w:val="Centred"/>
        <w:rPr>
          <w:rStyle w:val="ItalicText"/>
        </w:rPr>
      </w:pPr>
      <w:r w:rsidRPr="00D427D8">
        <w:rPr>
          <w:rStyle w:val="ItalicText"/>
        </w:rPr>
        <w:t>Arranger</w:t>
      </w:r>
    </w:p>
    <w:p w14:paraId="57BB8675" w14:textId="77777777" w:rsidR="009F6E91" w:rsidRPr="00D427D8" w:rsidRDefault="009F6E91" w:rsidP="0032335E">
      <w:pPr>
        <w:pStyle w:val="Centred"/>
        <w:rPr>
          <w:rStyle w:val="BoldText"/>
        </w:rPr>
      </w:pPr>
      <w:r w:rsidRPr="00D427D8">
        <w:rPr>
          <w:rStyle w:val="BoldText"/>
        </w:rPr>
        <w:t>BNP Paribas</w:t>
      </w:r>
    </w:p>
    <w:p w14:paraId="5022289E" w14:textId="1934D207" w:rsidR="009F6E91" w:rsidRPr="00D427D8" w:rsidRDefault="009F6E91" w:rsidP="0032335E">
      <w:pPr>
        <w:pStyle w:val="Centred"/>
        <w:pBdr>
          <w:bottom w:val="single" w:sz="12" w:space="1" w:color="auto"/>
        </w:pBdr>
        <w:rPr>
          <w:rStyle w:val="ItalicText"/>
        </w:rPr>
      </w:pPr>
      <w:r w:rsidRPr="00D427D8">
        <w:rPr>
          <w:rStyle w:val="ItalicText"/>
        </w:rPr>
        <w:t>Lead Manager</w:t>
      </w:r>
    </w:p>
    <w:p w14:paraId="497D27BD" w14:textId="65F7A5A3" w:rsidR="009F6E91" w:rsidRPr="00D427D8" w:rsidRDefault="009F6E91" w:rsidP="0032335E">
      <w:pPr>
        <w:pStyle w:val="Centred"/>
        <w:rPr>
          <w:rStyle w:val="BoldText"/>
        </w:rPr>
      </w:pPr>
      <w:r w:rsidRPr="00D427D8">
        <w:rPr>
          <w:rStyle w:val="BoldText"/>
        </w:rPr>
        <w:t>BNP Paribas</w:t>
      </w:r>
    </w:p>
    <w:p w14:paraId="48B9CF04" w14:textId="15F57F63" w:rsidR="009F6E91" w:rsidRPr="00D427D8" w:rsidRDefault="009F6E91" w:rsidP="0032335E">
      <w:pPr>
        <w:pStyle w:val="Centred"/>
        <w:rPr>
          <w:rStyle w:val="BoldText"/>
        </w:rPr>
      </w:pPr>
      <w:r w:rsidRPr="00D427D8">
        <w:rPr>
          <w:rStyle w:val="BoldText"/>
        </w:rPr>
        <w:t xml:space="preserve">The date of this Prospectus is </w:t>
      </w:r>
      <w:r w:rsidR="0031208E">
        <w:rPr>
          <w:rStyle w:val="BoldText"/>
        </w:rPr>
        <w:t>20 June</w:t>
      </w:r>
      <w:r w:rsidR="00431511">
        <w:rPr>
          <w:rStyle w:val="BoldText"/>
        </w:rPr>
        <w:t xml:space="preserve"> 2025</w:t>
      </w:r>
    </w:p>
    <w:p w14:paraId="1B47A219" w14:textId="77777777" w:rsidR="009F6E91" w:rsidRPr="00D427D8" w:rsidRDefault="009F6E91" w:rsidP="00EF7333">
      <w:pPr>
        <w:pStyle w:val="Body1"/>
      </w:pPr>
      <w:r w:rsidRPr="00D427D8">
        <w:br w:type="page"/>
      </w:r>
    </w:p>
    <w:p w14:paraId="26226429" w14:textId="6726919F" w:rsidR="009F6E91" w:rsidRPr="00D427D8" w:rsidRDefault="009F6E91" w:rsidP="009F6E91">
      <w:pPr>
        <w:pStyle w:val="Body1"/>
        <w:rPr>
          <w:rStyle w:val="BoldText"/>
        </w:rPr>
      </w:pPr>
      <w:r w:rsidRPr="00D427D8">
        <w:rPr>
          <w:rStyle w:val="BoldText"/>
        </w:rPr>
        <w:lastRenderedPageBreak/>
        <w:t xml:space="preserve">THE NOTES HAVE NOT BEEN AND WILL NOT BE REGISTERED UNDER THE U.S. SECURITIES ACT OF 1933, AS AMENDED (THE </w:t>
      </w:r>
      <w:r w:rsidR="00EF7333" w:rsidRPr="00D427D8">
        <w:rPr>
          <w:rStyle w:val="BoldText"/>
        </w:rPr>
        <w:t>"</w:t>
      </w:r>
      <w:r w:rsidRPr="00D427D8">
        <w:rPr>
          <w:rStyle w:val="BoldText"/>
        </w:rPr>
        <w:t>SECURITIES ACT</w:t>
      </w:r>
      <w:r w:rsidR="00EF7333" w:rsidRPr="00D427D8">
        <w:rPr>
          <w:rStyle w:val="BoldText"/>
        </w:rPr>
        <w:t>"</w:t>
      </w:r>
      <w:r w:rsidRPr="00D427D8">
        <w:rPr>
          <w:rStyle w:val="BoldText"/>
        </w:rPr>
        <w:t>). THE NOTES ARE IN BEARER FORM AND SUBJECT TO US TAX LAW REQUIREMENTS. SUBJECT TO CERTAIN EXCEPTIONS, THE NOTES MAY NOT BE OFFERED, SOLD OR DELIVERED WITHIN THE UNITED STATES OR TO U.S. PERSONS.</w:t>
      </w:r>
    </w:p>
    <w:p w14:paraId="106952E3" w14:textId="6EBD1ED6" w:rsidR="009F6E91" w:rsidRPr="00D427D8" w:rsidRDefault="009F6E91" w:rsidP="009F6E91">
      <w:pPr>
        <w:pStyle w:val="Body1"/>
      </w:pPr>
      <w:r w:rsidRPr="00D427D8">
        <w:t xml:space="preserve">The Lead Manager and the Seller will purchase the Notes from the Issuer on or around the Closing Date pursuant to the terms of a subscription agreement dated on or about the date of this Prospectus between the Issuer, the Lead Manager, the Arranger and the Seller (the </w:t>
      </w:r>
      <w:r w:rsidR="00EF7333" w:rsidRPr="00D427D8">
        <w:t>"</w:t>
      </w:r>
      <w:r w:rsidRPr="00D427D8">
        <w:rPr>
          <w:rStyle w:val="BoldText"/>
        </w:rPr>
        <w:t>Notes Subscription Agreement</w:t>
      </w:r>
      <w:r w:rsidR="00EF7333" w:rsidRPr="00D427D8">
        <w:t>"</w:t>
      </w:r>
      <w:r w:rsidRPr="00D427D8">
        <w:t>).</w:t>
      </w:r>
    </w:p>
    <w:p w14:paraId="339D87B6" w14:textId="0624AADF" w:rsidR="009F6E91" w:rsidRPr="00D427D8" w:rsidRDefault="009F6E91" w:rsidP="009F6E91">
      <w:pPr>
        <w:pStyle w:val="Body1"/>
      </w:pPr>
      <w:r w:rsidRPr="00D427D8">
        <w:t xml:space="preserve">Each of the Notes in the denomination of EUR 100,000 will be governed by the laws of Germany and will be represented by a global bearer note (each a </w:t>
      </w:r>
      <w:r w:rsidR="00EF7333" w:rsidRPr="00D427D8">
        <w:t>"</w:t>
      </w:r>
      <w:r w:rsidRPr="00D427D8">
        <w:rPr>
          <w:rStyle w:val="BoldText"/>
        </w:rPr>
        <w:t>Global Note</w:t>
      </w:r>
      <w:r w:rsidR="00EF7333" w:rsidRPr="00D427D8">
        <w:t>"</w:t>
      </w:r>
      <w:r w:rsidRPr="00D427D8">
        <w:t xml:space="preserve">), without interest coupons. The Global Notes will not be exchangeable for definitive Notes. The Class A Notes will be deposited on or around </w:t>
      </w:r>
      <w:r w:rsidR="0031208E">
        <w:t>25 June 2025</w:t>
      </w:r>
      <w:r w:rsidR="0031208E" w:rsidRPr="00D427D8">
        <w:t xml:space="preserve"> </w:t>
      </w:r>
      <w:r w:rsidRPr="00D427D8">
        <w:t xml:space="preserve">(the </w:t>
      </w:r>
      <w:r w:rsidR="00EF7333" w:rsidRPr="00D427D8">
        <w:t>"</w:t>
      </w:r>
      <w:r w:rsidRPr="00D427D8">
        <w:rPr>
          <w:rStyle w:val="BoldText"/>
        </w:rPr>
        <w:t>Closing Date</w:t>
      </w:r>
      <w:r w:rsidR="00EF7333" w:rsidRPr="00D427D8">
        <w:t>"</w:t>
      </w:r>
      <w:r w:rsidRPr="00D427D8">
        <w:t>) with a Common Safekeeper for Clearstream Luxembourg and Euroclear. The Common Safekeeper will hold the Global Note representing the Class A Notes in custody for Euroclear and Clearstream Luxembourg. The Class B Notes to Class G Notes will, on or around the Closing Date, be deposited with a common depositary for Clearstream Luxembourg and Euroclear.</w:t>
      </w:r>
    </w:p>
    <w:p w14:paraId="3D6C2244" w14:textId="437D4D8D" w:rsidR="009F6E91" w:rsidRPr="00D427D8" w:rsidRDefault="009F6E91" w:rsidP="009F6E91">
      <w:pPr>
        <w:pStyle w:val="Body1"/>
      </w:pPr>
      <w:r w:rsidRPr="00D427D8">
        <w:t xml:space="preserve">The Rated Notes are expected, upon issuance, to be assigned the ratings shown in the table above under the heading </w:t>
      </w:r>
      <w:r w:rsidR="00EF7333" w:rsidRPr="00D427D8">
        <w:t>"</w:t>
      </w:r>
      <w:r w:rsidRPr="00D427D8">
        <w:t>Expected Rating</w:t>
      </w:r>
      <w:r w:rsidR="00EF7333" w:rsidRPr="00D427D8">
        <w:t>"</w:t>
      </w:r>
      <w:r w:rsidRPr="00D427D8">
        <w:t xml:space="preserve"> by </w:t>
      </w:r>
      <w:r w:rsidRPr="00D427D8">
        <w:rPr>
          <w:lang w:val="en-US"/>
        </w:rPr>
        <w:t xml:space="preserve">DBRS Ratings GmbH, Sucursal en España </w:t>
      </w:r>
      <w:r w:rsidRPr="00D427D8">
        <w:t>(</w:t>
      </w:r>
      <w:r w:rsidR="00EF7333" w:rsidRPr="00D427D8">
        <w:t>"</w:t>
      </w:r>
      <w:r w:rsidRPr="00D427D8">
        <w:rPr>
          <w:rStyle w:val="BoldText"/>
        </w:rPr>
        <w:t>DBRS</w:t>
      </w:r>
      <w:r w:rsidR="00EF7333" w:rsidRPr="00D427D8">
        <w:t>"</w:t>
      </w:r>
      <w:r w:rsidRPr="00D427D8">
        <w:t>) and</w:t>
      </w:r>
      <w:r w:rsidR="00BF3206">
        <w:t xml:space="preserve"> </w:t>
      </w:r>
      <w:r w:rsidRPr="00D427D8">
        <w:rPr>
          <w:lang w:val="en-US"/>
        </w:rPr>
        <w:t>Moody</w:t>
      </w:r>
      <w:r w:rsidR="00EF7333" w:rsidRPr="00D427D8">
        <w:rPr>
          <w:lang w:val="en-US"/>
        </w:rPr>
        <w:t>'</w:t>
      </w:r>
      <w:r w:rsidRPr="00D427D8">
        <w:rPr>
          <w:lang w:val="en-US"/>
        </w:rPr>
        <w:t>s Deutschland GmbH</w:t>
      </w:r>
      <w:r w:rsidRPr="00D427D8">
        <w:t xml:space="preserve"> (</w:t>
      </w:r>
      <w:r w:rsidR="00EF7333" w:rsidRPr="00D427D8">
        <w:t>"</w:t>
      </w:r>
      <w:r w:rsidRPr="00D427D8">
        <w:rPr>
          <w:rStyle w:val="BoldText"/>
        </w:rPr>
        <w:t>Moody</w:t>
      </w:r>
      <w:r w:rsidR="00EF7333" w:rsidRPr="00D427D8">
        <w:rPr>
          <w:rStyle w:val="BoldText"/>
        </w:rPr>
        <w:t>'</w:t>
      </w:r>
      <w:r w:rsidRPr="00D427D8">
        <w:rPr>
          <w:rStyle w:val="BoldText"/>
        </w:rPr>
        <w:t>s</w:t>
      </w:r>
      <w:r w:rsidR="00EF7333" w:rsidRPr="00D427D8">
        <w:t>"</w:t>
      </w:r>
      <w:r w:rsidRPr="00D427D8">
        <w:t xml:space="preserve">) and together with DBRS, the </w:t>
      </w:r>
      <w:r w:rsidR="00EF7333" w:rsidRPr="00D427D8">
        <w:t>"</w:t>
      </w:r>
      <w:r w:rsidRPr="00D427D8">
        <w:rPr>
          <w:rStyle w:val="BoldText"/>
        </w:rPr>
        <w:t>Rating Agencies</w:t>
      </w:r>
      <w:r w:rsidR="00EF7333" w:rsidRPr="00D427D8">
        <w:t>"</w:t>
      </w:r>
      <w:r w:rsidRPr="00D427D8">
        <w:t xml:space="preserve">). In general, European regulated investors are restricted from using a rating for regulatory purposes if such rating is not issued by a credit rating agency established in the European Union </w:t>
      </w:r>
      <w:r w:rsidR="00EF7333" w:rsidRPr="00D427D8">
        <w:t>"</w:t>
      </w:r>
      <w:r w:rsidRPr="00D427D8">
        <w:rPr>
          <w:rStyle w:val="BoldText"/>
        </w:rPr>
        <w:t>EU</w:t>
      </w:r>
      <w:r w:rsidR="00EF7333" w:rsidRPr="00D427D8">
        <w:t>"</w:t>
      </w:r>
      <w:r w:rsidRPr="00D427D8">
        <w:t xml:space="preserve"> and registered </w:t>
      </w:r>
      <w:bookmarkStart w:id="2" w:name="_Hlk198119772"/>
      <w:r w:rsidRPr="00D427D8">
        <w:t xml:space="preserve">under Regulation (EC) No 1060/2009 of the European Parliament, as amended by Regulation (EU) No 513/2011 and by Regulation (EU) No 462/2013 (the latter the </w:t>
      </w:r>
      <w:r w:rsidR="00EF7333" w:rsidRPr="00D427D8">
        <w:t>"</w:t>
      </w:r>
      <w:r w:rsidRPr="00D427D8">
        <w:rPr>
          <w:rStyle w:val="BoldText"/>
        </w:rPr>
        <w:t>CRA 3 Regulation</w:t>
      </w:r>
      <w:r w:rsidR="00EF7333" w:rsidRPr="00D427D8">
        <w:t>"</w:t>
      </w:r>
      <w:r w:rsidRPr="00D427D8">
        <w:t xml:space="preserve"> and Regulation (EC) No 1620/2009 the </w:t>
      </w:r>
      <w:r w:rsidR="00EF7333" w:rsidRPr="00D427D8">
        <w:rPr>
          <w:rStyle w:val="BoldText"/>
        </w:rPr>
        <w:t>"</w:t>
      </w:r>
      <w:r w:rsidRPr="00D427D8">
        <w:rPr>
          <w:rStyle w:val="BoldText"/>
        </w:rPr>
        <w:t>CRA Regulation</w:t>
      </w:r>
      <w:r w:rsidR="00EF7333" w:rsidRPr="00D427D8">
        <w:rPr>
          <w:rStyle w:val="BoldText"/>
        </w:rPr>
        <w:t>"</w:t>
      </w:r>
      <w:r w:rsidRPr="00D427D8">
        <w:t xml:space="preserve">). </w:t>
      </w:r>
      <w:bookmarkEnd w:id="2"/>
      <w:r w:rsidRPr="00D427D8">
        <w:t>Each of DBRS and Moody</w:t>
      </w:r>
      <w:r w:rsidR="00EF7333" w:rsidRPr="00D427D8">
        <w:t>'</w:t>
      </w:r>
      <w:r w:rsidRPr="00D427D8">
        <w:t>s is established in the European Community and according to the press release from European Securities Markets Authority (</w:t>
      </w:r>
      <w:r w:rsidR="00EF7333" w:rsidRPr="00D427D8">
        <w:t>"</w:t>
      </w:r>
      <w:r w:rsidRPr="00D427D8">
        <w:rPr>
          <w:rStyle w:val="BoldText"/>
        </w:rPr>
        <w:t>ESMA</w:t>
      </w:r>
      <w:r w:rsidR="00EF7333" w:rsidRPr="00D427D8">
        <w:t>"</w:t>
      </w:r>
      <w:r w:rsidRPr="00D427D8">
        <w:t>) dated 31 October 2011, each of DBRS and Moody</w:t>
      </w:r>
      <w:r w:rsidR="00EF7333" w:rsidRPr="00D427D8">
        <w:t>'</w:t>
      </w:r>
      <w:r w:rsidRPr="00D427D8">
        <w:t xml:space="preserve">s has been registered in accordance with the CRA 3 Regulation. Reference is made to the list of registered or certified credit rating agencies published by ESMA, which can be found on the website https://www.esma.europa.eu/credit-rating-agencies/cra-authorisation as last updated on </w:t>
      </w:r>
      <w:r w:rsidR="00BC490D" w:rsidRPr="00D427D8">
        <w:t>10 July 2024</w:t>
      </w:r>
      <w:r w:rsidRPr="00D427D8">
        <w:t>. The assignment of ratings to the Rated Notes or an outlook on these ratings is not a recommendation to invest in the Rated Notes and may be revised, suspended or withdrawn at any time.</w:t>
      </w:r>
    </w:p>
    <w:p w14:paraId="786B59AD" w14:textId="3B15597A" w:rsidR="009F6E91" w:rsidRPr="00D427D8" w:rsidRDefault="009F6E91" w:rsidP="009F6E91">
      <w:pPr>
        <w:pStyle w:val="Body1"/>
        <w:rPr>
          <w:lang w:val="en-US"/>
        </w:rPr>
      </w:pPr>
      <w:r w:rsidRPr="00D427D8">
        <w:rPr>
          <w:lang w:val="en-US"/>
        </w:rPr>
        <w:t xml:space="preserve">The CRA 3 Regulation as it forms part of domestic law of the United Kingdom by virtue of the EUWA and as amended by the Credit Rating Agencies (Amendment, etc) (EU Exit) Regulations 2019 (the </w:t>
      </w:r>
      <w:r w:rsidR="00EF7333" w:rsidRPr="00D427D8">
        <w:rPr>
          <w:lang w:val="en-US"/>
        </w:rPr>
        <w:t>"</w:t>
      </w:r>
      <w:r w:rsidRPr="00D427D8">
        <w:rPr>
          <w:rStyle w:val="BoldText"/>
        </w:rPr>
        <w:t>UK CRA Regulation</w:t>
      </w:r>
      <w:r w:rsidR="00EF7333" w:rsidRPr="00D427D8">
        <w:rPr>
          <w:lang w:val="en-US"/>
        </w:rPr>
        <w:t>"</w:t>
      </w:r>
      <w:r w:rsidRPr="00D427D8">
        <w:rPr>
          <w:lang w:val="en-US"/>
        </w:rPr>
        <w:t xml:space="preserve">). </w:t>
      </w:r>
      <w:r w:rsidRPr="00D427D8">
        <w:t>In accordance with the UK CRA Regulation, the credit ratings assigned to the Notes by Moody</w:t>
      </w:r>
      <w:r w:rsidR="00EF7333" w:rsidRPr="00D427D8">
        <w:t>'</w:t>
      </w:r>
      <w:r w:rsidRPr="00D427D8">
        <w:t xml:space="preserve">s and DBRS will be endorsed by </w:t>
      </w:r>
      <w:r w:rsidRPr="00D427D8">
        <w:rPr>
          <w:bCs/>
          <w:color w:val="000000" w:themeColor="text1"/>
        </w:rPr>
        <w:t>Moody</w:t>
      </w:r>
      <w:r w:rsidR="00EF7333" w:rsidRPr="00D427D8">
        <w:rPr>
          <w:bCs/>
          <w:color w:val="000000" w:themeColor="text1"/>
        </w:rPr>
        <w:t>'</w:t>
      </w:r>
      <w:r w:rsidRPr="00D427D8">
        <w:rPr>
          <w:bCs/>
          <w:color w:val="000000" w:themeColor="text1"/>
        </w:rPr>
        <w:t>s Investor Service Limited</w:t>
      </w:r>
      <w:r w:rsidRPr="00D427D8">
        <w:t xml:space="preserve"> and DBRS Ratings Limited, as applicable, being rating agencies which are registered with the Financial Conduct Authority. UK regulated investors are restricted from using a rating for regulatory purposes if such rating is not issued or endorsed by a credit rating agency established in the UK and registered or certified under the UK CRA Regulation.</w:t>
      </w:r>
    </w:p>
    <w:p w14:paraId="495C2CEC" w14:textId="77777777" w:rsidR="009F6E91" w:rsidRPr="00D427D8" w:rsidRDefault="009F6E91" w:rsidP="009F6E91">
      <w:pPr>
        <w:pStyle w:val="Body1"/>
        <w:rPr>
          <w:rStyle w:val="BoldText"/>
        </w:rPr>
      </w:pPr>
      <w:r w:rsidRPr="00D427D8">
        <w:rPr>
          <w:rStyle w:val="BoldText"/>
        </w:rPr>
        <w:t>The assignment of ratings to the Rated Notes is not a recommendation to invest in the Rated Notes. Any credit rating assigned to the Rated Notes may be suspended, revised or withdrawn at any time.</w:t>
      </w:r>
    </w:p>
    <w:p w14:paraId="703422F0" w14:textId="77777777" w:rsidR="009F6E91" w:rsidRPr="00D427D8" w:rsidRDefault="009F6E91" w:rsidP="009F6E91">
      <w:pPr>
        <w:pStyle w:val="Body1"/>
      </w:pPr>
      <w:r w:rsidRPr="00D427D8">
        <w:t>The Class A Notes are intended to be held in a manner which will allow Eurosystem eligibility, that is, in a manner which would allow such Class A Notes to be recognised as eligible collateral for Eurosystem monetary policy or intra-day credit operations by the Eurosystem, either upon issuance or at any or all times during their life. Such recognition will depend upon satisfaction of the Eurosystem eligibility criteria and potential investors in the Class A Notes should reach their own conclusions and seek their own advice with respect to whether or not the Class A Notes constitute Eurosystem eligible collateral.</w:t>
      </w:r>
    </w:p>
    <w:p w14:paraId="1B2D3CC9" w14:textId="34B02957" w:rsidR="009F6E91" w:rsidRPr="00D427D8" w:rsidRDefault="009F6E91" w:rsidP="009F6E91">
      <w:pPr>
        <w:pStyle w:val="Body1"/>
      </w:pPr>
      <w:r w:rsidRPr="00D427D8">
        <w:rPr>
          <w:rStyle w:val="BoldText"/>
        </w:rPr>
        <w:t>Prohibition of sales to EEA retail investors</w:t>
      </w:r>
      <w:r w:rsidRPr="00D427D8">
        <w:t xml:space="preserve"> - The Notes are not intended, to be offered, sold or otherwise made available to and should not be offered, sold or otherwise made available to any retail investor in the European Economic Area (</w:t>
      </w:r>
      <w:r w:rsidR="00EF7333" w:rsidRPr="00D427D8">
        <w:t>"</w:t>
      </w:r>
      <w:r w:rsidRPr="00D427D8">
        <w:rPr>
          <w:rStyle w:val="BoldText"/>
        </w:rPr>
        <w:t>EEA</w:t>
      </w:r>
      <w:r w:rsidR="00EF7333" w:rsidRPr="00D427D8">
        <w:t>"</w:t>
      </w:r>
      <w:r w:rsidRPr="00D427D8">
        <w:t xml:space="preserve">). For these purposes, a retail investor means a person who is one (or more) of: (i) a retail client as defined in point (11) of Article 4(1) of Directive 2014/65/EU (as amended, </w:t>
      </w:r>
      <w:r w:rsidR="00EF7333" w:rsidRPr="00D427D8">
        <w:t>"</w:t>
      </w:r>
      <w:r w:rsidRPr="00D427D8">
        <w:rPr>
          <w:rStyle w:val="BoldText"/>
        </w:rPr>
        <w:t>MiFID II</w:t>
      </w:r>
      <w:r w:rsidR="00EF7333" w:rsidRPr="00D427D8">
        <w:t>"</w:t>
      </w:r>
      <w:r w:rsidRPr="00D427D8">
        <w:t xml:space="preserve">); (ii) a customer within the meaning of Directive 2016/97/EU (the </w:t>
      </w:r>
      <w:r w:rsidR="00EF7333" w:rsidRPr="00D427D8">
        <w:t>"</w:t>
      </w:r>
      <w:r w:rsidRPr="00D427D8">
        <w:rPr>
          <w:rStyle w:val="BoldText"/>
        </w:rPr>
        <w:t>Insurance Distribution Directive</w:t>
      </w:r>
      <w:r w:rsidR="00EF7333" w:rsidRPr="00D427D8">
        <w:t>"</w:t>
      </w:r>
      <w:r w:rsidRPr="00D427D8">
        <w:t xml:space="preserve">), where that customer would not qualify as a professional client as defined in point (10) of Article 4(1) of MiFID II; or (iii) not a qualified investor as defined in Regulation (EU) 2017/1129 (the </w:t>
      </w:r>
      <w:r w:rsidR="00EF7333" w:rsidRPr="00D427D8">
        <w:t>"</w:t>
      </w:r>
      <w:r w:rsidRPr="00D427D8">
        <w:rPr>
          <w:rStyle w:val="BoldText"/>
        </w:rPr>
        <w:t>Prospectus Regulation</w:t>
      </w:r>
      <w:r w:rsidR="00EF7333" w:rsidRPr="00D427D8">
        <w:t>"</w:t>
      </w:r>
      <w:r w:rsidRPr="00D427D8">
        <w:t xml:space="preserve">). Consequently no key information document required by Regulation (EU) No 1286/2014 (the </w:t>
      </w:r>
      <w:r w:rsidR="00EF7333" w:rsidRPr="00D427D8">
        <w:t>"</w:t>
      </w:r>
      <w:r w:rsidRPr="00D427D8">
        <w:rPr>
          <w:rStyle w:val="BoldText"/>
        </w:rPr>
        <w:t>PRIIPs Regulation</w:t>
      </w:r>
      <w:r w:rsidR="00EF7333" w:rsidRPr="00D427D8">
        <w:t>"</w:t>
      </w:r>
      <w:r w:rsidRPr="00D427D8">
        <w:t>) for offering or selling the Notes or otherwise making them available to retail investors in the EEA has been prepared and therefore offering or selling the Notes or otherwise making them available to any retail investor in the EEA may be unlawful under the PRIIPS Regulation.</w:t>
      </w:r>
    </w:p>
    <w:p w14:paraId="3181BE91" w14:textId="73593CEF" w:rsidR="009F6E91" w:rsidRPr="00D427D8" w:rsidRDefault="009F6E91" w:rsidP="009F6E91">
      <w:pPr>
        <w:pStyle w:val="Body1"/>
      </w:pPr>
      <w:r w:rsidRPr="00D427D8">
        <w:rPr>
          <w:rStyle w:val="BoldText"/>
        </w:rPr>
        <w:lastRenderedPageBreak/>
        <w:t>Prohibition of sales to United Kingdom retail investors</w:t>
      </w:r>
      <w:r w:rsidRPr="00D427D8">
        <w:t xml:space="preserve"> - The Notes are not intended to be offered, sold or otherwise made available to and should not be offered, sold or otherwise made available to any retail investor in the United Kingdom. For these purposes, a retail investor means a person who is one (or more) of: (i) a retail client, as defined in point (8) of Article 2 of Regulation (EU) No 2017/565 as it forms part of domestic law of the United Kingdom by virtue of the European Union (Withdrawal) Act 2018 as amended by the European Union (Withdrawal Agreement) Act 2020 (the </w:t>
      </w:r>
      <w:r w:rsidR="00EF7333" w:rsidRPr="00D427D8">
        <w:t>"</w:t>
      </w:r>
      <w:r w:rsidRPr="00D427D8">
        <w:rPr>
          <w:rStyle w:val="BoldText"/>
        </w:rPr>
        <w:t>EUWA</w:t>
      </w:r>
      <w:r w:rsidR="00EF7333" w:rsidRPr="00D427D8">
        <w:t>"</w:t>
      </w:r>
      <w:r w:rsidRPr="00D427D8">
        <w:t xml:space="preserve">); or (ii) a customer within the meaning of the provisions of the Financial Services and Markets Act 2000, as amended, (the </w:t>
      </w:r>
      <w:r w:rsidR="00EF7333" w:rsidRPr="00D427D8">
        <w:t>"</w:t>
      </w:r>
      <w:r w:rsidRPr="00D427D8">
        <w:rPr>
          <w:rStyle w:val="BoldText"/>
        </w:rPr>
        <w:t>FSMA</w:t>
      </w:r>
      <w:r w:rsidR="00EF7333" w:rsidRPr="00D427D8">
        <w:t>"</w:t>
      </w:r>
      <w:r w:rsidRPr="00D427D8">
        <w:t xml:space="preserve">), and any rules or regulations made under the FSMA to implement Directive (EU) 2016/97, where that customer would not qualify as a professional client, as defined in point (8) of Article 2(1) of Regulation (EU) No 600/2014 as it forms part of domestic law of the United Kingdom by virtue of the EUWA; or (iii) not a qualified investor as defined in Article 2 of Regulation (EU) 2017/1129 (as it forms part of domestic  law of the United Kingdom by virtue of the EUWA. Consequently, no key information document required by Regulation (EU) No 1286/2014 as it forms part of domestic law of the United Kingdom by virtue of the EUWA (the </w:t>
      </w:r>
      <w:r w:rsidR="00EF7333" w:rsidRPr="00D427D8">
        <w:t>"</w:t>
      </w:r>
      <w:r w:rsidRPr="00D427D8">
        <w:rPr>
          <w:rStyle w:val="BoldText"/>
        </w:rPr>
        <w:t>UK PRIIPs Regulation</w:t>
      </w:r>
      <w:r w:rsidR="00EF7333" w:rsidRPr="00D427D8">
        <w:t>"</w:t>
      </w:r>
      <w:r w:rsidRPr="00D427D8">
        <w:t>) for offering or selling the Notes or otherwise making them available to retail investors in the United Kingdom has been prepared and therefore offering or selling the Notes or otherwise making them available to any retail investor in the United Kingdom may be unlawful under the UK PRIIPs Regulation.</w:t>
      </w:r>
    </w:p>
    <w:p w14:paraId="59788875" w14:textId="77777777" w:rsidR="009F6E91" w:rsidRPr="00D427D8" w:rsidRDefault="009F6E91" w:rsidP="009F6E91">
      <w:pPr>
        <w:pStyle w:val="Body1"/>
      </w:pPr>
      <w:bookmarkStart w:id="3" w:name="_Hlk198119811"/>
      <w:r w:rsidRPr="00D427D8">
        <w:t>The Notes have not been and will not be offered or sold, directly or indirectly, in France and neither this Prospectus nor any other offering material relating to the Notes has been distributed or caused to be distributed or will be distributed or caused to be distributed in France except to qualified investors (</w:t>
      </w:r>
      <w:r w:rsidRPr="00D427D8">
        <w:rPr>
          <w:i/>
          <w:iCs/>
        </w:rPr>
        <w:t>investisseurs qualifiés</w:t>
      </w:r>
      <w:r w:rsidRPr="00D427D8">
        <w:t>) (with the exception of individuals) as defined in, and in accordance with, Article 2(e) of the Prospectus Regulation and Article L.411-2 1° of the French Monetary and Financial Code.</w:t>
      </w:r>
    </w:p>
    <w:bookmarkEnd w:id="3"/>
    <w:p w14:paraId="0017CACC" w14:textId="77777777" w:rsidR="009F6E91" w:rsidRPr="00D427D8" w:rsidRDefault="009F6E91" w:rsidP="009F6E91">
      <w:pPr>
        <w:pStyle w:val="Body1"/>
      </w:pPr>
      <w:r w:rsidRPr="00D427D8">
        <w:t>The Notes have not been and will not be offered or sold or publicly promoted or advertised by it in Germany other than in compliance with any laws applicable in Germany governing the issue, offering, sale and distribution of securities.</w:t>
      </w:r>
    </w:p>
    <w:p w14:paraId="2BCBA2DE" w14:textId="447842C8" w:rsidR="009F6E91" w:rsidRPr="00D427D8" w:rsidRDefault="009F6E91" w:rsidP="009F6E91">
      <w:pPr>
        <w:pStyle w:val="Body1"/>
      </w:pPr>
      <w:r w:rsidRPr="00D427D8">
        <w:rPr>
          <w:rStyle w:val="BoldText"/>
        </w:rPr>
        <w:t>MIFID II product governance / target market</w:t>
      </w:r>
      <w:r w:rsidRPr="00D427D8">
        <w:rPr>
          <w:lang w:val="en-US"/>
        </w:rPr>
        <w:t xml:space="preserve"> - </w:t>
      </w:r>
      <w:r w:rsidRPr="00D427D8">
        <w:t>Solely for the purposes of each manufacturer</w:t>
      </w:r>
      <w:r w:rsidR="00EF7333" w:rsidRPr="00D427D8">
        <w:t>'</w:t>
      </w:r>
      <w:r w:rsidRPr="00D427D8">
        <w:t xml:space="preserve">s product approval process, the target market assessment in respect of the Notes has led to the conclusion that: (i) the target market for the Notes is eligible counterparties and professional clients only, each as defined in MiFID II; and (ii) all channels for distribution of the Notes to eligible counterparties and professional clients are appropriate. Any person subsequently offering, selling or recommending the Notes (a </w:t>
      </w:r>
      <w:r w:rsidR="00EF7333" w:rsidRPr="00D427D8">
        <w:t>"</w:t>
      </w:r>
      <w:r w:rsidRPr="00D427D8">
        <w:rPr>
          <w:rStyle w:val="BoldText"/>
        </w:rPr>
        <w:t>distributor</w:t>
      </w:r>
      <w:r w:rsidR="00EF7333" w:rsidRPr="00D427D8">
        <w:t>"</w:t>
      </w:r>
      <w:r w:rsidRPr="00D427D8">
        <w:t>) should take into consideration the manufacturers</w:t>
      </w:r>
      <w:r w:rsidR="00EF7333" w:rsidRPr="00D427D8">
        <w:t>'</w:t>
      </w:r>
      <w:r w:rsidRPr="00D427D8">
        <w:t xml:space="preserve"> target market assessment; however, a distributor subject to MiFID II is responsible for undertaking its own target market assessment in respect of the Notes (by either adopting or refining the manufacturers</w:t>
      </w:r>
      <w:r w:rsidR="00EF7333" w:rsidRPr="00D427D8">
        <w:t>'</w:t>
      </w:r>
      <w:r w:rsidRPr="00D427D8">
        <w:t xml:space="preserve"> target market assessment) and determining appropriate distribution channels.</w:t>
      </w:r>
    </w:p>
    <w:p w14:paraId="3E33DF50" w14:textId="1C6E6B0C" w:rsidR="009F6E91" w:rsidRPr="00D427D8" w:rsidRDefault="009F6E91" w:rsidP="009F6E91">
      <w:pPr>
        <w:pStyle w:val="Body1"/>
      </w:pPr>
      <w:r w:rsidRPr="00D427D8">
        <w:t>The issuance of the Notes was not designed to comply with Regulation RR (17 C.F.R. Part 246) implementing the risk retention requirements of Section 15G of the U.S. Securities Exchange Act of 1934, as amended (the </w:t>
      </w:r>
      <w:r w:rsidR="00EF7333" w:rsidRPr="00D427D8">
        <w:t>"</w:t>
      </w:r>
      <w:r w:rsidRPr="00D427D8">
        <w:rPr>
          <w:rStyle w:val="BoldText"/>
        </w:rPr>
        <w:t>U.S. Risk Retention Rules</w:t>
      </w:r>
      <w:r w:rsidR="00EF7333" w:rsidRPr="00D427D8">
        <w:t>"</w:t>
      </w:r>
      <w:r w:rsidRPr="00D427D8">
        <w:t xml:space="preserve">) other than the exemption under Section _.20 of the U.S. Risk Retention Rules, and no other steps have been taken by the Issuer, the Lead Manager, the Arranger and the Seller, or any of their affiliates or any other party to accomplish such compliance. Consequently, except with the prior consent of the Seller (a </w:t>
      </w:r>
      <w:r w:rsidR="00EF7333" w:rsidRPr="00D427D8">
        <w:t>"</w:t>
      </w:r>
      <w:r w:rsidRPr="00D427D8">
        <w:rPr>
          <w:rStyle w:val="BoldText"/>
        </w:rPr>
        <w:t>U.S. Risk Retention Waiver</w:t>
      </w:r>
      <w:r w:rsidR="00EF7333" w:rsidRPr="00D427D8">
        <w:t>"</w:t>
      </w:r>
      <w:r w:rsidRPr="00D427D8">
        <w:t xml:space="preserve">) and where such sale falls within the exemption provided by Section __.20 of the U.S. Risk Retention Rules, the Notes may not be sold to, or for the account or benefit of, any U.S. person as defined in the U.S. Risk Retention Rules (a </w:t>
      </w:r>
      <w:r w:rsidR="00EF7333" w:rsidRPr="00D427D8">
        <w:t>"</w:t>
      </w:r>
      <w:r w:rsidRPr="00D427D8">
        <w:rPr>
          <w:rStyle w:val="BoldText"/>
        </w:rPr>
        <w:t>Risk Retention U.S. Person</w:t>
      </w:r>
      <w:r w:rsidR="00EF7333" w:rsidRPr="00D427D8">
        <w:t>"</w:t>
      </w:r>
      <w:r w:rsidRPr="00D427D8">
        <w:t>).</w:t>
      </w:r>
    </w:p>
    <w:p w14:paraId="670ADE2C" w14:textId="27BABE80" w:rsidR="009F6E91" w:rsidRPr="00D427D8" w:rsidRDefault="009F6E91" w:rsidP="009F6E91">
      <w:pPr>
        <w:pStyle w:val="Body1"/>
      </w:pPr>
      <w:bookmarkStart w:id="4" w:name="_Hlk86220282"/>
      <w:r w:rsidRPr="00D427D8">
        <w:t xml:space="preserve">Prospective investors should note that whilst the definition of </w:t>
      </w:r>
      <w:r w:rsidR="00EF7333" w:rsidRPr="00D427D8">
        <w:t>"</w:t>
      </w:r>
      <w:r w:rsidRPr="00D427D8">
        <w:t>U.S. person</w:t>
      </w:r>
      <w:r w:rsidR="00EF7333" w:rsidRPr="00D427D8">
        <w:t>"</w:t>
      </w:r>
      <w:r w:rsidRPr="00D427D8">
        <w:t xml:space="preserve"> in the U.S. Risk Retention Rules is similar to, but not identical to, the definition of </w:t>
      </w:r>
      <w:r w:rsidR="00EF7333" w:rsidRPr="00D427D8">
        <w:t>"</w:t>
      </w:r>
      <w:r w:rsidRPr="00D427D8">
        <w:t>U.S. person</w:t>
      </w:r>
      <w:r w:rsidR="00EF7333" w:rsidRPr="00D427D8">
        <w:t>"</w:t>
      </w:r>
      <w:r w:rsidRPr="00D427D8">
        <w:t xml:space="preserve"> in Regulation S under the Securities Act (</w:t>
      </w:r>
      <w:r w:rsidR="00EF7333" w:rsidRPr="00D427D8">
        <w:t>"</w:t>
      </w:r>
      <w:r w:rsidRPr="00D427D8">
        <w:rPr>
          <w:rStyle w:val="BoldText"/>
        </w:rPr>
        <w:t>Regulation S</w:t>
      </w:r>
      <w:r w:rsidR="00EF7333" w:rsidRPr="00D427D8">
        <w:t>"</w:t>
      </w:r>
      <w:r w:rsidRPr="00D427D8">
        <w:t xml:space="preserve">), and persons who are not </w:t>
      </w:r>
      <w:r w:rsidR="00EF7333" w:rsidRPr="00D427D8">
        <w:t>"</w:t>
      </w:r>
      <w:r w:rsidRPr="00D427D8">
        <w:t>U.S. persons</w:t>
      </w:r>
      <w:r w:rsidR="00EF7333" w:rsidRPr="00D427D8">
        <w:t>"</w:t>
      </w:r>
      <w:r w:rsidRPr="00D427D8">
        <w:t xml:space="preserve"> under Regulation S may be </w:t>
      </w:r>
      <w:r w:rsidR="00EF7333" w:rsidRPr="00D427D8">
        <w:t>"</w:t>
      </w:r>
      <w:r w:rsidRPr="00D427D8">
        <w:t>U.S. persons</w:t>
      </w:r>
      <w:r w:rsidR="00EF7333" w:rsidRPr="00D427D8">
        <w:t>"</w:t>
      </w:r>
      <w:r w:rsidRPr="00D427D8">
        <w:t xml:space="preserve"> under the U.S. Risk Retention Rules. Each purchaser of Notes, including beneficial interests therein acquired in the initial distribution of the Notes, by its acquisition of a Note or a beneficial interest therein, will be deemed to represent to the Issuer, the Seller, the Arranger and the Lead Manager that it (1) either (i) is not a Risk Retention U.S. Person or (ii) it has obtained a U.S. Risk Retention Waiver from the Seller, (2) is acquiring such Note or a beneficial interest therein for its own account and not with a view to distribute such Note to a U.S. Person; and (3) is not acquiring such Note or a beneficial interest therein as part of a scheme to evade the requirements of the U.S. Risk Retention Rules. Each prospective investor will be required to make these representations (a) on or about the time of the announcement of the Securitisation and (b) if such representations have not been previously made, as a condition to placing any offer to purchase the Notes. Each of the Issuer, the Lead Manager, the Arranger and the Seller will rely on these representations, without further investigation.</w:t>
      </w:r>
    </w:p>
    <w:bookmarkEnd w:id="4"/>
    <w:p w14:paraId="26FA1D38" w14:textId="77777777" w:rsidR="009F6E91" w:rsidRPr="00D427D8" w:rsidRDefault="009F6E91" w:rsidP="00EF7333">
      <w:pPr>
        <w:pStyle w:val="Body1"/>
      </w:pPr>
      <w:r w:rsidRPr="00D427D8">
        <w:br w:type="page"/>
      </w:r>
    </w:p>
    <w:p w14:paraId="47A58CE2" w14:textId="77777777" w:rsidR="003A7158" w:rsidRPr="00D427D8" w:rsidRDefault="003A7158" w:rsidP="0084402B">
      <w:pPr>
        <w:pStyle w:val="Centred"/>
        <w:rPr>
          <w:rStyle w:val="Heading1Text"/>
        </w:rPr>
      </w:pPr>
      <w:r w:rsidRPr="00D427D8">
        <w:rPr>
          <w:rStyle w:val="Heading1Text"/>
        </w:rPr>
        <w:lastRenderedPageBreak/>
        <w:t>Table of Contents</w:t>
      </w:r>
    </w:p>
    <w:p w14:paraId="3D56DC27" w14:textId="3607ABA1" w:rsidR="009A4683" w:rsidRDefault="009A4683">
      <w:pPr>
        <w:pStyle w:val="TOC1"/>
        <w:rPr>
          <w:rFonts w:asciiTheme="minorHAnsi" w:eastAsiaTheme="minorEastAsia" w:hAnsiTheme="minorHAnsi" w:cstheme="minorBidi"/>
          <w:b w:val="0"/>
          <w:smallCaps w:val="0"/>
          <w:noProof/>
          <w:kern w:val="2"/>
          <w:sz w:val="24"/>
          <w:szCs w:val="24"/>
          <w:lang w:val="de-DE" w:eastAsia="de-DE"/>
          <w14:ligatures w14:val="standardContextual"/>
        </w:rPr>
      </w:pPr>
      <w:r>
        <w:fldChar w:fldCharType="begin"/>
      </w:r>
      <w:r>
        <w:instrText xml:space="preserve"> TOC \h \z \t "Centred Heading;1" </w:instrText>
      </w:r>
      <w:r>
        <w:fldChar w:fldCharType="separate"/>
      </w:r>
      <w:hyperlink w:anchor="_Toc198539653" w:history="1">
        <w:r w:rsidRPr="00331BAD">
          <w:rPr>
            <w:rStyle w:val="Hyperlink"/>
            <w:noProof/>
          </w:rPr>
          <w:t>RISK FACTORS</w:t>
        </w:r>
        <w:r>
          <w:rPr>
            <w:noProof/>
            <w:webHidden/>
          </w:rPr>
          <w:tab/>
        </w:r>
        <w:r>
          <w:rPr>
            <w:noProof/>
            <w:webHidden/>
          </w:rPr>
          <w:fldChar w:fldCharType="begin"/>
        </w:r>
        <w:r>
          <w:rPr>
            <w:noProof/>
            <w:webHidden/>
          </w:rPr>
          <w:instrText xml:space="preserve"> PAGEREF _Toc198539653 \h </w:instrText>
        </w:r>
        <w:r>
          <w:rPr>
            <w:noProof/>
            <w:webHidden/>
          </w:rPr>
        </w:r>
        <w:r>
          <w:rPr>
            <w:noProof/>
            <w:webHidden/>
          </w:rPr>
          <w:fldChar w:fldCharType="separate"/>
        </w:r>
        <w:r w:rsidR="002A2571">
          <w:rPr>
            <w:noProof/>
            <w:webHidden/>
          </w:rPr>
          <w:t>9</w:t>
        </w:r>
        <w:r>
          <w:rPr>
            <w:noProof/>
            <w:webHidden/>
          </w:rPr>
          <w:fldChar w:fldCharType="end"/>
        </w:r>
      </w:hyperlink>
    </w:p>
    <w:p w14:paraId="4848ABCB" w14:textId="625B6311"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54" w:history="1">
        <w:r w:rsidR="009A4683" w:rsidRPr="00331BAD">
          <w:rPr>
            <w:rStyle w:val="Hyperlink"/>
            <w:noProof/>
          </w:rPr>
          <w:t>RESPONSIBILITY</w:t>
        </w:r>
        <w:r w:rsidR="009A4683">
          <w:rPr>
            <w:noProof/>
            <w:webHidden/>
          </w:rPr>
          <w:tab/>
        </w:r>
        <w:r w:rsidR="009A4683">
          <w:rPr>
            <w:noProof/>
            <w:webHidden/>
          </w:rPr>
          <w:fldChar w:fldCharType="begin"/>
        </w:r>
        <w:r w:rsidR="009A4683">
          <w:rPr>
            <w:noProof/>
            <w:webHidden/>
          </w:rPr>
          <w:instrText xml:space="preserve"> PAGEREF _Toc198539654 \h </w:instrText>
        </w:r>
        <w:r w:rsidR="009A4683">
          <w:rPr>
            <w:noProof/>
            <w:webHidden/>
          </w:rPr>
        </w:r>
        <w:r w:rsidR="009A4683">
          <w:rPr>
            <w:noProof/>
            <w:webHidden/>
          </w:rPr>
          <w:fldChar w:fldCharType="separate"/>
        </w:r>
        <w:r w:rsidR="002A2571">
          <w:rPr>
            <w:noProof/>
            <w:webHidden/>
          </w:rPr>
          <w:t>39</w:t>
        </w:r>
        <w:r w:rsidR="009A4683">
          <w:rPr>
            <w:noProof/>
            <w:webHidden/>
          </w:rPr>
          <w:fldChar w:fldCharType="end"/>
        </w:r>
      </w:hyperlink>
    </w:p>
    <w:p w14:paraId="26F36C9B" w14:textId="4ABA906E"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55" w:history="1">
        <w:r w:rsidR="009A4683" w:rsidRPr="00331BAD">
          <w:rPr>
            <w:rStyle w:val="Hyperlink"/>
            <w:noProof/>
          </w:rPr>
          <w:t>TRANSACTION OVERVIEW</w:t>
        </w:r>
        <w:r w:rsidR="009A4683">
          <w:rPr>
            <w:noProof/>
            <w:webHidden/>
          </w:rPr>
          <w:tab/>
        </w:r>
        <w:r w:rsidR="009A4683">
          <w:rPr>
            <w:noProof/>
            <w:webHidden/>
          </w:rPr>
          <w:fldChar w:fldCharType="begin"/>
        </w:r>
        <w:r w:rsidR="009A4683">
          <w:rPr>
            <w:noProof/>
            <w:webHidden/>
          </w:rPr>
          <w:instrText xml:space="preserve"> PAGEREF _Toc198539655 \h </w:instrText>
        </w:r>
        <w:r w:rsidR="009A4683">
          <w:rPr>
            <w:noProof/>
            <w:webHidden/>
          </w:rPr>
        </w:r>
        <w:r w:rsidR="009A4683">
          <w:rPr>
            <w:noProof/>
            <w:webHidden/>
          </w:rPr>
          <w:fldChar w:fldCharType="separate"/>
        </w:r>
        <w:r w:rsidR="002A2571">
          <w:rPr>
            <w:noProof/>
            <w:webHidden/>
          </w:rPr>
          <w:t>43</w:t>
        </w:r>
        <w:r w:rsidR="009A4683">
          <w:rPr>
            <w:noProof/>
            <w:webHidden/>
          </w:rPr>
          <w:fldChar w:fldCharType="end"/>
        </w:r>
      </w:hyperlink>
    </w:p>
    <w:p w14:paraId="639A3253" w14:textId="2A30A4A5"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56" w:history="1">
        <w:r w:rsidR="009A4683" w:rsidRPr="00331BAD">
          <w:rPr>
            <w:rStyle w:val="Hyperlink"/>
            <w:noProof/>
          </w:rPr>
          <w:t>STRUCTURE DIAGRAM</w:t>
        </w:r>
        <w:r w:rsidR="009A4683">
          <w:rPr>
            <w:noProof/>
            <w:webHidden/>
          </w:rPr>
          <w:tab/>
        </w:r>
        <w:r w:rsidR="009A4683">
          <w:rPr>
            <w:noProof/>
            <w:webHidden/>
          </w:rPr>
          <w:fldChar w:fldCharType="begin"/>
        </w:r>
        <w:r w:rsidR="009A4683">
          <w:rPr>
            <w:noProof/>
            <w:webHidden/>
          </w:rPr>
          <w:instrText xml:space="preserve"> PAGEREF _Toc198539656 \h </w:instrText>
        </w:r>
        <w:r w:rsidR="009A4683">
          <w:rPr>
            <w:noProof/>
            <w:webHidden/>
          </w:rPr>
        </w:r>
        <w:r w:rsidR="009A4683">
          <w:rPr>
            <w:noProof/>
            <w:webHidden/>
          </w:rPr>
          <w:fldChar w:fldCharType="separate"/>
        </w:r>
        <w:r w:rsidR="002A2571">
          <w:rPr>
            <w:noProof/>
            <w:webHidden/>
          </w:rPr>
          <w:t>45</w:t>
        </w:r>
        <w:r w:rsidR="009A4683">
          <w:rPr>
            <w:noProof/>
            <w:webHidden/>
          </w:rPr>
          <w:fldChar w:fldCharType="end"/>
        </w:r>
      </w:hyperlink>
    </w:p>
    <w:p w14:paraId="2D8986F3" w14:textId="6CDD23E2"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57" w:history="1">
        <w:r w:rsidR="009A4683" w:rsidRPr="00331BAD">
          <w:rPr>
            <w:rStyle w:val="Hyperlink"/>
            <w:noProof/>
          </w:rPr>
          <w:t>CREDIT STRUCTURE AND CASHFLOW</w:t>
        </w:r>
        <w:r w:rsidR="009A4683">
          <w:rPr>
            <w:noProof/>
            <w:webHidden/>
          </w:rPr>
          <w:tab/>
        </w:r>
        <w:r w:rsidR="009A4683">
          <w:rPr>
            <w:noProof/>
            <w:webHidden/>
          </w:rPr>
          <w:fldChar w:fldCharType="begin"/>
        </w:r>
        <w:r w:rsidR="009A4683">
          <w:rPr>
            <w:noProof/>
            <w:webHidden/>
          </w:rPr>
          <w:instrText xml:space="preserve"> PAGEREF _Toc198539657 \h </w:instrText>
        </w:r>
        <w:r w:rsidR="009A4683">
          <w:rPr>
            <w:noProof/>
            <w:webHidden/>
          </w:rPr>
        </w:r>
        <w:r w:rsidR="009A4683">
          <w:rPr>
            <w:noProof/>
            <w:webHidden/>
          </w:rPr>
          <w:fldChar w:fldCharType="separate"/>
        </w:r>
        <w:r w:rsidR="002A2571">
          <w:rPr>
            <w:noProof/>
            <w:webHidden/>
          </w:rPr>
          <w:t>46</w:t>
        </w:r>
        <w:r w:rsidR="009A4683">
          <w:rPr>
            <w:noProof/>
            <w:webHidden/>
          </w:rPr>
          <w:fldChar w:fldCharType="end"/>
        </w:r>
      </w:hyperlink>
    </w:p>
    <w:p w14:paraId="100AE83B" w14:textId="47967996"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58" w:history="1">
        <w:r w:rsidR="009A4683" w:rsidRPr="00331BAD">
          <w:rPr>
            <w:rStyle w:val="Hyperlink"/>
            <w:noProof/>
          </w:rPr>
          <w:t>DESCRIPTION OF THE PARTIES</w:t>
        </w:r>
        <w:r w:rsidR="009A4683">
          <w:rPr>
            <w:noProof/>
            <w:webHidden/>
          </w:rPr>
          <w:tab/>
        </w:r>
        <w:r w:rsidR="009A4683">
          <w:rPr>
            <w:noProof/>
            <w:webHidden/>
          </w:rPr>
          <w:fldChar w:fldCharType="begin"/>
        </w:r>
        <w:r w:rsidR="009A4683">
          <w:rPr>
            <w:noProof/>
            <w:webHidden/>
          </w:rPr>
          <w:instrText xml:space="preserve"> PAGEREF _Toc198539658 \h </w:instrText>
        </w:r>
        <w:r w:rsidR="009A4683">
          <w:rPr>
            <w:noProof/>
            <w:webHidden/>
          </w:rPr>
        </w:r>
        <w:r w:rsidR="009A4683">
          <w:rPr>
            <w:noProof/>
            <w:webHidden/>
          </w:rPr>
          <w:fldChar w:fldCharType="separate"/>
        </w:r>
        <w:r w:rsidR="002A2571">
          <w:rPr>
            <w:noProof/>
            <w:webHidden/>
          </w:rPr>
          <w:t>67</w:t>
        </w:r>
        <w:r w:rsidR="009A4683">
          <w:rPr>
            <w:noProof/>
            <w:webHidden/>
          </w:rPr>
          <w:fldChar w:fldCharType="end"/>
        </w:r>
      </w:hyperlink>
    </w:p>
    <w:p w14:paraId="0D7BCBA5" w14:textId="4817DC9A"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59" w:history="1">
        <w:r w:rsidR="009A4683" w:rsidRPr="00331BAD">
          <w:rPr>
            <w:rStyle w:val="Hyperlink"/>
            <w:noProof/>
          </w:rPr>
          <w:t>CREDIT ENHANCEMENT AND LIQUIDITY</w:t>
        </w:r>
        <w:r w:rsidR="009A4683">
          <w:rPr>
            <w:noProof/>
            <w:webHidden/>
          </w:rPr>
          <w:tab/>
        </w:r>
        <w:r w:rsidR="009A4683">
          <w:rPr>
            <w:noProof/>
            <w:webHidden/>
          </w:rPr>
          <w:fldChar w:fldCharType="begin"/>
        </w:r>
        <w:r w:rsidR="009A4683">
          <w:rPr>
            <w:noProof/>
            <w:webHidden/>
          </w:rPr>
          <w:instrText xml:space="preserve"> PAGEREF _Toc198539659 \h </w:instrText>
        </w:r>
        <w:r w:rsidR="009A4683">
          <w:rPr>
            <w:noProof/>
            <w:webHidden/>
          </w:rPr>
        </w:r>
        <w:r w:rsidR="009A4683">
          <w:rPr>
            <w:noProof/>
            <w:webHidden/>
          </w:rPr>
          <w:fldChar w:fldCharType="separate"/>
        </w:r>
        <w:r w:rsidR="002A2571">
          <w:rPr>
            <w:noProof/>
            <w:webHidden/>
          </w:rPr>
          <w:t>76</w:t>
        </w:r>
        <w:r w:rsidR="009A4683">
          <w:rPr>
            <w:noProof/>
            <w:webHidden/>
          </w:rPr>
          <w:fldChar w:fldCharType="end"/>
        </w:r>
      </w:hyperlink>
    </w:p>
    <w:p w14:paraId="614032DC" w14:textId="2B792411"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0" w:history="1">
        <w:r w:rsidR="009A4683" w:rsidRPr="00331BAD">
          <w:rPr>
            <w:rStyle w:val="Hyperlink"/>
            <w:noProof/>
          </w:rPr>
          <w:t>ELIGIBILITY CRITERIA</w:t>
        </w:r>
        <w:r w:rsidR="009A4683">
          <w:rPr>
            <w:noProof/>
            <w:webHidden/>
          </w:rPr>
          <w:tab/>
        </w:r>
        <w:r w:rsidR="009A4683">
          <w:rPr>
            <w:noProof/>
            <w:webHidden/>
          </w:rPr>
          <w:fldChar w:fldCharType="begin"/>
        </w:r>
        <w:r w:rsidR="009A4683">
          <w:rPr>
            <w:noProof/>
            <w:webHidden/>
          </w:rPr>
          <w:instrText xml:space="preserve"> PAGEREF _Toc198539660 \h </w:instrText>
        </w:r>
        <w:r w:rsidR="009A4683">
          <w:rPr>
            <w:noProof/>
            <w:webHidden/>
          </w:rPr>
        </w:r>
        <w:r w:rsidR="009A4683">
          <w:rPr>
            <w:noProof/>
            <w:webHidden/>
          </w:rPr>
          <w:fldChar w:fldCharType="separate"/>
        </w:r>
        <w:r w:rsidR="002A2571">
          <w:rPr>
            <w:noProof/>
            <w:webHidden/>
          </w:rPr>
          <w:t>80</w:t>
        </w:r>
        <w:r w:rsidR="009A4683">
          <w:rPr>
            <w:noProof/>
            <w:webHidden/>
          </w:rPr>
          <w:fldChar w:fldCharType="end"/>
        </w:r>
      </w:hyperlink>
    </w:p>
    <w:p w14:paraId="76EC0B6B" w14:textId="26D0F93F"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1" w:history="1">
        <w:r w:rsidR="009A4683" w:rsidRPr="00331BAD">
          <w:rPr>
            <w:rStyle w:val="Hyperlink"/>
            <w:noProof/>
          </w:rPr>
          <w:t>FURTHER INFORMATION ON THE NOTES WEIGHTED AVERAGE LIFE OF THE NOTES</w:t>
        </w:r>
        <w:r w:rsidR="009A4683">
          <w:rPr>
            <w:noProof/>
            <w:webHidden/>
          </w:rPr>
          <w:tab/>
        </w:r>
        <w:r w:rsidR="009A4683">
          <w:rPr>
            <w:noProof/>
            <w:webHidden/>
          </w:rPr>
          <w:fldChar w:fldCharType="begin"/>
        </w:r>
        <w:r w:rsidR="009A4683">
          <w:rPr>
            <w:noProof/>
            <w:webHidden/>
          </w:rPr>
          <w:instrText xml:space="preserve"> PAGEREF _Toc198539661 \h </w:instrText>
        </w:r>
        <w:r w:rsidR="009A4683">
          <w:rPr>
            <w:noProof/>
            <w:webHidden/>
          </w:rPr>
        </w:r>
        <w:r w:rsidR="009A4683">
          <w:rPr>
            <w:noProof/>
            <w:webHidden/>
          </w:rPr>
          <w:fldChar w:fldCharType="separate"/>
        </w:r>
        <w:r w:rsidR="002A2571">
          <w:rPr>
            <w:noProof/>
            <w:webHidden/>
          </w:rPr>
          <w:t>84</w:t>
        </w:r>
        <w:r w:rsidR="009A4683">
          <w:rPr>
            <w:noProof/>
            <w:webHidden/>
          </w:rPr>
          <w:fldChar w:fldCharType="end"/>
        </w:r>
      </w:hyperlink>
    </w:p>
    <w:p w14:paraId="587EFE7B" w14:textId="48CD23C3"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2" w:history="1">
        <w:r w:rsidR="009A4683" w:rsidRPr="00331BAD">
          <w:rPr>
            <w:rStyle w:val="Hyperlink"/>
            <w:noProof/>
          </w:rPr>
          <w:t>RATING OF THE NOTES</w:t>
        </w:r>
        <w:r w:rsidR="009A4683">
          <w:rPr>
            <w:noProof/>
            <w:webHidden/>
          </w:rPr>
          <w:tab/>
        </w:r>
        <w:r w:rsidR="009A4683">
          <w:rPr>
            <w:noProof/>
            <w:webHidden/>
          </w:rPr>
          <w:fldChar w:fldCharType="begin"/>
        </w:r>
        <w:r w:rsidR="009A4683">
          <w:rPr>
            <w:noProof/>
            <w:webHidden/>
          </w:rPr>
          <w:instrText xml:space="preserve"> PAGEREF _Toc198539662 \h </w:instrText>
        </w:r>
        <w:r w:rsidR="009A4683">
          <w:rPr>
            <w:noProof/>
            <w:webHidden/>
          </w:rPr>
        </w:r>
        <w:r w:rsidR="009A4683">
          <w:rPr>
            <w:noProof/>
            <w:webHidden/>
          </w:rPr>
          <w:fldChar w:fldCharType="separate"/>
        </w:r>
        <w:r w:rsidR="002A2571">
          <w:rPr>
            <w:noProof/>
            <w:webHidden/>
          </w:rPr>
          <w:t>88</w:t>
        </w:r>
        <w:r w:rsidR="009A4683">
          <w:rPr>
            <w:noProof/>
            <w:webHidden/>
          </w:rPr>
          <w:fldChar w:fldCharType="end"/>
        </w:r>
      </w:hyperlink>
    </w:p>
    <w:p w14:paraId="1AF5A335" w14:textId="7050B1E6"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3" w:history="1">
        <w:r w:rsidR="009A4683" w:rsidRPr="00331BAD">
          <w:rPr>
            <w:rStyle w:val="Hyperlink"/>
            <w:noProof/>
          </w:rPr>
          <w:t>VERIFICATION BY PCS</w:t>
        </w:r>
        <w:r w:rsidR="009A4683">
          <w:rPr>
            <w:noProof/>
            <w:webHidden/>
          </w:rPr>
          <w:tab/>
        </w:r>
        <w:r w:rsidR="009A4683">
          <w:rPr>
            <w:noProof/>
            <w:webHidden/>
          </w:rPr>
          <w:fldChar w:fldCharType="begin"/>
        </w:r>
        <w:r w:rsidR="009A4683">
          <w:rPr>
            <w:noProof/>
            <w:webHidden/>
          </w:rPr>
          <w:instrText xml:space="preserve"> PAGEREF _Toc198539663 \h </w:instrText>
        </w:r>
        <w:r w:rsidR="009A4683">
          <w:rPr>
            <w:noProof/>
            <w:webHidden/>
          </w:rPr>
        </w:r>
        <w:r w:rsidR="009A4683">
          <w:rPr>
            <w:noProof/>
            <w:webHidden/>
          </w:rPr>
          <w:fldChar w:fldCharType="separate"/>
        </w:r>
        <w:r w:rsidR="002A2571">
          <w:rPr>
            <w:noProof/>
            <w:webHidden/>
          </w:rPr>
          <w:t>90</w:t>
        </w:r>
        <w:r w:rsidR="009A4683">
          <w:rPr>
            <w:noProof/>
            <w:webHidden/>
          </w:rPr>
          <w:fldChar w:fldCharType="end"/>
        </w:r>
      </w:hyperlink>
    </w:p>
    <w:p w14:paraId="5C82D8A8" w14:textId="5614BB0A"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4" w:history="1">
        <w:r w:rsidR="009A4683" w:rsidRPr="00331BAD">
          <w:rPr>
            <w:rStyle w:val="Hyperlink"/>
            <w:noProof/>
          </w:rPr>
          <w:t>THE SELLER, THE SERVICER AND THE LEASE RECEIVABLES</w:t>
        </w:r>
        <w:r w:rsidR="009A4683">
          <w:rPr>
            <w:noProof/>
            <w:webHidden/>
          </w:rPr>
          <w:tab/>
        </w:r>
        <w:r w:rsidR="009A4683">
          <w:rPr>
            <w:noProof/>
            <w:webHidden/>
          </w:rPr>
          <w:fldChar w:fldCharType="begin"/>
        </w:r>
        <w:r w:rsidR="009A4683">
          <w:rPr>
            <w:noProof/>
            <w:webHidden/>
          </w:rPr>
          <w:instrText xml:space="preserve"> PAGEREF _Toc198539664 \h </w:instrText>
        </w:r>
        <w:r w:rsidR="009A4683">
          <w:rPr>
            <w:noProof/>
            <w:webHidden/>
          </w:rPr>
        </w:r>
        <w:r w:rsidR="009A4683">
          <w:rPr>
            <w:noProof/>
            <w:webHidden/>
          </w:rPr>
          <w:fldChar w:fldCharType="separate"/>
        </w:r>
        <w:r w:rsidR="002A2571">
          <w:rPr>
            <w:noProof/>
            <w:webHidden/>
          </w:rPr>
          <w:t>92</w:t>
        </w:r>
        <w:r w:rsidR="009A4683">
          <w:rPr>
            <w:noProof/>
            <w:webHidden/>
          </w:rPr>
          <w:fldChar w:fldCharType="end"/>
        </w:r>
      </w:hyperlink>
    </w:p>
    <w:p w14:paraId="22BE8BE9" w14:textId="7CA15BF1"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5" w:history="1">
        <w:r w:rsidR="009A4683" w:rsidRPr="00331BAD">
          <w:rPr>
            <w:rStyle w:val="Hyperlink"/>
            <w:noProof/>
          </w:rPr>
          <w:t>TERMS AND CONDITIONS OF THE NOTES</w:t>
        </w:r>
        <w:r w:rsidR="009A4683">
          <w:rPr>
            <w:noProof/>
            <w:webHidden/>
          </w:rPr>
          <w:tab/>
        </w:r>
        <w:r w:rsidR="009A4683">
          <w:rPr>
            <w:noProof/>
            <w:webHidden/>
          </w:rPr>
          <w:fldChar w:fldCharType="begin"/>
        </w:r>
        <w:r w:rsidR="009A4683">
          <w:rPr>
            <w:noProof/>
            <w:webHidden/>
          </w:rPr>
          <w:instrText xml:space="preserve"> PAGEREF _Toc198539665 \h </w:instrText>
        </w:r>
        <w:r w:rsidR="009A4683">
          <w:rPr>
            <w:noProof/>
            <w:webHidden/>
          </w:rPr>
        </w:r>
        <w:r w:rsidR="009A4683">
          <w:rPr>
            <w:noProof/>
            <w:webHidden/>
          </w:rPr>
          <w:fldChar w:fldCharType="separate"/>
        </w:r>
        <w:r w:rsidR="002A2571">
          <w:rPr>
            <w:noProof/>
            <w:webHidden/>
          </w:rPr>
          <w:t>120</w:t>
        </w:r>
        <w:r w:rsidR="009A4683">
          <w:rPr>
            <w:noProof/>
            <w:webHidden/>
          </w:rPr>
          <w:fldChar w:fldCharType="end"/>
        </w:r>
      </w:hyperlink>
    </w:p>
    <w:p w14:paraId="030A2C2F" w14:textId="244BCF97"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6" w:history="1">
        <w:r w:rsidR="009A4683" w:rsidRPr="00331BAD">
          <w:rPr>
            <w:rStyle w:val="Hyperlink"/>
            <w:noProof/>
          </w:rPr>
          <w:t>ANNEX A MASTER AGREEMENT DEFINITONS SCHEDULE</w:t>
        </w:r>
        <w:r w:rsidR="009A4683">
          <w:rPr>
            <w:noProof/>
            <w:webHidden/>
          </w:rPr>
          <w:tab/>
        </w:r>
        <w:r w:rsidR="009A4683">
          <w:rPr>
            <w:noProof/>
            <w:webHidden/>
          </w:rPr>
          <w:fldChar w:fldCharType="begin"/>
        </w:r>
        <w:r w:rsidR="009A4683">
          <w:rPr>
            <w:noProof/>
            <w:webHidden/>
          </w:rPr>
          <w:instrText xml:space="preserve"> PAGEREF _Toc198539666 \h </w:instrText>
        </w:r>
        <w:r w:rsidR="009A4683">
          <w:rPr>
            <w:noProof/>
            <w:webHidden/>
          </w:rPr>
        </w:r>
        <w:r w:rsidR="009A4683">
          <w:rPr>
            <w:noProof/>
            <w:webHidden/>
          </w:rPr>
          <w:fldChar w:fldCharType="separate"/>
        </w:r>
        <w:r w:rsidR="002A2571">
          <w:rPr>
            <w:noProof/>
            <w:webHidden/>
          </w:rPr>
          <w:t>140</w:t>
        </w:r>
        <w:r w:rsidR="009A4683">
          <w:rPr>
            <w:noProof/>
            <w:webHidden/>
          </w:rPr>
          <w:fldChar w:fldCharType="end"/>
        </w:r>
      </w:hyperlink>
    </w:p>
    <w:p w14:paraId="384DC5F1" w14:textId="1EFEAB33"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7" w:history="1">
        <w:r w:rsidR="009A4683" w:rsidRPr="00331BAD">
          <w:rPr>
            <w:rStyle w:val="Hyperlink"/>
            <w:noProof/>
          </w:rPr>
          <w:t>ANNEX B PRIORITY OF PAYMENTS SCHEDULE</w:t>
        </w:r>
        <w:r w:rsidR="009A4683">
          <w:rPr>
            <w:noProof/>
            <w:webHidden/>
          </w:rPr>
          <w:tab/>
        </w:r>
        <w:r w:rsidR="009A4683">
          <w:rPr>
            <w:noProof/>
            <w:webHidden/>
          </w:rPr>
          <w:fldChar w:fldCharType="begin"/>
        </w:r>
        <w:r w:rsidR="009A4683">
          <w:rPr>
            <w:noProof/>
            <w:webHidden/>
          </w:rPr>
          <w:instrText xml:space="preserve"> PAGEREF _Toc198539667 \h </w:instrText>
        </w:r>
        <w:r w:rsidR="009A4683">
          <w:rPr>
            <w:noProof/>
            <w:webHidden/>
          </w:rPr>
        </w:r>
        <w:r w:rsidR="009A4683">
          <w:rPr>
            <w:noProof/>
            <w:webHidden/>
          </w:rPr>
          <w:fldChar w:fldCharType="separate"/>
        </w:r>
        <w:r w:rsidR="002A2571">
          <w:rPr>
            <w:noProof/>
            <w:webHidden/>
          </w:rPr>
          <w:t>186</w:t>
        </w:r>
        <w:r w:rsidR="009A4683">
          <w:rPr>
            <w:noProof/>
            <w:webHidden/>
          </w:rPr>
          <w:fldChar w:fldCharType="end"/>
        </w:r>
      </w:hyperlink>
    </w:p>
    <w:p w14:paraId="1AAF713E" w14:textId="66130EC4"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8" w:history="1">
        <w:r w:rsidR="009A4683" w:rsidRPr="00331BAD">
          <w:rPr>
            <w:rStyle w:val="Hyperlink"/>
            <w:noProof/>
          </w:rPr>
          <w:t>ANNEX C COLLATERAL AGENCY AGREEMENT</w:t>
        </w:r>
        <w:r w:rsidR="009A4683">
          <w:rPr>
            <w:noProof/>
            <w:webHidden/>
          </w:rPr>
          <w:tab/>
        </w:r>
        <w:r w:rsidR="009A4683">
          <w:rPr>
            <w:noProof/>
            <w:webHidden/>
          </w:rPr>
          <w:fldChar w:fldCharType="begin"/>
        </w:r>
        <w:r w:rsidR="009A4683">
          <w:rPr>
            <w:noProof/>
            <w:webHidden/>
          </w:rPr>
          <w:instrText xml:space="preserve"> PAGEREF _Toc198539668 \h </w:instrText>
        </w:r>
        <w:r w:rsidR="009A4683">
          <w:rPr>
            <w:noProof/>
            <w:webHidden/>
          </w:rPr>
        </w:r>
        <w:r w:rsidR="009A4683">
          <w:rPr>
            <w:noProof/>
            <w:webHidden/>
          </w:rPr>
          <w:fldChar w:fldCharType="separate"/>
        </w:r>
        <w:r w:rsidR="002A2571">
          <w:rPr>
            <w:noProof/>
            <w:webHidden/>
          </w:rPr>
          <w:t>195</w:t>
        </w:r>
        <w:r w:rsidR="009A4683">
          <w:rPr>
            <w:noProof/>
            <w:webHidden/>
          </w:rPr>
          <w:fldChar w:fldCharType="end"/>
        </w:r>
      </w:hyperlink>
    </w:p>
    <w:p w14:paraId="579814F7" w14:textId="68B3AD4F"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69" w:history="1">
        <w:r w:rsidR="009A4683" w:rsidRPr="00331BAD">
          <w:rPr>
            <w:rStyle w:val="Hyperlink"/>
            <w:noProof/>
          </w:rPr>
          <w:t>ANNEX D ER COLLATERAL AGENCY AGREEMENT</w:t>
        </w:r>
        <w:r w:rsidR="009A4683">
          <w:rPr>
            <w:noProof/>
            <w:webHidden/>
          </w:rPr>
          <w:tab/>
        </w:r>
        <w:r w:rsidR="009A4683">
          <w:rPr>
            <w:noProof/>
            <w:webHidden/>
          </w:rPr>
          <w:fldChar w:fldCharType="begin"/>
        </w:r>
        <w:r w:rsidR="009A4683">
          <w:rPr>
            <w:noProof/>
            <w:webHidden/>
          </w:rPr>
          <w:instrText xml:space="preserve"> PAGEREF _Toc198539669 \h </w:instrText>
        </w:r>
        <w:r w:rsidR="009A4683">
          <w:rPr>
            <w:noProof/>
            <w:webHidden/>
          </w:rPr>
        </w:r>
        <w:r w:rsidR="009A4683">
          <w:rPr>
            <w:noProof/>
            <w:webHidden/>
          </w:rPr>
          <w:fldChar w:fldCharType="separate"/>
        </w:r>
        <w:r w:rsidR="002A2571">
          <w:rPr>
            <w:noProof/>
            <w:webHidden/>
          </w:rPr>
          <w:t>213</w:t>
        </w:r>
        <w:r w:rsidR="009A4683">
          <w:rPr>
            <w:noProof/>
            <w:webHidden/>
          </w:rPr>
          <w:fldChar w:fldCharType="end"/>
        </w:r>
      </w:hyperlink>
    </w:p>
    <w:p w14:paraId="00691F7A" w14:textId="0F7D7CD9"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70" w:history="1">
        <w:r w:rsidR="009A4683" w:rsidRPr="00331BAD">
          <w:rPr>
            <w:rStyle w:val="Hyperlink"/>
            <w:noProof/>
          </w:rPr>
          <w:t>DESCRIPTION OF CERTAIN TRANSACTION DOCUMENTS</w:t>
        </w:r>
        <w:r w:rsidR="009A4683">
          <w:rPr>
            <w:noProof/>
            <w:webHidden/>
          </w:rPr>
          <w:tab/>
        </w:r>
        <w:r w:rsidR="009A4683">
          <w:rPr>
            <w:noProof/>
            <w:webHidden/>
          </w:rPr>
          <w:fldChar w:fldCharType="begin"/>
        </w:r>
        <w:r w:rsidR="009A4683">
          <w:rPr>
            <w:noProof/>
            <w:webHidden/>
          </w:rPr>
          <w:instrText xml:space="preserve"> PAGEREF _Toc198539670 \h </w:instrText>
        </w:r>
        <w:r w:rsidR="009A4683">
          <w:rPr>
            <w:noProof/>
            <w:webHidden/>
          </w:rPr>
        </w:r>
        <w:r w:rsidR="009A4683">
          <w:rPr>
            <w:noProof/>
            <w:webHidden/>
          </w:rPr>
          <w:fldChar w:fldCharType="separate"/>
        </w:r>
        <w:r w:rsidR="002A2571">
          <w:rPr>
            <w:noProof/>
            <w:webHidden/>
          </w:rPr>
          <w:t>226</w:t>
        </w:r>
        <w:r w:rsidR="009A4683">
          <w:rPr>
            <w:noProof/>
            <w:webHidden/>
          </w:rPr>
          <w:fldChar w:fldCharType="end"/>
        </w:r>
      </w:hyperlink>
    </w:p>
    <w:p w14:paraId="5BE93355" w14:textId="01BA89F4"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71" w:history="1">
        <w:r w:rsidR="009A4683" w:rsidRPr="00331BAD">
          <w:rPr>
            <w:rStyle w:val="Hyperlink"/>
            <w:noProof/>
          </w:rPr>
          <w:t>TAXATION</w:t>
        </w:r>
        <w:r w:rsidR="009A4683">
          <w:rPr>
            <w:noProof/>
            <w:webHidden/>
          </w:rPr>
          <w:tab/>
        </w:r>
        <w:r w:rsidR="009A4683">
          <w:rPr>
            <w:noProof/>
            <w:webHidden/>
          </w:rPr>
          <w:fldChar w:fldCharType="begin"/>
        </w:r>
        <w:r w:rsidR="009A4683">
          <w:rPr>
            <w:noProof/>
            <w:webHidden/>
          </w:rPr>
          <w:instrText xml:space="preserve"> PAGEREF _Toc198539671 \h </w:instrText>
        </w:r>
        <w:r w:rsidR="009A4683">
          <w:rPr>
            <w:noProof/>
            <w:webHidden/>
          </w:rPr>
        </w:r>
        <w:r w:rsidR="009A4683">
          <w:rPr>
            <w:noProof/>
            <w:webHidden/>
          </w:rPr>
          <w:fldChar w:fldCharType="separate"/>
        </w:r>
        <w:r w:rsidR="002A2571">
          <w:rPr>
            <w:noProof/>
            <w:webHidden/>
          </w:rPr>
          <w:t>241</w:t>
        </w:r>
        <w:r w:rsidR="009A4683">
          <w:rPr>
            <w:noProof/>
            <w:webHidden/>
          </w:rPr>
          <w:fldChar w:fldCharType="end"/>
        </w:r>
      </w:hyperlink>
    </w:p>
    <w:p w14:paraId="1C631D92" w14:textId="173363DC"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72" w:history="1">
        <w:r w:rsidR="009A4683" w:rsidRPr="00331BAD">
          <w:rPr>
            <w:rStyle w:val="Hyperlink"/>
            <w:noProof/>
          </w:rPr>
          <w:t>SENIOR EXPENSES</w:t>
        </w:r>
        <w:r w:rsidR="009A4683">
          <w:rPr>
            <w:noProof/>
            <w:webHidden/>
          </w:rPr>
          <w:tab/>
        </w:r>
        <w:r w:rsidR="009A4683">
          <w:rPr>
            <w:noProof/>
            <w:webHidden/>
          </w:rPr>
          <w:fldChar w:fldCharType="begin"/>
        </w:r>
        <w:r w:rsidR="009A4683">
          <w:rPr>
            <w:noProof/>
            <w:webHidden/>
          </w:rPr>
          <w:instrText xml:space="preserve"> PAGEREF _Toc198539672 \h </w:instrText>
        </w:r>
        <w:r w:rsidR="009A4683">
          <w:rPr>
            <w:noProof/>
            <w:webHidden/>
          </w:rPr>
        </w:r>
        <w:r w:rsidR="009A4683">
          <w:rPr>
            <w:noProof/>
            <w:webHidden/>
          </w:rPr>
          <w:fldChar w:fldCharType="separate"/>
        </w:r>
        <w:r w:rsidR="002A2571">
          <w:rPr>
            <w:noProof/>
            <w:webHidden/>
          </w:rPr>
          <w:t>242</w:t>
        </w:r>
        <w:r w:rsidR="009A4683">
          <w:rPr>
            <w:noProof/>
            <w:webHidden/>
          </w:rPr>
          <w:fldChar w:fldCharType="end"/>
        </w:r>
      </w:hyperlink>
    </w:p>
    <w:p w14:paraId="21723C2A" w14:textId="45C73D43"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73" w:history="1">
        <w:r w:rsidR="009A4683" w:rsidRPr="00331BAD">
          <w:rPr>
            <w:rStyle w:val="Hyperlink"/>
            <w:noProof/>
          </w:rPr>
          <w:t>SUBSCRIPTION AND SALE</w:t>
        </w:r>
        <w:r w:rsidR="009A4683">
          <w:rPr>
            <w:noProof/>
            <w:webHidden/>
          </w:rPr>
          <w:tab/>
        </w:r>
        <w:r w:rsidR="009A4683">
          <w:rPr>
            <w:noProof/>
            <w:webHidden/>
          </w:rPr>
          <w:fldChar w:fldCharType="begin"/>
        </w:r>
        <w:r w:rsidR="009A4683">
          <w:rPr>
            <w:noProof/>
            <w:webHidden/>
          </w:rPr>
          <w:instrText xml:space="preserve"> PAGEREF _Toc198539673 \h </w:instrText>
        </w:r>
        <w:r w:rsidR="009A4683">
          <w:rPr>
            <w:noProof/>
            <w:webHidden/>
          </w:rPr>
        </w:r>
        <w:r w:rsidR="009A4683">
          <w:rPr>
            <w:noProof/>
            <w:webHidden/>
          </w:rPr>
          <w:fldChar w:fldCharType="separate"/>
        </w:r>
        <w:r w:rsidR="002A2571">
          <w:rPr>
            <w:noProof/>
            <w:webHidden/>
          </w:rPr>
          <w:t>243</w:t>
        </w:r>
        <w:r w:rsidR="009A4683">
          <w:rPr>
            <w:noProof/>
            <w:webHidden/>
          </w:rPr>
          <w:fldChar w:fldCharType="end"/>
        </w:r>
      </w:hyperlink>
    </w:p>
    <w:p w14:paraId="367ACDBB" w14:textId="3D276A36"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74" w:history="1">
        <w:r w:rsidR="009A4683" w:rsidRPr="00331BAD">
          <w:rPr>
            <w:rStyle w:val="Hyperlink"/>
            <w:noProof/>
          </w:rPr>
          <w:t>SELLING RESTRICTIONS UNDER THE NOTES SUBSCRIPTION AGREEMENT</w:t>
        </w:r>
        <w:r w:rsidR="009A4683">
          <w:rPr>
            <w:noProof/>
            <w:webHidden/>
          </w:rPr>
          <w:tab/>
        </w:r>
        <w:r w:rsidR="009A4683">
          <w:rPr>
            <w:noProof/>
            <w:webHidden/>
          </w:rPr>
          <w:fldChar w:fldCharType="begin"/>
        </w:r>
        <w:r w:rsidR="009A4683">
          <w:rPr>
            <w:noProof/>
            <w:webHidden/>
          </w:rPr>
          <w:instrText xml:space="preserve"> PAGEREF _Toc198539674 \h </w:instrText>
        </w:r>
        <w:r w:rsidR="009A4683">
          <w:rPr>
            <w:noProof/>
            <w:webHidden/>
          </w:rPr>
        </w:r>
        <w:r w:rsidR="009A4683">
          <w:rPr>
            <w:noProof/>
            <w:webHidden/>
          </w:rPr>
          <w:fldChar w:fldCharType="separate"/>
        </w:r>
        <w:r w:rsidR="002A2571">
          <w:rPr>
            <w:noProof/>
            <w:webHidden/>
          </w:rPr>
          <w:t>245</w:t>
        </w:r>
        <w:r w:rsidR="009A4683">
          <w:rPr>
            <w:noProof/>
            <w:webHidden/>
          </w:rPr>
          <w:fldChar w:fldCharType="end"/>
        </w:r>
      </w:hyperlink>
    </w:p>
    <w:p w14:paraId="20335ACC" w14:textId="3EEDF59C" w:rsidR="009A4683" w:rsidRDefault="008305FF">
      <w:pPr>
        <w:pStyle w:val="TOC1"/>
        <w:rPr>
          <w:rFonts w:asciiTheme="minorHAnsi" w:eastAsiaTheme="minorEastAsia" w:hAnsiTheme="minorHAnsi" w:cstheme="minorBidi"/>
          <w:b w:val="0"/>
          <w:smallCaps w:val="0"/>
          <w:noProof/>
          <w:kern w:val="2"/>
          <w:sz w:val="24"/>
          <w:szCs w:val="24"/>
          <w:lang w:val="de-DE" w:eastAsia="de-DE"/>
          <w14:ligatures w14:val="standardContextual"/>
        </w:rPr>
      </w:pPr>
      <w:hyperlink w:anchor="_Toc198539675" w:history="1">
        <w:r w:rsidR="009A4683" w:rsidRPr="00331BAD">
          <w:rPr>
            <w:rStyle w:val="Hyperlink"/>
            <w:noProof/>
          </w:rPr>
          <w:t>GENERAL INFORMATION</w:t>
        </w:r>
        <w:r w:rsidR="009A4683">
          <w:rPr>
            <w:noProof/>
            <w:webHidden/>
          </w:rPr>
          <w:tab/>
        </w:r>
        <w:r w:rsidR="009A4683">
          <w:rPr>
            <w:noProof/>
            <w:webHidden/>
          </w:rPr>
          <w:fldChar w:fldCharType="begin"/>
        </w:r>
        <w:r w:rsidR="009A4683">
          <w:rPr>
            <w:noProof/>
            <w:webHidden/>
          </w:rPr>
          <w:instrText xml:space="preserve"> PAGEREF _Toc198539675 \h </w:instrText>
        </w:r>
        <w:r w:rsidR="009A4683">
          <w:rPr>
            <w:noProof/>
            <w:webHidden/>
          </w:rPr>
        </w:r>
        <w:r w:rsidR="009A4683">
          <w:rPr>
            <w:noProof/>
            <w:webHidden/>
          </w:rPr>
          <w:fldChar w:fldCharType="separate"/>
        </w:r>
        <w:r w:rsidR="002A2571">
          <w:rPr>
            <w:noProof/>
            <w:webHidden/>
          </w:rPr>
          <w:t>250</w:t>
        </w:r>
        <w:r w:rsidR="009A4683">
          <w:rPr>
            <w:noProof/>
            <w:webHidden/>
          </w:rPr>
          <w:fldChar w:fldCharType="end"/>
        </w:r>
      </w:hyperlink>
    </w:p>
    <w:p w14:paraId="66CEE82E" w14:textId="6D2F121B" w:rsidR="009A4683" w:rsidRDefault="009A4683" w:rsidP="00EF7333">
      <w:pPr>
        <w:pStyle w:val="Body1"/>
      </w:pPr>
      <w:r>
        <w:fldChar w:fldCharType="end"/>
      </w:r>
    </w:p>
    <w:p w14:paraId="485EB229" w14:textId="0D112BED" w:rsidR="009F6E91" w:rsidRPr="00D427D8" w:rsidRDefault="009F6E91" w:rsidP="00EF7333">
      <w:pPr>
        <w:pStyle w:val="Body1"/>
      </w:pPr>
      <w:r w:rsidRPr="00D427D8">
        <w:br w:type="page"/>
      </w:r>
    </w:p>
    <w:p w14:paraId="73E5B0D3" w14:textId="77777777" w:rsidR="009F6E91" w:rsidRPr="00D427D8" w:rsidRDefault="009F6E91" w:rsidP="0084402B">
      <w:pPr>
        <w:pStyle w:val="CentredHeading"/>
      </w:pPr>
      <w:bookmarkStart w:id="5" w:name="_Toc194046494"/>
      <w:bookmarkStart w:id="6" w:name="_Toc198539653"/>
      <w:r w:rsidRPr="00D427D8">
        <w:lastRenderedPageBreak/>
        <w:t>RISK FACTORS</w:t>
      </w:r>
      <w:bookmarkEnd w:id="5"/>
      <w:bookmarkEnd w:id="6"/>
    </w:p>
    <w:p w14:paraId="4DBD7800" w14:textId="77777777" w:rsidR="009F6E91" w:rsidRPr="00D427D8" w:rsidRDefault="009F6E91" w:rsidP="009F6E91">
      <w:pPr>
        <w:pStyle w:val="Body1"/>
        <w:rPr>
          <w:rStyle w:val="BoldText"/>
        </w:rPr>
      </w:pPr>
      <w:r w:rsidRPr="00D427D8">
        <w:rPr>
          <w:rStyle w:val="BoldText"/>
        </w:rPr>
        <w:t>The following is an overview of risk factors which prospective investors should consider before deciding to purchase the Notes. While the Issuer believes that the following statements describe the material risk factors in relation to the Issuer and the material risk factors inherent to the Notes and are up to date as of the date of this Prospectus, prospective investors are requested to consider all the information in this Prospectus, make such other enquiries and investigations as they consider appropriate and reach their own views prior to making any investments decisions.</w:t>
      </w:r>
    </w:p>
    <w:p w14:paraId="78B180D2" w14:textId="77777777" w:rsidR="009F6E91" w:rsidRPr="00D427D8" w:rsidRDefault="009F6E91" w:rsidP="009F6E91">
      <w:pPr>
        <w:pStyle w:val="Body1"/>
        <w:rPr>
          <w:rStyle w:val="BoldText"/>
        </w:rPr>
      </w:pPr>
      <w:r w:rsidRPr="00D427D8">
        <w:rPr>
          <w:rStyle w:val="BoldText"/>
        </w:rPr>
        <w:t>Prospective investors should:</w:t>
      </w:r>
    </w:p>
    <w:p w14:paraId="4CA7FCE9" w14:textId="4B60969D" w:rsidR="009F6E91" w:rsidRPr="00D427D8" w:rsidRDefault="009F6E91" w:rsidP="0084402B">
      <w:pPr>
        <w:pStyle w:val="Level3"/>
        <w:rPr>
          <w:rStyle w:val="BoldText"/>
        </w:rPr>
      </w:pPr>
      <w:r w:rsidRPr="00D427D8">
        <w:rPr>
          <w:rStyle w:val="BoldText"/>
        </w:rPr>
        <w:t>carefully consider the risk factors set out below, in addition to the other information contained in this Prospectus, in evaluating whether to purchase the Notes; and</w:t>
      </w:r>
    </w:p>
    <w:p w14:paraId="639E63F7" w14:textId="6ED4066F" w:rsidR="009F6E91" w:rsidRPr="00D427D8" w:rsidRDefault="009F6E91" w:rsidP="00141A76">
      <w:pPr>
        <w:pStyle w:val="Level3"/>
        <w:rPr>
          <w:rStyle w:val="BoldText"/>
        </w:rPr>
      </w:pPr>
      <w:r w:rsidRPr="00D427D8">
        <w:rPr>
          <w:rStyle w:val="BoldText"/>
        </w:rPr>
        <w:t>also consult their own professional advisors if they deem that necessary.</w:t>
      </w:r>
    </w:p>
    <w:p w14:paraId="4E6DD518" w14:textId="77777777" w:rsidR="009F6E91" w:rsidRPr="00D427D8" w:rsidRDefault="009F6E91" w:rsidP="009F6E91">
      <w:pPr>
        <w:pStyle w:val="Body1"/>
      </w:pPr>
      <w:r w:rsidRPr="00D427D8">
        <w:t>As more than one risk factor can affect the Notes simultaneously, the effect of a single risk factor cannot be accurately predicted. Additionally, risk factors may have a cumulative effect, the extent of which is uncertain, so that the combined effect on the Notes cannot be accurately predicted. No binding statement can be given on the effect of a combination of risk factors on the Notes.</w:t>
      </w:r>
    </w:p>
    <w:p w14:paraId="6694D5CE" w14:textId="77777777" w:rsidR="009F6E91" w:rsidRPr="00D427D8" w:rsidRDefault="009F6E91" w:rsidP="009F6E91">
      <w:pPr>
        <w:pStyle w:val="Body1"/>
      </w:pPr>
      <w:r w:rsidRPr="00D427D8">
        <w:t>The Notes are a suitable investment only for investors who are capable of bearing the economic risk of an investment in the Notes (including the risk that the investor shall lose all or a substantial portion of its investment) for an indefinite period of time with no need for immediate access to liquidity and are capable of independently assessing the tax risks associated with an investment in the Notes. Furthermore, each prospective purchaser of Notes must determine, based on its own independent review and such professional advice as it deems appropriate under the circumstances, that its acquisition of the Notes:</w:t>
      </w:r>
    </w:p>
    <w:p w14:paraId="76DB22BD" w14:textId="1F1C8902" w:rsidR="009F6E91" w:rsidRPr="00D427D8" w:rsidRDefault="009F6E91" w:rsidP="004C6B8C">
      <w:pPr>
        <w:pStyle w:val="Level3"/>
        <w:numPr>
          <w:ilvl w:val="2"/>
          <w:numId w:val="7"/>
        </w:numPr>
      </w:pPr>
      <w:r w:rsidRPr="00D427D8">
        <w:t>is fully consistent with its (or if it is acquiring the Notes in a fiduciary capacity, the beneficiary</w:t>
      </w:r>
      <w:r w:rsidR="00EF7333" w:rsidRPr="00D427D8">
        <w:t>'</w:t>
      </w:r>
      <w:r w:rsidRPr="00D427D8">
        <w:t>s) financial needs, objectives and condition;</w:t>
      </w:r>
    </w:p>
    <w:p w14:paraId="4FD0A3DF" w14:textId="61D79CCA" w:rsidR="009F6E91" w:rsidRPr="00D427D8" w:rsidRDefault="009F6E91" w:rsidP="00141A76">
      <w:pPr>
        <w:pStyle w:val="Level3"/>
      </w:pPr>
      <w:r w:rsidRPr="00D427D8">
        <w:t>complies and is fully consistent with all investment policies, guidelines and restrictions applicable to it (whether acquiring the Notes as principal or in a fiduciary capacity); and</w:t>
      </w:r>
    </w:p>
    <w:p w14:paraId="122B7B8E" w14:textId="27A6D1BE" w:rsidR="009F6E91" w:rsidRPr="00D427D8" w:rsidRDefault="009F6E91" w:rsidP="00141A76">
      <w:pPr>
        <w:pStyle w:val="Level3"/>
      </w:pPr>
      <w:r w:rsidRPr="00D427D8">
        <w:t>is a fit, proper and suitable investment for it (or if it is acquiring the Notes in a fiduciary capacity, for the beneficiary), notwithstanding the substantial risks inherent to investing in or holding the Notes.</w:t>
      </w:r>
    </w:p>
    <w:p w14:paraId="292FAC63" w14:textId="77777777" w:rsidR="009F6E91" w:rsidRPr="00D427D8" w:rsidRDefault="009F6E91" w:rsidP="009F6E91">
      <w:pPr>
        <w:pStyle w:val="Body1"/>
      </w:pPr>
      <w:r w:rsidRPr="00D427D8">
        <w:t>Prospective investors are also advised to consult their own tax advisors, legal advisors, accountants or other relevant advisors as to the risks associated with, and the consequences of, the purchase, ownership and disposition of Notes, including the effect of any laws of each country in which they are a resident.</w:t>
      </w:r>
    </w:p>
    <w:p w14:paraId="24F5157A" w14:textId="77777777" w:rsidR="009F6E91" w:rsidRPr="00D427D8" w:rsidRDefault="009F6E91" w:rsidP="0084402B">
      <w:pPr>
        <w:pStyle w:val="Heading1Underline"/>
      </w:pPr>
      <w:r w:rsidRPr="00D427D8">
        <w:t>I. Risks which are specific and material to the Issuer</w:t>
      </w:r>
    </w:p>
    <w:p w14:paraId="6945B60B" w14:textId="77777777" w:rsidR="009F6E91" w:rsidRPr="00D427D8" w:rsidRDefault="009F6E91" w:rsidP="009F6E91">
      <w:pPr>
        <w:pStyle w:val="Body1"/>
        <w:rPr>
          <w:rStyle w:val="BoldText"/>
        </w:rPr>
      </w:pPr>
      <w:r w:rsidRPr="00D427D8">
        <w:rPr>
          <w:rStyle w:val="BoldText"/>
        </w:rPr>
        <w:t>Liability under the Notes; Limited Recourse</w:t>
      </w:r>
    </w:p>
    <w:p w14:paraId="3265C433" w14:textId="77777777" w:rsidR="009F6E91" w:rsidRPr="00D427D8" w:rsidRDefault="009F6E91" w:rsidP="009F6E91">
      <w:pPr>
        <w:pStyle w:val="Body1"/>
      </w:pPr>
      <w:r w:rsidRPr="00D427D8">
        <w:t>The Notes represent obligations of the Issuer only, and do not represent obligations of, and are not guaranteed by, any other person or entity. In accordance with the Transaction Documents, the rights of the Noteholders are limited to the Issuer Assets. It is possible that the Issuer will not have any assets or sources of funds other than the Receivables and related property it owns and the amounts standing to the credit of the Issuer Accounts. Any credit or payment enhancement is limited.</w:t>
      </w:r>
    </w:p>
    <w:p w14:paraId="0524AA34" w14:textId="77777777" w:rsidR="009F6E91" w:rsidRPr="00D427D8" w:rsidRDefault="009F6E91" w:rsidP="009F6E91">
      <w:pPr>
        <w:pStyle w:val="Body1"/>
      </w:pPr>
      <w:r w:rsidRPr="00D427D8">
        <w:t>The primary source of funds for payments in respect of the Notes will be payments on the Purchased Lease Receivables and Purchased Expectancy Rights. Other than to the extent of the Issuer Assets, the ownership of a Note does not confer a right (a) to, or interest in, any Lease Agreement, (b) against the Lessees under a Lease Agreement, (c) against Stellantis Bank in its various capacities or (d) in the Leased Vehicles.</w:t>
      </w:r>
    </w:p>
    <w:p w14:paraId="6AA23FEA" w14:textId="14627628" w:rsidR="009F6E91" w:rsidRPr="00D427D8" w:rsidRDefault="009F6E91" w:rsidP="009F6E91">
      <w:pPr>
        <w:pStyle w:val="Body1"/>
      </w:pPr>
      <w:r w:rsidRPr="00D427D8">
        <w:t>The Issuer will not be obliged to make any further payment in excess of amounts received upon the realisation of the Issuer Assets. The Issuer</w:t>
      </w:r>
      <w:r w:rsidR="00EF7333" w:rsidRPr="00D427D8">
        <w:t>'</w:t>
      </w:r>
      <w:r w:rsidRPr="00D427D8">
        <w:t xml:space="preserve">s ability to make full payments of interest and principal on the Notes will also depend on the Servicer performing its obligations under the Servicing Agreement to collect amounts due from Lessees and transfer amounts so collected to the Distribution Account. To the extent there is a shortfall, the Issuer will also rely on Excess Spread (as defined below) being available for distribution. </w:t>
      </w:r>
      <w:bookmarkStart w:id="7" w:name="_Hlk198119874"/>
      <w:r w:rsidRPr="00D427D8">
        <w:t xml:space="preserve">In the case of an income shortfall in respect of interest payable on the Class A Notes, Class B Notes, Class C Notes, Class D </w:t>
      </w:r>
      <w:r w:rsidRPr="00D427D8">
        <w:lastRenderedPageBreak/>
        <w:t xml:space="preserve">Notes, Class E Notes, Class F Notes and Class G Notes on any Distribution Date only, the Issuer may use amounts comprising the Liquidity Reserve standing to the credit of the Reserve Account to the extent that the Principal Additional Amounts will not suffice to cure a shortfall. </w:t>
      </w:r>
      <w:bookmarkEnd w:id="7"/>
      <w:r w:rsidRPr="00D427D8">
        <w:t>For the avoidance of doubt, any VAT contained in the vehicle sales proceeds will not form part of the funds available to the Issuer for the payment of principal and interest on the Notes but will be applied exclusively for input VAT payments due to the tax authorities and the repayment of the VAT Bridge Loan.</w:t>
      </w:r>
    </w:p>
    <w:p w14:paraId="6D7AE898" w14:textId="77777777" w:rsidR="009F6E91" w:rsidRPr="00D427D8" w:rsidRDefault="009F6E91" w:rsidP="009F6E91">
      <w:pPr>
        <w:pStyle w:val="Body1"/>
      </w:pPr>
      <w:r w:rsidRPr="00D427D8">
        <w:t>Following application of the proceeds of realisation of the Issuer Assets in accordance with the Conditions, any Excess Spread or the application of amounts comprising the Liquidity Reserve standing to the credit of the Reserve Account, the claims of the Noteholders and all creditors of the Issuer for any shortfall shall be extinguished and the Noteholders and all creditors of the Issuer (and any person acting on behalf of any of them) may not take any further action to recover such shortfall. In particular, no such party will be able to petition for the winding up the liquidation and the bankruptcy of the Issuer or to take any other similar proceedings. Failure to make any payment in respect of any such shortfall shall in no circumstances constitute an Issuer Event of Default under the relevant Conditions. Any shortfall shall be borne by the Noteholders and all creditors of the Issuer according to the relevant Priorities of Payments.</w:t>
      </w:r>
    </w:p>
    <w:p w14:paraId="1F3A0156" w14:textId="77777777" w:rsidR="009F6E91" w:rsidRPr="00D427D8" w:rsidRDefault="009F6E91" w:rsidP="009F6E91">
      <w:pPr>
        <w:pStyle w:val="Body1"/>
      </w:pPr>
      <w:r w:rsidRPr="00D427D8">
        <w:t xml:space="preserve">There is no specific statutory or judicial authority in German law on the validity of such non-petition clauses, limited recourse clauses or priority of payment clauses (such as contained in the Priorities of Payments). It cannot be excluded that a German court might hold that any such clauses in the German law governed Transaction Documents are void in cases where the Issuer intentionally breaches its duties or intentionally does not fulfil its respective obligations under such documents. In this case the allocation of relevant Available Distribution Amounts as provided for in the relevant Priority of Payments in the Transaction Documents may be invalid and Junior creditors may be entitled to receive higher payments than provided for in the Transaction Documents, causing a respective loss for the senior creditors such as the Noteholders. The foregoing would apply to other restrictions of liability of the Issuer as well. In individual cases, German courts held that a non-petition clause in a lease agreement preventing the lessee from initiating court proceedings against the lessor was void as it violated </w:t>
      </w:r>
      <w:r w:rsidRPr="00D427D8">
        <w:rPr>
          <w:i/>
          <w:iCs/>
        </w:rPr>
        <w:t>bonos mores</w:t>
      </w:r>
      <w:r w:rsidRPr="00D427D8">
        <w:t xml:space="preserve"> and that the parties to a contract may only waive their respective right to take legal action in advance to a certain specified extent, but not entirely, because the right to take legal action is a core principle of the German legal system. However, the Issuer has been advised that these rulings are based on the particularities of the respective cases and, therefore, should not give rise to the conclusion that non-petition clauses, limited recourse clauses or priority of payment clauses are generally void under German law. Additionally, because under German law a party is generally free to waive its claim against another party in advance, a partial waiver, in the sense that the party waives only its rights to enforce its claims, should a fortiori be valid.</w:t>
      </w:r>
    </w:p>
    <w:p w14:paraId="0F520C4C" w14:textId="76D26A50" w:rsidR="009F6E91" w:rsidRPr="00D427D8" w:rsidRDefault="009F6E91" w:rsidP="009F6E91">
      <w:pPr>
        <w:pStyle w:val="Body1"/>
      </w:pPr>
      <w:r w:rsidRPr="00D427D8">
        <w:t>Notwithstanding the foregoing, the risk cannot be excluded that the Issuer may become subject to insolvency or similar proceedings, in particular, as the Issuer</w:t>
      </w:r>
      <w:r w:rsidR="00EF7333" w:rsidRPr="00D427D8">
        <w:t>'</w:t>
      </w:r>
      <w:r w:rsidRPr="00D427D8">
        <w:t>s solvency depends on the receipt of cash-flows from the Seller and the Lessees.</w:t>
      </w:r>
    </w:p>
    <w:p w14:paraId="59AE8118" w14:textId="77777777" w:rsidR="009F6E91" w:rsidRPr="00D427D8" w:rsidRDefault="009F6E91" w:rsidP="009F6E91">
      <w:pPr>
        <w:pStyle w:val="Body1"/>
        <w:rPr>
          <w:rStyle w:val="BoldText"/>
        </w:rPr>
      </w:pPr>
      <w:r w:rsidRPr="00D427D8">
        <w:rPr>
          <w:rStyle w:val="BoldText"/>
        </w:rPr>
        <w:t>Insolvency of the Issuer</w:t>
      </w:r>
    </w:p>
    <w:p w14:paraId="169B6C7C" w14:textId="4CDA6BA5" w:rsidR="009F6E91" w:rsidRPr="00D427D8" w:rsidRDefault="009F6E91" w:rsidP="009F6E91">
      <w:pPr>
        <w:pStyle w:val="Body1"/>
      </w:pPr>
      <w:bookmarkStart w:id="8" w:name="_Hlk198119907"/>
      <w:r w:rsidRPr="00D427D8">
        <w:t xml:space="preserve">Although the Issuer will contract on a </w:t>
      </w:r>
      <w:r w:rsidR="00EF7333" w:rsidRPr="00D427D8">
        <w:t>"</w:t>
      </w:r>
      <w:r w:rsidRPr="00D427D8">
        <w:rPr>
          <w:rStyle w:val="BoldText"/>
        </w:rPr>
        <w:t>limited recourse</w:t>
      </w:r>
      <w:r w:rsidR="00EF7333" w:rsidRPr="00D427D8">
        <w:t>"</w:t>
      </w:r>
      <w:r w:rsidRPr="00D427D8">
        <w:t xml:space="preserve"> and </w:t>
      </w:r>
      <w:r w:rsidR="00EF7333" w:rsidRPr="00D427D8">
        <w:t>"</w:t>
      </w:r>
      <w:r w:rsidRPr="00D427D8">
        <w:rPr>
          <w:rStyle w:val="BoldText"/>
        </w:rPr>
        <w:t>non-petition</w:t>
      </w:r>
      <w:r w:rsidR="00EF7333" w:rsidRPr="00D427D8">
        <w:t>"</w:t>
      </w:r>
      <w:r w:rsidRPr="00D427D8">
        <w:t xml:space="preserve"> basis, it cannot be excluded as a risk that the assets of the Issuer will become subject to bankruptcy proceedings.</w:t>
      </w:r>
    </w:p>
    <w:p w14:paraId="639D80B3" w14:textId="77777777" w:rsidR="009F6E91" w:rsidRPr="00D427D8" w:rsidRDefault="009F6E91" w:rsidP="009F6E91">
      <w:pPr>
        <w:pStyle w:val="Body1"/>
      </w:pPr>
      <w:r w:rsidRPr="00D427D8">
        <w:t>The Issuer has its centre of main interest (</w:t>
      </w:r>
      <w:r w:rsidRPr="00D427D8">
        <w:rPr>
          <w:i/>
          <w:iCs/>
        </w:rPr>
        <w:t>centre des intérêts principaux</w:t>
      </w:r>
      <w:r w:rsidRPr="00D427D8">
        <w:t>) (for the purposes of Regulation (EU) 2015/848 of the European Parliament and of the Council of 20 May 2015 on insolvency proceedings, as amended) in Luxembourg, has its registered office in Luxembourg and is managed by its board of directors.</w:t>
      </w:r>
    </w:p>
    <w:p w14:paraId="2C5F40F3" w14:textId="3CAA12E8" w:rsidR="009F6E91" w:rsidRPr="00D427D8" w:rsidRDefault="009F6E91" w:rsidP="009F6E91">
      <w:pPr>
        <w:pStyle w:val="Body1"/>
        <w:rPr>
          <w:lang w:val="en-US"/>
        </w:rPr>
      </w:pPr>
      <w:r w:rsidRPr="00D427D8">
        <w:rPr>
          <w:lang w:val="en-US"/>
        </w:rPr>
        <w:t>Under Luxembourg law, a company is bankrupt (</w:t>
      </w:r>
      <w:r w:rsidR="00EF7333" w:rsidRPr="00D427D8">
        <w:rPr>
          <w:lang w:val="en-US"/>
        </w:rPr>
        <w:t>"</w:t>
      </w:r>
      <w:r w:rsidRPr="00D427D8">
        <w:rPr>
          <w:i/>
          <w:lang w:val="en-US"/>
        </w:rPr>
        <w:t>en faillite</w:t>
      </w:r>
      <w:r w:rsidR="00EF7333" w:rsidRPr="00D427D8">
        <w:rPr>
          <w:lang w:val="en-US"/>
        </w:rPr>
        <w:t>"</w:t>
      </w:r>
      <w:r w:rsidRPr="00D427D8">
        <w:rPr>
          <w:lang w:val="en-US"/>
        </w:rPr>
        <w:t>) when it is unable to meet its current liabilities and when its creditworthiness is impaired (</w:t>
      </w:r>
      <w:r w:rsidR="00EF7333" w:rsidRPr="00D427D8">
        <w:rPr>
          <w:lang w:val="en-US"/>
        </w:rPr>
        <w:t>"</w:t>
      </w:r>
      <w:r w:rsidRPr="00D427D8">
        <w:rPr>
          <w:i/>
          <w:lang w:val="en-US"/>
        </w:rPr>
        <w:t>ébranlement de credit</w:t>
      </w:r>
      <w:r w:rsidR="00EF7333" w:rsidRPr="00D427D8">
        <w:rPr>
          <w:lang w:val="en-US"/>
        </w:rPr>
        <w:t>"</w:t>
      </w:r>
      <w:r w:rsidRPr="00D427D8">
        <w:rPr>
          <w:lang w:val="en-US"/>
        </w:rPr>
        <w:t>). The conditions for opening bankruptcy proceedings are, indicatively, the cessation of payments (</w:t>
      </w:r>
      <w:r w:rsidR="00EF7333" w:rsidRPr="00D427D8">
        <w:rPr>
          <w:lang w:val="en-US"/>
        </w:rPr>
        <w:t>"</w:t>
      </w:r>
      <w:r w:rsidRPr="00D427D8">
        <w:rPr>
          <w:i/>
          <w:lang w:val="en-US"/>
        </w:rPr>
        <w:t>cessation des paiements</w:t>
      </w:r>
      <w:r w:rsidR="00EF7333" w:rsidRPr="00D427D8">
        <w:rPr>
          <w:lang w:val="en-US"/>
        </w:rPr>
        <w:t>"</w:t>
      </w:r>
      <w:r w:rsidRPr="00D427D8">
        <w:rPr>
          <w:lang w:val="en-US"/>
        </w:rPr>
        <w:t>) and the loss of commercial creditworthiness (</w:t>
      </w:r>
      <w:r w:rsidR="00EF7333" w:rsidRPr="00D427D8">
        <w:rPr>
          <w:lang w:val="en-US"/>
        </w:rPr>
        <w:t>"</w:t>
      </w:r>
      <w:r w:rsidRPr="00D427D8">
        <w:rPr>
          <w:i/>
          <w:lang w:val="en-US"/>
        </w:rPr>
        <w:t>ébranlement du credit commercial</w:t>
      </w:r>
      <w:r w:rsidR="00EF7333" w:rsidRPr="00D427D8">
        <w:rPr>
          <w:lang w:val="en-US"/>
        </w:rPr>
        <w:t>"</w:t>
      </w:r>
      <w:r w:rsidRPr="00D427D8">
        <w:rPr>
          <w:lang w:val="en-US"/>
        </w:rPr>
        <w:t>). Other insolvency proceedings under Luxembourg law include moratorium of payments (</w:t>
      </w:r>
      <w:r w:rsidRPr="00D427D8">
        <w:rPr>
          <w:i/>
          <w:lang w:val="en-US"/>
        </w:rPr>
        <w:t>sursis de paiement</w:t>
      </w:r>
      <w:r w:rsidR="00EF7333" w:rsidRPr="00D427D8">
        <w:rPr>
          <w:lang w:val="en-US"/>
        </w:rPr>
        <w:t>"</w:t>
      </w:r>
      <w:r w:rsidRPr="00D427D8">
        <w:rPr>
          <w:lang w:val="en-US"/>
        </w:rPr>
        <w:t>) of the Issuer, administrative dissolution without liquidation (</w:t>
      </w:r>
      <w:r w:rsidRPr="00D427D8">
        <w:rPr>
          <w:i/>
          <w:iCs/>
          <w:lang w:val="en-US"/>
        </w:rPr>
        <w:t>dissolution administrative sans liquidation</w:t>
      </w:r>
      <w:r w:rsidRPr="00D427D8">
        <w:rPr>
          <w:lang w:val="en-US"/>
        </w:rPr>
        <w:t>), judicial proceedings (</w:t>
      </w:r>
      <w:r w:rsidR="00EF7333" w:rsidRPr="00D427D8">
        <w:rPr>
          <w:lang w:val="en-US"/>
        </w:rPr>
        <w:t>"</w:t>
      </w:r>
      <w:r w:rsidRPr="00D427D8">
        <w:rPr>
          <w:i/>
          <w:lang w:val="en-US"/>
        </w:rPr>
        <w:t>liquidation judicaire</w:t>
      </w:r>
      <w:r w:rsidR="00EF7333" w:rsidRPr="00D427D8">
        <w:rPr>
          <w:lang w:val="en-US"/>
        </w:rPr>
        <w:t>"</w:t>
      </w:r>
      <w:r w:rsidRPr="00D427D8">
        <w:rPr>
          <w:lang w:val="en-US"/>
        </w:rPr>
        <w:t>), judicial reorganisation (</w:t>
      </w:r>
      <w:r w:rsidRPr="00D427D8">
        <w:rPr>
          <w:i/>
          <w:iCs/>
          <w:lang w:val="en-US"/>
        </w:rPr>
        <w:t>réorganisation judiciaire</w:t>
      </w:r>
      <w:r w:rsidRPr="00D427D8">
        <w:rPr>
          <w:lang w:val="en-US"/>
        </w:rPr>
        <w:t>), or any reorganisation pursuant to the Luxembourg law dated 7 August 2023 on business continuity and the modernisation of bankruptcy.</w:t>
      </w:r>
    </w:p>
    <w:p w14:paraId="5D4B6FA9" w14:textId="103ADE31" w:rsidR="009F6E91" w:rsidRPr="00D427D8" w:rsidRDefault="009F6E91" w:rsidP="009F6E91">
      <w:pPr>
        <w:pStyle w:val="Body1"/>
        <w:rPr>
          <w:lang w:val="en-US"/>
        </w:rPr>
      </w:pPr>
      <w:r w:rsidRPr="00D427D8">
        <w:rPr>
          <w:lang w:val="en-US"/>
        </w:rPr>
        <w:t xml:space="preserve">Under Luxembourg bankruptcy law, certain acts deemed to be abnormal if carried out by the bankrupt party during the so-called </w:t>
      </w:r>
      <w:r w:rsidR="00EF7333" w:rsidRPr="00D427D8">
        <w:rPr>
          <w:lang w:val="en-US"/>
        </w:rPr>
        <w:t>"</w:t>
      </w:r>
      <w:r w:rsidRPr="00D427D8">
        <w:rPr>
          <w:lang w:val="en-US"/>
        </w:rPr>
        <w:t>suspect period</w:t>
      </w:r>
      <w:r w:rsidR="00EF7333" w:rsidRPr="00D427D8">
        <w:rPr>
          <w:lang w:val="en-US"/>
        </w:rPr>
        <w:t>"</w:t>
      </w:r>
      <w:r w:rsidRPr="00D427D8">
        <w:rPr>
          <w:lang w:val="en-US"/>
        </w:rPr>
        <w:t xml:space="preserve"> or ten days preceding the </w:t>
      </w:r>
      <w:r w:rsidR="00EF7333" w:rsidRPr="00D427D8">
        <w:rPr>
          <w:lang w:val="en-US"/>
        </w:rPr>
        <w:t>"</w:t>
      </w:r>
      <w:r w:rsidRPr="00D427D8">
        <w:rPr>
          <w:lang w:val="en-US"/>
        </w:rPr>
        <w:t>suspect period</w:t>
      </w:r>
      <w:r w:rsidR="00EF7333" w:rsidRPr="00D427D8">
        <w:rPr>
          <w:lang w:val="en-US"/>
        </w:rPr>
        <w:t>"</w:t>
      </w:r>
      <w:r w:rsidRPr="00D427D8">
        <w:rPr>
          <w:lang w:val="en-US"/>
        </w:rPr>
        <w:t xml:space="preserve"> may be unenforceable against the bankruptcy estate of such party. Whilst the unenforceability is compulsory in certain cases, it is optional in other cases. The </w:t>
      </w:r>
      <w:r w:rsidR="00EF7333" w:rsidRPr="00D427D8">
        <w:rPr>
          <w:lang w:val="en-US"/>
        </w:rPr>
        <w:t>"</w:t>
      </w:r>
      <w:r w:rsidRPr="00D427D8">
        <w:rPr>
          <w:lang w:val="en-US"/>
        </w:rPr>
        <w:t>suspect period</w:t>
      </w:r>
      <w:r w:rsidR="00EF7333" w:rsidRPr="00D427D8">
        <w:rPr>
          <w:lang w:val="en-US"/>
        </w:rPr>
        <w:t>"</w:t>
      </w:r>
      <w:r w:rsidRPr="00D427D8">
        <w:rPr>
          <w:lang w:val="en-US"/>
        </w:rPr>
        <w:t xml:space="preserve"> is the period that lapses between the date of cessation of </w:t>
      </w:r>
      <w:r w:rsidRPr="00D427D8">
        <w:rPr>
          <w:lang w:val="en-US"/>
        </w:rPr>
        <w:lastRenderedPageBreak/>
        <w:t>payments (</w:t>
      </w:r>
      <w:r w:rsidR="00EF7333" w:rsidRPr="00D427D8">
        <w:rPr>
          <w:lang w:val="en-US"/>
        </w:rPr>
        <w:t>"</w:t>
      </w:r>
      <w:r w:rsidRPr="00D427D8">
        <w:rPr>
          <w:i/>
          <w:lang w:val="en-US"/>
        </w:rPr>
        <w:t>cessation de paiements</w:t>
      </w:r>
      <w:r w:rsidR="00EF7333" w:rsidRPr="00D427D8">
        <w:rPr>
          <w:lang w:val="en-US"/>
        </w:rPr>
        <w:t>"</w:t>
      </w:r>
      <w:r w:rsidRPr="00D427D8">
        <w:rPr>
          <w:lang w:val="en-US"/>
        </w:rPr>
        <w:t xml:space="preserve">), as determined by the bankruptcy court, and the date of the court order declaring the bankruptcy. The </w:t>
      </w:r>
      <w:r w:rsidR="00EF7333" w:rsidRPr="00D427D8">
        <w:rPr>
          <w:lang w:val="en-US"/>
        </w:rPr>
        <w:t>"</w:t>
      </w:r>
      <w:r w:rsidRPr="00D427D8">
        <w:rPr>
          <w:lang w:val="en-US"/>
        </w:rPr>
        <w:t>suspect period</w:t>
      </w:r>
      <w:r w:rsidR="00EF7333" w:rsidRPr="00D427D8">
        <w:rPr>
          <w:lang w:val="en-US"/>
        </w:rPr>
        <w:t>"</w:t>
      </w:r>
      <w:r w:rsidRPr="00D427D8">
        <w:rPr>
          <w:lang w:val="en-US"/>
        </w:rPr>
        <w:t xml:space="preserve"> cannot exceed six months.</w:t>
      </w:r>
    </w:p>
    <w:p w14:paraId="320787E1" w14:textId="624A0436" w:rsidR="009F6E91" w:rsidRPr="00D427D8" w:rsidRDefault="009F6E91" w:rsidP="009F6E91">
      <w:pPr>
        <w:pStyle w:val="Body1"/>
      </w:pPr>
      <w:r w:rsidRPr="00D427D8">
        <w:t>Under Article 445 of the Luxembourg Code of Commerce: (a) a contract for the transfer of movable or immovable property entered into or carried out without consideration, or a contract or transaction entered into or carried out with considerably insufficient consideration for the insolvent party; (b) a payment, whether in cash or by transfer, assignment, sale, set-off or otherwise for debts not yet due, or a payment other than in cash or bills of exchange for debts due or (c) a contractual or judiciary mortgage, pledge, or charge on the debtor</w:t>
      </w:r>
      <w:r w:rsidR="00EF7333" w:rsidRPr="00D427D8">
        <w:t>'</w:t>
      </w:r>
      <w:r w:rsidRPr="00D427D8">
        <w:t>s assets for previously contracted debts, would each be unenforceable against the bankruptcy estate if carried out during the suspect period or ten days preceding the suspect period.</w:t>
      </w:r>
    </w:p>
    <w:p w14:paraId="65F48247" w14:textId="77777777" w:rsidR="009F6E91" w:rsidRPr="00D427D8" w:rsidRDefault="009F6E91" w:rsidP="009F6E91">
      <w:pPr>
        <w:pStyle w:val="Body1"/>
      </w:pPr>
      <w:r w:rsidRPr="00D427D8">
        <w:t>Under Article 446 of the Luxembourg Code of Commerce, any payments made by the bankrupt debtor for matured debt in the suspect period may be rescinded if the creditor was aware of the cessation of payment of the debtor.</w:t>
      </w:r>
    </w:p>
    <w:p w14:paraId="7036B8D4" w14:textId="77777777" w:rsidR="009F6E91" w:rsidRPr="00D427D8" w:rsidRDefault="009F6E91" w:rsidP="009F6E91">
      <w:pPr>
        <w:pStyle w:val="Body1"/>
      </w:pPr>
      <w:r w:rsidRPr="00D427D8">
        <w:t>Under Article 448 of the Luxembourg Code of Commerce, transactions entered into by the bankrupt debtor with the intent to deprive its creditors are null and void (Article 448 of the Code of Commerce) and can be challenged by a bankruptcy receiver without limitation of time.</w:t>
      </w:r>
    </w:p>
    <w:p w14:paraId="7E5D9173" w14:textId="77777777" w:rsidR="009F6E91" w:rsidRPr="00D427D8" w:rsidRDefault="009F6E91" w:rsidP="009F6E91">
      <w:pPr>
        <w:pStyle w:val="Body1"/>
      </w:pPr>
      <w:r w:rsidRPr="00D427D8">
        <w:t>If the company fails for any reason to meet its obligations or liabilities (that is, if the company is unable to pay its debts and may obtain no further credit), a creditor, who has not (and cannot be deemed to have) accepted non petition and limited recourse provisions in respect of the company, will be entitled to make an application for the commencement of bankruptcy proceedings against the company.</w:t>
      </w:r>
    </w:p>
    <w:p w14:paraId="66A1F378" w14:textId="77777777" w:rsidR="009F6E91" w:rsidRPr="00D427D8" w:rsidRDefault="009F6E91" w:rsidP="009F6E91">
      <w:pPr>
        <w:pStyle w:val="Body1"/>
      </w:pPr>
      <w:r w:rsidRPr="00D427D8">
        <w:t>Furthermore, the commencement of such proceedings may – under certain conditions – entitle creditors (including the relevant counterparties) to terminate contracts with the company and claim damages for any loss created by such early termination. The company will seek to contract only with parties who agree not to make application for the commencement of winding-up, liquidation and bankruptcy or similar proceedings against the company. Legal proceedings initiated against the Issuer in breach of these provisions shall, in principle, be declared inadmissible by a Luxembourg court.</w:t>
      </w:r>
    </w:p>
    <w:p w14:paraId="6E0624D2" w14:textId="77777777" w:rsidR="009F6E91" w:rsidRPr="00D427D8" w:rsidRDefault="009F6E91" w:rsidP="009F6E91">
      <w:pPr>
        <w:pStyle w:val="Body1"/>
      </w:pPr>
      <w:r w:rsidRPr="00D427D8">
        <w:t>However, in the event that the company were to become subject to a bankruptcy or similar proceeding, the rights of the Noteholders could be uncertain, and payments on the Notes may be limited and suspended or stopped.</w:t>
      </w:r>
    </w:p>
    <w:p w14:paraId="7CBF9182" w14:textId="3289976D" w:rsidR="009F6E91" w:rsidRPr="00D427D8" w:rsidRDefault="009F6E91" w:rsidP="009F6E91">
      <w:pPr>
        <w:pStyle w:val="Body1"/>
      </w:pPr>
      <w:r w:rsidRPr="00D427D8">
        <w:t xml:space="preserve">In addition, in case of bankruptcy, the entry into any of the Transaction, the Transaction Documents and the entry into the Security Documents could also be held unenforceable and ineffective if effected during the </w:t>
      </w:r>
      <w:r w:rsidR="00EF7333" w:rsidRPr="00D427D8">
        <w:t>"</w:t>
      </w:r>
      <w:r w:rsidRPr="00D427D8">
        <w:t>suspect period</w:t>
      </w:r>
      <w:r w:rsidR="00EF7333" w:rsidRPr="00D427D8">
        <w:t>"</w:t>
      </w:r>
      <w:r w:rsidRPr="00D427D8">
        <w:t xml:space="preserve"> or ten days preceding the </w:t>
      </w:r>
      <w:r w:rsidR="00EF7333" w:rsidRPr="00D427D8">
        <w:t>"</w:t>
      </w:r>
      <w:r w:rsidRPr="00D427D8">
        <w:t>suspect period</w:t>
      </w:r>
      <w:r w:rsidR="00EF7333" w:rsidRPr="00D427D8">
        <w:t>"</w:t>
      </w:r>
      <w:r w:rsidRPr="00D427D8">
        <w:t xml:space="preserve">. In such a case, any payment of principal or interest in respect of the Notes could be unenforceable against the Issuer, in application of Article 445 or Article 446 of the Luxembourg Code of Commerce. However, according to Article 61(4) second paragraph of the Luxembourg Securitisation Law the validity and perfection of each of the security interests mentioned cannot be challenged by a bankruptcy receiver even if granted by the </w:t>
      </w:r>
      <w:r w:rsidRPr="00D427D8">
        <w:rPr>
          <w:lang w:val="en-US"/>
        </w:rPr>
        <w:t xml:space="preserve">Issuer </w:t>
      </w:r>
      <w:r w:rsidRPr="00D427D8">
        <w:t xml:space="preserve">during the </w:t>
      </w:r>
      <w:r w:rsidR="00EF7333" w:rsidRPr="00D427D8">
        <w:t>"</w:t>
      </w:r>
      <w:r w:rsidRPr="00D427D8">
        <w:t>suspect period</w:t>
      </w:r>
      <w:r w:rsidR="00EF7333" w:rsidRPr="00D427D8">
        <w:t>"</w:t>
      </w:r>
      <w:r w:rsidRPr="00D427D8">
        <w:t xml:space="preserve"> or ten days preceding the </w:t>
      </w:r>
      <w:r w:rsidR="00EF7333" w:rsidRPr="00D427D8">
        <w:t>"</w:t>
      </w:r>
      <w:r w:rsidRPr="00D427D8">
        <w:t>suspect period</w:t>
      </w:r>
      <w:r w:rsidR="00EF7333" w:rsidRPr="00D427D8">
        <w:t>"</w:t>
      </w:r>
      <w:r w:rsidRPr="00D427D8">
        <w:t xml:space="preserve">, if (i) the articles of incorporation of the </w:t>
      </w:r>
      <w:r w:rsidRPr="00D427D8">
        <w:rPr>
          <w:lang w:val="en-US"/>
        </w:rPr>
        <w:t xml:space="preserve">Issuer </w:t>
      </w:r>
      <w:r w:rsidRPr="00D427D8">
        <w:t xml:space="preserve">granting the security interests are governed by the Luxembourg Securitisation Law and (ii) the </w:t>
      </w:r>
      <w:r w:rsidRPr="00D427D8">
        <w:rPr>
          <w:lang w:val="en-US"/>
        </w:rPr>
        <w:t xml:space="preserve">Issuer </w:t>
      </w:r>
      <w:r w:rsidRPr="00D427D8">
        <w:t xml:space="preserve">granted the respective security interest no later than the issue date of the securities or at the conclusion of the agreements secured by such security interest. In other words, security entered into in accordance with Article 61(4) second paragraph of the Luxembourg Securitisation Law and hence no later than the date of the issue of the Notes or the conclusion of the agreements secured by the Security could not be challenged by a bankruptcy receiver even if granted by the Issuer during the </w:t>
      </w:r>
      <w:r w:rsidR="00EF7333" w:rsidRPr="00D427D8">
        <w:t>"</w:t>
      </w:r>
      <w:r w:rsidRPr="00D427D8">
        <w:t>suspect period</w:t>
      </w:r>
      <w:r w:rsidR="00EF7333" w:rsidRPr="00D427D8">
        <w:t>"</w:t>
      </w:r>
      <w:r w:rsidRPr="00D427D8">
        <w:t xml:space="preserve"> or ten days preceding such </w:t>
      </w:r>
      <w:r w:rsidR="00EF7333" w:rsidRPr="00D427D8">
        <w:t>"</w:t>
      </w:r>
      <w:r w:rsidRPr="00D427D8">
        <w:t>suspect period</w:t>
      </w:r>
      <w:r w:rsidR="00EF7333" w:rsidRPr="00D427D8">
        <w:t>"</w:t>
      </w:r>
      <w:r w:rsidRPr="00D427D8">
        <w:t>.</w:t>
      </w:r>
      <w:bookmarkEnd w:id="8"/>
    </w:p>
    <w:p w14:paraId="5C3E26EE" w14:textId="77777777" w:rsidR="009F6E91" w:rsidRPr="00D427D8" w:rsidRDefault="009F6E91" w:rsidP="00EF7333">
      <w:pPr>
        <w:pStyle w:val="Body1"/>
        <w:rPr>
          <w:rStyle w:val="BoldText"/>
        </w:rPr>
      </w:pPr>
      <w:r w:rsidRPr="00D427D8">
        <w:rPr>
          <w:rStyle w:val="BoldText"/>
        </w:rPr>
        <w:t>Violation of Articles of Association</w:t>
      </w:r>
    </w:p>
    <w:p w14:paraId="5768584B" w14:textId="77777777" w:rsidR="009F6E91" w:rsidRPr="00D427D8" w:rsidRDefault="009F6E91" w:rsidP="009F6E91">
      <w:pPr>
        <w:pStyle w:val="Body1"/>
      </w:pPr>
      <w:r w:rsidRPr="00D427D8">
        <w:t>The Issuer undertakes not to engage in any business activity other than entering into securitisation transactions. However, under Luxembourg law, an action by the Issuer that violates its articles of association and the Transaction Documents would still be a valid obligation of the Issuer. Further, according to Luxembourg company law, a public limited liability company (</w:t>
      </w:r>
      <w:r w:rsidRPr="00D427D8">
        <w:rPr>
          <w:i/>
          <w:iCs/>
        </w:rPr>
        <w:t>société anonyme</w:t>
      </w:r>
      <w:r w:rsidRPr="00D427D8">
        <w:t>) shall be bound by any act of the board of directors, even if such act exceeds the corporate object, unless it proves that the third party knew that the act exceeded the corporate object or could not in view of the circumstances have been unaware of it without the mere publication of the articles of association constituting such evidence. Any such activity which is to the detriment of the Noteholders may adversely affect payments to the Noteholders under the Notes.</w:t>
      </w:r>
    </w:p>
    <w:p w14:paraId="59101B4C" w14:textId="77777777" w:rsidR="009F6E91" w:rsidRPr="00D427D8" w:rsidRDefault="009F6E91" w:rsidP="00BC490D">
      <w:pPr>
        <w:pStyle w:val="Heading1Underline"/>
        <w:keepNext/>
        <w:rPr>
          <w:rStyle w:val="BoldText"/>
        </w:rPr>
      </w:pPr>
      <w:r w:rsidRPr="00D427D8">
        <w:rPr>
          <w:rStyle w:val="BoldText"/>
        </w:rPr>
        <w:lastRenderedPageBreak/>
        <w:t>II. Risks related to the nature of the notes</w:t>
      </w:r>
    </w:p>
    <w:p w14:paraId="59F41B95" w14:textId="77777777" w:rsidR="009F6E91" w:rsidRPr="00D427D8" w:rsidRDefault="009F6E91" w:rsidP="009F6E91">
      <w:pPr>
        <w:pStyle w:val="Body1"/>
        <w:rPr>
          <w:rStyle w:val="BoldItalicText"/>
        </w:rPr>
      </w:pPr>
      <w:r w:rsidRPr="00D427D8">
        <w:rPr>
          <w:rStyle w:val="BoldItalicText"/>
        </w:rPr>
        <w:t>Liability under the Notes</w:t>
      </w:r>
    </w:p>
    <w:p w14:paraId="04D30F54" w14:textId="77777777" w:rsidR="009F6E91" w:rsidRPr="00D427D8" w:rsidRDefault="009F6E91" w:rsidP="009F6E91">
      <w:pPr>
        <w:pStyle w:val="Body1"/>
      </w:pPr>
      <w:r w:rsidRPr="00D427D8">
        <w:t>The Notes are contractual obligations solely of the Issuer and are not obligations of, are not guaranteed by and are not the responsibility of any other entity. No person other than the Issuer will bear any liability whatsoever to the Noteholders in respect of any failure by the Issuer to pay any amount due under the Notes.</w:t>
      </w:r>
    </w:p>
    <w:p w14:paraId="2FFFC815" w14:textId="77777777" w:rsidR="009F6E91" w:rsidRPr="00D427D8" w:rsidRDefault="009F6E91" w:rsidP="009F6E91">
      <w:pPr>
        <w:pStyle w:val="Body1"/>
        <w:rPr>
          <w:rStyle w:val="BoldItalicText"/>
        </w:rPr>
      </w:pPr>
      <w:r w:rsidRPr="00D427D8">
        <w:rPr>
          <w:rStyle w:val="BoldItalicText"/>
        </w:rPr>
        <w:t>Subordination of Notes</w:t>
      </w:r>
    </w:p>
    <w:p w14:paraId="02AB9ACF" w14:textId="77777777" w:rsidR="009F6E91" w:rsidRPr="00D427D8" w:rsidRDefault="009F6E91" w:rsidP="009F6E91">
      <w:pPr>
        <w:pStyle w:val="Body1"/>
      </w:pPr>
      <w:r w:rsidRPr="00D427D8">
        <w:t>Holders of Class G Notes will bear more credit risk with respect to the Issuer than holders of Class F Notes, Class E Notes, Class D Notes, Class C Notes, Class B Notes and Class A Notes, and will incur losses, if any, prior to holders of the Class A Notes, Class B Notes, Class C Notes, Class D Notes, Class E Notes and Class F Notes because of the subordination of the Class G Notes in relation to the other Classes of Notes.</w:t>
      </w:r>
    </w:p>
    <w:p w14:paraId="0C5EAE20" w14:textId="77777777" w:rsidR="009F6E91" w:rsidRPr="00D427D8" w:rsidRDefault="009F6E91" w:rsidP="009F6E91">
      <w:pPr>
        <w:pStyle w:val="Body1"/>
      </w:pPr>
      <w:r w:rsidRPr="00D427D8">
        <w:t>Holders of Class F Notes will bear more credit risk with respect to the Issuer than holders of Class E Notes, Class D Notes, Class C Notes, Class B Notes and Class A Notes, and will incur losses, if any, prior to holders of the Class A Notes, Class B Notes, Class C Notes, Class D Notes and Class E Notes because of the subordination of the Class F Notes in relation to the Class A Notes, Class B Notes, Class C Notes, Class D Notes and Class E Notes.</w:t>
      </w:r>
    </w:p>
    <w:p w14:paraId="274ABA93" w14:textId="77777777" w:rsidR="009F6E91" w:rsidRPr="00D427D8" w:rsidRDefault="009F6E91" w:rsidP="009F6E91">
      <w:pPr>
        <w:pStyle w:val="Body1"/>
      </w:pPr>
      <w:r w:rsidRPr="00D427D8">
        <w:t>Holders of Class E Notes will bear more credit risk with respect to the Issuer than holders of Class D Notes, Class C Notes, Class B Notes and Class A Notes, and will incur losses, if any, prior to holders of the Class A Notes, Class B Notes, Class C Notes and Class D Notes because of the subordination of the Class E Notes in relation to the Class A Notes, Class B Notes, Class C Notes and Class D Notes.</w:t>
      </w:r>
    </w:p>
    <w:p w14:paraId="78E465AB" w14:textId="77777777" w:rsidR="009F6E91" w:rsidRPr="00D427D8" w:rsidRDefault="009F6E91" w:rsidP="009F6E91">
      <w:pPr>
        <w:pStyle w:val="Body1"/>
      </w:pPr>
      <w:r w:rsidRPr="00D427D8">
        <w:t>Holders of Class D Notes will bear more credit risk with respect to the Issuer than holders of Class C Notes, Class B Notes and Class A Notes, and will incur losses, if any, prior to holders of the Class A Notes, Class B Notes and Class C Notes because of the subordination of the Class D Notes in relation to the Class A Notes, Class B Notes and Class C Notes.</w:t>
      </w:r>
    </w:p>
    <w:p w14:paraId="6D1D3EA0" w14:textId="77777777" w:rsidR="009F6E91" w:rsidRPr="00D427D8" w:rsidRDefault="009F6E91" w:rsidP="009F6E91">
      <w:pPr>
        <w:pStyle w:val="Body1"/>
      </w:pPr>
      <w:r w:rsidRPr="00D427D8">
        <w:t>Holders of Class C Notes will bear more credit risk with respect to the Issuer than holders of Class B Notes and Class A Notes, and will incur losses, if any, prior to holders of the Class A Notes and Class B Notes because of the subordination of the Class C Notes in relation to the Class A Notes and Class B Notes.</w:t>
      </w:r>
    </w:p>
    <w:p w14:paraId="15F87F22" w14:textId="77777777" w:rsidR="009F6E91" w:rsidRPr="00D427D8" w:rsidRDefault="009F6E91" w:rsidP="009F6E91">
      <w:pPr>
        <w:pStyle w:val="Body1"/>
      </w:pPr>
      <w:r w:rsidRPr="00D427D8">
        <w:t>Holders of Class B Notes will bear more credit risk with respect to the Issuer than holders of Class A Notes and will incur losses, if any, prior to holders of the Class A Notes because of the subordination of the Class B Notes in relation to the Class A Notes.</w:t>
      </w:r>
    </w:p>
    <w:p w14:paraId="7931EA54" w14:textId="77777777" w:rsidR="009F6E91" w:rsidRPr="00D427D8" w:rsidRDefault="009F6E91" w:rsidP="009F6E91">
      <w:pPr>
        <w:pStyle w:val="Body1"/>
      </w:pPr>
      <w:r w:rsidRPr="00D427D8">
        <w:t>No payment of interest will be made on the Class G Notes until all interest on the Class F Notes, Class E Notes, Class D Notes, Class C Notes, Class B Notes and Class A Notes are paid in full, and no payment of principal will be made on the Class G Notes until the principal amount of the Class A Notes, Class B Notes, Class C Notes, Class D Notes, Class E Notes and Class F Notes is paid in full.</w:t>
      </w:r>
    </w:p>
    <w:p w14:paraId="0AF79473" w14:textId="77777777" w:rsidR="009F6E91" w:rsidRPr="00D427D8" w:rsidRDefault="009F6E91" w:rsidP="009F6E91">
      <w:pPr>
        <w:pStyle w:val="Body1"/>
      </w:pPr>
      <w:r w:rsidRPr="00D427D8">
        <w:t>No payment of interest will be made on the Class F Notes until all interest on the Class E Notes, Class D Notes, Class C Notes, Class B Notes and Class A Notes are paid in full, and no payment of principal will be made on the Class F Notes until the principal amount of the Class A Notes, Class B Notes, Class C Notes, Class D Notes and Class E Notes is paid in full.</w:t>
      </w:r>
    </w:p>
    <w:p w14:paraId="5706C409" w14:textId="77777777" w:rsidR="009F6E91" w:rsidRPr="00D427D8" w:rsidRDefault="009F6E91" w:rsidP="009F6E91">
      <w:pPr>
        <w:pStyle w:val="Body1"/>
      </w:pPr>
      <w:r w:rsidRPr="00D427D8">
        <w:t>No payment of interest will be made on the Class E Notes until all interest on the Class D Notes, Class C Notes, Class B Notes and Class A Notes are paid in full, and no payment of principal will be made on the Class E Notes until the principal amount of the Class A Notes, Class B Notes, Class C Notes and Class D Notes is paid in full.</w:t>
      </w:r>
    </w:p>
    <w:p w14:paraId="399B7951" w14:textId="77777777" w:rsidR="009F6E91" w:rsidRPr="00D427D8" w:rsidRDefault="009F6E91" w:rsidP="009F6E91">
      <w:pPr>
        <w:pStyle w:val="Body1"/>
      </w:pPr>
      <w:r w:rsidRPr="00D427D8">
        <w:t>No payment of interest will be made on the Class D Notes until all interest on the Class C Notes, Class B Notes and Class A Notes are paid in full, and no payment of principal will be made on the Class D Notes until the principal amount of the Class A Notes, Class B Notes and Class C Notes is paid in full.</w:t>
      </w:r>
    </w:p>
    <w:p w14:paraId="1C89EF6C" w14:textId="77777777" w:rsidR="009F6E91" w:rsidRPr="00D427D8" w:rsidRDefault="009F6E91" w:rsidP="009F6E91">
      <w:pPr>
        <w:pStyle w:val="Body1"/>
      </w:pPr>
      <w:r w:rsidRPr="00D427D8">
        <w:t>No payment of interest will be made on the Class C Notes until all interest on the Class B Notes and Class A Notes are paid in full, and no payment of principal will be made on the Class C Notes until the principal amount of the Class A Notes and Class B Notes is paid in full.</w:t>
      </w:r>
    </w:p>
    <w:p w14:paraId="72B2B149" w14:textId="5AB0B537" w:rsidR="009F6E91" w:rsidRPr="00D427D8" w:rsidRDefault="009F6E91" w:rsidP="009F6E91">
      <w:pPr>
        <w:pStyle w:val="Body1"/>
      </w:pPr>
      <w:r w:rsidRPr="00D427D8">
        <w:lastRenderedPageBreak/>
        <w:t>No payment of interest will be made on the Class B Notes until all of the Issuer</w:t>
      </w:r>
      <w:r w:rsidR="00EF7333" w:rsidRPr="00D427D8">
        <w:t>'</w:t>
      </w:r>
      <w:r w:rsidRPr="00D427D8">
        <w:t>s expenses (including applicable fees for Agents), and all interest on the Class A Notes are paid in full, and no payment of principal will be made on the Class B Notes until the principal amount of the Class A Notes is paid in full.</w:t>
      </w:r>
    </w:p>
    <w:p w14:paraId="4C48406B" w14:textId="77777777" w:rsidR="009F6E91" w:rsidRPr="00D427D8" w:rsidRDefault="009F6E91" w:rsidP="009F6E91">
      <w:pPr>
        <w:pStyle w:val="Body1"/>
      </w:pPr>
      <w:r w:rsidRPr="00D427D8">
        <w:t>If the Available Interest Collections, the Principal Additional Amounts, if any, and/or the Liquidity Reserve on any Distribution Date is not sufficient to pay interest due on a given Class of Notes, the payment of such interest shortfall will be postponed until sufficient funds are available. However, an interest shortfall in case of the Most Senior Class of Notes would lead to an Issuer Event of Default.</w:t>
      </w:r>
    </w:p>
    <w:p w14:paraId="0ADC2F4D" w14:textId="4C0E5A63" w:rsidR="009F6E91" w:rsidRPr="00D427D8" w:rsidRDefault="009F6E91" w:rsidP="009F6E91">
      <w:pPr>
        <w:pStyle w:val="Body1"/>
      </w:pPr>
      <w:r w:rsidRPr="00D427D8">
        <w:t xml:space="preserve">An Issuer Event of Default will occur </w:t>
      </w:r>
      <w:r w:rsidRPr="00D427D8">
        <w:rPr>
          <w:i/>
        </w:rPr>
        <w:t>inter alia</w:t>
      </w:r>
      <w:r w:rsidRPr="00D427D8">
        <w:t xml:space="preserve"> if the Issuer defaults in the payment of any interest amounts due and payable under the Most Senior Class of Notes (other than where the Most Senior Class of Notes is the Class G Notes) outstanding, and such default continues unremedied for a period of five (5) Business Days. If an Issuer Event of Default has occurred, the Issuer will not pay interest or principal on any Notes other than the Most Senior Class of Notes (other than where the Most Senior Class of Notes is the Class G Notes) until all of the Issuer</w:t>
      </w:r>
      <w:r w:rsidR="00EF7333" w:rsidRPr="00D427D8">
        <w:t>'</w:t>
      </w:r>
      <w:r w:rsidRPr="00D427D8">
        <w:t>s expenses (including applicable fees for Agents) and all interest and principal on the Most Senior Class of Notes (other than where the Most Senior Class of Notes is the Class G Notes) are paid in full. As a consequence, an Issuer Event of Default will result in a delay or default in the paying of interest or principal on the Notes that are subordinated to the Most Senior Class of Notes.</w:t>
      </w:r>
    </w:p>
    <w:p w14:paraId="3C0F5C10" w14:textId="661BFF1A" w:rsidR="009F6E91" w:rsidRPr="00D427D8" w:rsidRDefault="009F6E91" w:rsidP="009F6E91">
      <w:pPr>
        <w:pStyle w:val="Body1"/>
      </w:pPr>
      <w:r w:rsidRPr="00D427D8">
        <w:t xml:space="preserve">For a more detailed description please refer to </w:t>
      </w:r>
      <w:r w:rsidR="00EF7333" w:rsidRPr="00D427D8">
        <w:t>"</w:t>
      </w:r>
      <w:r w:rsidRPr="00D427D8">
        <w:t>Terms and Conditions of the Notes</w:t>
      </w:r>
      <w:r w:rsidR="00EF7333" w:rsidRPr="00D427D8">
        <w:t>"</w:t>
      </w:r>
      <w:r w:rsidRPr="00D427D8">
        <w:t xml:space="preserve"> and the Priority of Payments.</w:t>
      </w:r>
    </w:p>
    <w:p w14:paraId="344BA968" w14:textId="77777777" w:rsidR="009F6E91" w:rsidRPr="00D427D8" w:rsidRDefault="009F6E91" w:rsidP="009F6E91">
      <w:pPr>
        <w:pStyle w:val="Body1"/>
        <w:rPr>
          <w:rStyle w:val="BoldItalicText"/>
        </w:rPr>
      </w:pPr>
      <w:r w:rsidRPr="00D427D8">
        <w:rPr>
          <w:rStyle w:val="BoldItalicText"/>
        </w:rPr>
        <w:t>Performance of Purchased Lease Receivables Uncertain</w:t>
      </w:r>
    </w:p>
    <w:p w14:paraId="55AEBB38" w14:textId="77777777" w:rsidR="009F6E91" w:rsidRPr="00D427D8" w:rsidRDefault="009F6E91" w:rsidP="009F6E91">
      <w:pPr>
        <w:pStyle w:val="Body1"/>
      </w:pPr>
      <w:r w:rsidRPr="00D427D8">
        <w:t xml:space="preserve">The payment of principal and interest on the Notes is dependent on, </w:t>
      </w:r>
      <w:r w:rsidRPr="00D427D8">
        <w:rPr>
          <w:i/>
        </w:rPr>
        <w:t>inter alia</w:t>
      </w:r>
      <w:r w:rsidRPr="00D427D8">
        <w:t>, the performance of the Purchased Lease Receivables. Accordingly, the Noteholders will be exposed to the credit risk of the Lessees.</w:t>
      </w:r>
    </w:p>
    <w:p w14:paraId="2B513547" w14:textId="71AAE0C9" w:rsidR="009F6E91" w:rsidRPr="00D427D8" w:rsidRDefault="009F6E91" w:rsidP="009F6E91">
      <w:pPr>
        <w:pStyle w:val="Body1"/>
      </w:pPr>
      <w:r w:rsidRPr="00D427D8">
        <w:t>The performance of the Purchased Lease Receivables depends on a number of factors, including general economic conditions, unemployment levels, the circumstances of individual Lessees, Stellantis Bank</w:t>
      </w:r>
      <w:r w:rsidR="00EF7333" w:rsidRPr="00D427D8">
        <w:t>'</w:t>
      </w:r>
      <w:r w:rsidRPr="00D427D8">
        <w:t>s underwriting standards at origination and the success of Stellantis Bank</w:t>
      </w:r>
      <w:r w:rsidR="00EF7333" w:rsidRPr="00D427D8">
        <w:t>'</w:t>
      </w:r>
      <w:r w:rsidRPr="00D427D8">
        <w:t>s servicing and collection strategies. Consequently, no accurate prediction can be made of how the Purchased Lease Receivables (and accordingly the Notes) will perform based on credit evaluation scores or other similar measures.</w:t>
      </w:r>
    </w:p>
    <w:p w14:paraId="6575A7C7" w14:textId="77777777" w:rsidR="009F6E91" w:rsidRPr="00D427D8" w:rsidRDefault="009F6E91" w:rsidP="009F6E91">
      <w:pPr>
        <w:pStyle w:val="Body1"/>
        <w:rPr>
          <w:rStyle w:val="BoldItalicText"/>
        </w:rPr>
      </w:pPr>
      <w:r w:rsidRPr="00D427D8">
        <w:rPr>
          <w:rStyle w:val="BoldItalicText"/>
        </w:rPr>
        <w:t>Payments of Principal</w:t>
      </w:r>
    </w:p>
    <w:p w14:paraId="6DB265F7" w14:textId="77777777" w:rsidR="009F6E91" w:rsidRPr="00D427D8" w:rsidRDefault="009F6E91" w:rsidP="009F6E91">
      <w:pPr>
        <w:pStyle w:val="Body1"/>
      </w:pPr>
      <w:r w:rsidRPr="00D427D8">
        <w:t>The Issuer does not have an obligation to pay a specified amount of principal on any Note on any date other than its outstanding amount on its Final Legal Maturity Date. The Notes are, however, subject to mandatory early redemption in part on each Distribution Date in accordance with Condition 7.4 (</w:t>
      </w:r>
      <w:r w:rsidRPr="00D427D8">
        <w:rPr>
          <w:i/>
        </w:rPr>
        <w:t>Accelerated Amortisation Period</w:t>
      </w:r>
      <w:r w:rsidRPr="00D427D8">
        <w:t>). Failure to pay principal on a Note will not constitute an Issuer Event of Default until its Final Legal Maturity Date.</w:t>
      </w:r>
    </w:p>
    <w:p w14:paraId="6FFEAB6A" w14:textId="77777777" w:rsidR="009F6E91" w:rsidRPr="00D427D8" w:rsidRDefault="009F6E91" w:rsidP="009F6E91">
      <w:pPr>
        <w:pStyle w:val="Body1"/>
        <w:rPr>
          <w:rStyle w:val="BoldItalicText"/>
        </w:rPr>
      </w:pPr>
      <w:r w:rsidRPr="00D427D8">
        <w:rPr>
          <w:rStyle w:val="BoldItalicText"/>
        </w:rPr>
        <w:t>Losses on the Purchased Lease Receivables may cause Losses on the Notes</w:t>
      </w:r>
    </w:p>
    <w:p w14:paraId="1802F6EC" w14:textId="77777777" w:rsidR="009F6E91" w:rsidRPr="00D427D8" w:rsidRDefault="009F6E91" w:rsidP="009F6E91">
      <w:pPr>
        <w:pStyle w:val="Body1"/>
      </w:pPr>
      <w:r w:rsidRPr="00D427D8">
        <w:t>The payment of principal and interest under the Notes is dependent upon the future performance of the Purchased Lease Receivables. Noteholders may therefore suffer losses on the amounts invested in the Notes if the Lessees as debtors of the Purchased Lease Receivables default on their payment obligations. It should also be noted that retail customers are obligated to obtain comprehensive vehicle damage insurance.</w:t>
      </w:r>
    </w:p>
    <w:p w14:paraId="44C7877D" w14:textId="77777777" w:rsidR="009F6E91" w:rsidRPr="00D427D8" w:rsidRDefault="009F6E91" w:rsidP="009F6E91">
      <w:pPr>
        <w:pStyle w:val="Body1"/>
      </w:pPr>
      <w:r w:rsidRPr="00D427D8">
        <w:t>There can be no assurance that the historical level of losses experienced by Stellantis Bank on its German auto lease portfolio is predictive of future performance of the portfolio. Losses could increase significantly for various reasons, including changes in the local, regional or national economies or due to other events. Any significant increase in losses on the Purchased Lease Receivables could result in accelerated, reduced or delayed payments on the Notes.</w:t>
      </w:r>
    </w:p>
    <w:p w14:paraId="3004737E" w14:textId="77777777" w:rsidR="00FB7194" w:rsidRPr="00D427D8" w:rsidRDefault="00FB7194" w:rsidP="00FB7194">
      <w:pPr>
        <w:pStyle w:val="Body1"/>
        <w:rPr>
          <w:rStyle w:val="BoldItalicText"/>
        </w:rPr>
      </w:pPr>
      <w:r w:rsidRPr="00D427D8">
        <w:rPr>
          <w:rStyle w:val="BoldItalicText"/>
        </w:rPr>
        <w:t>Residual Value Risk</w:t>
      </w:r>
    </w:p>
    <w:p w14:paraId="35CF67CA" w14:textId="25EE4C65" w:rsidR="00FB7194" w:rsidRPr="00D427D8" w:rsidRDefault="00FB7194" w:rsidP="00FB7194">
      <w:pPr>
        <w:pStyle w:val="Body1"/>
      </w:pPr>
      <w:r w:rsidRPr="00D427D8">
        <w:t xml:space="preserve">A residual value risk exists as the estimated market value of the Leased Vehicles at the time of disposal upon expiration of the lease </w:t>
      </w:r>
      <w:r w:rsidR="007D0312" w:rsidRPr="00D427D8">
        <w:t>agreement</w:t>
      </w:r>
      <w:r w:rsidRPr="00D427D8">
        <w:t xml:space="preserve">s might be lower than the Expectancy Right Value that was contractually agreed at the time the relevant lease </w:t>
      </w:r>
      <w:r w:rsidR="007D0312" w:rsidRPr="00D427D8">
        <w:t xml:space="preserve">agreement </w:t>
      </w:r>
      <w:r w:rsidRPr="00D427D8">
        <w:t xml:space="preserve">was entered into. As the residual value risk is initially transferred by Stellantis Bank to the Car Dealers (based on the Leased Vehicle Put Options) or, in the case of RW Contracts, is borne by the Lessee there is a risk to the Issuer that the Car Dealer or the Lessee, as the case may be, guaranteeing the residual value might default. In such cases, the Issuer may not be able to </w:t>
      </w:r>
      <w:r w:rsidRPr="00D427D8">
        <w:lastRenderedPageBreak/>
        <w:t>realise the Leased Vehicle at a value equal to the relevant Expectancy Right Value</w:t>
      </w:r>
      <w:r w:rsidR="00426B6E" w:rsidRPr="00D427D8">
        <w:t xml:space="preserve"> which could result in losses to investors in the Notes.</w:t>
      </w:r>
    </w:p>
    <w:p w14:paraId="70CD8101" w14:textId="16DAEE4A" w:rsidR="00FB7194" w:rsidRPr="00D427D8" w:rsidRDefault="00FB7194" w:rsidP="00FB7194">
      <w:pPr>
        <w:pStyle w:val="Body1"/>
      </w:pPr>
      <w:r w:rsidRPr="00D427D8">
        <w:t xml:space="preserve">In particular, if the Car Dealer defaults, the Leased Vehicle may have to be sold in the open market and hence the residual value risk remains with the Issuer. </w:t>
      </w:r>
    </w:p>
    <w:p w14:paraId="35A59263" w14:textId="77777777" w:rsidR="009F6E91" w:rsidRPr="00D427D8" w:rsidRDefault="009F6E91" w:rsidP="00EF7333">
      <w:pPr>
        <w:pStyle w:val="Body1"/>
        <w:rPr>
          <w:rStyle w:val="BoldItalicText"/>
        </w:rPr>
      </w:pPr>
      <w:r w:rsidRPr="00D427D8">
        <w:rPr>
          <w:rStyle w:val="BoldItalicText"/>
        </w:rPr>
        <w:t>Maturity risk</w:t>
      </w:r>
    </w:p>
    <w:p w14:paraId="2BEDC0D9" w14:textId="715D1894" w:rsidR="009F6E91" w:rsidRPr="00D427D8" w:rsidRDefault="009F6E91" w:rsidP="009F6E91">
      <w:pPr>
        <w:pStyle w:val="Body1"/>
      </w:pPr>
      <w:r w:rsidRPr="00D427D8">
        <w:t xml:space="preserve">There is a risk that the Issuer, on maturity of the Notes, will not have received sufficient principal funds to fully redeem the Notes. The Final Legal Maturity Date is the Distribution Date falling in </w:t>
      </w:r>
      <w:r w:rsidR="00D427D8" w:rsidRPr="00D427D8">
        <w:rPr>
          <w:rFonts w:cs="Arial"/>
        </w:rPr>
        <w:t>May 2034</w:t>
      </w:r>
      <w:r w:rsidRPr="00D427D8">
        <w:t>.</w:t>
      </w:r>
    </w:p>
    <w:p w14:paraId="5B0C195A" w14:textId="77777777" w:rsidR="009F6E91" w:rsidRPr="00D427D8" w:rsidRDefault="009F6E91" w:rsidP="009F6E91">
      <w:pPr>
        <w:pStyle w:val="Body1"/>
      </w:pPr>
      <w:r w:rsidRPr="00D427D8">
        <w:t>After the Final Legal Maturity Date, any part of the nominal value of the Notes of any Class or of the interest due thereon which remains unpaid will be automatically cancelled, so that no Noteholder, after such date, will have any right to assert a claim in this respect against the Issuer, regardless of the amounts which may remain unpaid after the Final Legal Maturity Date.</w:t>
      </w:r>
    </w:p>
    <w:p w14:paraId="7A356756" w14:textId="77777777" w:rsidR="009F6E91" w:rsidRPr="00D427D8" w:rsidRDefault="009F6E91" w:rsidP="009F6E91">
      <w:pPr>
        <w:pStyle w:val="Body1"/>
        <w:rPr>
          <w:rStyle w:val="BoldItalicText"/>
        </w:rPr>
      </w:pPr>
      <w:r w:rsidRPr="00D427D8">
        <w:rPr>
          <w:rStyle w:val="BoldItalicText"/>
        </w:rPr>
        <w:t>Return on an investment in Notes will be affected by charges incurred by investors</w:t>
      </w:r>
    </w:p>
    <w:p w14:paraId="6DCA3FAE" w14:textId="679B772D" w:rsidR="009F6E91" w:rsidRPr="00D427D8" w:rsidRDefault="009F6E91" w:rsidP="009F6E91">
      <w:pPr>
        <w:pStyle w:val="Body1"/>
      </w:pPr>
      <w:r w:rsidRPr="00D427D8">
        <w:t>An investor</w:t>
      </w:r>
      <w:r w:rsidR="00EF7333" w:rsidRPr="00D427D8">
        <w:t>'</w:t>
      </w:r>
      <w:r w:rsidRPr="00D427D8">
        <w:t>s total return on an investment in any Notes will be affected by the level of fees charged by the nominee service provider and/or clearing system used by the investor. Such a person or institution may charge fees for the opening and operation of an investment account, transfers of Notes, custody services and on payments of interest, principal and other amounts. Potential investors are therefore advised to investigate the basis on which any such fees will be charged on the relevant Notes.</w:t>
      </w:r>
    </w:p>
    <w:p w14:paraId="02F9F6B8" w14:textId="77777777" w:rsidR="009F6E91" w:rsidRPr="00D427D8" w:rsidRDefault="009F6E91" w:rsidP="00EF7333">
      <w:pPr>
        <w:pStyle w:val="Body1"/>
        <w:rPr>
          <w:rStyle w:val="BoldItalicText"/>
        </w:rPr>
      </w:pPr>
      <w:r w:rsidRPr="00D427D8">
        <w:rPr>
          <w:rStyle w:val="BoldItalicText"/>
        </w:rPr>
        <w:t>Changes or Uncertainty in respect of EURIBOR may affect the value or payment of interest under the Class A Notes, Class B Notes, Class C Notes, Class D Notes, Class E Notes, Class F Notes and the Class G Notes</w:t>
      </w:r>
    </w:p>
    <w:p w14:paraId="4A7A91BD" w14:textId="445FB695" w:rsidR="009F6E91" w:rsidRPr="00D427D8" w:rsidRDefault="009F6E91" w:rsidP="009F6E91">
      <w:pPr>
        <w:pStyle w:val="Body1"/>
      </w:pPr>
      <w:r w:rsidRPr="00D427D8">
        <w:rPr>
          <w:lang w:val="en-US"/>
        </w:rPr>
        <w:t xml:space="preserve">EURIBOR qualifies as a benchmark (a </w:t>
      </w:r>
      <w:r w:rsidR="00EF7333" w:rsidRPr="00D427D8">
        <w:rPr>
          <w:lang w:val="en-US"/>
        </w:rPr>
        <w:t>"</w:t>
      </w:r>
      <w:r w:rsidRPr="00D427D8">
        <w:rPr>
          <w:rStyle w:val="BoldText"/>
        </w:rPr>
        <w:t>Benchmark</w:t>
      </w:r>
      <w:r w:rsidR="00EF7333" w:rsidRPr="00D427D8">
        <w:rPr>
          <w:lang w:val="en-US"/>
        </w:rPr>
        <w:t>"</w:t>
      </w:r>
      <w:r w:rsidRPr="00D427D8">
        <w:rPr>
          <w:lang w:val="en-US"/>
        </w:rPr>
        <w:t xml:space="preserve">) within the meaning of Regulation (EU) 2016/1011 of the European Parliament and of the Council on indices used as benchmarks in financial instruments and financial contracts or to measure the performance of investment funds and amending Directives 2008/48/EC and 2014/17/EC and Regulation (EU) No 596/2014 (the </w:t>
      </w:r>
      <w:r w:rsidR="00EF7333" w:rsidRPr="00D427D8">
        <w:rPr>
          <w:lang w:val="en-US"/>
        </w:rPr>
        <w:t>"</w:t>
      </w:r>
      <w:r w:rsidRPr="00D427D8">
        <w:rPr>
          <w:rStyle w:val="BoldText"/>
        </w:rPr>
        <w:t>Benchmarks Regulation</w:t>
      </w:r>
      <w:r w:rsidR="00EF7333" w:rsidRPr="00D427D8">
        <w:rPr>
          <w:lang w:val="en-US"/>
        </w:rPr>
        <w:t>"</w:t>
      </w:r>
      <w:r w:rsidRPr="00D427D8">
        <w:rPr>
          <w:lang w:val="en-US"/>
        </w:rPr>
        <w:t xml:space="preserve">), which is applicable since 1 January 2018. Currently, EURIBOR has been identified as a </w:t>
      </w:r>
      <w:r w:rsidR="00EF7333" w:rsidRPr="00D427D8">
        <w:rPr>
          <w:lang w:val="en-US"/>
        </w:rPr>
        <w:t>"</w:t>
      </w:r>
      <w:r w:rsidRPr="00D427D8">
        <w:rPr>
          <w:lang w:val="en-US"/>
        </w:rPr>
        <w:t>critical benchmark</w:t>
      </w:r>
      <w:r w:rsidR="00EF7333" w:rsidRPr="00D427D8">
        <w:rPr>
          <w:lang w:val="en-US"/>
        </w:rPr>
        <w:t>"</w:t>
      </w:r>
      <w:r w:rsidRPr="00D427D8">
        <w:rPr>
          <w:lang w:val="en-US"/>
        </w:rPr>
        <w:t xml:space="preserve"> within the meaning of the Benchmarks Regulation.</w:t>
      </w:r>
      <w:r w:rsidRPr="00D427D8">
        <w:t xml:space="preserve"> The Benchmarks Regulation applies to </w:t>
      </w:r>
      <w:r w:rsidR="00EF7333" w:rsidRPr="00D427D8">
        <w:t>"</w:t>
      </w:r>
      <w:r w:rsidRPr="00D427D8">
        <w:t>contributors</w:t>
      </w:r>
      <w:r w:rsidR="00EF7333" w:rsidRPr="00D427D8">
        <w:t>"</w:t>
      </w:r>
      <w:r w:rsidRPr="00D427D8">
        <w:t xml:space="preserve">, </w:t>
      </w:r>
      <w:r w:rsidR="00EF7333" w:rsidRPr="00D427D8">
        <w:t>"</w:t>
      </w:r>
      <w:r w:rsidRPr="00D427D8">
        <w:t>administrators</w:t>
      </w:r>
      <w:r w:rsidR="00EF7333" w:rsidRPr="00D427D8">
        <w:t>"</w:t>
      </w:r>
      <w:r w:rsidRPr="00D427D8">
        <w:t xml:space="preserve"> and </w:t>
      </w:r>
      <w:r w:rsidR="00EF7333" w:rsidRPr="00D427D8">
        <w:t>"</w:t>
      </w:r>
      <w:r w:rsidRPr="00D427D8">
        <w:t>users</w:t>
      </w:r>
      <w:r w:rsidR="00EF7333" w:rsidRPr="00D427D8">
        <w:t>"</w:t>
      </w:r>
      <w:r w:rsidRPr="00D427D8">
        <w:t xml:space="preserve"> of benchmarks (such as EURIBOR) in the EU, and among other things, (i) requires benchmark administrators to be authorised and to comply with extensive requirements in relation to the administration of benchmarks and (ii) ban the use of benchmarks of unauthorised administrators. EURIBOR is administered by European Money Markets Institute which is registered in the register of administrators and benchmarks established and maintained by the European Securities and Markets Authority (</w:t>
      </w:r>
      <w:r w:rsidR="00EF7333" w:rsidRPr="00D427D8">
        <w:t>"</w:t>
      </w:r>
      <w:r w:rsidRPr="00D427D8">
        <w:rPr>
          <w:rStyle w:val="BoldText"/>
        </w:rPr>
        <w:t>ESMA</w:t>
      </w:r>
      <w:r w:rsidR="00EF7333" w:rsidRPr="00D427D8">
        <w:t>"</w:t>
      </w:r>
      <w:r w:rsidRPr="00D427D8">
        <w:t>) as of the date of this Prospectus. Should the European Money Markets Institute become de-registered from ESMA</w:t>
      </w:r>
      <w:r w:rsidR="00EF7333" w:rsidRPr="00D427D8">
        <w:t>'</w:t>
      </w:r>
      <w:r w:rsidRPr="00D427D8">
        <w:t>s register of administrators and benchmarks, there is a risk that the use of EURIBOR might be banned in accordance with the Benchmarks Regulation.</w:t>
      </w:r>
    </w:p>
    <w:p w14:paraId="5B35CF89" w14:textId="77777777" w:rsidR="009F6E91" w:rsidRPr="00D427D8" w:rsidRDefault="009F6E91" w:rsidP="009F6E91">
      <w:pPr>
        <w:pStyle w:val="Body1"/>
      </w:pPr>
      <w:bookmarkStart w:id="9" w:name="_Hlk99977290"/>
      <w:r w:rsidRPr="00D427D8">
        <w:t>Furthermore, it is not possible to ascertain as at the date of this Prospectus (i) what the impact of the Benchmarks Regulation will be on the determination of EURIBOR in the future, which could adversely affect the value of the Notes, (ii) how changes in accordance with the Benchmarks Regulation may impact the determination of EURIBOR for the purposes of the Notes and the Hedging Arrangement, (iii) whether any changes in accordance with the Benchmarks Regulation will result in a sudden or prolonged increase or decrease in EURIBOR rates or (iv) whether changes in accordance with the Benchmarks Regulation will have an adverse impact on the liquidity or the market value of the Notes and the payment of interest thereunder.</w:t>
      </w:r>
    </w:p>
    <w:p w14:paraId="3A679D60" w14:textId="568A1BFA" w:rsidR="009F6E91" w:rsidRPr="00D427D8" w:rsidRDefault="009F6E91" w:rsidP="009F6E91">
      <w:pPr>
        <w:pStyle w:val="Body1"/>
        <w:rPr>
          <w:lang w:val="en-US"/>
        </w:rPr>
      </w:pPr>
      <w:r w:rsidRPr="00D427D8">
        <w:t xml:space="preserve">The Benchmarks Regulation as it forms part of domestic law of the United Kingdom by virtue of the EUWA (the </w:t>
      </w:r>
      <w:r w:rsidR="00EF7333" w:rsidRPr="00D427D8">
        <w:t>"</w:t>
      </w:r>
      <w:r w:rsidRPr="00D427D8">
        <w:rPr>
          <w:rStyle w:val="BoldText"/>
        </w:rPr>
        <w:t>UK Benchmarks Regulation</w:t>
      </w:r>
      <w:r w:rsidR="00EF7333" w:rsidRPr="00D427D8">
        <w:t>"</w:t>
      </w:r>
      <w:r w:rsidRPr="00D427D8">
        <w:t xml:space="preserve">) contains similar requirements with respect to the UK, in particular the requirement for benchmark administrators to be authorised or registered (or, if non-UK-based, to be subject to an equivalent regime or otherwise recognised or endorsed) and to comply with extensive requirements in relation to the administration of benchmarks and prevent certain uses by UK-supervised entities of benchmarks of administrators that are not authorised or registered (or, if non-UK based, deemed equivalent or recognised or endorsed). </w:t>
      </w:r>
      <w:bookmarkStart w:id="10" w:name="_Hlk130931118"/>
      <w:r w:rsidRPr="00D427D8">
        <w:t>Pursuant to section 20 of the Financial Services Act 2021, the transitional period for third country benchmarks has been extended from 31 December 2022 to 31 December 2025.</w:t>
      </w:r>
      <w:bookmarkEnd w:id="10"/>
    </w:p>
    <w:bookmarkEnd w:id="9"/>
    <w:p w14:paraId="340D4737" w14:textId="77777777" w:rsidR="009F6E91" w:rsidRPr="00D427D8" w:rsidRDefault="009F6E91" w:rsidP="009F6E91">
      <w:pPr>
        <w:pStyle w:val="Body1"/>
        <w:rPr>
          <w:lang w:val="en-US"/>
        </w:rPr>
      </w:pPr>
      <w:r w:rsidRPr="00D427D8">
        <w:rPr>
          <w:lang w:val="en-US"/>
        </w:rPr>
        <w:t xml:space="preserve">Any consequential changes to EURIBOR as a result of the European Union, or other international, national, or other proposals for reform or other initiatives or investigations, or any further uncertainty in relation to the </w:t>
      </w:r>
      <w:r w:rsidRPr="00D427D8">
        <w:rPr>
          <w:lang w:val="en-US"/>
        </w:rPr>
        <w:lastRenderedPageBreak/>
        <w:t>timing and manner of implementation of such changes could have a material adverse effect on the value of and return on the Notes. Such factors may have the effect of discouraging market participants from continuing to administer or participate in certain Benchmarks, trigger changes in the rules of methodologies used in certain Benchmarks, adversely affect the performance of a Benchmark or lead to the disappearance of certain Benchmarks.</w:t>
      </w:r>
    </w:p>
    <w:p w14:paraId="7C71CC90" w14:textId="77777777" w:rsidR="009F6E91" w:rsidRPr="00D427D8" w:rsidRDefault="009F6E91" w:rsidP="009F6E91">
      <w:pPr>
        <w:pStyle w:val="Body1"/>
      </w:pPr>
      <w:r w:rsidRPr="00D427D8">
        <w:t>The discontinuation of EURIBOR will constitute a Benchmark Event. If such Benchmark Event has occurred, the Rate Determination Agent (acting on behalf of the Calculation Agent) will determine a Substitute Reference Rate.</w:t>
      </w:r>
    </w:p>
    <w:p w14:paraId="34C1AA5F" w14:textId="77777777" w:rsidR="009F6E91" w:rsidRPr="00D427D8" w:rsidRDefault="009F6E91" w:rsidP="009F6E91">
      <w:pPr>
        <w:pStyle w:val="Body1"/>
      </w:pPr>
      <w:r w:rsidRPr="00D427D8">
        <w:t>Prior to the occurrence of a Benchmark Event, fall-back definitions for determining EURIBOR, i.e. the floating rate of the Notes, are in place under the Conditions of the Notes. If the Reuters screen page EURIBOR01 is not available or if no such quotation appears thereon, in each case as at such time, the Calculation Agent shall in consultation with the Issuer determine EURIBOR by the offered quotation or the arithmetic mean of the offered quotation on the Screen Page on the last day preceding the second Business Day prior to the commencement of the Interest Determination Date on which such quotations were offered.</w:t>
      </w:r>
    </w:p>
    <w:p w14:paraId="04B1D44F" w14:textId="77777777" w:rsidR="009F6E91" w:rsidRPr="00D427D8" w:rsidRDefault="009F6E91" w:rsidP="009F6E91">
      <w:pPr>
        <w:pStyle w:val="Body1"/>
      </w:pPr>
      <w:r w:rsidRPr="00D427D8">
        <w:t>There can be no definitive assurance that the amendment of the 1-Month EURIBOR would effectively mitigate any interest rate risk on the Notes. This, in turn, could cause a risk of mismatch of interest and reduced payments on the Notes which could have significant negative effects on the yield and the market value of the Note. Furthermore, investors should be aware that the EU Benchmarks Regulation and the UK Benchmarks Regulation can deviate after any transitional period.</w:t>
      </w:r>
    </w:p>
    <w:p w14:paraId="352A8D5A" w14:textId="77777777" w:rsidR="009F6E91" w:rsidRPr="00D427D8" w:rsidRDefault="009F6E91" w:rsidP="009F6E91">
      <w:pPr>
        <w:pStyle w:val="Body1"/>
        <w:rPr>
          <w:rStyle w:val="BoldItalicText"/>
        </w:rPr>
      </w:pPr>
      <w:r w:rsidRPr="00D427D8">
        <w:rPr>
          <w:rStyle w:val="BoldItalicText"/>
        </w:rPr>
        <w:t>Majority Noteholder Resolutions will bind all Noteholders</w:t>
      </w:r>
    </w:p>
    <w:p w14:paraId="3C7D8771" w14:textId="77777777" w:rsidR="009F6E91" w:rsidRPr="00D427D8" w:rsidRDefault="009F6E91" w:rsidP="009F6E91">
      <w:pPr>
        <w:pStyle w:val="Body1"/>
      </w:pPr>
      <w:r w:rsidRPr="00D427D8">
        <w:t>There is a risk that a Noteholder is bound by a vote of a majority of Noteholders and is being outvoted.</w:t>
      </w:r>
    </w:p>
    <w:p w14:paraId="36C1DA69" w14:textId="77777777" w:rsidR="009F6E91" w:rsidRPr="00D427D8" w:rsidRDefault="009F6E91" w:rsidP="009F6E91">
      <w:pPr>
        <w:pStyle w:val="Body1"/>
      </w:pPr>
      <w:r w:rsidRPr="00D427D8">
        <w:t>The German Act on Debt Securities applies to the Notes. The Conditions provide for resolutions of Noteholders of any Class of Notes to be passed by vote taken without meetings. As resolutions properly adopted are binding on all Noteholders of such Class of Notes, certain rights of such Noteholder against the Issuer under the Terms and Conditions may be amended or reduced or even cancelled although the Noteholder does not agree with such measures.</w:t>
      </w:r>
    </w:p>
    <w:p w14:paraId="45E4B840" w14:textId="69132F50" w:rsidR="009F6E91" w:rsidRPr="00D427D8" w:rsidRDefault="009F6E91" w:rsidP="009F6E91">
      <w:pPr>
        <w:pStyle w:val="Body1"/>
      </w:pPr>
      <w:r w:rsidRPr="00D427D8">
        <w:t>If the Noteholders of any Class of Notes appoint a noteholders</w:t>
      </w:r>
      <w:r w:rsidR="00EF7333" w:rsidRPr="00D427D8">
        <w:t>'</w:t>
      </w:r>
      <w:r w:rsidRPr="00D427D8">
        <w:t xml:space="preserve"> representative by a majority resolution of the Noteholders, it is possible that a Noteholder may lose, in whole or in part, its individual right to pursue and enforce its rights under the Terms and Conditions against the Issuer, such right passing to the noteholders</w:t>
      </w:r>
      <w:r w:rsidR="00EF7333" w:rsidRPr="00D427D8">
        <w:t>'</w:t>
      </w:r>
      <w:r w:rsidRPr="00D427D8">
        <w:t xml:space="preserve"> representative who is then exclusively responsible to claim and enforce the rights of all the Noteholders of such Class of Notes.</w:t>
      </w:r>
    </w:p>
    <w:p w14:paraId="727D3B60" w14:textId="77777777" w:rsidR="009F6E91" w:rsidRPr="00D427D8" w:rsidRDefault="009F6E91" w:rsidP="001C6E66">
      <w:pPr>
        <w:pStyle w:val="Body1"/>
        <w:keepNext/>
        <w:rPr>
          <w:rStyle w:val="BoldItalicText"/>
        </w:rPr>
      </w:pPr>
      <w:r w:rsidRPr="00D427D8">
        <w:rPr>
          <w:rStyle w:val="BoldItalicText"/>
        </w:rPr>
        <w:t>Rating of the Rated Notes</w:t>
      </w:r>
    </w:p>
    <w:p w14:paraId="495BC0B2" w14:textId="77777777" w:rsidR="009F6E91" w:rsidRPr="00D427D8" w:rsidRDefault="009F6E91" w:rsidP="009F6E91">
      <w:pPr>
        <w:pStyle w:val="Body1"/>
      </w:pPr>
      <w:bookmarkStart w:id="11" w:name="_Hlk198120000"/>
      <w:r w:rsidRPr="00D427D8">
        <w:t>The ratings assigned by the Rating Agencies to the Notes address (a) full and timely payment to the Noteholders of the then most senior class of Notes of any interest due on each Distribution Date and (b) full payment of principal by the Final Legal Maturity Date to the Class A Notes, the Class B Notes, the Class C Notes, the Class D Notes, the Class E Notes and the Class F Notes address the receipt by any Class A Noteholder, Class B Noteholder, Class C Noteholder, Class D Noteholder, Class E Noteholder and Class F Noteholder of principal. Other non-credit risks have not been addressed, but may have a significant effect on yield to investors.</w:t>
      </w:r>
    </w:p>
    <w:p w14:paraId="5FFC3904" w14:textId="60EF4FBB" w:rsidR="009F6E91" w:rsidRPr="00D427D8" w:rsidRDefault="009F6E91" w:rsidP="009F6E91">
      <w:pPr>
        <w:pStyle w:val="Body1"/>
      </w:pPr>
      <w:r w:rsidRPr="00D427D8">
        <w:t>The Rating Agencies</w:t>
      </w:r>
      <w:r w:rsidR="00EF7333" w:rsidRPr="00D427D8">
        <w:t>'</w:t>
      </w:r>
      <w:r w:rsidRPr="00D427D8">
        <w:t xml:space="preserve"> ratings take into consideration the characteristics of the Receivables and the current structural, legal, tax and Issuer-related aspects associated with the relevant Classes of Rated Notes. The ratings do not address the possibility that the Noteholders might suffer a lower than expected yield due to prepayments.</w:t>
      </w:r>
    </w:p>
    <w:p w14:paraId="6A242BD0" w14:textId="43BBBF32" w:rsidR="009F6E91" w:rsidRPr="00D427D8" w:rsidRDefault="009F6E91" w:rsidP="009F6E91">
      <w:pPr>
        <w:pStyle w:val="Body1"/>
      </w:pPr>
      <w:r w:rsidRPr="00D427D8">
        <w:t xml:space="preserve">Rating organisations other than the Rating Agencies may seek to rate the relevant Classes of Rated Notes and, if such </w:t>
      </w:r>
      <w:r w:rsidR="00EF7333" w:rsidRPr="00D427D8">
        <w:t>"</w:t>
      </w:r>
      <w:r w:rsidRPr="00D427D8">
        <w:t>shadow ratings</w:t>
      </w:r>
      <w:r w:rsidR="00EF7333" w:rsidRPr="00D427D8">
        <w:t>"</w:t>
      </w:r>
      <w:r w:rsidRPr="00D427D8">
        <w:t xml:space="preserve"> or </w:t>
      </w:r>
      <w:r w:rsidR="00EF7333" w:rsidRPr="00D427D8">
        <w:t>"</w:t>
      </w:r>
      <w:r w:rsidRPr="00D427D8">
        <w:t>unsolicited ratings</w:t>
      </w:r>
      <w:r w:rsidR="00EF7333" w:rsidRPr="00D427D8">
        <w:t>"</w:t>
      </w:r>
      <w:r w:rsidRPr="00D427D8">
        <w:t xml:space="preserve"> are lower than the comparable ratings assigned to the relevant Classes of Rated Notes by the Rating Agencies, such shadow or unsolicited ratings could have an adverse effect on the value of the relevant Classes of Rated Notes.</w:t>
      </w:r>
    </w:p>
    <w:p w14:paraId="08B1B0D8" w14:textId="77777777" w:rsidR="009F6E91" w:rsidRPr="00D427D8" w:rsidRDefault="009F6E91" w:rsidP="009F6E91">
      <w:pPr>
        <w:pStyle w:val="Body1"/>
      </w:pPr>
      <w:r w:rsidRPr="00D427D8">
        <w:t xml:space="preserve">There is no assurance that the ratings will continue for any period of time or that they will not be lowered, reviewed, suspended or withdrawn by the Rating Agencies. Future events, including events affecting the </w:t>
      </w:r>
      <w:r w:rsidRPr="00D427D8">
        <w:lastRenderedPageBreak/>
        <w:t>Account Bank, the Paying Agent, the Servicer or any other Transaction Party could have an adverse effect on the rating of the Rated Notes.</w:t>
      </w:r>
    </w:p>
    <w:p w14:paraId="23D9FFA0" w14:textId="77777777" w:rsidR="009F6E91" w:rsidRPr="00D427D8" w:rsidRDefault="009F6E91" w:rsidP="009F6E91">
      <w:pPr>
        <w:pStyle w:val="Body1"/>
      </w:pPr>
      <w:r w:rsidRPr="00D427D8">
        <w:t>A rating is not a recommendation to buy, sell or hold securities and may be subject to revision or withdrawal at any time by the rating organisation. The ratings assigned to the Rated Notes should be evaluated independently from similar ratings on other types of securities.</w:t>
      </w:r>
    </w:p>
    <w:p w14:paraId="7D305697" w14:textId="57261069" w:rsidR="009F6E91" w:rsidRPr="00D427D8" w:rsidRDefault="009F6E91" w:rsidP="009F6E91">
      <w:pPr>
        <w:pStyle w:val="Body1"/>
      </w:pPr>
      <w:r w:rsidRPr="00D427D8">
        <w:t>Credit rating agencies (</w:t>
      </w:r>
      <w:r w:rsidR="00EF7333" w:rsidRPr="00D427D8">
        <w:t>"</w:t>
      </w:r>
      <w:r w:rsidRPr="00D427D8">
        <w:rPr>
          <w:rStyle w:val="BoldText"/>
        </w:rPr>
        <w:t>CRA</w:t>
      </w:r>
      <w:r w:rsidR="00EF7333" w:rsidRPr="00D427D8">
        <w:t>"</w:t>
      </w:r>
      <w:r w:rsidRPr="00D427D8">
        <w:t xml:space="preserve">) review their rating methodologies on an ongoing basis, also taking into account recent legal and regulatory developments and there is a risk that changes to such methodologies would adversely affect credit ratings of the Notes even where there has been no deterioration in respect of the criteria which were taken into account when such ratings were first issued. Rating agencies and their ratings are subject to the CRA Regulation providing, </w:t>
      </w:r>
      <w:r w:rsidRPr="00D427D8">
        <w:rPr>
          <w:i/>
          <w:iCs/>
        </w:rPr>
        <w:t>inter alia</w:t>
      </w:r>
      <w:r w:rsidRPr="00D427D8">
        <w:t>, for requirements as regards the use of ratings for regulatory purposes of banks, insurance companies, reinsurance undertakings, and institutions for occupational retirement provision, the avoidance of conflict of interests, the monitoring of the ratings, the registration of rating agencies and the withdrawal of such registration as well as the supervision of rating agencies. If a registration of a rating agency is withdrawn, ratings issued by such rating agency may not be used for regulatory purposes. The list of registered and certified rating agencies published by the European Securities Markets Authority (</w:t>
      </w:r>
      <w:r w:rsidR="00EF7333" w:rsidRPr="00D427D8">
        <w:t>"</w:t>
      </w:r>
      <w:r w:rsidRPr="00D427D8">
        <w:rPr>
          <w:rStyle w:val="BoldText"/>
        </w:rPr>
        <w:t>ESMA</w:t>
      </w:r>
      <w:r w:rsidR="00EF7333" w:rsidRPr="00D427D8">
        <w:t>"</w:t>
      </w:r>
      <w:r w:rsidRPr="00D427D8">
        <w:t>) on its website in accordance with the CRA Regulation is not conclusive evidence of the status of the relevant rating agency included in such list, as there may be delays between certain supervisory measures being taken against a relevant rating agency and the publication of the updated ESMA list.</w:t>
      </w:r>
    </w:p>
    <w:p w14:paraId="4276EB45" w14:textId="77777777" w:rsidR="009F6E91" w:rsidRPr="00D427D8" w:rsidRDefault="009F6E91" w:rsidP="009F6E91">
      <w:pPr>
        <w:pStyle w:val="Body1"/>
      </w:pPr>
      <w:r w:rsidRPr="00D427D8">
        <w:t>In the event that the ratings initially assigned to the Rated Notes by the Rating Agencies are subsequently withdrawn or lowered for any reason, no person or entity is obliged to provide any additional support or credit enhancement to the Rated Notes. Noteholders should consult their own professional advisers to assess the effects of such EU regulations on their investment in the Rated Notes.</w:t>
      </w:r>
    </w:p>
    <w:p w14:paraId="672C9F30" w14:textId="77777777" w:rsidR="009F6E91" w:rsidRPr="00D427D8" w:rsidRDefault="009F6E91" w:rsidP="001C6E66">
      <w:pPr>
        <w:pStyle w:val="Body1"/>
        <w:keepNext/>
        <w:rPr>
          <w:rStyle w:val="BoldItalicText"/>
        </w:rPr>
      </w:pPr>
      <w:bookmarkStart w:id="12" w:name="_Hlk198120025"/>
      <w:bookmarkEnd w:id="11"/>
      <w:r w:rsidRPr="00D427D8">
        <w:rPr>
          <w:rStyle w:val="BoldItalicText"/>
        </w:rPr>
        <w:t>CRA 3 Regulation</w:t>
      </w:r>
    </w:p>
    <w:p w14:paraId="35E3EE92" w14:textId="467A8EE6" w:rsidR="009F6E91" w:rsidRPr="00D427D8" w:rsidRDefault="009F6E91" w:rsidP="009F6E91">
      <w:pPr>
        <w:pStyle w:val="Body1"/>
      </w:pPr>
      <w:r w:rsidRPr="00D427D8">
        <w:t xml:space="preserve">On 31 May 2013, the finalised text of the CRA Regulation of the European Parliament and of the European Council amending the CRA Regulation was published in the Official Journal of the European Union. The CRA 3 Regulation amends the CRA Regulation and provides, </w:t>
      </w:r>
      <w:r w:rsidRPr="00D427D8">
        <w:rPr>
          <w:i/>
          <w:iCs/>
        </w:rPr>
        <w:t>inter alia</w:t>
      </w:r>
      <w:r w:rsidRPr="00D427D8">
        <w:t>, for requirements as regards the use of ratings for regulatory purposes also for investment firms, the obligation of an investor to make its own credit assessment, the establishment of a European rating platform and civil liability of rating agencies. The CRA 3 Regulation introduced a requirement that where an issuer or related third parties (which term includes sponsors and originators) intends to solicit a credit rating of a structured finance instrument, the issuer will appoint at least two credit rating agencies to provide ratings independently of each other, and should, among those, consider appointing at least one rating agency having not more than a 10 per cent. total market share (as measured in accordance with Article 8d(3) of the CRA Regulation (as amended by CRA 3 Regulation)) (a small CRA), provided that a small CRA is capable of rating the relevant issuance or entity. The Issuer has appointed Moody</w:t>
      </w:r>
      <w:r w:rsidR="00EF7333" w:rsidRPr="00D427D8">
        <w:t>'</w:t>
      </w:r>
      <w:r w:rsidRPr="00D427D8">
        <w:t>s and DBRS, each of which is established in the EEA and is registered under the CRA Regulation and has considered appointing a small CRA.</w:t>
      </w:r>
    </w:p>
    <w:p w14:paraId="044433BB" w14:textId="77777777" w:rsidR="009F6E91" w:rsidRPr="00D427D8" w:rsidRDefault="009F6E91" w:rsidP="009F6E91">
      <w:pPr>
        <w:pStyle w:val="Body1"/>
      </w:pPr>
      <w:r w:rsidRPr="00D427D8">
        <w:t xml:space="preserve">Under the UK CRA Regulation, UK regulated investors are restricted from using a rating for regulatory purposes if such rating is not issued or endorsed by a credit rating agency established in the UK and registered or certified under the </w:t>
      </w:r>
      <w:r w:rsidRPr="00D427D8">
        <w:rPr>
          <w:bCs/>
        </w:rPr>
        <w:t>UK CRA Regulation</w:t>
      </w:r>
      <w:r w:rsidRPr="00D427D8">
        <w:t>.</w:t>
      </w:r>
      <w:bookmarkEnd w:id="12"/>
    </w:p>
    <w:p w14:paraId="4781347F" w14:textId="77777777" w:rsidR="009F6E91" w:rsidRPr="00D427D8" w:rsidRDefault="009F6E91" w:rsidP="009F6E91">
      <w:pPr>
        <w:pStyle w:val="Body1"/>
        <w:rPr>
          <w:rStyle w:val="BoldItalicText"/>
        </w:rPr>
      </w:pPr>
      <w:bookmarkStart w:id="13" w:name="_Hlk84327495"/>
      <w:r w:rsidRPr="00D427D8">
        <w:rPr>
          <w:rStyle w:val="BoldItalicText"/>
        </w:rPr>
        <w:t>Risks associated with the Servicer commingling risk</w:t>
      </w:r>
    </w:p>
    <w:bookmarkEnd w:id="13"/>
    <w:p w14:paraId="42C7C261" w14:textId="77777777" w:rsidR="009F6E91" w:rsidRPr="00D427D8" w:rsidRDefault="009F6E91" w:rsidP="009F6E91">
      <w:pPr>
        <w:pStyle w:val="Body1"/>
      </w:pPr>
      <w:r w:rsidRPr="00D427D8">
        <w:t>The Servicer will be required to remit collections on the Receivables to the Issuer within two (2) Business Days. Prior to remittance, the Servicer may use collections at its own risk and for its own benefit and may commingle collections on the Purchased Lease Receivables with its own funds. If the Servicer does not pay these amounts to the Issuer by the next Distribution Date (which could occur if the Servicer becomes subject to an insolvency proceeding), payments on the Notes could be reduced or delayed. Furthermore, the Servicer is not obliged to deposit a cash reserve to mitigate the commingling risk. No assurance can be given that, in the event of insolvency of the Servicer, its insolvency administrator may not withhold collections.</w:t>
      </w:r>
    </w:p>
    <w:p w14:paraId="0478DFB4" w14:textId="77777777" w:rsidR="009F6E91" w:rsidRPr="00D427D8" w:rsidRDefault="009F6E91" w:rsidP="009F6E91">
      <w:pPr>
        <w:pStyle w:val="Body1"/>
        <w:rPr>
          <w:rStyle w:val="BoldItalicText"/>
        </w:rPr>
      </w:pPr>
      <w:r w:rsidRPr="00D427D8">
        <w:rPr>
          <w:rStyle w:val="BoldItalicText"/>
        </w:rPr>
        <w:t>Risks associated with the Hedging Arrangement</w:t>
      </w:r>
    </w:p>
    <w:p w14:paraId="2C2AB56A" w14:textId="38731A19" w:rsidR="009F6E91" w:rsidRPr="00D427D8" w:rsidRDefault="009F6E91" w:rsidP="009F6E91">
      <w:pPr>
        <w:pStyle w:val="Body1"/>
      </w:pPr>
      <w:r w:rsidRPr="00D427D8">
        <w:t>The Issuer will enter into interest rate swap</w:t>
      </w:r>
      <w:r w:rsidR="00421A54">
        <w:t>s</w:t>
      </w:r>
      <w:r w:rsidRPr="00D427D8">
        <w:t xml:space="preserve"> with the Counterparty </w:t>
      </w:r>
      <w:r w:rsidR="006F5CD6" w:rsidRPr="00FD0907">
        <w:rPr>
          <w:rFonts w:asciiTheme="minorHAnsi" w:hAnsiTheme="minorHAnsi" w:cstheme="minorHAnsi"/>
          <w:szCs w:val="19"/>
        </w:rPr>
        <w:t xml:space="preserve">in respect of </w:t>
      </w:r>
      <w:r w:rsidR="00421A54">
        <w:rPr>
          <w:rFonts w:asciiTheme="minorHAnsi" w:hAnsiTheme="minorHAnsi" w:cstheme="minorHAnsi"/>
          <w:szCs w:val="19"/>
        </w:rPr>
        <w:t xml:space="preserve">each of </w:t>
      </w:r>
      <w:r w:rsidR="006F5CD6">
        <w:rPr>
          <w:rFonts w:asciiTheme="minorHAnsi" w:hAnsiTheme="minorHAnsi" w:cstheme="minorHAnsi"/>
          <w:szCs w:val="19"/>
        </w:rPr>
        <w:t xml:space="preserve">(i) </w:t>
      </w:r>
      <w:r w:rsidR="006F5CD6" w:rsidRPr="00FD0907">
        <w:rPr>
          <w:rFonts w:asciiTheme="minorHAnsi" w:hAnsiTheme="minorHAnsi" w:cstheme="minorHAnsi"/>
          <w:szCs w:val="19"/>
        </w:rPr>
        <w:t xml:space="preserve">the </w:t>
      </w:r>
      <w:r w:rsidR="006F5CD6">
        <w:rPr>
          <w:rFonts w:asciiTheme="minorHAnsi" w:hAnsiTheme="minorHAnsi" w:cstheme="minorHAnsi"/>
          <w:szCs w:val="19"/>
        </w:rPr>
        <w:t xml:space="preserve">Class A Notes and Class B </w:t>
      </w:r>
      <w:r w:rsidR="006F5CD6" w:rsidRPr="00FD0907">
        <w:rPr>
          <w:rFonts w:asciiTheme="minorHAnsi" w:hAnsiTheme="minorHAnsi" w:cstheme="minorHAnsi"/>
          <w:szCs w:val="19"/>
        </w:rPr>
        <w:t xml:space="preserve">Notes </w:t>
      </w:r>
      <w:r w:rsidR="006F5CD6">
        <w:rPr>
          <w:rFonts w:asciiTheme="minorHAnsi" w:hAnsiTheme="minorHAnsi" w:cstheme="minorHAnsi"/>
          <w:szCs w:val="19"/>
        </w:rPr>
        <w:t xml:space="preserve">and (ii) the Class C Notes, Class D Notes, Class E Notes, Class F Notes and Class G </w:t>
      </w:r>
      <w:r w:rsidR="006F5CD6">
        <w:rPr>
          <w:rFonts w:asciiTheme="minorHAnsi" w:hAnsiTheme="minorHAnsi" w:cstheme="minorHAnsi"/>
          <w:szCs w:val="19"/>
        </w:rPr>
        <w:lastRenderedPageBreak/>
        <w:t xml:space="preserve">Notes </w:t>
      </w:r>
      <w:r w:rsidRPr="00D427D8">
        <w:t>because the Purchased Lease Receivables owned by the Issuer bear interest at fixed rates but the Notes will bear interest at floating rates subject to a floor.</w:t>
      </w:r>
    </w:p>
    <w:p w14:paraId="7D7E5FBF" w14:textId="77777777" w:rsidR="009F6E91" w:rsidRPr="00D427D8" w:rsidRDefault="009F6E91" w:rsidP="009F6E91">
      <w:pPr>
        <w:pStyle w:val="Body1"/>
      </w:pPr>
      <w:r w:rsidRPr="00D427D8">
        <w:t>In relation to a swap payment date and a calculation period, if the floating rate payable by the Counterparty under the Hedging Arrangement is less than the fixed rate payable by the Issuer, then the Issuer will be obliged to make a payment to the Counterparty in accordance with the terms of the Hedging Arrangement. Such payments to the Counterparty rank higher in priority than payments on the Notes.</w:t>
      </w:r>
    </w:p>
    <w:p w14:paraId="742C2416" w14:textId="77777777" w:rsidR="009F6E91" w:rsidRPr="00D427D8" w:rsidRDefault="009F6E91" w:rsidP="009F6E91">
      <w:pPr>
        <w:pStyle w:val="Body1"/>
      </w:pPr>
      <w:r w:rsidRPr="00D427D8">
        <w:t>In relation to a swap payment date and a calculation period, if the fixed rate payable by the Issuer under the Hedging Arrangement is less than the floating rate payable by the Counterparty, then the Counterparty will be obligated to make a payment to the Issuer in accordance with the terms of the Hedging Arrangement.</w:t>
      </w:r>
    </w:p>
    <w:p w14:paraId="5C714A04" w14:textId="77777777" w:rsidR="009F6E91" w:rsidRPr="00D427D8" w:rsidRDefault="009F6E91" w:rsidP="009F6E91">
      <w:pPr>
        <w:pStyle w:val="Body1"/>
      </w:pPr>
      <w:r w:rsidRPr="00D427D8">
        <w:t>If the Counterparty fails to make payments required under the Hedging Arrangement when due, payments on the Notes may be reduced or delayed.</w:t>
      </w:r>
    </w:p>
    <w:p w14:paraId="01315632" w14:textId="77777777" w:rsidR="009F6E91" w:rsidRPr="00D427D8" w:rsidRDefault="009F6E91" w:rsidP="009F6E91">
      <w:pPr>
        <w:pStyle w:val="Body1"/>
      </w:pPr>
      <w:r w:rsidRPr="00D427D8">
        <w:t>In case that the floating rate is negative, the Issuer would not receive floating rate interest but would be obliged to pay floating rate interest to the Counterparty based on the absolute value of the floating rate and the relevant notional amount. However, such negative floating rate would be floored at a level corresponding to the negative value of the weighted average margin under the respective Class A Notes and the Class B Notes and at a level corresponding to the negative value of the relevant weighted average margin under the respective Class C Notes through the Class D Notes, in either case floored at a rate of zero.</w:t>
      </w:r>
    </w:p>
    <w:p w14:paraId="5CC46E5D" w14:textId="77777777" w:rsidR="009F6E91" w:rsidRPr="00D427D8" w:rsidRDefault="009F6E91" w:rsidP="009F6E91">
      <w:pPr>
        <w:pStyle w:val="Body1"/>
      </w:pPr>
      <w:r w:rsidRPr="00D427D8">
        <w:t>If either the Issuer or the Counterparty fails to make payments required under a Hedging Arrangement when due then, subject to a grace period, the non-defaulting party may terminate the interest rate swap transaction which is documented under the Hedging Arrangement. In such circumstances either the Issuer or the Counterparty may be required to make a swap termination payment to the other party. Any such termination payment could be substantial. If the Issuer is required to make such payment and (i) the Counterparty is not the defaulting party and (ii) the termination does not result from a failure by the Counterparty to take the required measures following a ratings downgrade of the Counterparty, then such payment ranks higher in priority than payments on the Notes and consequently may reduce the amounts available to the Issuer to make payments in respect of the Notes. In such circumstances, until the Issuer enters into a replacement swap transaction it is exposed to the risk of mismatch between its income under the Purchased Lease Receivables and the floating rate of interest payable by the Issuer in respect of the Notes.</w:t>
      </w:r>
    </w:p>
    <w:p w14:paraId="76CADA72" w14:textId="77777777" w:rsidR="009F6E91" w:rsidRPr="00D427D8" w:rsidRDefault="009F6E91" w:rsidP="009F6E91">
      <w:pPr>
        <w:pStyle w:val="Body1"/>
      </w:pPr>
      <w:r w:rsidRPr="00D427D8">
        <w:t>To the extent that a termination payment owing by Issuer to the Counterparty is not funded by receipt of a premium paid by a replacement swap counterparty, any termination payment will be paid by the Issuer from funds available for such purpose and in the prescribed order of priority, and, as a consequence, payments on the Notes may be reduced or delayed. If the Counterparty fails to make a termination payment owed to the Issuer (and any collateral transferred under the credit support annex is insufficient to reduce such claim), any premium payable for a replacement interest rate swap will be paid by the Issuer from funds available for such purpose, and, as a consequence, payments on the Notes may be reduced or delayed. If the Issuer has Notes outstanding and does not have an interest rate swap arrangement in place for such floating-rate exposure, the amount available to pay principal and interest on the Notes may be reduced or delayed.</w:t>
      </w:r>
    </w:p>
    <w:p w14:paraId="5F2B4BF6" w14:textId="77777777" w:rsidR="009F6E91" w:rsidRPr="00D427D8" w:rsidRDefault="009F6E91" w:rsidP="009F6E91">
      <w:pPr>
        <w:pStyle w:val="Body1"/>
      </w:pPr>
      <w:r w:rsidRPr="00D427D8">
        <w:t>The Counterparty may, subject to certain conditions specified in the Hedging Arrangement, transfer its obligations under the swap to another entity. There can be no assurance that the credit quality of the replacement counterparty will prove as strong as that of the original Counterparty.</w:t>
      </w:r>
    </w:p>
    <w:p w14:paraId="1B0E02A6" w14:textId="77777777" w:rsidR="009F6E91" w:rsidRPr="00D427D8" w:rsidRDefault="009F6E91" w:rsidP="00EF7333">
      <w:pPr>
        <w:pStyle w:val="Body1"/>
        <w:rPr>
          <w:rStyle w:val="BoldItalicText"/>
        </w:rPr>
      </w:pPr>
      <w:r w:rsidRPr="00D427D8">
        <w:rPr>
          <w:rStyle w:val="BoldItalicText"/>
        </w:rPr>
        <w:t>Eurosystem Eligibility</w:t>
      </w:r>
    </w:p>
    <w:p w14:paraId="03884B76" w14:textId="68F20715" w:rsidR="009F6E91" w:rsidRPr="00D427D8" w:rsidRDefault="009F6E91" w:rsidP="009F6E91">
      <w:pPr>
        <w:pStyle w:val="Body1"/>
      </w:pPr>
      <w:r w:rsidRPr="00D427D8">
        <w:t xml:space="preserve">The Class A Notes are intended to be held in a manner which will allow Eurosystem eligibility. This means that the Class A Notes are intended upon issue to be deposited with one of Euroclear or Clearstream, Luxembourg as Common Safekeeper and does not necessarily mean that the Class A Notes will be recognised as eligible collateral for Eurosystem monetary policy and intra-day credit operations by the Eurosystem (the </w:t>
      </w:r>
      <w:r w:rsidR="00EF7333" w:rsidRPr="00D427D8">
        <w:rPr>
          <w:shd w:val="clear" w:color="auto" w:fill="FFFFFF"/>
        </w:rPr>
        <w:t>"</w:t>
      </w:r>
      <w:r w:rsidRPr="00D427D8">
        <w:rPr>
          <w:rStyle w:val="BoldText"/>
        </w:rPr>
        <w:t>Eurosystem eligible collateral</w:t>
      </w:r>
      <w:r w:rsidR="00EF7333" w:rsidRPr="00D427D8">
        <w:rPr>
          <w:shd w:val="clear" w:color="auto" w:fill="FFFFFF"/>
        </w:rPr>
        <w:t>"</w:t>
      </w:r>
      <w:r w:rsidRPr="00D427D8">
        <w:t xml:space="preserve">) either upon issue or at any or all times during their life. Such recognition will depend upon satisfaction of the Eurosystem eligibility criteria </w:t>
      </w:r>
      <w:r w:rsidRPr="00D427D8">
        <w:rPr>
          <w:shd w:val="clear" w:color="auto" w:fill="FFFFFF"/>
        </w:rPr>
        <w:t xml:space="preserve">set out in the Guideline (EU) 2015/510 of the European Central Bank (the </w:t>
      </w:r>
      <w:r w:rsidR="00EF7333" w:rsidRPr="00D427D8">
        <w:rPr>
          <w:shd w:val="clear" w:color="auto" w:fill="FFFFFF"/>
        </w:rPr>
        <w:t>"</w:t>
      </w:r>
      <w:r w:rsidRPr="00D427D8">
        <w:rPr>
          <w:b/>
          <w:shd w:val="clear" w:color="auto" w:fill="FFFFFF"/>
        </w:rPr>
        <w:t>ECB</w:t>
      </w:r>
      <w:r w:rsidR="00EF7333" w:rsidRPr="00D427D8">
        <w:rPr>
          <w:shd w:val="clear" w:color="auto" w:fill="FFFFFF"/>
        </w:rPr>
        <w:t>"</w:t>
      </w:r>
      <w:r w:rsidRPr="00D427D8">
        <w:rPr>
          <w:shd w:val="clear" w:color="auto" w:fill="FFFFFF"/>
        </w:rPr>
        <w:t>) of 19 December 2014 on the implementation of the Eurosystem monetary policy framework (ECB/2014/60) (recast), which applies since 1 May 2015, as amended</w:t>
      </w:r>
      <w:r w:rsidRPr="00D427D8">
        <w:t>.</w:t>
      </w:r>
    </w:p>
    <w:p w14:paraId="1EC3A757" w14:textId="77777777" w:rsidR="009F6E91" w:rsidRPr="00D427D8" w:rsidRDefault="009F6E91" w:rsidP="009F6E91">
      <w:pPr>
        <w:pStyle w:val="Body1"/>
      </w:pPr>
      <w:r w:rsidRPr="00D427D8">
        <w:t xml:space="preserve">If the Class A Notes do not satisfy the criteria specified by the ECB, then the Class A Notes will not qualify as Eurosystem eligible collateral. As a consequence Noteholders will not be permitted to use the Class A Notes </w:t>
      </w:r>
      <w:r w:rsidRPr="00D427D8">
        <w:lastRenderedPageBreak/>
        <w:t>as collateral for monetary policy transactions of the Eurosystem and may sell the Notes into the secondary market at a reduced price only.</w:t>
      </w:r>
    </w:p>
    <w:p w14:paraId="52F7744B" w14:textId="77777777" w:rsidR="009F6E91" w:rsidRPr="00D427D8" w:rsidRDefault="009F6E91" w:rsidP="009F6E91">
      <w:pPr>
        <w:pStyle w:val="Body1"/>
      </w:pPr>
      <w:r w:rsidRPr="00D427D8">
        <w:t>Any prospective investor in the Class A Notes should make their own conclusion and seek their own advice with respect to whether or not the Class A Notes constitutes Eurosystem eligible collateral at any point of time during the life of the Class A Notes.</w:t>
      </w:r>
    </w:p>
    <w:p w14:paraId="7A354A38" w14:textId="77777777" w:rsidR="009F6E91" w:rsidRPr="00D427D8" w:rsidRDefault="009F6E91" w:rsidP="009F6E91">
      <w:pPr>
        <w:pStyle w:val="Body1"/>
      </w:pPr>
      <w:r w:rsidRPr="00D427D8">
        <w:t>For the avoidance of doubt, the Class B Notes, the Class C Notes, the Class D Notes, the Class E Notes, the Class F Notes and the Class G Notes will not satisfy the Eurosystem eligibility criteria.</w:t>
      </w:r>
    </w:p>
    <w:p w14:paraId="696D328A" w14:textId="77777777" w:rsidR="009F6E91" w:rsidRPr="00D427D8" w:rsidRDefault="009F6E91" w:rsidP="009F6E91">
      <w:pPr>
        <w:pStyle w:val="Body1"/>
        <w:rPr>
          <w:rStyle w:val="BoldItalicText"/>
        </w:rPr>
      </w:pPr>
      <w:r w:rsidRPr="00D427D8">
        <w:rPr>
          <w:rStyle w:val="BoldItalicText"/>
        </w:rPr>
        <w:t>Listing of the Notes</w:t>
      </w:r>
    </w:p>
    <w:p w14:paraId="1D38BD10" w14:textId="77777777" w:rsidR="009F6E91" w:rsidRPr="00D427D8" w:rsidRDefault="009F6E91" w:rsidP="009F6E91">
      <w:pPr>
        <w:pStyle w:val="Body1"/>
      </w:pPr>
      <w:r w:rsidRPr="00D427D8">
        <w:t>Application has been made for the Notes to be listed on the official list of the Luxembourg Stock Exchange (</w:t>
      </w:r>
      <w:r w:rsidRPr="00D427D8">
        <w:rPr>
          <w:i/>
        </w:rPr>
        <w:t>Bourse de Luxembourg</w:t>
      </w:r>
      <w:r w:rsidRPr="00D427D8">
        <w:t>) on the Closing Date. However, there is no assurance that the Notes will be admitted to listing on the Luxembourg Stock Exchange. If the Notes are not admitted to listing on the Luxembourg Stock Exchange this might negatively affect the marketability of the Notes.</w:t>
      </w:r>
    </w:p>
    <w:p w14:paraId="24B9DBFE" w14:textId="77777777" w:rsidR="009F6E91" w:rsidRPr="00D427D8" w:rsidRDefault="009F6E91" w:rsidP="009F6E91">
      <w:pPr>
        <w:pStyle w:val="Body1"/>
        <w:rPr>
          <w:rStyle w:val="BoldItalicText"/>
        </w:rPr>
      </w:pPr>
      <w:r w:rsidRPr="00D427D8">
        <w:rPr>
          <w:rStyle w:val="BoldItalicText"/>
        </w:rPr>
        <w:t>Limited Liquidity; Absence of Secondary Market</w:t>
      </w:r>
    </w:p>
    <w:p w14:paraId="09395633" w14:textId="77777777" w:rsidR="009F6E91" w:rsidRPr="00D427D8" w:rsidRDefault="009F6E91" w:rsidP="009F6E91">
      <w:pPr>
        <w:pStyle w:val="Body1"/>
      </w:pPr>
      <w:r w:rsidRPr="00D427D8">
        <w:t>There is currently only a limited secondary market for the Notes and there is no guarantee that a liquid secondary market will be established in the near future nor that such limited secondary market for the Notes will continue.</w:t>
      </w:r>
    </w:p>
    <w:p w14:paraId="77AC9B78" w14:textId="4716A032" w:rsidR="009F6E91" w:rsidRPr="00D427D8" w:rsidRDefault="009F6E91" w:rsidP="009F6E91">
      <w:pPr>
        <w:pStyle w:val="Body1"/>
      </w:pPr>
      <w:r w:rsidRPr="00D427D8">
        <w:t>Consequently, any purchaser of the Notes must be prepared to hold such Notes for an indefinite period of time or until final redemption or maturity of such Notes. The market values of the Notes are likely to fluctuate. Any such fluctuation may be significant and could result in significant losses to investors in the Notes. In addition, the forced sale into the market of asset-backed securities held by structured investment vehicles, hedge funds, issuers of collateralised debt obligations and other similar entities that are currently experiencing funding difficulties could adversely affect an investor</w:t>
      </w:r>
      <w:r w:rsidR="00EF7333" w:rsidRPr="00D427D8">
        <w:t>'</w:t>
      </w:r>
      <w:r w:rsidRPr="00D427D8">
        <w:t>s ability to sell, and/or the price an investor receives for, the Notes in the secondary market.</w:t>
      </w:r>
    </w:p>
    <w:p w14:paraId="33D54C98" w14:textId="5BF72970" w:rsidR="009F6E91" w:rsidRPr="00D427D8" w:rsidRDefault="009F6E91" w:rsidP="009F6E91">
      <w:pPr>
        <w:pStyle w:val="Body1"/>
      </w:pPr>
      <w:r w:rsidRPr="00D427D8">
        <w:t>After the Council of the European Union decided on 29 June 2022 that as of 2035 only zero-emission vehicles shall be newly registered in the member states of the European Union, the European Parliament and Council have reached a provisional agreement on 28 October 2022 which manifests such aim towards zero-emission mobility. This provisional agreement has been endorsed by the European Parliament on 14 February 2023, which sets the path for a new legislation containing new CO</w:t>
      </w:r>
      <w:r w:rsidRPr="00D427D8">
        <w:rPr>
          <w:vertAlign w:val="subscript"/>
        </w:rPr>
        <w:t>2</w:t>
      </w:r>
      <w:r w:rsidRPr="00D427D8">
        <w:t xml:space="preserve"> standards which require average emissions of new cars to come down by 55% by 2030, and new vans by 50% by 2030. Although the newly approved CO</w:t>
      </w:r>
      <w:r w:rsidRPr="00D427D8">
        <w:rPr>
          <w:vertAlign w:val="subscript"/>
        </w:rPr>
        <w:t>2</w:t>
      </w:r>
      <w:r w:rsidRPr="00D427D8">
        <w:t xml:space="preserve"> emissions reduction targets for new passenger cars and light commercial vehicles will have to be formally adopted by the Council, it is likely to already have an adverse impact on the market value of the Purchased Lease Receivables and Purchased Expectancy Rights. Such impact may result in lower proceeds in case of a sale of or enforcement of the Purchased Lease Receivables and Purchased Expectancy Rights and, therefore may impact the Issuer</w:t>
      </w:r>
      <w:r w:rsidR="00EF7333" w:rsidRPr="00D427D8">
        <w:t>'</w:t>
      </w:r>
      <w:r w:rsidRPr="00D427D8">
        <w:t>s ability to make payments under the Notes.</w:t>
      </w:r>
    </w:p>
    <w:p w14:paraId="18E842C1" w14:textId="77777777" w:rsidR="009F6E91" w:rsidRPr="00D427D8" w:rsidRDefault="009F6E91" w:rsidP="00EF7333">
      <w:pPr>
        <w:pStyle w:val="Body1"/>
        <w:rPr>
          <w:rStyle w:val="BoldText"/>
        </w:rPr>
      </w:pPr>
      <w:r w:rsidRPr="00D427D8">
        <w:rPr>
          <w:rStyle w:val="BoldText"/>
        </w:rPr>
        <w:t>Change of Law</w:t>
      </w:r>
    </w:p>
    <w:p w14:paraId="2155B04B" w14:textId="77777777" w:rsidR="009F6E91" w:rsidRPr="00D427D8" w:rsidRDefault="009F6E91" w:rsidP="009F6E91">
      <w:pPr>
        <w:pStyle w:val="Body1"/>
      </w:pPr>
      <w:r w:rsidRPr="00D427D8">
        <w:t>The structure of the issue of the Notes and this Securitisation is based on German, French and Luxembourg law (including tax law) in effect as at the date of this Prospectus. No assurance can be given as to the impact of any possible judicial decision or changes to any relevant law, the interpretation thereof or administrative practice after the date of this Prospectus.</w:t>
      </w:r>
    </w:p>
    <w:p w14:paraId="6F590057" w14:textId="77777777" w:rsidR="009F6E91" w:rsidRPr="00D427D8" w:rsidRDefault="009F6E91" w:rsidP="009F6E91">
      <w:pPr>
        <w:pStyle w:val="Body1"/>
        <w:rPr>
          <w:rStyle w:val="BoldText"/>
        </w:rPr>
      </w:pPr>
      <w:r w:rsidRPr="00D427D8">
        <w:rPr>
          <w:rStyle w:val="BoldText"/>
        </w:rPr>
        <w:t>Enforcement of Transaction Security in illiquid markets</w:t>
      </w:r>
    </w:p>
    <w:p w14:paraId="446EF44E" w14:textId="77777777" w:rsidR="009F6E91" w:rsidRPr="00D427D8" w:rsidRDefault="009F6E91" w:rsidP="009F6E91">
      <w:pPr>
        <w:pStyle w:val="Body1"/>
      </w:pPr>
      <w:r w:rsidRPr="00D427D8">
        <w:t xml:space="preserve">Upon the service of a </w:t>
      </w:r>
      <w:bookmarkStart w:id="14" w:name="_Hlk145688758"/>
      <w:r w:rsidRPr="00D427D8">
        <w:t>Note Acceleration Notice</w:t>
      </w:r>
      <w:bookmarkEnd w:id="14"/>
      <w:r w:rsidRPr="00D427D8">
        <w:t>, the payment of interest and the repayment of principal on the Notes may depend on whether and to what extent the Collateral Agent and the ER Collateral Agent will be able to enforce and realise the Transaction Security. There is a risk that at the time of such enforcement there is no active and liquid secondary market for lease receivables such as the Purchased Lease Receivables or Leased Vehicles. Accordingly, there is a risk that the Collateral Agent will not be able to sell the Purchased Lease Receivables and/or that the ER Collateral Agent will not be able to sell the Leased Vehicles on appropriate economic terms. This may adversely affect the payment of interest and the repayment of principal of the Notes.</w:t>
      </w:r>
    </w:p>
    <w:p w14:paraId="6F9F20FC" w14:textId="77777777" w:rsidR="009F6E91" w:rsidRPr="00D427D8" w:rsidRDefault="009F6E91" w:rsidP="009F6E91">
      <w:pPr>
        <w:pStyle w:val="Body1"/>
        <w:rPr>
          <w:rStyle w:val="BoldText"/>
        </w:rPr>
      </w:pPr>
      <w:r w:rsidRPr="00D427D8">
        <w:rPr>
          <w:rStyle w:val="BoldText"/>
        </w:rPr>
        <w:t>Responsibility of Prospective Investors</w:t>
      </w:r>
    </w:p>
    <w:p w14:paraId="46C15CC8" w14:textId="77777777" w:rsidR="009F6E91" w:rsidRPr="00D427D8" w:rsidRDefault="009F6E91" w:rsidP="009F6E91">
      <w:pPr>
        <w:pStyle w:val="Body1"/>
      </w:pPr>
      <w:r w:rsidRPr="00D427D8">
        <w:lastRenderedPageBreak/>
        <w:t>The purchase of the Notes is only suitable for investors (i) that possess adequate knowledge and experience in structured finance investments and have the necessary background and resources to evaluate all relevant risks related with such investments; (ii) that are able to bear the risk of loss of their investment (up to a total loss of the investment) without having to prematurely liquidate the investment; and (iii) that are able to assess the tax aspects and implications of such investment independently.</w:t>
      </w:r>
    </w:p>
    <w:p w14:paraId="03113A9A" w14:textId="77777777" w:rsidR="009F6E91" w:rsidRPr="00D427D8" w:rsidRDefault="009F6E91" w:rsidP="009F6E91">
      <w:pPr>
        <w:pStyle w:val="Body1"/>
      </w:pPr>
      <w:r w:rsidRPr="00D427D8">
        <w:t>Furthermore, each potential investor should base its investment decision on its own and independent investigation and on the advice of its professional advisors (with whom the investor may deem it necessary to consult), be able to assess if an investment in the Notes (i) is in compliance with its financial requirements, its targets and situation (or if it is acquiring the Notes in a fiduciary capacity, those of the beneficiary); (ii) is in compliance with its principles for investments, guidelines for or restrictions on investments (regardless of whether it acquires the Notes for itself or as a trustee); and (iii) is an appropriate investment for itself (or for any beneficiary if acting as a trustee), notwithstanding the risks of such investment.</w:t>
      </w:r>
    </w:p>
    <w:p w14:paraId="4701E689" w14:textId="77777777" w:rsidR="009F6E91" w:rsidRPr="00D427D8" w:rsidRDefault="009F6E91" w:rsidP="001C6E66">
      <w:pPr>
        <w:pStyle w:val="Heading1Underline"/>
        <w:rPr>
          <w:rStyle w:val="BoldText"/>
        </w:rPr>
      </w:pPr>
      <w:r w:rsidRPr="00D427D8">
        <w:rPr>
          <w:rStyle w:val="BoldText"/>
        </w:rPr>
        <w:t>III. Risks related to the Purchased Lease Receivables</w:t>
      </w:r>
    </w:p>
    <w:p w14:paraId="2EF5DF47" w14:textId="77777777" w:rsidR="009F6E91" w:rsidRPr="00D427D8" w:rsidRDefault="009F6E91" w:rsidP="009F6E91">
      <w:pPr>
        <w:pStyle w:val="Body1"/>
        <w:rPr>
          <w:rStyle w:val="BoldText"/>
        </w:rPr>
      </w:pPr>
      <w:r w:rsidRPr="00D427D8">
        <w:rPr>
          <w:rStyle w:val="BoldText"/>
        </w:rPr>
        <w:t>Non-Existence of Purchased Lease Receivables</w:t>
      </w:r>
    </w:p>
    <w:p w14:paraId="2983788B" w14:textId="4A070077" w:rsidR="009F6E91" w:rsidRPr="00D427D8" w:rsidRDefault="009F6E91" w:rsidP="009F6E91">
      <w:pPr>
        <w:pStyle w:val="Body1"/>
      </w:pPr>
      <w:r w:rsidRPr="00D427D8">
        <w:t>The Issuer retains the right to bring indemnification claims against the Seller but no other person against the risk that the Purchased Lease Receivables do not exist or cease to exist without encumbrance (</w:t>
      </w:r>
      <w:r w:rsidRPr="00D427D8">
        <w:rPr>
          <w:i/>
          <w:iCs/>
        </w:rPr>
        <w:t>Bestands- und Veritätshaftung</w:t>
      </w:r>
      <w:r w:rsidRPr="00D427D8">
        <w:t xml:space="preserve">) in accordance with the Lease Receivables Purchase Agreement. If the Lease Agreement relating to a Purchased Lease Receivable proves not to have been legally valid as of the Closing Date or Further Purchase Date, as applicable, or ceases to exist, the Seller will replace or repurchase such Purchased Lease Receivable in an amount equal to the </w:t>
      </w:r>
      <w:r w:rsidR="00C36CDE" w:rsidRPr="00D427D8">
        <w:t xml:space="preserve">Net </w:t>
      </w:r>
      <w:r w:rsidRPr="00D427D8">
        <w:t>Present Value of such Purchased Lease Receivable (or the affected portion thereof) pursuant to the Lease Receivables Purchase Agreement.</w:t>
      </w:r>
    </w:p>
    <w:p w14:paraId="33B4267E" w14:textId="77777777" w:rsidR="009F6E91" w:rsidRPr="00D427D8" w:rsidRDefault="009F6E91" w:rsidP="009F6E91">
      <w:pPr>
        <w:pStyle w:val="Body1"/>
      </w:pPr>
      <w:r w:rsidRPr="00D427D8">
        <w:t>The same applies if Lessees revoke the Lease Agreement. Such revocations are legally possible even after the regular two (2) week time limit if the instruction of revocation (</w:t>
      </w:r>
      <w:r w:rsidRPr="00D427D8">
        <w:rPr>
          <w:i/>
          <w:iCs/>
        </w:rPr>
        <w:t>Widerrufsbelehrung</w:t>
      </w:r>
      <w:r w:rsidRPr="00D427D8">
        <w:t>) used by the Seller or the counterparty of a linked contract (</w:t>
      </w:r>
      <w:r w:rsidRPr="00D427D8">
        <w:rPr>
          <w:i/>
          <w:iCs/>
        </w:rPr>
        <w:t>verbundene Verträge</w:t>
      </w:r>
      <w:r w:rsidRPr="00D427D8">
        <w:t>) within the meaning of Section 358 of the German Civil Code (</w:t>
      </w:r>
      <w:r w:rsidRPr="00D427D8">
        <w:rPr>
          <w:i/>
          <w:iCs/>
        </w:rPr>
        <w:t>Bürgerliches Gesetzbuch</w:t>
      </w:r>
      <w:r w:rsidRPr="00D427D8">
        <w:t>) does not comply with the legal requirements. The legal requirements applicable to instructions of withdrawal are under constant review of the German courts.</w:t>
      </w:r>
    </w:p>
    <w:p w14:paraId="213579E1" w14:textId="77777777" w:rsidR="009F6E91" w:rsidRPr="00D427D8" w:rsidRDefault="009F6E91" w:rsidP="00EF7333">
      <w:pPr>
        <w:pStyle w:val="Body1"/>
        <w:rPr>
          <w:rStyle w:val="BoldText"/>
        </w:rPr>
      </w:pPr>
      <w:r w:rsidRPr="00D427D8">
        <w:rPr>
          <w:rStyle w:val="BoldText"/>
        </w:rPr>
        <w:t>Note Collateral and Trustee Claim</w:t>
      </w:r>
    </w:p>
    <w:p w14:paraId="1B9178DE" w14:textId="77777777" w:rsidR="009F6E91" w:rsidRPr="00D427D8" w:rsidRDefault="009F6E91" w:rsidP="009F6E91">
      <w:pPr>
        <w:pStyle w:val="Body1"/>
        <w:rPr>
          <w:lang w:eastAsia="en-US"/>
        </w:rPr>
      </w:pPr>
      <w:r w:rsidRPr="00D427D8">
        <w:rPr>
          <w:lang w:eastAsia="en-US"/>
        </w:rPr>
        <w:t>The Issuer has granted to the Collateral Agent the Trustee Claim (</w:t>
      </w:r>
      <w:r w:rsidRPr="00D427D8">
        <w:rPr>
          <w:i/>
          <w:iCs/>
          <w:lang w:eastAsia="en-US"/>
        </w:rPr>
        <w:t>Treuhӓnderanspruch</w:t>
      </w:r>
      <w:r w:rsidRPr="00D427D8">
        <w:rPr>
          <w:lang w:eastAsia="en-US"/>
        </w:rPr>
        <w:t>) under clause 3.2(b) of the Collateral Agency Agreement. To secure the Trustee Claim (</w:t>
      </w:r>
      <w:r w:rsidRPr="00D427D8">
        <w:rPr>
          <w:i/>
          <w:iCs/>
          <w:lang w:eastAsia="en-US"/>
        </w:rPr>
        <w:t>Treuhӓnderanspruch</w:t>
      </w:r>
      <w:r w:rsidRPr="00D427D8">
        <w:rPr>
          <w:lang w:eastAsia="en-US"/>
        </w:rPr>
        <w:t>), the Issuer will assign the Security and will grant a pledge (</w:t>
      </w:r>
      <w:r w:rsidRPr="00D427D8">
        <w:rPr>
          <w:i/>
          <w:iCs/>
          <w:lang w:eastAsia="en-US"/>
        </w:rPr>
        <w:t>Pfandrecht</w:t>
      </w:r>
      <w:r w:rsidRPr="00D427D8">
        <w:rPr>
          <w:lang w:eastAsia="en-US"/>
        </w:rPr>
        <w:t xml:space="preserve">) to the Collateral Agent pursuant to clause 5 of the Collateral Agency Agreement with respect to all its present and future claims against the Collateral Agent arising under the Collateral Agency Agreement, its present and future claims regarding the Issuer Accounts as well as its present and future claims under the Account Bank Agreement, which have not been assigned or transferred for security purposes under clause 5 of the Collateral Agency Agreement. The Trustee Claim entitles the Collateral Agent to demand, </w:t>
      </w:r>
      <w:r w:rsidRPr="00D427D8">
        <w:rPr>
          <w:i/>
          <w:iCs/>
          <w:lang w:eastAsia="en-US"/>
        </w:rPr>
        <w:t>inter alia</w:t>
      </w:r>
      <w:r w:rsidRPr="00D427D8">
        <w:rPr>
          <w:lang w:eastAsia="en-US"/>
        </w:rPr>
        <w:t>, that all present and future obligations of the Issuer under the Notes be fulfilled.</w:t>
      </w:r>
    </w:p>
    <w:p w14:paraId="36D6A51B" w14:textId="77777777" w:rsidR="009F6E91" w:rsidRPr="00D427D8" w:rsidRDefault="009F6E91" w:rsidP="009F6E91">
      <w:pPr>
        <w:pStyle w:val="Body1"/>
        <w:rPr>
          <w:lang w:eastAsia="en-US"/>
        </w:rPr>
      </w:pPr>
      <w:r w:rsidRPr="00D427D8">
        <w:rPr>
          <w:lang w:eastAsia="en-US"/>
        </w:rPr>
        <w:t>The Issuer has granted to the ER Collateral Agent the ER Trustee Claim (</w:t>
      </w:r>
      <w:r w:rsidRPr="00D427D8">
        <w:rPr>
          <w:i/>
          <w:iCs/>
          <w:lang w:eastAsia="en-US"/>
        </w:rPr>
        <w:t>Treuhӓnderanspruch</w:t>
      </w:r>
      <w:r w:rsidRPr="00D427D8">
        <w:rPr>
          <w:lang w:eastAsia="en-US"/>
        </w:rPr>
        <w:t xml:space="preserve">) under clause </w:t>
      </w:r>
      <w:r w:rsidRPr="00D427D8">
        <w:t xml:space="preserve">3.2(b) </w:t>
      </w:r>
      <w:r w:rsidRPr="00D427D8">
        <w:rPr>
          <w:lang w:eastAsia="en-US"/>
        </w:rPr>
        <w:t>of the ER Collateral Agency Agreement. To secure the Trustee Claim (</w:t>
      </w:r>
      <w:r w:rsidRPr="00D427D8">
        <w:rPr>
          <w:i/>
          <w:iCs/>
          <w:lang w:eastAsia="en-US"/>
        </w:rPr>
        <w:t>Treuhӓnderanspruch</w:t>
      </w:r>
      <w:r w:rsidRPr="00D427D8">
        <w:rPr>
          <w:lang w:eastAsia="en-US"/>
        </w:rPr>
        <w:t>) under the ER Collateral Agency Agreement, the Issuer will assign the ER Security and will grant a pledge (</w:t>
      </w:r>
      <w:r w:rsidRPr="00D427D8">
        <w:rPr>
          <w:i/>
          <w:iCs/>
          <w:lang w:eastAsia="en-US"/>
        </w:rPr>
        <w:t>Pfandrecht</w:t>
      </w:r>
      <w:r w:rsidRPr="00D427D8">
        <w:rPr>
          <w:lang w:eastAsia="en-US"/>
        </w:rPr>
        <w:t xml:space="preserve">) to the ER Collateral Agent pursuant to clause 5 of the ER Collateral Agency Agreement with respect to all its present and future claims against the ER Collateral Agent arising under the ER Collateral Agency Agreement. The ER Trustee Claim entitles the ER Collateral Agent to demand, </w:t>
      </w:r>
      <w:r w:rsidRPr="00D427D8">
        <w:rPr>
          <w:i/>
          <w:iCs/>
          <w:lang w:eastAsia="en-US"/>
        </w:rPr>
        <w:t>inter alia</w:t>
      </w:r>
      <w:r w:rsidRPr="00D427D8">
        <w:rPr>
          <w:lang w:eastAsia="en-US"/>
        </w:rPr>
        <w:t>, that all present and future obligations of the Issuer under the Notes be fulfilled.</w:t>
      </w:r>
    </w:p>
    <w:p w14:paraId="6388C915" w14:textId="77777777" w:rsidR="009F6E91" w:rsidRPr="00D427D8" w:rsidRDefault="009F6E91" w:rsidP="009F6E91">
      <w:pPr>
        <w:pStyle w:val="Body1"/>
        <w:rPr>
          <w:lang w:eastAsia="en-US"/>
        </w:rPr>
      </w:pPr>
      <w:r w:rsidRPr="00D427D8">
        <w:rPr>
          <w:lang w:eastAsia="en-US"/>
        </w:rPr>
        <w:t xml:space="preserve">However, where an agreement provides that a security agent (e.g. the Collateral Agent and the ER Collateral Agent) holding assets on trust for other entities has an own separate and independent right to demand payment from the relevant grantor of security to it which mirrors the obligations of the relevant debtors to the secured creditors (e.g. the Trustee Claim and the ER Trustee Claim), there is an argument that accessory security (such as the pledge granted by the Issuer to the Collateral Agent or ER Collateral Agent, as applicable, in order to, amongst others, secure the Trustee Claim or ER Trustee Claim, as applicable) created to secure such a parallel obligation is not enforceable for the benefit of such beneficiaries who are not a party to the relevant security agreement. This is because the parallel obligation could be seen as an instrument to avoid the accessory nature of, e.g. a pledge. This argument has - as far as we are aware - not yet been tested in court. Further, it is frequently seen in the market that accessory security such as a pledge is given to secure </w:t>
      </w:r>
      <w:r w:rsidRPr="00D427D8">
        <w:rPr>
          <w:lang w:eastAsia="en-US"/>
        </w:rPr>
        <w:lastRenderedPageBreak/>
        <w:t>a parallel obligation such as the Trustee Claim or ER Trustee Claim, as applicable. However, as there is no established case law confirming the validity of such pledge, the validity of such pledge is subject to some degree of legal uncertainty.</w:t>
      </w:r>
    </w:p>
    <w:p w14:paraId="11972763" w14:textId="77777777" w:rsidR="009F6E91" w:rsidRPr="00D427D8" w:rsidRDefault="009F6E91" w:rsidP="009F6E91">
      <w:pPr>
        <w:pStyle w:val="Body1"/>
        <w:rPr>
          <w:rStyle w:val="BoldItalicText"/>
        </w:rPr>
      </w:pPr>
      <w:r w:rsidRPr="00D427D8">
        <w:rPr>
          <w:rStyle w:val="BoldItalicText"/>
        </w:rPr>
        <w:t>Replacement of the Servicer and obligation to appoint a Back-up Servicer</w:t>
      </w:r>
    </w:p>
    <w:p w14:paraId="6ECEC4FF" w14:textId="77777777" w:rsidR="009F6E91" w:rsidRPr="00D427D8" w:rsidRDefault="009F6E91" w:rsidP="009F6E91">
      <w:pPr>
        <w:pStyle w:val="Body1"/>
      </w:pPr>
      <w:r w:rsidRPr="00D427D8">
        <w:t>The ability of the Issuer to meet its obligations under the Notes will depend on the performance of the duties of the Servicer, and, if applicable, a Back-up Servicer.</w:t>
      </w:r>
    </w:p>
    <w:p w14:paraId="0D686825" w14:textId="77777777" w:rsidR="009F6E91" w:rsidRPr="00D427D8" w:rsidRDefault="009F6E91" w:rsidP="009F6E91">
      <w:pPr>
        <w:pStyle w:val="Body1"/>
      </w:pPr>
      <w:r w:rsidRPr="00D427D8">
        <w:t>No assurance can be given that the creditworthiness of these parties will not deteriorate in the future, which may affect the administration and enforcement of the Receivables by such parties in accordance with the relevant agreement.</w:t>
      </w:r>
    </w:p>
    <w:p w14:paraId="79701081" w14:textId="2A8597F9" w:rsidR="009F6E91" w:rsidRPr="00D427D8" w:rsidRDefault="009F6E91" w:rsidP="009F6E91">
      <w:pPr>
        <w:pStyle w:val="Body1"/>
      </w:pPr>
      <w:bookmarkStart w:id="15" w:name="_Hlk198120119"/>
      <w:r w:rsidRPr="00D427D8">
        <w:t>In case of a Servicer Default the Issuer, with assistance of the Back-up Servicer Facilitator, shall immediately appoint a Back-up Servicer, which must be, in accordance with the provisions of circular 4/97 of the German Financial Services Supervisory Authority (</w:t>
      </w:r>
      <w:r w:rsidRPr="00D427D8">
        <w:rPr>
          <w:i/>
        </w:rPr>
        <w:t>Bundesanstalt für Finanzdienstleistungsaufsicht</w:t>
      </w:r>
      <w:r w:rsidRPr="00D427D8">
        <w:t>), a credit institution with its seat in Germany (</w:t>
      </w:r>
      <w:r w:rsidRPr="00D427D8">
        <w:rPr>
          <w:i/>
        </w:rPr>
        <w:t>inländisches Kreditinstitut</w:t>
      </w:r>
      <w:r w:rsidRPr="00D427D8">
        <w:t>) or a credit institution supervised in accordance with the EU banking directives having its seat in another member state of the European Communities or in another state which is party to the Agreement on the European Economic Area. The Back-up Servicer shall control any personal data in relation to Lessees (</w:t>
      </w:r>
      <w:r w:rsidRPr="00D427D8">
        <w:rPr>
          <w:i/>
        </w:rPr>
        <w:t xml:space="preserve">Datenhoheit über persönliche Daten der </w:t>
      </w:r>
      <w:r w:rsidR="00892F51">
        <w:rPr>
          <w:i/>
        </w:rPr>
        <w:t>Leasing</w:t>
      </w:r>
      <w:r w:rsidRPr="00D427D8">
        <w:rPr>
          <w:i/>
        </w:rPr>
        <w:t>nehmer</w:t>
      </w:r>
      <w:r w:rsidRPr="00D427D8">
        <w:t>). The Back-up Servicer shall enter into an agreement with the parties to the Servicing Agreement (other than the Servicer) substantially on the terms of the Servicing Agreement.</w:t>
      </w:r>
    </w:p>
    <w:bookmarkEnd w:id="15"/>
    <w:p w14:paraId="5B36267D" w14:textId="77777777" w:rsidR="009F6E91" w:rsidRPr="00D427D8" w:rsidRDefault="009F6E91" w:rsidP="009F6E91">
      <w:pPr>
        <w:pStyle w:val="Body1"/>
      </w:pPr>
      <w:r w:rsidRPr="00D427D8">
        <w:t>Resignation or termination of the Servicer (or, if applicable, a Back-up Servicer) could result in delays in collections on the Receivables, which in turn could cause delays in payments on the Notes.</w:t>
      </w:r>
    </w:p>
    <w:p w14:paraId="476F6C8A" w14:textId="77777777" w:rsidR="009F6E91" w:rsidRPr="00D427D8" w:rsidRDefault="009F6E91" w:rsidP="009F6E91">
      <w:pPr>
        <w:pStyle w:val="Body1"/>
      </w:pPr>
      <w:r w:rsidRPr="00D427D8">
        <w:t>No assurance can be given that a successor Servicer and/or a Back-up Servicer (taken alone or in aggregate) will not charge fees in excess of the fees to be paid to the Servicer or that a replacement of the Servicer will not otherwise reduce the amount available to pay principal and interest on the Notes.</w:t>
      </w:r>
    </w:p>
    <w:p w14:paraId="18A3CFE3" w14:textId="77777777" w:rsidR="009F6E91" w:rsidRPr="00D427D8" w:rsidRDefault="009F6E91" w:rsidP="00EF7333">
      <w:pPr>
        <w:pStyle w:val="Body1"/>
        <w:rPr>
          <w:rStyle w:val="BoldText"/>
        </w:rPr>
      </w:pPr>
      <w:r w:rsidRPr="00D427D8">
        <w:rPr>
          <w:rStyle w:val="BoldText"/>
        </w:rPr>
        <w:t>Insolvency Law</w:t>
      </w:r>
    </w:p>
    <w:p w14:paraId="5F6B0491" w14:textId="77777777" w:rsidR="009F6E91" w:rsidRPr="00D427D8" w:rsidRDefault="009F6E91" w:rsidP="009F6E91">
      <w:pPr>
        <w:pStyle w:val="Body1"/>
        <w:rPr>
          <w:lang w:eastAsia="en-US"/>
        </w:rPr>
      </w:pPr>
      <w:r w:rsidRPr="00D427D8">
        <w:rPr>
          <w:lang w:eastAsia="en-US"/>
        </w:rPr>
        <w:t>Should the Seller be subject to any Insolvency Event:</w:t>
      </w:r>
    </w:p>
    <w:p w14:paraId="279B04FF" w14:textId="45C93021" w:rsidR="009F6E91" w:rsidRPr="00D427D8" w:rsidRDefault="009F6E91" w:rsidP="004C6B8C">
      <w:pPr>
        <w:pStyle w:val="Level3"/>
        <w:numPr>
          <w:ilvl w:val="2"/>
          <w:numId w:val="8"/>
        </w:numPr>
        <w:rPr>
          <w:lang w:eastAsia="en-US"/>
        </w:rPr>
      </w:pPr>
      <w:bookmarkStart w:id="16" w:name="_Hlk161173093"/>
      <w:r w:rsidRPr="00D427D8">
        <w:rPr>
          <w:lang w:eastAsia="en-US"/>
        </w:rPr>
        <w:t>any bankruptcy proceedings against the Seller related to such Insolvency Event would be governed by French law under the supervision of the ACPR</w:t>
      </w:r>
      <w:bookmarkEnd w:id="16"/>
      <w:r w:rsidRPr="00D427D8">
        <w:rPr>
          <w:lang w:eastAsia="en-US"/>
        </w:rPr>
        <w:t xml:space="preserve"> and the Seller would not</w:t>
      </w:r>
      <w:r w:rsidRPr="00D427D8">
        <w:t xml:space="preserve"> </w:t>
      </w:r>
      <w:r w:rsidRPr="00D427D8">
        <w:rPr>
          <w:lang w:eastAsia="en-US"/>
        </w:rPr>
        <w:t>become subject to insolvency proceedings in Germany pursuant to section 46 e (2) KWG;</w:t>
      </w:r>
    </w:p>
    <w:p w14:paraId="011B67B5" w14:textId="52482E1D" w:rsidR="009F6E91" w:rsidRPr="00D427D8" w:rsidRDefault="009F6E91" w:rsidP="00141A76">
      <w:pPr>
        <w:pStyle w:val="Level3"/>
        <w:rPr>
          <w:lang w:eastAsia="en-US"/>
        </w:rPr>
      </w:pPr>
      <w:r w:rsidRPr="00D427D8">
        <w:rPr>
          <w:lang w:eastAsia="en-US"/>
        </w:rPr>
        <w:t>the assignment to the Issuer of each Purchased Lease Receivable on the Closing Date or any Further Purchase Date after the cessation of payments (</w:t>
      </w:r>
      <w:r w:rsidRPr="00D427D8">
        <w:rPr>
          <w:i/>
          <w:iCs/>
          <w:lang w:eastAsia="en-US"/>
        </w:rPr>
        <w:t>cessation des paiements</w:t>
      </w:r>
      <w:r w:rsidRPr="00D427D8">
        <w:rPr>
          <w:lang w:eastAsia="en-US"/>
        </w:rPr>
        <w:t>) of the Seller, within the meaning of article L. 613-26 of the French Monetary and Financial Code, could be voided on the basis of articles L. 632-1 and L. 632-2 of the French Commercial Code if the obligations of the Seller significantly exceed (</w:t>
      </w:r>
      <w:r w:rsidRPr="00D427D8">
        <w:rPr>
          <w:i/>
          <w:iCs/>
          <w:lang w:eastAsia="en-US"/>
        </w:rPr>
        <w:t>excèdent notablement</w:t>
      </w:r>
      <w:r w:rsidRPr="00D427D8">
        <w:rPr>
          <w:lang w:eastAsia="en-US"/>
        </w:rPr>
        <w:t>) the obligations of the Issuer or if the Issuer was aware, on the Closing Date or the relevant Further Purchase Date, that the Seller was in a state of cessation of payments (</w:t>
      </w:r>
      <w:r w:rsidRPr="00D427D8">
        <w:rPr>
          <w:i/>
          <w:iCs/>
          <w:lang w:eastAsia="en-US"/>
        </w:rPr>
        <w:t>cessation des paiements</w:t>
      </w:r>
      <w:r w:rsidRPr="00D427D8">
        <w:rPr>
          <w:lang w:eastAsia="en-US"/>
        </w:rPr>
        <w:t>); and</w:t>
      </w:r>
    </w:p>
    <w:p w14:paraId="13663FA8" w14:textId="361DFD5B" w:rsidR="009F6E91" w:rsidRPr="00D427D8" w:rsidRDefault="009F6E91" w:rsidP="00141A76">
      <w:pPr>
        <w:pStyle w:val="Level3"/>
        <w:rPr>
          <w:lang w:eastAsia="en-US"/>
        </w:rPr>
      </w:pPr>
      <w:r w:rsidRPr="00D427D8">
        <w:rPr>
          <w:lang w:eastAsia="en-US"/>
        </w:rPr>
        <w:t xml:space="preserve">the bankruptcy administrator (the </w:t>
      </w:r>
      <w:r w:rsidRPr="00D427D8">
        <w:rPr>
          <w:i/>
          <w:iCs/>
          <w:lang w:eastAsia="en-US"/>
        </w:rPr>
        <w:t>administrateur judiciaire</w:t>
      </w:r>
      <w:r w:rsidRPr="00D427D8">
        <w:rPr>
          <w:lang w:eastAsia="en-US"/>
        </w:rPr>
        <w:t xml:space="preserve"> or the </w:t>
      </w:r>
      <w:r w:rsidRPr="00D427D8">
        <w:rPr>
          <w:i/>
          <w:iCs/>
          <w:lang w:eastAsia="en-US"/>
        </w:rPr>
        <w:t>liquidateur judiciaire</w:t>
      </w:r>
      <w:r w:rsidRPr="00D427D8">
        <w:rPr>
          <w:lang w:eastAsia="en-US"/>
        </w:rPr>
        <w:t>) appointed in the context of the proceedings opened against the Seller will have the ability, pursuant to article L. 622-13 of the French Commercial Code to require that the Asset Purchase Agreements and the Servicing Agreement be continued; however, if, after the commencement of any such bankruptcy proceedings, the Seller does not comply with all its obligations thereunder, the Issuer will be entitled to terminate the Asset Purchase Agreements and the Servicing Agreement, in accordance with their terms and conditions.</w:t>
      </w:r>
    </w:p>
    <w:p w14:paraId="54A4CCA6" w14:textId="77777777" w:rsidR="009F6E91" w:rsidRPr="00D427D8" w:rsidRDefault="009F6E91" w:rsidP="009F6E91">
      <w:pPr>
        <w:pStyle w:val="Body1"/>
        <w:rPr>
          <w:lang w:eastAsia="en-US"/>
        </w:rPr>
      </w:pPr>
      <w:r w:rsidRPr="00D427D8">
        <w:t>If any of these scenarios occurs this could adversely affects the Purchased Lease Receivables which forms part of Issuer Assets and consequently could result in reduced or delayed payments on the Notes.</w:t>
      </w:r>
    </w:p>
    <w:p w14:paraId="514BDF9F" w14:textId="77777777" w:rsidR="009F6E91" w:rsidRPr="00D427D8" w:rsidRDefault="009F6E91" w:rsidP="00EF7333">
      <w:pPr>
        <w:pStyle w:val="Body1"/>
        <w:rPr>
          <w:rStyle w:val="BoldText"/>
        </w:rPr>
      </w:pPr>
      <w:r w:rsidRPr="00D427D8">
        <w:rPr>
          <w:rStyle w:val="BoldText"/>
        </w:rPr>
        <w:t>German Consumer Loan Legislation</w:t>
      </w:r>
    </w:p>
    <w:p w14:paraId="66CEBAB7" w14:textId="77777777" w:rsidR="009F6E91" w:rsidRPr="00D427D8" w:rsidRDefault="009F6E91" w:rsidP="009F6E91">
      <w:pPr>
        <w:pStyle w:val="Body1"/>
      </w:pPr>
      <w:r w:rsidRPr="00D427D8">
        <w:t>Some of the Lessees qualify as consumers (</w:t>
      </w:r>
      <w:r w:rsidRPr="00D427D8">
        <w:rPr>
          <w:i/>
        </w:rPr>
        <w:t>Verbraucher</w:t>
      </w:r>
      <w:r w:rsidRPr="00D427D8">
        <w:t xml:space="preserve">) within the meaning of section 13 of the German Civil Code or enter into the Lease Agreements to take up a trade or self-employed occupation </w:t>
      </w:r>
      <w:r w:rsidRPr="00D427D8">
        <w:lastRenderedPageBreak/>
        <w:t>(</w:t>
      </w:r>
      <w:r w:rsidRPr="00D427D8">
        <w:rPr>
          <w:i/>
        </w:rPr>
        <w:t>Existenzgründer</w:t>
      </w:r>
      <w:r w:rsidRPr="00D427D8">
        <w:t>). In each of these cases, additional rules for the protection of these types of Lessees may apply in accordance with the following principles:</w:t>
      </w:r>
    </w:p>
    <w:p w14:paraId="23DDE429" w14:textId="38FC9360" w:rsidR="009F6E91" w:rsidRPr="00D427D8" w:rsidRDefault="009F6E91" w:rsidP="00365A0E">
      <w:pPr>
        <w:pStyle w:val="Level1"/>
        <w:numPr>
          <w:ilvl w:val="0"/>
          <w:numId w:val="6"/>
        </w:numPr>
        <w:rPr>
          <w:rStyle w:val="BoldText"/>
        </w:rPr>
      </w:pPr>
      <w:r w:rsidRPr="00D427D8">
        <w:rPr>
          <w:rStyle w:val="BoldText"/>
        </w:rPr>
        <w:t>Financial lease contracts (Finanzierungsleasingverträge) / contracts providing for financial accommodation against consideration (entgeltliche Finanzierungshilfe)</w:t>
      </w:r>
    </w:p>
    <w:p w14:paraId="1286BF08" w14:textId="233355F6" w:rsidR="009F6E91" w:rsidRPr="00D427D8" w:rsidRDefault="009F6E91" w:rsidP="009F6E91">
      <w:pPr>
        <w:pStyle w:val="Body2"/>
      </w:pPr>
      <w:r w:rsidRPr="00D427D8">
        <w:t>The RW Contracts include a residual value guarantee of the Lessee (</w:t>
      </w:r>
      <w:r w:rsidRPr="00D427D8">
        <w:rPr>
          <w:i/>
        </w:rPr>
        <w:t>Restwert-Abrechnung</w:t>
      </w:r>
      <w:r w:rsidRPr="00D427D8">
        <w:t>) aiming at a full amortisation (</w:t>
      </w:r>
      <w:r w:rsidRPr="00D427D8">
        <w:rPr>
          <w:i/>
        </w:rPr>
        <w:t>Vollamortisation</w:t>
      </w:r>
      <w:r w:rsidRPr="00D427D8">
        <w:t>) of the Seller</w:t>
      </w:r>
      <w:r w:rsidR="00EF7333" w:rsidRPr="00D427D8">
        <w:t>'</w:t>
      </w:r>
      <w:r w:rsidRPr="00D427D8">
        <w:t xml:space="preserve">s costs and expenses. By means of an </w:t>
      </w:r>
      <w:r w:rsidRPr="00D427D8">
        <w:rPr>
          <w:i/>
          <w:iCs/>
        </w:rPr>
        <w:t>argumentum e contrario</w:t>
      </w:r>
      <w:r w:rsidRPr="00D427D8">
        <w:t xml:space="preserve"> the German Federal Court of Justice (</w:t>
      </w:r>
      <w:r w:rsidRPr="00D427D8">
        <w:rPr>
          <w:i/>
        </w:rPr>
        <w:t>Bundesgerichtshof</w:t>
      </w:r>
      <w:r w:rsidRPr="00D427D8">
        <w:t>) indicated that such lease contracts qualify as financial lease contracts (</w:t>
      </w:r>
      <w:r w:rsidRPr="00D427D8">
        <w:rPr>
          <w:i/>
        </w:rPr>
        <w:t>Finanzierungsleasingverträge</w:t>
      </w:r>
      <w:r w:rsidRPr="00D427D8">
        <w:t>), if the lessee is obliged to compensate the lessor for a reduced value of the leased vehicle (</w:t>
      </w:r>
      <w:r w:rsidRPr="00D427D8">
        <w:rPr>
          <w:i/>
        </w:rPr>
        <w:t>Fahrzeugminderwert</w:t>
      </w:r>
      <w:r w:rsidRPr="00D427D8">
        <w:t>) at the time the leased vehicle is returned to the lessor (BGH, 24 February 2021, VIII ZR 36/20). Accordingly, the RW Contracts including a residual value guarantee of the Lessee (</w:t>
      </w:r>
      <w:r w:rsidRPr="00D427D8">
        <w:rPr>
          <w:i/>
        </w:rPr>
        <w:t>Restwert-Abrechnung</w:t>
      </w:r>
      <w:r w:rsidRPr="00D427D8">
        <w:t>) are likely to constitute contracts providing for financial accommodation against consideration (</w:t>
      </w:r>
      <w:r w:rsidRPr="00D427D8">
        <w:rPr>
          <w:i/>
        </w:rPr>
        <w:t>entgeltliche Finanzierungshilfe</w:t>
      </w:r>
      <w:r w:rsidRPr="00D427D8">
        <w:t>) within the meaning of section 506 of the German Civil Code. For Kilometre Contracts, however, the German Federal Court of Justice (</w:t>
      </w:r>
      <w:r w:rsidRPr="00D427D8">
        <w:rPr>
          <w:i/>
        </w:rPr>
        <w:t>Bundesgerichtshof</w:t>
      </w:r>
      <w:r w:rsidRPr="00D427D8">
        <w:t>) decided that such contracts do not qualify as a contract which provides for financial accommodation against consideration (</w:t>
      </w:r>
      <w:r w:rsidRPr="00D427D8">
        <w:rPr>
          <w:i/>
        </w:rPr>
        <w:t>entgeltliche</w:t>
      </w:r>
      <w:r w:rsidRPr="00D427D8">
        <w:t xml:space="preserve"> </w:t>
      </w:r>
      <w:r w:rsidRPr="00D427D8">
        <w:rPr>
          <w:i/>
        </w:rPr>
        <w:t>Finanzierungshilfe</w:t>
      </w:r>
      <w:r w:rsidRPr="00D427D8">
        <w:t>) within the meaning of section 506 of the German Civil Code (BGH, 24 February 2021, VIII ZR 36/20). This decision has now been backed by a decision of the European Court of Justice deciding that right of withdrawal is only applicable for lease contracts including a residual value guarantee of the Lessee (</w:t>
      </w:r>
      <w:r w:rsidRPr="00D427D8">
        <w:rPr>
          <w:i/>
        </w:rPr>
        <w:t>Restwert-Abrechnung</w:t>
      </w:r>
      <w:r w:rsidRPr="00D427D8">
        <w:t>) aiming at a full amortisation (</w:t>
      </w:r>
      <w:r w:rsidRPr="00D427D8">
        <w:rPr>
          <w:i/>
        </w:rPr>
        <w:t>Vollamortisation</w:t>
      </w:r>
      <w:r w:rsidRPr="00D427D8">
        <w:t>) (EuGH, 21 December 2023, C-38/21; C-47/21; C-232/21). Therefore, even if a lease contract without a residual value guarantee of the Lessee (</w:t>
      </w:r>
      <w:r w:rsidRPr="00D427D8">
        <w:rPr>
          <w:i/>
        </w:rPr>
        <w:t>Restwert-Abrechnung</w:t>
      </w:r>
      <w:r w:rsidRPr="00D427D8">
        <w:t>) is entered into as a contract of distance marketing (</w:t>
      </w:r>
      <w:r w:rsidRPr="00D427D8">
        <w:rPr>
          <w:i/>
        </w:rPr>
        <w:t>Fernabsatzvertrag</w:t>
      </w:r>
      <w:r w:rsidRPr="00D427D8">
        <w:rPr>
          <w:iCs/>
        </w:rPr>
        <w:t>)</w:t>
      </w:r>
      <w:r w:rsidRPr="00D427D8">
        <w:t xml:space="preserve"> such lease contract does not qualify as a contract which provides for financial accommodation against consideration (</w:t>
      </w:r>
      <w:r w:rsidRPr="00D427D8">
        <w:rPr>
          <w:i/>
        </w:rPr>
        <w:t>entgeltliche</w:t>
      </w:r>
      <w:r w:rsidRPr="00D427D8">
        <w:t xml:space="preserve"> </w:t>
      </w:r>
      <w:r w:rsidRPr="00D427D8">
        <w:rPr>
          <w:i/>
        </w:rPr>
        <w:t>Finanzierungshilfe</w:t>
      </w:r>
      <w:r w:rsidRPr="00D427D8">
        <w:t>) within the meaning of section 506 of the German Civil Code. Therefore, in general a Lessee of such Kilometre Contract will not be able to exercise any of the rights set out in limbs (a) to (f) below. However, it should be noted that it still remains a case by case assessment whether a Lessee of a Kilometre Contract indeed has the legal ability to raise any similar rights as set out in limbs (a) to (f) below, as there are various facts which might lead to an assessment that some similar rights to the below rights indeed apply, e.g. if the respective Lease Agreement qualifies as a contract of distance marketing (</w:t>
      </w:r>
      <w:r w:rsidRPr="00D427D8">
        <w:rPr>
          <w:i/>
        </w:rPr>
        <w:t>Fernabsatzvertrag</w:t>
      </w:r>
      <w:r w:rsidRPr="00D427D8">
        <w:rPr>
          <w:iCs/>
        </w:rPr>
        <w:t>) or if</w:t>
      </w:r>
      <w:r w:rsidRPr="00D427D8">
        <w:rPr>
          <w:i/>
        </w:rPr>
        <w:t xml:space="preserve"> </w:t>
      </w:r>
      <w:r w:rsidRPr="00D427D8">
        <w:rPr>
          <w:iCs/>
        </w:rPr>
        <w:t>a court comes to the decision that the lessor granted the lessee a contractual right of revocation (</w:t>
      </w:r>
      <w:r w:rsidRPr="00D427D8">
        <w:rPr>
          <w:i/>
        </w:rPr>
        <w:t>vertragliches Widerrufsrecht</w:t>
      </w:r>
      <w:r w:rsidRPr="00D427D8">
        <w:rPr>
          <w:iCs/>
        </w:rPr>
        <w:t>).</w:t>
      </w:r>
    </w:p>
    <w:p w14:paraId="565B49FB" w14:textId="77777777" w:rsidR="009F6E91" w:rsidRPr="00D427D8" w:rsidRDefault="009F6E91" w:rsidP="009F6E91">
      <w:pPr>
        <w:pStyle w:val="Body2"/>
      </w:pPr>
      <w:r w:rsidRPr="00D427D8">
        <w:t>If a court of law qualified the RW Contracts with the above-described types of Lessees as contracts providing for financial accommodation against consideration (</w:t>
      </w:r>
      <w:r w:rsidRPr="00D427D8">
        <w:rPr>
          <w:i/>
        </w:rPr>
        <w:t>entgeltliche Finanzierungshilfe</w:t>
      </w:r>
      <w:r w:rsidRPr="00D427D8">
        <w:t xml:space="preserve">) within the meaning of section 506 of the German Civil Code, based on the provisions in sections 491 </w:t>
      </w:r>
      <w:r w:rsidRPr="00D427D8">
        <w:rPr>
          <w:i/>
        </w:rPr>
        <w:t>et seqq.</w:t>
      </w:r>
      <w:r w:rsidRPr="00D427D8">
        <w:t xml:space="preserve"> of the German Civil Code and Article 247 of the Introductory Act to the German Civil Code (</w:t>
      </w:r>
      <w:r w:rsidRPr="00D427D8">
        <w:rPr>
          <w:i/>
        </w:rPr>
        <w:t>Einführungsgesetz zum Bürgerlichen Gesetzbuch</w:t>
      </w:r>
      <w:r w:rsidRPr="00D427D8">
        <w:t>), as amended from time to time, the following rules would apply to such RW Contracts, among others:</w:t>
      </w:r>
    </w:p>
    <w:p w14:paraId="0732053E" w14:textId="378D5856" w:rsidR="009F6E91" w:rsidRPr="00D427D8" w:rsidRDefault="009F6E91" w:rsidP="00E31199">
      <w:pPr>
        <w:pStyle w:val="Level3"/>
        <w:tabs>
          <w:tab w:val="clear" w:pos="709"/>
        </w:tabs>
        <w:ind w:left="1418"/>
      </w:pPr>
      <w:r w:rsidRPr="00D427D8">
        <w:t>The Seller would have to provide substantial information on the lease to the Lessee prior to the conclusion of the Lease Agreement (including a standardised information memorandum and reasonable additional information enabling the Lessee to decide on whether to conclude the Lease Agreement) as well as further information during the term of the Lease Agreement. Any breach by the Seller of the respective obligations may give rise to claims for damages on the part of the Lessee.</w:t>
      </w:r>
    </w:p>
    <w:p w14:paraId="24FFD3F2" w14:textId="51151E28" w:rsidR="009F6E91" w:rsidRPr="00D427D8" w:rsidRDefault="009F6E91" w:rsidP="00E31199">
      <w:pPr>
        <w:pStyle w:val="Level3"/>
        <w:tabs>
          <w:tab w:val="clear" w:pos="709"/>
        </w:tabs>
        <w:ind w:left="1418"/>
      </w:pPr>
      <w:r w:rsidRPr="00D427D8">
        <w:t>The Lessee also has a right to withdraw from the Lease Agreement for a period of 14 days or a longer period if a court would determine that the withdrawal information set out in such Lease Agreement is inconsistent with the statutory model and the Lessee</w:t>
      </w:r>
      <w:r w:rsidR="00EF7333" w:rsidRPr="00D427D8">
        <w:t>'</w:t>
      </w:r>
      <w:r w:rsidRPr="00D427D8">
        <w:t>s withdrawal would not be abusive under the given circumstances; in case of such withdrawal the Purchased Lease Receivables would become void.</w:t>
      </w:r>
    </w:p>
    <w:p w14:paraId="0572BC24" w14:textId="2F8621AD" w:rsidR="009F6E91" w:rsidRPr="00D427D8" w:rsidRDefault="009F6E91" w:rsidP="00E31199">
      <w:pPr>
        <w:pStyle w:val="Level3"/>
        <w:tabs>
          <w:tab w:val="clear" w:pos="709"/>
        </w:tabs>
        <w:ind w:left="1418"/>
      </w:pPr>
      <w:r w:rsidRPr="00D427D8">
        <w:t>The Lease Agreements would generally have to be signed by both parties and contain further substantial information, including information on the Lessee</w:t>
      </w:r>
      <w:r w:rsidR="00EF7333" w:rsidRPr="00D427D8">
        <w:t>'</w:t>
      </w:r>
      <w:r w:rsidRPr="00D427D8">
        <w:t>s right of withdrawal. If a Lease Agreement does not comply with the relevant form and information requirements, the Lease Agreement would generally be ineffective with the consequence that the Lessee could refuse to perform the Lessee</w:t>
      </w:r>
      <w:r w:rsidR="00EF7333" w:rsidRPr="00D427D8">
        <w:t>'</w:t>
      </w:r>
      <w:r w:rsidRPr="00D427D8">
        <w:t xml:space="preserve">s obligations, including the obligation to pay the Lease Receivables. An exception to this rule is likely to apply when the following conditions have been met (it is </w:t>
      </w:r>
      <w:r w:rsidRPr="00D427D8">
        <w:lastRenderedPageBreak/>
        <w:t>arguable whether all conditions must be met at the same time): the Seller has entered into the purchase contract for the Leased Vehicle or has assumed such purchase contract from the Lessee, the Seller has paid the purchase price for the Leased Vehicle and the Leased Vehicle has been delivered to the Lessee. If these conditions are met, the Lease Agreement could become valid, however, depending on which information was missing, with modified terms. Such modifications could affect the enforceability of the Purchased Lease Receivables as the case may be, e.g. by a reduction of the payable lease instalments, or with additional rights of the Lessee to early terminate the Lease Agreement as well as with an extension of the withdrawal period with respect to the Lessee</w:t>
      </w:r>
      <w:r w:rsidR="00EF7333" w:rsidRPr="00D427D8">
        <w:t>'</w:t>
      </w:r>
      <w:r w:rsidRPr="00D427D8">
        <w:t>s right of withdrawal mentioned above.</w:t>
      </w:r>
    </w:p>
    <w:p w14:paraId="1DA860A9" w14:textId="2F7926AC" w:rsidR="009F6E91" w:rsidRPr="00D427D8" w:rsidRDefault="009F6E91" w:rsidP="00E31199">
      <w:pPr>
        <w:pStyle w:val="Level3"/>
        <w:tabs>
          <w:tab w:val="clear" w:pos="709"/>
        </w:tabs>
        <w:ind w:left="1418"/>
      </w:pPr>
      <w:r w:rsidRPr="00D427D8">
        <w:t>If a Lessee defaults with respect to the Lessee</w:t>
      </w:r>
      <w:r w:rsidR="00EF7333" w:rsidRPr="00D427D8">
        <w:t>'</w:t>
      </w:r>
      <w:r w:rsidRPr="00D427D8">
        <w:t xml:space="preserve">s payment obligations under a Lease Agreement, there are special requirements for an acceleration of the Purchased Lease Receivables of such Lease Agreement, including, </w:t>
      </w:r>
      <w:r w:rsidRPr="00D427D8">
        <w:rPr>
          <w:i/>
        </w:rPr>
        <w:t>inter alia</w:t>
      </w:r>
      <w:r w:rsidRPr="00D427D8">
        <w:t>, that the Seller must grant a grace period of two weeks following notification to the Lessee of its intention to accelerate the contract.</w:t>
      </w:r>
    </w:p>
    <w:p w14:paraId="5F90F3FB" w14:textId="018CACB2" w:rsidR="009F6E91" w:rsidRPr="00D427D8" w:rsidRDefault="009F6E91" w:rsidP="00E31199">
      <w:pPr>
        <w:pStyle w:val="Level3"/>
        <w:tabs>
          <w:tab w:val="clear" w:pos="709"/>
        </w:tabs>
        <w:ind w:left="1418"/>
      </w:pPr>
      <w:r w:rsidRPr="00D427D8">
        <w:t>The Lessee is entitled to raise the same objections and defences with respect to the payment obligations under the Lease Agreement against the Issuer that the Lessee has against the seller of the Leased Vehicle. However, the Lessee</w:t>
      </w:r>
      <w:r w:rsidR="00EF7333" w:rsidRPr="00D427D8">
        <w:t>'</w:t>
      </w:r>
      <w:r w:rsidRPr="00D427D8">
        <w:t>s warranty claims against the Seller under the Lease Agreement are replaced by an assignment of warranty claims the Seller has against the seller of the Leased Vehicle (i.e. the dealer) under the respective purchase contract. The Lessee may refuse payment of lease instalments only if all of the following occurs: (A) there is a defect in the Leased Vehicle, (B) the Lessee makes a claim for rectification against the seller of the Leased Vehicle and the seller of the Leased Vehicle either does not accept the Lessee</w:t>
      </w:r>
      <w:r w:rsidR="00EF7333" w:rsidRPr="00D427D8">
        <w:t>'</w:t>
      </w:r>
      <w:r w:rsidRPr="00D427D8">
        <w:t>s claim for rectification or is unable to repair the defect, following which the Lessee may choose to reduce the purchase price or, in case of a material defect, rescind the sales contract and (C) if the seller of the Leased Vehicle does not accept reduction of the purchase price or rescission from the purchase contract, the Lessee brings action against the seller of the Leased Vehicle within six weeks following the seller</w:t>
      </w:r>
      <w:r w:rsidR="00EF7333" w:rsidRPr="00D427D8">
        <w:t>'</w:t>
      </w:r>
      <w:r w:rsidRPr="00D427D8">
        <w:t>s denial.</w:t>
      </w:r>
    </w:p>
    <w:p w14:paraId="56ECD40D" w14:textId="1A1EE4DF" w:rsidR="009F6E91" w:rsidRPr="00D427D8" w:rsidRDefault="009F6E91" w:rsidP="00E31199">
      <w:pPr>
        <w:pStyle w:val="Level3"/>
        <w:tabs>
          <w:tab w:val="clear" w:pos="709"/>
        </w:tabs>
        <w:ind w:left="1418"/>
      </w:pPr>
      <w:r w:rsidRPr="00D427D8">
        <w:t>The Seller would be obliged to conduct a mandatory credit assessment of each Lessee and the Seller will only be entitled to enter into a Lease Agreement if the outcome of such credit assessment is that the Lessee will be able to perform its duties under such Lease Agreement. If the Seller did not conduct such credit assessment of the Lessee the respective interest rate of the Lease Agreement will be reduced to the market interest rate (</w:t>
      </w:r>
      <w:r w:rsidRPr="00D427D8">
        <w:rPr>
          <w:i/>
        </w:rPr>
        <w:t>marktüblicher Zinssatz</w:t>
      </w:r>
      <w:r w:rsidRPr="00D427D8">
        <w:t>) and the Lessee has a right for early termination (</w:t>
      </w:r>
      <w:r w:rsidRPr="00D427D8">
        <w:rPr>
          <w:i/>
        </w:rPr>
        <w:t>vorzeitige Kündigung</w:t>
      </w:r>
      <w:r w:rsidRPr="00D427D8">
        <w:t>). Furthermore, if the Lessee is not able to perform its duties under the Lease Agreement, the Seller will not be entitled to assert any claims subject to such breach of duty, if the Seller would not have entered into the Lease Agreement after conducting a credit assessment.</w:t>
      </w:r>
    </w:p>
    <w:p w14:paraId="568FD7D4" w14:textId="77777777" w:rsidR="009F6E91" w:rsidRPr="00D427D8" w:rsidRDefault="009F6E91" w:rsidP="009F6E91">
      <w:pPr>
        <w:pStyle w:val="Body2"/>
      </w:pPr>
      <w:r w:rsidRPr="00D427D8">
        <w:t xml:space="preserve">Any breach by the Seller of the above rules may result in the respective Lessee not being obliged to pay his lease instalments </w:t>
      </w:r>
      <w:bookmarkStart w:id="17" w:name="_Hlk67056706"/>
      <w:r w:rsidRPr="00D427D8">
        <w:t>which may result in the Issuer not receiving sufficient Collections to redeem part or all of the Notes</w:t>
      </w:r>
      <w:bookmarkEnd w:id="17"/>
      <w:r w:rsidRPr="00D427D8">
        <w:t>.</w:t>
      </w:r>
    </w:p>
    <w:p w14:paraId="6757C970" w14:textId="4CAE9747" w:rsidR="009F6E91" w:rsidRPr="00D427D8" w:rsidRDefault="009F6E91" w:rsidP="00437547">
      <w:pPr>
        <w:pStyle w:val="Level1"/>
        <w:rPr>
          <w:rStyle w:val="BoldText"/>
        </w:rPr>
      </w:pPr>
      <w:r w:rsidRPr="00D427D8">
        <w:rPr>
          <w:rStyle w:val="BoldText"/>
        </w:rPr>
        <w:t>Instalment payment transactions (</w:t>
      </w:r>
      <w:r w:rsidRPr="00D427D8">
        <w:rPr>
          <w:rStyle w:val="BoldItalicText"/>
        </w:rPr>
        <w:t>Teilzahlungsgeschäft</w:t>
      </w:r>
      <w:r w:rsidRPr="00D427D8">
        <w:rPr>
          <w:rStyle w:val="BoldText"/>
        </w:rPr>
        <w:t>)</w:t>
      </w:r>
    </w:p>
    <w:p w14:paraId="2DD7BD55" w14:textId="77777777" w:rsidR="009F6E91" w:rsidRPr="00D427D8" w:rsidRDefault="009F6E91" w:rsidP="009F6E91">
      <w:pPr>
        <w:pStyle w:val="Body2"/>
      </w:pPr>
      <w:r w:rsidRPr="00D427D8">
        <w:t>Although rather unlikely for Kilometre Contracts in the light of the latest case law, Lease Agreements with the above-described types of Lessees could also be regarded as instalment payment transactions (</w:t>
      </w:r>
      <w:r w:rsidRPr="00D427D8">
        <w:rPr>
          <w:i/>
        </w:rPr>
        <w:t>Teilzahlungsgeschäft</w:t>
      </w:r>
      <w:r w:rsidRPr="00D427D8">
        <w:t>) within the meaning of section 506 (3) of the German Civil Code, under which the consumer credit legislation would also apply. This would require that under the Lease Agreement the Lessee is granted an option to purchase the Leased Vehicle which is binding for the Issuer. Such qualification may vest Lessees with the above defences in case the Seller breaches the above consumer protection rules, which may result in the Issuer not receiving sufficient Collections to redeem part or all of the Notes.</w:t>
      </w:r>
    </w:p>
    <w:p w14:paraId="48873215" w14:textId="77777777" w:rsidR="009F6E91" w:rsidRPr="00D427D8" w:rsidRDefault="009F6E91" w:rsidP="00E31199">
      <w:pPr>
        <w:pStyle w:val="Body1"/>
        <w:keepNext/>
        <w:rPr>
          <w:rStyle w:val="BoldText"/>
        </w:rPr>
      </w:pPr>
      <w:r w:rsidRPr="00D427D8">
        <w:rPr>
          <w:rStyle w:val="BoldText"/>
        </w:rPr>
        <w:t>Set-Off Rights - General Set-Off Rights</w:t>
      </w:r>
    </w:p>
    <w:p w14:paraId="05991F0F" w14:textId="77777777" w:rsidR="009F6E91" w:rsidRPr="00D427D8" w:rsidRDefault="009F6E91" w:rsidP="009F6E91">
      <w:pPr>
        <w:pStyle w:val="Body1"/>
      </w:pPr>
      <w:r w:rsidRPr="00D427D8">
        <w:t xml:space="preserve">The Lessee may, according to section 406 of the German Civil Code, set off against the Issuer an existing counterclaim which the relevant Lessee has against the Seller, unless the Lessee knew of the assignment at the time it acquired the counterclaim, or unless the counterclaim has only become due after (i) the relevant </w:t>
      </w:r>
      <w:r w:rsidRPr="00D427D8">
        <w:lastRenderedPageBreak/>
        <w:t xml:space="preserve">Lessee had acquired knowledge of the assignment to the Issuer and (ii) maturity of the claim against which the Lessee declares the set-off. A counterclaim of the relevant Lessee may arise, </w:t>
      </w:r>
      <w:r w:rsidRPr="00D427D8">
        <w:rPr>
          <w:i/>
          <w:iCs/>
        </w:rPr>
        <w:t>inter alia</w:t>
      </w:r>
      <w:r w:rsidRPr="00D427D8">
        <w:t>, from any claims the relevant Lessee may have against the Seller arising from any breach of contract by the Seller (if any). The ability of the Issuer to make payments on the Notes may be adversely affected in case of a set-off by a Lessee. Moreover, set-off rights could result from deposits of Lessees which are made in accounts maintained with the Seller after the assignment of the Lease Receivables to the Issuer.</w:t>
      </w:r>
    </w:p>
    <w:p w14:paraId="5E49243E" w14:textId="41F58C51" w:rsidR="009F6E91" w:rsidRPr="00D427D8" w:rsidRDefault="009F6E91" w:rsidP="009F6E91">
      <w:pPr>
        <w:pStyle w:val="Body1"/>
      </w:pPr>
      <w:r w:rsidRPr="00D427D8">
        <w:t xml:space="preserve">Set-off risks are more generally addressed by an undertaking of the Seller to replace or repurchase Lease Receivables that are subject to a set-off exercised by the relevant Lessee in the amount equal to the </w:t>
      </w:r>
      <w:r w:rsidR="00C36CDE" w:rsidRPr="00D427D8">
        <w:t xml:space="preserve">Net </w:t>
      </w:r>
      <w:r w:rsidRPr="00D427D8">
        <w:t>Present Value of such Lease Receivable or by the contribution of the Deposit Reserve Amount upon the occurrence of the Deposit Reserve Condition.</w:t>
      </w:r>
    </w:p>
    <w:p w14:paraId="3700354B" w14:textId="77777777" w:rsidR="009F6E91" w:rsidRPr="00D427D8" w:rsidRDefault="009F6E91" w:rsidP="009F6E91">
      <w:pPr>
        <w:pStyle w:val="Body1"/>
        <w:rPr>
          <w:rStyle w:val="BoldText"/>
        </w:rPr>
      </w:pPr>
      <w:r w:rsidRPr="00D427D8">
        <w:rPr>
          <w:rStyle w:val="BoldText"/>
        </w:rPr>
        <w:t>Adverse macroeconomic and geopolitical developments may have a material negative impact on the performance of the Purchased Lease Receivables</w:t>
      </w:r>
    </w:p>
    <w:p w14:paraId="1E093EC3" w14:textId="0CFECBFC" w:rsidR="009F6E91" w:rsidRPr="00D427D8" w:rsidRDefault="009F6E91" w:rsidP="009F6E91">
      <w:pPr>
        <w:pStyle w:val="Body1"/>
      </w:pPr>
      <w:r w:rsidRPr="00D427D8">
        <w:t>The ongoing geopolitical developments, including the current uncertainty in the banking sector, the war in Ukraine</w:t>
      </w:r>
      <w:r w:rsidR="00925350" w:rsidRPr="00D427D8">
        <w:t>,</w:t>
      </w:r>
      <w:r w:rsidRPr="00D427D8">
        <w:t xml:space="preserve"> the </w:t>
      </w:r>
      <w:r w:rsidR="00A94D65" w:rsidRPr="00D427D8">
        <w:t>M</w:t>
      </w:r>
      <w:r w:rsidRPr="00D427D8">
        <w:t xml:space="preserve">iddle </w:t>
      </w:r>
      <w:r w:rsidR="00BC490D" w:rsidRPr="00D427D8">
        <w:t>E</w:t>
      </w:r>
      <w:r w:rsidRPr="00D427D8">
        <w:t>ast</w:t>
      </w:r>
      <w:r w:rsidR="00925350" w:rsidRPr="00D427D8">
        <w:rPr>
          <w:rFonts w:cs="Arial"/>
          <w:szCs w:val="19"/>
        </w:rPr>
        <w:t>, the increase of trade barriers (such as tariffs)</w:t>
      </w:r>
      <w:r w:rsidRPr="00D427D8">
        <w:t xml:space="preserve"> and the sanctions imposed by the United States, the United Kingdom, the European Union, in particular, against Russia, may result in an adverse impact on global economic, financial, political, social or government conditions which may result or already resulted in (including but not limited to) limited access to workplaces, and limited availability of key personnel, higher inflation, higher interest rates, higher cost of living, declining access to credit, lower or stagnating wages, increasing unemployment, changes in government regulatory, fiscal or tax policies, including changes in applicable tax rates and the modification of existing or adoption of new tax legislation, sanctions regimes, removal of subsidies, reduced public spending, increases in fuel prices, weakness in energy markets or a loss of consumer confidence. Such conditions may have an adverse impact on both the operational business of Stellantis Bank and the financial performance of the Receivables.</w:t>
      </w:r>
    </w:p>
    <w:p w14:paraId="63B98160" w14:textId="77777777" w:rsidR="009F6E91" w:rsidRPr="00D427D8" w:rsidRDefault="009F6E91" w:rsidP="000E13E7">
      <w:pPr>
        <w:pStyle w:val="Body1"/>
        <w:keepNext/>
        <w:rPr>
          <w:rStyle w:val="BoldText"/>
        </w:rPr>
      </w:pPr>
      <w:r w:rsidRPr="00D427D8">
        <w:rPr>
          <w:rStyle w:val="BoldText"/>
        </w:rPr>
        <w:t>Notice of Assignment</w:t>
      </w:r>
    </w:p>
    <w:p w14:paraId="5EA5251A" w14:textId="77777777" w:rsidR="009F6E91" w:rsidRPr="00D427D8" w:rsidRDefault="009F6E91" w:rsidP="009F6E91">
      <w:pPr>
        <w:pStyle w:val="Body1"/>
      </w:pPr>
      <w:r w:rsidRPr="00D427D8">
        <w:t xml:space="preserve">The assignment of the Receivables will only be disclosed to the Lessees upon occurrence of </w:t>
      </w:r>
      <w:r w:rsidRPr="00D427D8">
        <w:rPr>
          <w:i/>
        </w:rPr>
        <w:t>inter alia</w:t>
      </w:r>
      <w:r w:rsidRPr="00D427D8">
        <w:t xml:space="preserve"> one of the following events:</w:t>
      </w:r>
    </w:p>
    <w:p w14:paraId="008D3F80" w14:textId="2E3EFFD3" w:rsidR="009F6E91" w:rsidRPr="00D427D8" w:rsidRDefault="009F6E91" w:rsidP="00141A76">
      <w:pPr>
        <w:pStyle w:val="Level3"/>
      </w:pPr>
      <w:r w:rsidRPr="00D427D8">
        <w:t>the Seller is replaced as Servicer under the Servicing Agreement following the occurrence of a Servicer Default; or</w:t>
      </w:r>
    </w:p>
    <w:p w14:paraId="45C9B7F0" w14:textId="41E92010" w:rsidR="009F6E91" w:rsidRPr="00D427D8" w:rsidRDefault="009F6E91" w:rsidP="00141A76">
      <w:pPr>
        <w:pStyle w:val="Level3"/>
      </w:pPr>
      <w:r w:rsidRPr="00D427D8">
        <w:t>an Insolvency Event has occurred and is continuing in respect of the Seller or the Servicer.</w:t>
      </w:r>
    </w:p>
    <w:p w14:paraId="66A252FE" w14:textId="77777777" w:rsidR="009F6E91" w:rsidRPr="00D427D8" w:rsidRDefault="009F6E91" w:rsidP="009F6E91">
      <w:pPr>
        <w:pStyle w:val="Body1"/>
      </w:pPr>
      <w:r w:rsidRPr="00D427D8">
        <w:t xml:space="preserve">Until a Lessee has been notified of the assignment of the Receivables, such Lessee may, </w:t>
      </w:r>
      <w:r w:rsidRPr="00D427D8">
        <w:rPr>
          <w:i/>
        </w:rPr>
        <w:t>inter alia</w:t>
      </w:r>
      <w:r w:rsidRPr="00D427D8">
        <w:t>:</w:t>
      </w:r>
    </w:p>
    <w:p w14:paraId="7C56D9A6" w14:textId="277FDA8F" w:rsidR="009F6E91" w:rsidRPr="00D427D8" w:rsidRDefault="009F6E91" w:rsidP="004C6B8C">
      <w:pPr>
        <w:pStyle w:val="Level3"/>
        <w:numPr>
          <w:ilvl w:val="2"/>
          <w:numId w:val="9"/>
        </w:numPr>
      </w:pPr>
      <w:r w:rsidRPr="00D427D8">
        <w:t>effect payment with discharging effect to Stellantis Bank or enter into any other transaction with respect to the Receivable with Stellantis Bank with binding effect on the Issuer;</w:t>
      </w:r>
    </w:p>
    <w:p w14:paraId="2AE8AD6B" w14:textId="6EF06422" w:rsidR="009F6E91" w:rsidRPr="00D427D8" w:rsidRDefault="009F6E91" w:rsidP="00141A76">
      <w:pPr>
        <w:pStyle w:val="Level3"/>
      </w:pPr>
      <w:r w:rsidRPr="00D427D8">
        <w:t>raise defences against the Issuer arising from its relationship with Stellantis Bank existing at the time of the assignment of the Receivable by Stellantis Bank; and</w:t>
      </w:r>
    </w:p>
    <w:p w14:paraId="3B519BF1" w14:textId="173E516F" w:rsidR="009F6E91" w:rsidRPr="00D427D8" w:rsidRDefault="009F6E91" w:rsidP="00141A76">
      <w:pPr>
        <w:pStyle w:val="Level3"/>
      </w:pPr>
      <w:r w:rsidRPr="00D427D8">
        <w:t>be entitled to set-off against the Issuer any claims against Stellantis Bank, unless the Lessee has knowledge of the assignment upon acquiring such claims or such claims become due only after the Lessee acquires such knowledge and after the relevant obligations under the Receivables become due.</w:t>
      </w:r>
    </w:p>
    <w:p w14:paraId="44D83DA0" w14:textId="77777777" w:rsidR="009F6E91" w:rsidRPr="00D427D8" w:rsidRDefault="009F6E91" w:rsidP="009F6E91">
      <w:pPr>
        <w:pStyle w:val="Body1"/>
      </w:pPr>
      <w:r w:rsidRPr="00D427D8">
        <w:t>For the purpose of notifying the Lessees, the Issuer (or any Person appointed by it) will need the Key in order to decrypt each Reference List and, accordingly, to decode each Schedule of Receivables. However, each such Key will not be in its possession but under the control of the Data Protection Trustee. Accordingly, there cannot be any assurance, in particular, as to:</w:t>
      </w:r>
    </w:p>
    <w:p w14:paraId="36C0EB22" w14:textId="4CC6C426" w:rsidR="009F6E91" w:rsidRPr="00D427D8" w:rsidRDefault="009F6E91" w:rsidP="004C6B8C">
      <w:pPr>
        <w:pStyle w:val="Level3"/>
        <w:numPr>
          <w:ilvl w:val="2"/>
          <w:numId w:val="10"/>
        </w:numPr>
      </w:pPr>
      <w:r w:rsidRPr="00D427D8">
        <w:t>the possibility of obtaining in practice each Key and of being able to read each Reference List and, accordingly, each Schedule of Receivables; and</w:t>
      </w:r>
    </w:p>
    <w:p w14:paraId="2209402F" w14:textId="005FC1D2" w:rsidR="009F6E91" w:rsidRPr="00D427D8" w:rsidRDefault="009F6E91" w:rsidP="00141A76">
      <w:pPr>
        <w:pStyle w:val="Level3"/>
      </w:pPr>
      <w:r w:rsidRPr="00D427D8">
        <w:t>the ability in practice of the Issuer (or any Person appointed by it) to obtain such data in time for it to validly implement the procedure of notification of the Lessees (as the case may be) before the corresponding Purchased Lease Receivables become due and payable (and to give the appropriate payment instructions to the Lessees).</w:t>
      </w:r>
    </w:p>
    <w:p w14:paraId="57F013D4" w14:textId="77777777" w:rsidR="009F6E91" w:rsidRPr="00D427D8" w:rsidRDefault="009F6E91" w:rsidP="009F6E91">
      <w:pPr>
        <w:pStyle w:val="Body1"/>
        <w:rPr>
          <w:rStyle w:val="BoldItalicText"/>
        </w:rPr>
      </w:pPr>
      <w:r w:rsidRPr="00D427D8">
        <w:rPr>
          <w:rStyle w:val="BoldItalicText"/>
        </w:rPr>
        <w:lastRenderedPageBreak/>
        <w:t>Conflicts of Interest</w:t>
      </w:r>
    </w:p>
    <w:p w14:paraId="3035942B" w14:textId="5F9585D7" w:rsidR="009F6E91" w:rsidRPr="00D427D8" w:rsidRDefault="009F6E91" w:rsidP="009F6E91">
      <w:pPr>
        <w:pStyle w:val="Body1"/>
      </w:pPr>
      <w:r w:rsidRPr="00D427D8">
        <w:t xml:space="preserve">Certain parties involved in the Securitisation (please see </w:t>
      </w:r>
      <w:r w:rsidR="00EF7333" w:rsidRPr="00D427D8">
        <w:t>"</w:t>
      </w:r>
      <w:r w:rsidRPr="00D427D8">
        <w:rPr>
          <w:i/>
          <w:iCs/>
        </w:rPr>
        <w:t>Transaction Overview - The Parties</w:t>
      </w:r>
      <w:r w:rsidR="00EF7333" w:rsidRPr="00D427D8">
        <w:t>"</w:t>
      </w:r>
      <w:r w:rsidRPr="00D427D8">
        <w:t>), including Stellantis Bank, BNP Paribas, act in more than one capacity. The fact that these entities fulfil more than one role could lead to a conflict between the rights and obligations of these entities in one capacity and the rights and obligations of these entities in another capacity.</w:t>
      </w:r>
    </w:p>
    <w:p w14:paraId="1281FB88" w14:textId="0B920B9D" w:rsidR="009F6E91" w:rsidRPr="00D427D8" w:rsidRDefault="009F6E91" w:rsidP="009F6E91">
      <w:pPr>
        <w:pStyle w:val="Body1"/>
      </w:pPr>
      <w:r w:rsidRPr="00D427D8">
        <w:t>In addition, the Lead Manager as well as the aforementioned parties (including, without limitation, the Seller) may engage in commercial relationships, in particular, be lender, provide general banking, investment and provide other financial services or products to the Lessees, Stellantis Bank and its affiliates and other parties. In such relationships these parties are not obliged to take into account the interests of the Noteholders.</w:t>
      </w:r>
    </w:p>
    <w:p w14:paraId="1F9B55F1" w14:textId="77777777" w:rsidR="009F6E91" w:rsidRPr="00D427D8" w:rsidRDefault="009F6E91" w:rsidP="009F6E91">
      <w:pPr>
        <w:pStyle w:val="Body1"/>
      </w:pPr>
      <w:r w:rsidRPr="00D427D8">
        <w:t>Accordingly, because of these relationships, potential conflicts of interest may arise out of the Securitisation. Any such conflict may adversely affect the ability of the Issuer to make payments of principal and/or interest in respect of the Notes.</w:t>
      </w:r>
    </w:p>
    <w:p w14:paraId="41116822" w14:textId="77777777" w:rsidR="009F6E91" w:rsidRPr="00D427D8" w:rsidRDefault="009F6E91" w:rsidP="009F6E91">
      <w:pPr>
        <w:pStyle w:val="Body1"/>
        <w:rPr>
          <w:rStyle w:val="BoldItalicText"/>
        </w:rPr>
      </w:pPr>
      <w:r w:rsidRPr="00D427D8">
        <w:rPr>
          <w:rStyle w:val="BoldItalicText"/>
        </w:rPr>
        <w:t>Historical and Other Information</w:t>
      </w:r>
    </w:p>
    <w:p w14:paraId="53D4C1AF" w14:textId="26CB6C96" w:rsidR="009F6E91" w:rsidRPr="00D427D8" w:rsidRDefault="009F6E91" w:rsidP="009F6E91">
      <w:pPr>
        <w:pStyle w:val="Body1"/>
      </w:pPr>
      <w:r w:rsidRPr="00D427D8">
        <w:t xml:space="preserve">The historical information set out in particular in the section </w:t>
      </w:r>
      <w:r w:rsidR="00EF7333" w:rsidRPr="00D427D8">
        <w:t>"</w:t>
      </w:r>
      <w:r w:rsidRPr="00D427D8">
        <w:rPr>
          <w:i/>
        </w:rPr>
        <w:t>The Seller</w:t>
      </w:r>
      <w:r w:rsidR="00B12D53" w:rsidRPr="00D427D8">
        <w:rPr>
          <w:i/>
        </w:rPr>
        <w:t xml:space="preserve"> and</w:t>
      </w:r>
      <w:r w:rsidRPr="00D427D8">
        <w:rPr>
          <w:i/>
        </w:rPr>
        <w:t xml:space="preserve"> the Servicer</w:t>
      </w:r>
      <w:r w:rsidR="00EF7333" w:rsidRPr="00D427D8">
        <w:t>"</w:t>
      </w:r>
      <w:r w:rsidRPr="00D427D8">
        <w:t xml:space="preserve"> is based on the historical experience and present procedures of Stellantis Bank.</w:t>
      </w:r>
    </w:p>
    <w:p w14:paraId="24172E8B" w14:textId="77777777" w:rsidR="009F6E91" w:rsidRPr="00D427D8" w:rsidRDefault="009F6E91" w:rsidP="009F6E91">
      <w:pPr>
        <w:pStyle w:val="Body1"/>
      </w:pPr>
      <w:r w:rsidRPr="00D427D8">
        <w:t>However, the past performance of financial assets is no assurance to the future performance of the Purchased Lease Receivables. Any deterioration of the future performance of the Receivables, however, may result in the Issuer not receiving sufficient Available Collections to redeem part or all of the Notes.</w:t>
      </w:r>
    </w:p>
    <w:p w14:paraId="2861476A" w14:textId="77777777" w:rsidR="009F6E91" w:rsidRPr="00D427D8" w:rsidRDefault="009F6E91" w:rsidP="009F6E91">
      <w:pPr>
        <w:pStyle w:val="Body1"/>
        <w:rPr>
          <w:rStyle w:val="BoldText"/>
        </w:rPr>
      </w:pPr>
      <w:r w:rsidRPr="00D427D8">
        <w:rPr>
          <w:rStyle w:val="BoldText"/>
        </w:rPr>
        <w:t>Risks regarding the Sale of Used Vehicles</w:t>
      </w:r>
    </w:p>
    <w:p w14:paraId="36FD7AD6" w14:textId="77777777" w:rsidR="009F6E91" w:rsidRPr="00D427D8" w:rsidRDefault="009F6E91" w:rsidP="009F6E91">
      <w:pPr>
        <w:pStyle w:val="Body1"/>
      </w:pPr>
      <w:r w:rsidRPr="00D427D8">
        <w:t>There might be various risks involved in the sales of used vehicles which could have the potential of significantly influencing the proceeds generated from the sale of vehicles, e.g. disproportionately high damages and mileage, correlation between the age of the vehicle and its value on the balance sheet of Stellantis Bank, less popular configuration of cars (e.g. engine, colour), oversized special equipment (the sale value of special vehicle equipment is comparatively low in relation to the resale value of the vehicle), large numbers of homogeneous types of vehicles over short time intervals (e.g. fleet vehicles), general price volatility in the used vehicles market or seasonal impacts on sales (e.g. winter vs. spring).</w:t>
      </w:r>
    </w:p>
    <w:p w14:paraId="355E289A" w14:textId="77777777" w:rsidR="009F6E91" w:rsidRPr="00D427D8" w:rsidRDefault="009F6E91" w:rsidP="009F6E91">
      <w:pPr>
        <w:pStyle w:val="Body1"/>
      </w:pPr>
      <w:r w:rsidRPr="00D427D8">
        <w:t>The rate of repayment on the Notes may be influenced by various economic, tax, legal and other factors such as changes in the value of the Leased Vehicles or the level of interest rates from time to time.</w:t>
      </w:r>
    </w:p>
    <w:p w14:paraId="78487302" w14:textId="77777777" w:rsidR="009F6E91" w:rsidRPr="00D427D8" w:rsidRDefault="009F6E91" w:rsidP="009F6E91">
      <w:pPr>
        <w:pStyle w:val="Body1"/>
      </w:pPr>
      <w:r w:rsidRPr="00D427D8">
        <w:t>To the extent the Leased Vehicles are sold in the open market there is no guarantee that there will be a market for the sale of such Leased Vehicles, which will be in a used condition, or that such market will not deteriorate due to whatever reason.</w:t>
      </w:r>
    </w:p>
    <w:p w14:paraId="0E71167B" w14:textId="77777777" w:rsidR="009F6E91" w:rsidRPr="00D427D8" w:rsidRDefault="009F6E91" w:rsidP="009F6E91">
      <w:pPr>
        <w:pStyle w:val="Body1"/>
      </w:pPr>
      <w:r w:rsidRPr="00D427D8">
        <w:t>Further, any deterioration in the economic condition of the areas in which the final customers are located, or any deterioration in the economic conditions of other areas, may have an adverse effect on the ability to sell the Leased Vehicles.</w:t>
      </w:r>
    </w:p>
    <w:p w14:paraId="23781ED0" w14:textId="77777777" w:rsidR="009F6E91" w:rsidRPr="00D427D8" w:rsidRDefault="009F6E91" w:rsidP="009F6E91">
      <w:pPr>
        <w:pStyle w:val="Body1"/>
      </w:pPr>
      <w:r w:rsidRPr="00D427D8">
        <w:t>If and to the extent Leased Vehicles are sold by the Servicer in its own name but for the account of the Issuer in the open market, the sale agreements entered into with individuals (</w:t>
      </w:r>
      <w:r w:rsidRPr="00D427D8">
        <w:rPr>
          <w:i/>
        </w:rPr>
        <w:t>Privatpersonen</w:t>
      </w:r>
      <w:r w:rsidRPr="00D427D8">
        <w:t>) as final customers may be within the applicability of the law of sale regarding consumer products (</w:t>
      </w:r>
      <w:r w:rsidRPr="00D427D8">
        <w:rPr>
          <w:i/>
        </w:rPr>
        <w:t>Verbrauchsgüterkaufrecht</w:t>
      </w:r>
      <w:r w:rsidRPr="00D427D8">
        <w:t>). Pursuant to such statutory mandatory law, the prescription period for claims resulting from the fact that the sold used vehicle had defects cannot be shortened to less than a year (section 476(2) of the German Civil Code). The burden of proof that there was no such defect at the time the used vehicle was surrendered to the individual (</w:t>
      </w:r>
      <w:r w:rsidRPr="00D427D8">
        <w:rPr>
          <w:i/>
        </w:rPr>
        <w:t>Gefahrübergang</w:t>
      </w:r>
      <w:r w:rsidRPr="00D427D8">
        <w:t>) is, generally, to be borne by the seller for a period of one year (section 477 of the German Civil Code). Depending on the intensity of the defect it can happen that the entire previous realisation proceeds are consumed or even exceeded by costs of repair. Further, sale agreements concluded via internet portals, communications by electronic systems, telemarketing, letters etc. are contracts of distant selling (</w:t>
      </w:r>
      <w:r w:rsidRPr="00D427D8">
        <w:rPr>
          <w:i/>
        </w:rPr>
        <w:t>Fernabsatzverträge</w:t>
      </w:r>
      <w:r w:rsidRPr="00D427D8">
        <w:t>). The individual final customer in such case is entitled to revoke the sales agreement within a period of two weeks after conclusion of the agreement without giving reasons. Such period begins on the later of the date on which: (i) the sale contract has been concluded; (ii) the consumer has been duly notified of his right of revocation in a form that meets the requirements set forth in section 355(2) of the German Civil Code; (iii) the consumer received a copy of the contract document (</w:t>
      </w:r>
      <w:r w:rsidRPr="00D427D8">
        <w:rPr>
          <w:i/>
        </w:rPr>
        <w:t>Vertragsurkunde</w:t>
      </w:r>
      <w:r w:rsidRPr="00D427D8">
        <w:t xml:space="preserve">); (iv) the consumer has received the purchased vehicle; or (v) the consumer has received the information required </w:t>
      </w:r>
      <w:r w:rsidRPr="00D427D8">
        <w:lastRenderedPageBreak/>
        <w:t>pursuant to section 312c (2) of the German Civil Code. In this case the Servicer (on behalf of the Issuer) has to refund the purchase price and additionally pay the whole rescission of contract, which would decrease the realisation proceeds, although the vehicle can be sold again afterwards.</w:t>
      </w:r>
    </w:p>
    <w:p w14:paraId="5242D8E5" w14:textId="34CD5CBF" w:rsidR="009F6E91" w:rsidRPr="00D427D8" w:rsidRDefault="009F6E91" w:rsidP="009F6E91">
      <w:pPr>
        <w:pStyle w:val="Body1"/>
      </w:pPr>
      <w:bookmarkStart w:id="18" w:name="_Hlk135736505"/>
      <w:r w:rsidRPr="00D427D8">
        <w:t>Furthermore, Regulation (EU) 2019/631 of the European Parliament and of the Council of 17 April 2019 setting CO</w:t>
      </w:r>
      <w:r w:rsidRPr="00D427D8">
        <w:rPr>
          <w:vertAlign w:val="subscript"/>
        </w:rPr>
        <w:t>2</w:t>
      </w:r>
      <w:r w:rsidRPr="00D427D8">
        <w:t xml:space="preserve"> emission performance standards for new passenger cars and for new light commercial vehicles sets new CO</w:t>
      </w:r>
      <w:r w:rsidRPr="00D427D8">
        <w:rPr>
          <w:vertAlign w:val="subscript"/>
        </w:rPr>
        <w:t>2</w:t>
      </w:r>
      <w:r w:rsidRPr="00D427D8">
        <w:t xml:space="preserve"> standards which require average emissions of new cars to come down by 55% by 2030, and new vans by 50% by 2030 and zero CO</w:t>
      </w:r>
      <w:r w:rsidRPr="00D427D8">
        <w:rPr>
          <w:vertAlign w:val="subscript"/>
        </w:rPr>
        <w:t>2</w:t>
      </w:r>
      <w:r w:rsidRPr="00D427D8">
        <w:t xml:space="preserve"> emission as of 2035. Regulation (EU) 2019/631 of the European Parliament and of the Council of 17 April 2019 is likely to already have an adverse impact on the residual values of Leased Vehicles with combustion engines. Such impact may result in lower proceeds in case of a sale of or enforcement on Leased Vehicles and, therefore may impact the Issuer</w:t>
      </w:r>
      <w:r w:rsidR="00EF7333" w:rsidRPr="00D427D8">
        <w:t>'</w:t>
      </w:r>
      <w:r w:rsidRPr="00D427D8">
        <w:t>s ability to make payments under the Notes.</w:t>
      </w:r>
    </w:p>
    <w:p w14:paraId="6987A008" w14:textId="77777777" w:rsidR="009F6E91" w:rsidRPr="00D427D8" w:rsidRDefault="009F6E91" w:rsidP="009F6E91">
      <w:pPr>
        <w:pStyle w:val="Body1"/>
        <w:rPr>
          <w:rStyle w:val="BoldItalicText"/>
        </w:rPr>
      </w:pPr>
      <w:r w:rsidRPr="00D427D8">
        <w:rPr>
          <w:rStyle w:val="BoldItalicText"/>
        </w:rPr>
        <w:t>Direct Debit Arrangement in case of Insolvency of a Lessees</w:t>
      </w:r>
    </w:p>
    <w:p w14:paraId="131340C1" w14:textId="77777777" w:rsidR="009F6E91" w:rsidRPr="00D427D8" w:rsidRDefault="009F6E91" w:rsidP="009F6E91">
      <w:pPr>
        <w:pStyle w:val="Body1"/>
      </w:pPr>
      <w:r w:rsidRPr="00D427D8">
        <w:t>Some of the Lessees have granted to the Seller and Servicer the right to collect monies due and payable under the relevant Purchased Lease Receivable by making use of a direct debit mandate (Einzugsermächtigung). Such direct debit mandate continues to apply following the sale and assignment of a Purchased Lease Receivable by the Seller and Servicer as long as the Seller and Servicer acts as Servicer.</w:t>
      </w:r>
    </w:p>
    <w:p w14:paraId="64A7EA87" w14:textId="5694EBB2" w:rsidR="009F6E91" w:rsidRPr="00D427D8" w:rsidRDefault="009F6E91" w:rsidP="009F6E91">
      <w:pPr>
        <w:pStyle w:val="Body1"/>
      </w:pPr>
      <w:r w:rsidRPr="00D427D8">
        <w:t>Pursuant to decisions of the BGH, both the preliminary and the final insolvency administrator (vorläufiger und endgültiger Insolvenzverwalter) have the right to object to direct debits for a period of six (6) weeks upon receipt (Zugang) of the last balance of accounts (Rechnungsabschluss) in order to preserve the Lessee</w:t>
      </w:r>
      <w:r w:rsidR="00EF7333" w:rsidRPr="00D427D8">
        <w:t>'</w:t>
      </w:r>
      <w:r w:rsidRPr="00D427D8">
        <w:t>s assets for the insolvency estate. After such time the relevant direct debit shall be deemed to be approved (Genehmigungsfiktion). Pursuant to decisions of the BGH such deemed approval shall also be binding on the preliminary insolvency administrator with reservation of consent (vorläufiger schwacher Insolvenzverwalter).</w:t>
      </w:r>
    </w:p>
    <w:p w14:paraId="18DD22A6" w14:textId="77777777" w:rsidR="009F6E91" w:rsidRPr="00D427D8" w:rsidRDefault="009F6E91" w:rsidP="009F6E91">
      <w:pPr>
        <w:pStyle w:val="Body1"/>
      </w:pPr>
      <w:r w:rsidRPr="00D427D8">
        <w:t>The insolvency administrator shall only have a right to object to the extent that the Lessee has not approved (genehmigt) the relevant direct debit contractually or implicitly (e.g. if the Lessee has previously given its consent to regular payments and the objected direct debit was conducted under a continuing obligation such as rental payments). The BGH stated in this respect that it can only be decided on a case-by-case basis whether the Lessee has approved the relevant direct debit implicitly.</w:t>
      </w:r>
    </w:p>
    <w:p w14:paraId="7686F977" w14:textId="18583133" w:rsidR="009F6E91" w:rsidRPr="00D427D8" w:rsidRDefault="009F6E91" w:rsidP="009F6E91">
      <w:pPr>
        <w:pStyle w:val="Body1"/>
      </w:pPr>
      <w:r w:rsidRPr="00D427D8">
        <w:t>Thus, where the Servicer collects monies owed under the Purchased Lease Receivables by making use of a direct debit mandate, the insolvency administrator of a Lessee may have the right to object to these direct debits as set out above. The insolvency administrator</w:t>
      </w:r>
      <w:r w:rsidR="00EF7333" w:rsidRPr="00D427D8">
        <w:t>'</w:t>
      </w:r>
      <w:r w:rsidRPr="00D427D8">
        <w:t>s right to object may adversely affect payments on the Notes in an insolvency of a Lessee as the collection of monies owed by the Lessee under the Purchased Lease Receivable may be delayed and/or defaulted (e.g., if legal actions have to be taken against the Lessee).</w:t>
      </w:r>
    </w:p>
    <w:bookmarkEnd w:id="18"/>
    <w:p w14:paraId="331D4F28" w14:textId="77777777" w:rsidR="009F6E91" w:rsidRPr="00D427D8" w:rsidRDefault="009F6E91" w:rsidP="009F6E91">
      <w:pPr>
        <w:pStyle w:val="Body1"/>
        <w:rPr>
          <w:rStyle w:val="BoldItalicText"/>
        </w:rPr>
      </w:pPr>
      <w:r w:rsidRPr="00D427D8">
        <w:rPr>
          <w:rStyle w:val="BoldItalicText"/>
        </w:rPr>
        <w:t>Reliance on Administration, Realisation and Collection Procedures</w:t>
      </w:r>
    </w:p>
    <w:p w14:paraId="06726E01" w14:textId="77777777" w:rsidR="009F6E91" w:rsidRPr="00D427D8" w:rsidRDefault="009F6E91" w:rsidP="009F6E91">
      <w:pPr>
        <w:pStyle w:val="Body1"/>
      </w:pPr>
      <w:r w:rsidRPr="00D427D8">
        <w:t>The Servicer will carry out the administration, collection and enforcement of the Purchased Lease Receivables and the Collateral in accordance with the Servicing Agreement.</w:t>
      </w:r>
    </w:p>
    <w:p w14:paraId="6EF2BFE0" w14:textId="77777777" w:rsidR="009F6E91" w:rsidRPr="00D427D8" w:rsidRDefault="009F6E91" w:rsidP="009F6E91">
      <w:pPr>
        <w:pStyle w:val="Body1"/>
      </w:pPr>
      <w:r w:rsidRPr="00D427D8">
        <w:t xml:space="preserve">The Servicer will be responsible for the realisation of the Leased Vehicles and the ER Collateral upon transfer of full legal title to the Issuer in accordance with the </w:t>
      </w:r>
      <w:r w:rsidRPr="00D427D8">
        <w:rPr>
          <w:lang w:val="en-US"/>
        </w:rPr>
        <w:t xml:space="preserve">Servicing </w:t>
      </w:r>
      <w:r w:rsidRPr="00D427D8">
        <w:t>Agreement.</w:t>
      </w:r>
    </w:p>
    <w:p w14:paraId="71B7F852" w14:textId="77777777" w:rsidR="009F6E91" w:rsidRPr="00D427D8" w:rsidRDefault="009F6E91" w:rsidP="009F6E91">
      <w:pPr>
        <w:pStyle w:val="Body1"/>
      </w:pPr>
      <w:r w:rsidRPr="00D427D8">
        <w:t xml:space="preserve">Accordingly, the Noteholders are relying on the business judgement and practices of the Servicer when enforcing claims against the Lessees and realising the Leased Vehicles, including, </w:t>
      </w:r>
      <w:r w:rsidRPr="00D427D8">
        <w:rPr>
          <w:i/>
          <w:iCs/>
        </w:rPr>
        <w:t>inter alia</w:t>
      </w:r>
      <w:r w:rsidRPr="00D427D8">
        <w:t>, taking decisions with respect to enforcement measures available in relation to the Purchased Lease Receivables and any Collateral.</w:t>
      </w:r>
    </w:p>
    <w:p w14:paraId="39BE5D0C" w14:textId="77777777" w:rsidR="009F6E91" w:rsidRPr="00D427D8" w:rsidRDefault="009F6E91" w:rsidP="009F6E91">
      <w:pPr>
        <w:pStyle w:val="Body1"/>
        <w:rPr>
          <w:rStyle w:val="BoldItalicText"/>
        </w:rPr>
      </w:pPr>
      <w:r w:rsidRPr="00D427D8">
        <w:rPr>
          <w:rStyle w:val="BoldItalicText"/>
        </w:rPr>
        <w:t>Reliance on Third Parties</w:t>
      </w:r>
    </w:p>
    <w:p w14:paraId="5704678E" w14:textId="77777777" w:rsidR="009F6E91" w:rsidRPr="00D427D8" w:rsidRDefault="009F6E91" w:rsidP="009F6E91">
      <w:pPr>
        <w:pStyle w:val="Body1"/>
      </w:pPr>
      <w:r w:rsidRPr="00D427D8">
        <w:t xml:space="preserve">The Issuer is party to contracts with a number of other third parties which have agreed to perform services, </w:t>
      </w:r>
      <w:r w:rsidRPr="00D427D8">
        <w:rPr>
          <w:i/>
        </w:rPr>
        <w:t>inter alia</w:t>
      </w:r>
      <w:r w:rsidRPr="00D427D8">
        <w:t>, in relation to the Notes. In particular, the Servicer, the Paying Agent, the Reporting Agent, the Account Bank, the Counterparty and the Back-up Servicer have all agreed to provide services with respect to the Notes and the Transaction Documents.</w:t>
      </w:r>
    </w:p>
    <w:p w14:paraId="5F059664" w14:textId="77777777" w:rsidR="009F6E91" w:rsidRPr="00D427D8" w:rsidRDefault="009F6E91" w:rsidP="009F6E91">
      <w:pPr>
        <w:pStyle w:val="Body1"/>
      </w:pPr>
      <w:r w:rsidRPr="00D427D8">
        <w:t>If any of such third parties fails to perform its obligations under the respective agreements to which it is a party, investors may be adversely affected.</w:t>
      </w:r>
    </w:p>
    <w:p w14:paraId="74675211" w14:textId="77777777" w:rsidR="009F6E91" w:rsidRPr="00D427D8" w:rsidRDefault="009F6E91" w:rsidP="009F6E91">
      <w:pPr>
        <w:pStyle w:val="Body1"/>
      </w:pPr>
      <w:r w:rsidRPr="00D427D8">
        <w:lastRenderedPageBreak/>
        <w:t>No assurance can be given that the creditworthiness of the parties to the Transaction Documents will not deteriorate in the future. This may affect the performance of their respective obligations under the respective Transaction Documents.</w:t>
      </w:r>
    </w:p>
    <w:p w14:paraId="3AC44AEA" w14:textId="77777777" w:rsidR="009F6E91" w:rsidRPr="00D427D8" w:rsidRDefault="009F6E91" w:rsidP="009F6E91">
      <w:pPr>
        <w:pStyle w:val="Body1"/>
        <w:rPr>
          <w:rStyle w:val="BoldItalicText"/>
        </w:rPr>
      </w:pPr>
      <w:r w:rsidRPr="00D427D8">
        <w:rPr>
          <w:rStyle w:val="BoldItalicText"/>
        </w:rPr>
        <w:t>Reliance on Representations</w:t>
      </w:r>
    </w:p>
    <w:p w14:paraId="177ACCDA" w14:textId="65117129" w:rsidR="009F6E91" w:rsidRPr="00D427D8" w:rsidRDefault="009F6E91" w:rsidP="009F6E91">
      <w:pPr>
        <w:pStyle w:val="Body1"/>
      </w:pPr>
      <w:r w:rsidRPr="00D427D8">
        <w:t xml:space="preserve">If the Portfolio does not correspond, in whole or in part, to the representations and warranties made by the Seller in the Asset Purchase Agreements, the Issuer has certain rights of recourse against the Seller. These rights are not collateralised with respect to the Seller except that, in the case of a breach of certain representations and warranties, the Seller will be required to replace or repurchase such Purchased Lease Receivable in an amount equal to the </w:t>
      </w:r>
      <w:r w:rsidR="00C36CDE" w:rsidRPr="00D427D8">
        <w:t xml:space="preserve">Net </w:t>
      </w:r>
      <w:r w:rsidRPr="00D427D8">
        <w:t>Present Value of such Purchased Lease Receivable (or the affected portion thereof). Consequently, a risk of loss exists in the event that such a representation or warranty is breached and the corresponding repurchase price is not paid. This could potentially cause the Issuer to default under the Notes.</w:t>
      </w:r>
    </w:p>
    <w:p w14:paraId="5D117281" w14:textId="77777777" w:rsidR="009F6E91" w:rsidRPr="00D427D8" w:rsidRDefault="009F6E91" w:rsidP="00E31199">
      <w:pPr>
        <w:pStyle w:val="Heading1Underline"/>
      </w:pPr>
      <w:r w:rsidRPr="00D427D8">
        <w:t>IV. Risks related to regulatory changes</w:t>
      </w:r>
    </w:p>
    <w:p w14:paraId="01629842" w14:textId="77777777" w:rsidR="009F6E91" w:rsidRPr="00D427D8" w:rsidRDefault="009F6E91" w:rsidP="00EF7333">
      <w:pPr>
        <w:pStyle w:val="Body1"/>
        <w:rPr>
          <w:rStyle w:val="BoldText"/>
        </w:rPr>
      </w:pPr>
      <w:r w:rsidRPr="00D427D8">
        <w:rPr>
          <w:rStyle w:val="BoldText"/>
        </w:rPr>
        <w:t>Bail-In Instrument and other Restructuring and Resolution Measures</w:t>
      </w:r>
    </w:p>
    <w:p w14:paraId="3E77C3D7" w14:textId="5B1FE938" w:rsidR="009F6E91" w:rsidRPr="00D427D8" w:rsidRDefault="009F6E91" w:rsidP="009F6E91">
      <w:pPr>
        <w:pStyle w:val="Body1"/>
        <w:rPr>
          <w:lang w:val="en-US"/>
        </w:rPr>
      </w:pPr>
      <w:r w:rsidRPr="00D427D8">
        <w:t>Directive (EU) No°2019/879 of the European Parliament and of the Council of 20 May 2019 (</w:t>
      </w:r>
      <w:r w:rsidR="00EF7333" w:rsidRPr="00D427D8">
        <w:t>"</w:t>
      </w:r>
      <w:r w:rsidRPr="00D427D8">
        <w:rPr>
          <w:rStyle w:val="BoldText"/>
        </w:rPr>
        <w:t>BRRD</w:t>
      </w:r>
      <w:r w:rsidR="00EF7333" w:rsidRPr="00D427D8">
        <w:t>"</w:t>
      </w:r>
      <w:r w:rsidRPr="00D427D8">
        <w:t>) provides authorities with a credible set of tools to intervene sufficiently early and quickly in an unsound or failing institution so as to ensure the continuity of the institution</w:t>
      </w:r>
      <w:r w:rsidR="00EF7333" w:rsidRPr="00D427D8">
        <w:t>'</w:t>
      </w:r>
      <w:r w:rsidRPr="00D427D8">
        <w:t>s critical financial and economic functions, while minimising the impact of an institution</w:t>
      </w:r>
      <w:r w:rsidR="00EF7333" w:rsidRPr="00D427D8">
        <w:t>'</w:t>
      </w:r>
      <w:r w:rsidRPr="00D427D8">
        <w:t>s failure on the economy and financial system.</w:t>
      </w:r>
    </w:p>
    <w:p w14:paraId="13A0DADD" w14:textId="77777777" w:rsidR="009F6E91" w:rsidRPr="00D427D8" w:rsidRDefault="009F6E91" w:rsidP="009F6E91">
      <w:pPr>
        <w:pStyle w:val="Body1"/>
      </w:pPr>
      <w:r w:rsidRPr="00D427D8">
        <w:rPr>
          <w:lang w:val="en-US"/>
        </w:rPr>
        <w:t xml:space="preserve">An institution will be considered as failing or likely to fail according to Art. 32(4) BRRD when: (a) it is, or is likely in the near future to be, in breach of its requirements for continuing authorisation; (b) its assets are, or are likely in the near future to be, less than its liabilities; (c) it is, or is likely in the near future to be, unable to pay its debts as they fall due; or (d) it requires extraordinary public financial support (except in limited circumstances). </w:t>
      </w:r>
      <w:r w:rsidRPr="00D427D8">
        <w:t>The BRRD provides for various actions and measures that can be taken by the resolution authority in order to avoid systematic risks for the financial markets or the necessity of a public bail-out if a credit institution is in financial difficulties.</w:t>
      </w:r>
    </w:p>
    <w:p w14:paraId="1CF9015E" w14:textId="5222DB28" w:rsidR="009F6E91" w:rsidRPr="00D427D8" w:rsidRDefault="009F6E91" w:rsidP="009F6E91">
      <w:pPr>
        <w:pStyle w:val="Body1"/>
        <w:rPr>
          <w:lang w:val="en-US"/>
        </w:rPr>
      </w:pPr>
      <w:r w:rsidRPr="00D427D8">
        <w:t>Regulation (EU) No 806/2014 to establish a Single Resolution Mechanism (</w:t>
      </w:r>
      <w:r w:rsidR="00EF7333" w:rsidRPr="00D427D8">
        <w:t>"</w:t>
      </w:r>
      <w:r w:rsidRPr="00D427D8">
        <w:rPr>
          <w:rStyle w:val="BoldText"/>
        </w:rPr>
        <w:t>SRM Regulation</w:t>
      </w:r>
      <w:r w:rsidR="00EF7333" w:rsidRPr="00D427D8">
        <w:rPr>
          <w:bCs/>
        </w:rPr>
        <w:t>"</w:t>
      </w:r>
      <w:r w:rsidRPr="00D427D8">
        <w:t xml:space="preserve">) </w:t>
      </w:r>
      <w:r w:rsidRPr="00D427D8">
        <w:rPr>
          <w:lang w:val="en-US"/>
        </w:rPr>
        <w:t>has established a centralised power of resolution entrusted to a Single Resolution Board and to the national resolution authorities. Credit institutions (or other entities subject to BRRD) which have been designated as a significant supervised entity for the purposes of article 49(1) of the SSM Framework Regulation are subject to the direct supervision of the ECB in the context of the Single Supervision Mechanism and therefore to the SRM Regulation. The SRM Regulation mirrors the BRRD and, to a large part, refers to the BRRD so that the Single Resolution Board is able to apply the same powers that would otherwise be available to the relevant national resolution authority.</w:t>
      </w:r>
      <w:r w:rsidRPr="00D427D8">
        <w:t xml:space="preserve"> Should </w:t>
      </w:r>
      <w:r w:rsidRPr="00D427D8">
        <w:rPr>
          <w:lang w:val="en-US"/>
        </w:rPr>
        <w:t>credit institution which is a counterparty to the Issuer be or become at some point subject to the BRRD or the provisions implemented by the Member States, the above provisions would apply notwithstanding any provisions to the contrary in the Transaction Documents, which may affect the enforceability of the Transaction Documents executed by such counterparty.</w:t>
      </w:r>
    </w:p>
    <w:p w14:paraId="17B625A7" w14:textId="77777777" w:rsidR="009F6E91" w:rsidRPr="00D427D8" w:rsidRDefault="009F6E91" w:rsidP="009F6E91">
      <w:pPr>
        <w:pStyle w:val="Body1"/>
        <w:rPr>
          <w:lang w:val="en-US"/>
        </w:rPr>
      </w:pPr>
      <w:r w:rsidRPr="00D427D8">
        <w:rPr>
          <w:lang w:val="en-US"/>
        </w:rPr>
        <w:t>All these proceedings mentioned above may also result in an impairment of the rights of creditors of such credit institutions such as the Issuer. In particular, if during restructuring proceedings the affected credit institution enters into new financing arrangements as a borrower, the creditors of such new financing arrangements may rank ahead of existing creditors of such credit institution in any insolvency proceedings that will be commenced in respect of the affected credit institution within a period of three years after the commencement of such restructuring proceedings has been ordered. Reorganisation proceedings may, for example, result in a reduction or deferral of the claims and other rights of creditors (such as the Issuer) of the affected credit institution and resolution actions may, for example, result in the deferral or suspension of payment or delivery obligations of creditors (such as the Issuer) of the affected credit institution or in a change in the nature of the receivables or claims into equity of the affected credit institution, which may, in the worst case, have no value. If such proceedings are applied to Stellantis Bank and the Issuer has at that time claims for payments outstanding against Stellantis Bank (e.g. under the Servicing Agreement) such claims may be subordinated or deferred as set out above and the Issuer may not or not timely receive such amounts required to make payments under the Notes.</w:t>
      </w:r>
    </w:p>
    <w:p w14:paraId="41CF3B7A" w14:textId="7AFC5A80" w:rsidR="009F6E91" w:rsidRPr="00D427D8" w:rsidRDefault="009F6E91" w:rsidP="009F6E91">
      <w:pPr>
        <w:pStyle w:val="Body1"/>
        <w:rPr>
          <w:lang w:val="en-US"/>
        </w:rPr>
      </w:pPr>
      <w:r w:rsidRPr="00D427D8">
        <w:rPr>
          <w:lang w:val="en-US"/>
        </w:rPr>
        <w:t xml:space="preserve">Since 1 May 2023 Stellantis Bank (formerly known as Opel Bank) is on the </w:t>
      </w:r>
      <w:r w:rsidR="00EF7333" w:rsidRPr="00D427D8">
        <w:rPr>
          <w:lang w:val="en-US"/>
        </w:rPr>
        <w:t>"</w:t>
      </w:r>
      <w:r w:rsidRPr="00D427D8">
        <w:rPr>
          <w:lang w:val="en-US"/>
        </w:rPr>
        <w:t>List of significant supervised entities</w:t>
      </w:r>
      <w:r w:rsidR="00EF7333" w:rsidRPr="00D427D8">
        <w:rPr>
          <w:lang w:val="en-US"/>
        </w:rPr>
        <w:t>"</w:t>
      </w:r>
      <w:r w:rsidRPr="00D427D8">
        <w:rPr>
          <w:lang w:val="en-US"/>
        </w:rPr>
        <w:t xml:space="preserve"> in accordance with Article 6(4) of the Council Regulation (EU) No 1024/2013 of 15 October 2013 conferring specific tasks on the European Central Bank concerning policies relating to the prudential </w:t>
      </w:r>
      <w:r w:rsidRPr="00D427D8">
        <w:rPr>
          <w:lang w:val="en-US"/>
        </w:rPr>
        <w:lastRenderedPageBreak/>
        <w:t>supervision of credit institutions which has been produced by the ECB and which are under the direct supervision of the ECB and therefore, pursuant to the SRM Regulation, Stellantis Bank is under the direct responsibility of the Single Resolution Board.</w:t>
      </w:r>
    </w:p>
    <w:p w14:paraId="46299FEC" w14:textId="77777777" w:rsidR="009F6E91" w:rsidRPr="00D427D8" w:rsidRDefault="009F6E91" w:rsidP="009F6E91">
      <w:pPr>
        <w:pStyle w:val="Body1"/>
        <w:rPr>
          <w:rStyle w:val="BoldItalicText"/>
        </w:rPr>
      </w:pPr>
      <w:bookmarkStart w:id="19" w:name="_Hlk141778355"/>
      <w:r w:rsidRPr="00D427D8">
        <w:rPr>
          <w:rStyle w:val="BoldItalicText"/>
        </w:rPr>
        <w:t>EU Risk Retention, Transparency Requirements and Due Diligence Requirements under the EU Securitisation Regulation and Simple, Transparent and Standardised Securitisations</w:t>
      </w:r>
      <w:bookmarkEnd w:id="19"/>
    </w:p>
    <w:p w14:paraId="45E8EA17" w14:textId="663C2399" w:rsidR="009F6E91" w:rsidRPr="00D427D8" w:rsidRDefault="009F6E91" w:rsidP="009F6E91">
      <w:pPr>
        <w:pStyle w:val="Body1"/>
        <w:rPr>
          <w:lang w:eastAsia="en-US"/>
        </w:rPr>
      </w:pPr>
      <w:r w:rsidRPr="00D427D8">
        <w:rPr>
          <w:lang w:eastAsia="en-US"/>
        </w:rPr>
        <w:t>The EU Securitisation Regulation lays down a general framework for securitisation. It defines securitisation and establishes due-diligence, risk-retention and transparency requirements for parties involved in securitisations, criteria for credit granting, requirements for selling securitisations to retail clients, a ban on re-securitisation, requirements for securitisation special purpose entities (</w:t>
      </w:r>
      <w:r w:rsidR="00EF7333" w:rsidRPr="00D427D8">
        <w:rPr>
          <w:lang w:eastAsia="en-US"/>
        </w:rPr>
        <w:t>"</w:t>
      </w:r>
      <w:r w:rsidRPr="00D427D8">
        <w:rPr>
          <w:rStyle w:val="BoldText"/>
        </w:rPr>
        <w:t>SSPEs</w:t>
      </w:r>
      <w:r w:rsidR="00EF7333" w:rsidRPr="00D427D8">
        <w:rPr>
          <w:lang w:eastAsia="en-US"/>
        </w:rPr>
        <w:t>"</w:t>
      </w:r>
      <w:r w:rsidRPr="00D427D8">
        <w:rPr>
          <w:lang w:eastAsia="en-US"/>
        </w:rPr>
        <w:t>) as well as conditions and procedures for securitisation repositories. Further, it creates a specific framework for simple, transparent and standardised (</w:t>
      </w:r>
      <w:r w:rsidR="00EF7333" w:rsidRPr="00D427D8">
        <w:rPr>
          <w:lang w:eastAsia="en-US"/>
        </w:rPr>
        <w:t>"</w:t>
      </w:r>
      <w:r w:rsidRPr="00D427D8">
        <w:rPr>
          <w:rStyle w:val="BoldText"/>
        </w:rPr>
        <w:t>STS</w:t>
      </w:r>
      <w:r w:rsidR="00EF7333" w:rsidRPr="00D427D8">
        <w:rPr>
          <w:lang w:eastAsia="en-US"/>
        </w:rPr>
        <w:t>"</w:t>
      </w:r>
      <w:r w:rsidRPr="00D427D8">
        <w:rPr>
          <w:lang w:eastAsia="en-US"/>
        </w:rPr>
        <w:t>) securitisations. It applies to institutional investors and to originators, sponsors, original lenders and securitisation special purpose entities.</w:t>
      </w:r>
    </w:p>
    <w:p w14:paraId="13694787" w14:textId="77777777" w:rsidR="009F6E91" w:rsidRPr="00D427D8" w:rsidRDefault="009F6E91" w:rsidP="00FB21F9">
      <w:pPr>
        <w:pStyle w:val="Body1"/>
        <w:keepNext/>
        <w:rPr>
          <w:rStyle w:val="BoldText"/>
        </w:rPr>
      </w:pPr>
      <w:bookmarkStart w:id="20" w:name="_Hlk158737242"/>
      <w:r w:rsidRPr="00D427D8">
        <w:rPr>
          <w:rStyle w:val="BoldText"/>
        </w:rPr>
        <w:t xml:space="preserve">EU Risk Retention </w:t>
      </w:r>
      <w:bookmarkEnd w:id="20"/>
      <w:r w:rsidRPr="00D427D8">
        <w:rPr>
          <w:rStyle w:val="BoldText"/>
        </w:rPr>
        <w:t>and Transparency Requirements under the EU Securitisation Regulation</w:t>
      </w:r>
    </w:p>
    <w:p w14:paraId="48E9D158" w14:textId="77777777" w:rsidR="009F6E91" w:rsidRPr="00D427D8" w:rsidRDefault="009F6E91" w:rsidP="00EF7333">
      <w:pPr>
        <w:pStyle w:val="Body1"/>
        <w:rPr>
          <w:lang w:eastAsia="en-US"/>
        </w:rPr>
      </w:pPr>
      <w:r w:rsidRPr="00D427D8">
        <w:rPr>
          <w:lang w:eastAsia="en-US"/>
        </w:rPr>
        <w:t xml:space="preserve">Article 6 of the EU Securitisation Regulation provides for a direct obligation on, </w:t>
      </w:r>
      <w:r w:rsidRPr="00D427D8">
        <w:rPr>
          <w:i/>
          <w:iCs/>
          <w:lang w:eastAsia="en-US"/>
        </w:rPr>
        <w:t>inter alios</w:t>
      </w:r>
      <w:r w:rsidRPr="00D427D8">
        <w:rPr>
          <w:lang w:eastAsia="en-US"/>
        </w:rPr>
        <w:t>, originators to retain risk. Article 5(1)(c) of the EU Securitisation Regulation requires institutional investors (as defined in Article 2(12) of the EU Securitisation Regulation which term also includes (i) insurance and reinsurance undertakings as defined in Directive 2009/138/EC of the European Parliament and the Council of 25 November 2009 on the taking-up and pursuit of the business of insurance and reinsurance and (ii) alternative investment fund managers as defined in the Commission Delegated Regulation 231/2013 of 19 December 2012 (as amended)) to verify that, if established in the European Union, the originator, sponsor or original lender retains on an ongoing basis a material net economic interest in accordance with Article 6 of the EU Securitisation Regulation and the risk retention is disclosed to the institutional investors in accordance with Article 7(1)(e) of the EU Securitisation Regulation.</w:t>
      </w:r>
    </w:p>
    <w:p w14:paraId="4D110BDD" w14:textId="784AE65C" w:rsidR="009F6E91" w:rsidRPr="00D427D8" w:rsidRDefault="009F6E91" w:rsidP="009F6E91">
      <w:pPr>
        <w:pStyle w:val="Body1"/>
        <w:rPr>
          <w:lang w:eastAsia="en-US"/>
        </w:rPr>
      </w:pPr>
      <w:r w:rsidRPr="00D427D8">
        <w:rPr>
          <w:lang w:eastAsia="en-US"/>
        </w:rPr>
        <w:t xml:space="preserve">The Seller, as </w:t>
      </w:r>
      <w:r w:rsidR="00EF7333" w:rsidRPr="00D427D8">
        <w:rPr>
          <w:lang w:eastAsia="en-US"/>
        </w:rPr>
        <w:t>"</w:t>
      </w:r>
      <w:r w:rsidRPr="00D427D8">
        <w:rPr>
          <w:lang w:eastAsia="en-US"/>
        </w:rPr>
        <w:t>originator</w:t>
      </w:r>
      <w:r w:rsidR="00EF7333" w:rsidRPr="00D427D8">
        <w:rPr>
          <w:lang w:eastAsia="en-US"/>
        </w:rPr>
        <w:t>"</w:t>
      </w:r>
      <w:r w:rsidRPr="00D427D8">
        <w:rPr>
          <w:lang w:eastAsia="en-US"/>
        </w:rPr>
        <w:t xml:space="preserve"> for the purposes of Article 6(1) of the EU Securitisation Regulation, has undertaken that, for so long as any Note remains outstanding, it (i) will retain on an ongoing basis a material net economic interest in the securitisation of not less than 5 per cent., provided that the level of retention may reduce over time in compliance with </w:t>
      </w:r>
      <w:r w:rsidRPr="00D427D8">
        <w:rPr>
          <w:lang w:val="en-US" w:eastAsia="en-US"/>
        </w:rPr>
        <w:t>Article 10 (2) of Commission Delegated Regulation (EU) 2023/2175 or any successor delegated regulation</w:t>
      </w:r>
      <w:r w:rsidRPr="00D427D8">
        <w:rPr>
          <w:lang w:eastAsia="en-US"/>
        </w:rPr>
        <w:t>, (ii) at all relevant times comply with the requirements of Article 7(1)(e)(iii) of the EU Securitisation Regulation by confirming for the purposes of the investor reports the risk retention of the Seller as contemplated by Article 6(1) of the EU Securitisation Regulation, (iii) not change the manner in which it retains such material net economic interest, except to the extent permitted by the EU Securitisation Regulation or any applicable regulatory technical standards and (iv) not sell, hedge or otherwise enter into any credit risk mitigation, short position or any other credit risk hedge with respect to its retained material net economic interest, except to the extent permitted by the EU Securitisation Regulation or any applicable regulatory technical standards.</w:t>
      </w:r>
    </w:p>
    <w:p w14:paraId="2200F088" w14:textId="77777777" w:rsidR="009F6E91" w:rsidRPr="00D427D8" w:rsidRDefault="009F6E91" w:rsidP="009F6E91">
      <w:pPr>
        <w:pStyle w:val="Body1"/>
        <w:rPr>
          <w:lang w:eastAsia="en-US"/>
        </w:rPr>
      </w:pPr>
      <w:r w:rsidRPr="00D427D8">
        <w:rPr>
          <w:lang w:eastAsia="en-US"/>
        </w:rPr>
        <w:t xml:space="preserve">With respect to the commitment of the Seller to retain a material net economic interest with respect to this Transaction, following the issuance of the Notes, as contemplated by Article 6(3)(a) of the EU Securitisation Regulation, the Seller will retain, in its capacity as originator within the meaning of the EU Securitisation Regulation, on an ongoing basis for the life of the transaction, such net economic interest </w:t>
      </w:r>
      <w:bookmarkStart w:id="21" w:name="_Hlk191292285"/>
      <w:r w:rsidRPr="00D427D8">
        <w:rPr>
          <w:lang w:eastAsia="en-US"/>
        </w:rPr>
        <w:t>through an interest in the form of a vertical tranche which has a pro-rata basis of not less than 5% of the total nominal value of all the tranches sold or transferred to investors</w:t>
      </w:r>
      <w:bookmarkEnd w:id="21"/>
      <w:r w:rsidRPr="00D427D8">
        <w:rPr>
          <w:lang w:eastAsia="en-US"/>
        </w:rPr>
        <w:t>.</w:t>
      </w:r>
    </w:p>
    <w:p w14:paraId="191863AE" w14:textId="77777777" w:rsidR="009F6E91" w:rsidRPr="00D427D8" w:rsidRDefault="009F6E91" w:rsidP="009F6E91">
      <w:pPr>
        <w:pStyle w:val="Body1"/>
        <w:rPr>
          <w:lang w:eastAsia="en-US"/>
        </w:rPr>
      </w:pPr>
      <w:r w:rsidRPr="00D427D8">
        <w:rPr>
          <w:lang w:eastAsia="en-US"/>
        </w:rPr>
        <w:t>Pursuant to Article 7 of the EU Securitisation Regulation, information about the risk retained, including information on which of the modalities provided for in Article 6(3) of the EU Securitisation Regulation has been applied in accordance with Article 6 of the EU Securitisation Regulation shall be made available to the holders of the Notes, to the competent authorities referred to in Article 29 of the EU Securitisation Regulation and, upon request, to potential investors.</w:t>
      </w:r>
    </w:p>
    <w:p w14:paraId="57B4CE9F" w14:textId="77777777" w:rsidR="009F6E91" w:rsidRPr="00D427D8" w:rsidRDefault="009F6E91" w:rsidP="009F6E91">
      <w:pPr>
        <w:pStyle w:val="Body1"/>
        <w:rPr>
          <w:lang w:eastAsia="en-US"/>
        </w:rPr>
      </w:pPr>
      <w:r w:rsidRPr="00D427D8">
        <w:rPr>
          <w:lang w:eastAsia="en-US"/>
        </w:rPr>
        <w:t>Pursuant to the obligations set forth in Article 7(2) of the EU Securitisation Regulation, Stellantis Bank and the Issuer have designated Stellantis Bank in its capacity as originator as reporting entity. Stellantis Bank in its capacity as Servicer will provide all relevant information to the holders of the Notes, to the competent authorities referred to in Article 29 of the EU Securitisation Regulation and, upon request, to potential investors in accordance with the Securitisation Regulation (EU) Disclosure Requirements.</w:t>
      </w:r>
    </w:p>
    <w:p w14:paraId="4E677D62" w14:textId="77777777" w:rsidR="009F6E91" w:rsidRPr="00D427D8" w:rsidRDefault="009F6E91" w:rsidP="00EF7333">
      <w:pPr>
        <w:pStyle w:val="Body1"/>
        <w:rPr>
          <w:rStyle w:val="BoldText"/>
        </w:rPr>
      </w:pPr>
      <w:r w:rsidRPr="00D427D8">
        <w:rPr>
          <w:rStyle w:val="BoldText"/>
        </w:rPr>
        <w:t>UK Risk Retention under the UK Securitisation Framework</w:t>
      </w:r>
    </w:p>
    <w:p w14:paraId="7341E759" w14:textId="3CAF4EF4" w:rsidR="009F6E91" w:rsidRPr="00D427D8" w:rsidRDefault="009F6E91" w:rsidP="009F6E91">
      <w:pPr>
        <w:pStyle w:val="Body1"/>
        <w:rPr>
          <w:lang w:val="en-US"/>
        </w:rPr>
      </w:pPr>
      <w:r w:rsidRPr="00D427D8">
        <w:rPr>
          <w:lang w:val="en-US"/>
        </w:rPr>
        <w:lastRenderedPageBreak/>
        <w:t xml:space="preserve">The section SECN 5.2.8R(1)(a) provides for a direct obligation on originators to retain a net economic interest. With respect to the commitment of the originator to retain a material net economic interest with respect to the Transaction, Stellantis Bank is the </w:t>
      </w:r>
      <w:r w:rsidR="00EF7333" w:rsidRPr="00D427D8">
        <w:rPr>
          <w:lang w:val="en-US"/>
        </w:rPr>
        <w:t>"</w:t>
      </w:r>
      <w:r w:rsidRPr="00D427D8">
        <w:rPr>
          <w:lang w:val="en-US"/>
        </w:rPr>
        <w:t>originator</w:t>
      </w:r>
      <w:r w:rsidR="00EF7333" w:rsidRPr="00D427D8">
        <w:rPr>
          <w:lang w:val="en-US"/>
        </w:rPr>
        <w:t>"</w:t>
      </w:r>
      <w:r w:rsidRPr="00D427D8">
        <w:rPr>
          <w:lang w:val="en-US"/>
        </w:rPr>
        <w:t xml:space="preserve"> and contractually agrees to comply with the provisions of the UK Securitisation Framework. Stellantis Bank shall, whilst any of the Notes remain outstanding</w:t>
      </w:r>
      <w:bookmarkStart w:id="22" w:name="_Hlk191287932"/>
      <w:r w:rsidRPr="00D427D8">
        <w:rPr>
          <w:lang w:val="en-US"/>
        </w:rPr>
        <w:t xml:space="preserve"> to retain for the life of such Notes a material net economic interest of not less than 5 per cent. with respect to the Transaction in accordance with SECN 5.2.8R(1)(a) through the retention of not less than five (5) per cent. of the nominal value of the Class A Notes, the Class B Notes, the Class C Notes, the Class D Notes, the Class E Notes, the Class F Notes and the Class G Notes as required by </w:t>
      </w:r>
      <w:bookmarkStart w:id="23" w:name="_Hlk191292231"/>
      <w:r w:rsidRPr="00D427D8">
        <w:rPr>
          <w:lang w:val="en-US"/>
        </w:rPr>
        <w:t>SECN 5.2.8R(1)(a) (as such article is interpreted and applied on the date hereof) as at the Closing Date</w:t>
      </w:r>
      <w:bookmarkEnd w:id="23"/>
      <w:r w:rsidRPr="00D427D8">
        <w:rPr>
          <w:lang w:val="en-US"/>
        </w:rPr>
        <w:t xml:space="preserve">.  </w:t>
      </w:r>
      <w:bookmarkEnd w:id="22"/>
      <w:r w:rsidRPr="00D427D8">
        <w:rPr>
          <w:lang w:val="en-US"/>
        </w:rPr>
        <w:t>Any change to the manner in which such interest is held by the Seller will be notified to holders of the Notes through the Monthly Investor Report.</w:t>
      </w:r>
    </w:p>
    <w:p w14:paraId="42553DDD" w14:textId="77777777" w:rsidR="009F6E91" w:rsidRPr="00D427D8" w:rsidRDefault="009F6E91" w:rsidP="00EF7333">
      <w:pPr>
        <w:pStyle w:val="Body1"/>
        <w:rPr>
          <w:rStyle w:val="BoldText"/>
        </w:rPr>
      </w:pPr>
      <w:r w:rsidRPr="00D427D8">
        <w:rPr>
          <w:rStyle w:val="BoldText"/>
        </w:rPr>
        <w:t>Simple, Transparent and Standardised Securitisation</w:t>
      </w:r>
    </w:p>
    <w:p w14:paraId="5B331CED" w14:textId="0CCA1FF6" w:rsidR="009F6E91" w:rsidRPr="00D427D8" w:rsidRDefault="009F6E91" w:rsidP="009F6E91">
      <w:pPr>
        <w:pStyle w:val="Body1"/>
        <w:rPr>
          <w:lang w:eastAsia="en-US"/>
        </w:rPr>
      </w:pPr>
      <w:r w:rsidRPr="00D427D8">
        <w:rPr>
          <w:lang w:eastAsia="en-US"/>
        </w:rPr>
        <w:t xml:space="preserve">The EU Securitisation Regulation sets out the criteria and framework for so-called </w:t>
      </w:r>
      <w:r w:rsidR="00EF7333" w:rsidRPr="00D427D8">
        <w:rPr>
          <w:lang w:eastAsia="en-US"/>
        </w:rPr>
        <w:t>"</w:t>
      </w:r>
      <w:r w:rsidRPr="00D427D8">
        <w:rPr>
          <w:rStyle w:val="BoldText"/>
        </w:rPr>
        <w:t>simple, transparent and standardised</w:t>
      </w:r>
      <w:r w:rsidR="00EF7333" w:rsidRPr="00D427D8">
        <w:rPr>
          <w:lang w:eastAsia="en-US"/>
        </w:rPr>
        <w:t>"</w:t>
      </w:r>
      <w:r w:rsidRPr="00D427D8">
        <w:rPr>
          <w:lang w:eastAsia="en-US"/>
        </w:rPr>
        <w:t xml:space="preserve"> (</w:t>
      </w:r>
      <w:r w:rsidR="00EF7333" w:rsidRPr="00D427D8">
        <w:rPr>
          <w:lang w:eastAsia="en-US"/>
        </w:rPr>
        <w:t>"</w:t>
      </w:r>
      <w:r w:rsidRPr="00D427D8">
        <w:rPr>
          <w:rStyle w:val="BoldText"/>
        </w:rPr>
        <w:t>STS</w:t>
      </w:r>
      <w:r w:rsidR="00EF7333" w:rsidRPr="00D427D8">
        <w:rPr>
          <w:lang w:eastAsia="en-US"/>
        </w:rPr>
        <w:t>"</w:t>
      </w:r>
      <w:r w:rsidRPr="00D427D8">
        <w:rPr>
          <w:lang w:eastAsia="en-US"/>
        </w:rPr>
        <w:t xml:space="preserve">) securitisation transactions. STS securitisation transactions will receive preferential capital treatment and benefit from other regulatory advantages, such as a proposed exemption from clearing and a proposed relaxation of margining rules for derivatives entered into by a securitisation special purpose entity. In order to obtain this designation, a transaction is required to comply with the requirements set out in Articles 20, 21 and 22 of the EU Securitisation Regulation (the </w:t>
      </w:r>
      <w:r w:rsidR="00EF7333" w:rsidRPr="00D427D8">
        <w:rPr>
          <w:lang w:eastAsia="en-US"/>
        </w:rPr>
        <w:t>"</w:t>
      </w:r>
      <w:r w:rsidRPr="00D427D8">
        <w:rPr>
          <w:rStyle w:val="BoldText"/>
        </w:rPr>
        <w:t>STS Criteria</w:t>
      </w:r>
      <w:r w:rsidR="00EF7333" w:rsidRPr="00D427D8">
        <w:rPr>
          <w:lang w:eastAsia="en-US"/>
        </w:rPr>
        <w:t>"</w:t>
      </w:r>
      <w:r w:rsidRPr="00D427D8">
        <w:rPr>
          <w:lang w:eastAsia="en-US"/>
        </w:rPr>
        <w:t xml:space="preserve">) and one of the originator or sponsor in relation to such transaction is required to file a notification to ESMA confirming the compliance of the relevant transaction with the STS Criteria (the </w:t>
      </w:r>
      <w:r w:rsidR="00EF7333" w:rsidRPr="00D427D8">
        <w:rPr>
          <w:lang w:eastAsia="en-US"/>
        </w:rPr>
        <w:t>"</w:t>
      </w:r>
      <w:r w:rsidRPr="00D427D8">
        <w:rPr>
          <w:rStyle w:val="BoldText"/>
        </w:rPr>
        <w:t>STS-Notification</w:t>
      </w:r>
      <w:r w:rsidR="00EF7333" w:rsidRPr="00D427D8">
        <w:rPr>
          <w:lang w:eastAsia="en-US"/>
        </w:rPr>
        <w:t>"</w:t>
      </w:r>
      <w:r w:rsidRPr="00D427D8">
        <w:rPr>
          <w:lang w:eastAsia="en-US"/>
        </w:rPr>
        <w:t xml:space="preserve">) in line with the regulatory technical standards specifying the information to be provided in accordance with the STS Notification requirements laid down under the Commission Delegated Regulation (EU) 2020/1226. Investors should note that a draft STS Notification will be made available to investors before pricing of the Notes. Although the Transaction has been structured to comply with the requirements for simple, transparent and standardised securitisations transactions as set out in Articles 20, 21 and 22 of the EU Securitisation Regulation and has been verified as such by </w:t>
      </w:r>
      <w:bookmarkStart w:id="24" w:name="_Hlk145924826"/>
      <w:r w:rsidRPr="00D427D8">
        <w:rPr>
          <w:lang w:eastAsia="en-US"/>
        </w:rPr>
        <w:t xml:space="preserve">Prime Collateralised Securities (PCS) EU SAS </w:t>
      </w:r>
      <w:bookmarkEnd w:id="24"/>
      <w:r w:rsidRPr="00D427D8">
        <w:rPr>
          <w:lang w:eastAsia="en-US"/>
        </w:rPr>
        <w:t>(</w:t>
      </w:r>
      <w:r w:rsidR="00EF7333" w:rsidRPr="00D427D8">
        <w:rPr>
          <w:lang w:eastAsia="en-US"/>
        </w:rPr>
        <w:t>"</w:t>
      </w:r>
      <w:r w:rsidRPr="00D427D8">
        <w:rPr>
          <w:rStyle w:val="BoldText"/>
        </w:rPr>
        <w:t>PCS</w:t>
      </w:r>
      <w:r w:rsidR="00EF7333" w:rsidRPr="00D427D8">
        <w:rPr>
          <w:lang w:eastAsia="en-US"/>
        </w:rPr>
        <w:t>"</w:t>
      </w:r>
      <w:r w:rsidRPr="00D427D8">
        <w:rPr>
          <w:lang w:eastAsia="en-US"/>
        </w:rPr>
        <w:t>), no guarantee can be given that the Transaction maintains this status throughout its lifetime and prospective investors should verify the current status of the securitisation transaction described in this Prospectus on ESMA</w:t>
      </w:r>
      <w:r w:rsidR="00EF7333" w:rsidRPr="00D427D8">
        <w:rPr>
          <w:lang w:eastAsia="en-US"/>
        </w:rPr>
        <w:t>'</w:t>
      </w:r>
      <w:r w:rsidRPr="00D427D8">
        <w:rPr>
          <w:lang w:eastAsia="en-US"/>
        </w:rPr>
        <w:t>s website.</w:t>
      </w:r>
    </w:p>
    <w:p w14:paraId="52E9A18A" w14:textId="77777777" w:rsidR="009F6E91" w:rsidRPr="00D427D8" w:rsidRDefault="009F6E91" w:rsidP="009F6E91">
      <w:pPr>
        <w:pStyle w:val="Body1"/>
        <w:rPr>
          <w:lang w:eastAsia="en-US"/>
        </w:rPr>
      </w:pPr>
      <w:r w:rsidRPr="00D427D8">
        <w:rPr>
          <w:lang w:eastAsia="en-US"/>
        </w:rPr>
        <w:t>It is important to note that the involvement of PCS as an authorised verification agent is not mandatory and the responsibility for compliance with the EU Securitisation Regulation remains with the relevant institutional investors, originators and issuers, as applicable in each case. An STS verification will not absolve such entities from making their own assessment with respect to the EU Securitisation Regulation, and an STS assessment cannot be relied on to determine compliance with the foregoing regulations in the absence of such assessments by the relevant entities. Furthermore, an STS verification is not an opinion on the creditworthiness of the relevant Notes nor on the level of risk associated with an investment in the relevant Notes. It is not an indication of the suitability of the relevant Notes for any investor and/or a recommendation to buy, sell or hold Notes. Investors should also note that, to the extent the securitisation transaction described in this Prospectus is designated a STS securitisation the designation of a transaction as a STS securitisation is not an assessment by any party as to the creditworthiness of that transaction but is instead a reflection that the specific requirements of the EU Securitisation Regulation have been met as regards compliance with the criteria of STS securitisations.</w:t>
      </w:r>
    </w:p>
    <w:p w14:paraId="67E7051F" w14:textId="77777777" w:rsidR="009F6E91" w:rsidRPr="00D427D8" w:rsidRDefault="009F6E91" w:rsidP="009F6E91">
      <w:pPr>
        <w:pStyle w:val="Body1"/>
        <w:rPr>
          <w:lang w:eastAsia="en-US"/>
        </w:rPr>
      </w:pPr>
      <w:r w:rsidRPr="00D427D8">
        <w:rPr>
          <w:lang w:eastAsia="en-US"/>
        </w:rPr>
        <w:t xml:space="preserve">Non-compliance with the STS requirements may in particular result in higher capital requirements for investors as an investment in the Notes would not benefit from the reduced risk weights set out in Articles </w:t>
      </w:r>
      <w:r w:rsidRPr="00D427D8">
        <w:rPr>
          <w:lang w:val="en-US" w:eastAsia="en-US"/>
        </w:rPr>
        <w:t xml:space="preserve">243, 260, 262 and 264 </w:t>
      </w:r>
      <w:r w:rsidRPr="00D427D8">
        <w:rPr>
          <w:lang w:eastAsia="en-US"/>
        </w:rPr>
        <w:t>CRR. Furthermore, marketing of the securitisation transaction described in this Prospectus as a STS securitisation whilst not complying with the STS requirements could result in various administrative sanctions and/or remedial measures being imposed on the Issuer which may be payable or reimbursable by the Issuer in accordance with Article 27(2) and Article 32 of the EU Securitisation Regulation. As no reimbursement payments to the Issuer for the payment of any of such administrative sanctions and/or remedial measures are foreseen, the repayment of the Notes may be adversely affected.</w:t>
      </w:r>
    </w:p>
    <w:p w14:paraId="24BC55DF" w14:textId="77777777" w:rsidR="009F6E91" w:rsidRPr="00D427D8" w:rsidRDefault="009F6E91" w:rsidP="009F6E91">
      <w:pPr>
        <w:pStyle w:val="Body1"/>
        <w:rPr>
          <w:lang w:eastAsia="en-US"/>
        </w:rPr>
      </w:pPr>
      <w:r w:rsidRPr="00D427D8">
        <w:rPr>
          <w:lang w:eastAsia="en-US"/>
        </w:rPr>
        <w:t>Institutional investors that are subject to the due diligence requirements of the EU Securitisation Regulation (please see below) need to make their own independent assessment and may not solely rely on a STS verification, the STS Notification or other disclosed information. Investors should make themselves of the consequences of investing in a non-STS securitisation transaction. Investors who are uncertain as to those consequences should seek guidance from their regulator and/or independent legal advice on the issue.</w:t>
      </w:r>
    </w:p>
    <w:p w14:paraId="68371D28" w14:textId="77777777" w:rsidR="009F6E91" w:rsidRPr="00D427D8" w:rsidRDefault="009F6E91" w:rsidP="00EF7333">
      <w:pPr>
        <w:pStyle w:val="Body1"/>
        <w:rPr>
          <w:rStyle w:val="BoldItalicText"/>
        </w:rPr>
      </w:pPr>
      <w:r w:rsidRPr="00D427D8">
        <w:rPr>
          <w:rStyle w:val="BoldItalicText"/>
        </w:rPr>
        <w:t>Due diligence requirements under the EU Securitisation Regulation</w:t>
      </w:r>
    </w:p>
    <w:p w14:paraId="25667CDF" w14:textId="77777777" w:rsidR="009F6E91" w:rsidRPr="00D427D8" w:rsidRDefault="009F6E91" w:rsidP="009F6E91">
      <w:pPr>
        <w:pStyle w:val="Body1"/>
        <w:rPr>
          <w:lang w:eastAsia="en-US"/>
        </w:rPr>
      </w:pPr>
      <w:r w:rsidRPr="00D427D8">
        <w:rPr>
          <w:lang w:eastAsia="en-US"/>
        </w:rPr>
        <w:lastRenderedPageBreak/>
        <w:t>Investors should be aware of the due diligence requirements under Article 5 of the EU Securitisation Regulation that apply to institutional investors with a European Union nexus (including credit institutions, authorised alternative investment fund managers, investment firms, insurance and reinsurance undertakings, institutions for occupational retirement provision and undertakings for the collective investment in transferable securities). Amongst other things, such requirements restrict an institutional investor (other than the originator, sponsor or original lender within the meaning of the EU Securitisation Regulation) from investing in securitisation positions unless, prior to holding the securitisation position:</w:t>
      </w:r>
    </w:p>
    <w:p w14:paraId="67D13BB8" w14:textId="749B4ADC" w:rsidR="009F6E91" w:rsidRPr="00D427D8" w:rsidRDefault="009F6E91" w:rsidP="004C6B8C">
      <w:pPr>
        <w:pStyle w:val="Level3"/>
        <w:numPr>
          <w:ilvl w:val="2"/>
          <w:numId w:val="12"/>
        </w:numPr>
      </w:pPr>
      <w:r w:rsidRPr="00D427D8">
        <w:t>that institutional investor has verified that:</w:t>
      </w:r>
    </w:p>
    <w:p w14:paraId="60ECF156" w14:textId="2F24CE84" w:rsidR="009F6E91" w:rsidRPr="00D427D8" w:rsidRDefault="009F6E91" w:rsidP="0092652F">
      <w:pPr>
        <w:pStyle w:val="Level4"/>
      </w:pPr>
      <w:r w:rsidRPr="00D427D8">
        <w:t>for certain originators, certain credit-granting standards were met in relation to the origination of the underlying exposures;</w:t>
      </w:r>
    </w:p>
    <w:p w14:paraId="7CF354DE" w14:textId="321370D3" w:rsidR="009F6E91" w:rsidRPr="00D427D8" w:rsidRDefault="009F6E91" w:rsidP="00EF7333">
      <w:pPr>
        <w:pStyle w:val="Level4"/>
      </w:pPr>
      <w:r w:rsidRPr="00D427D8">
        <w:t xml:space="preserve">the risk retention requirements set out in Article 6 of the </w:t>
      </w:r>
      <w:r w:rsidRPr="00D427D8">
        <w:rPr>
          <w:lang w:eastAsia="en-US"/>
        </w:rPr>
        <w:t xml:space="preserve">EU </w:t>
      </w:r>
      <w:r w:rsidRPr="00D427D8">
        <w:t>Securitisation Regulation are being complied with; and</w:t>
      </w:r>
    </w:p>
    <w:p w14:paraId="1E0BC6AE" w14:textId="2EDC2472" w:rsidR="009F6E91" w:rsidRPr="00D427D8" w:rsidRDefault="009F6E91" w:rsidP="00EF7333">
      <w:pPr>
        <w:pStyle w:val="Level4"/>
      </w:pPr>
      <w:r w:rsidRPr="00D427D8">
        <w:t xml:space="preserve">information required by Article 7 of the </w:t>
      </w:r>
      <w:r w:rsidRPr="00D427D8">
        <w:rPr>
          <w:lang w:eastAsia="en-US"/>
        </w:rPr>
        <w:t xml:space="preserve">EU </w:t>
      </w:r>
      <w:r w:rsidRPr="00D427D8">
        <w:t>Securitisation Regulation has been made available; and</w:t>
      </w:r>
    </w:p>
    <w:p w14:paraId="44D1C8C4" w14:textId="0493D542" w:rsidR="009F6E91" w:rsidRPr="00D427D8" w:rsidRDefault="009F6E91" w:rsidP="0092652F">
      <w:pPr>
        <w:pStyle w:val="Level3"/>
      </w:pPr>
      <w:r w:rsidRPr="00D427D8">
        <w:t>that institutional investor has carried out a due diligence assessment which enables it to assess the risks involved, which shall include at least (among other things) the risk characteristics of its securitisation position and the underlying exposures of the securitisation, and all the structural features of the transaction that can materially impact the performance of its securitisation position.</w:t>
      </w:r>
    </w:p>
    <w:p w14:paraId="3F0FF2F3" w14:textId="3F54326A" w:rsidR="009F6E91" w:rsidRPr="00D427D8" w:rsidRDefault="009F6E91" w:rsidP="009F6E91">
      <w:pPr>
        <w:pStyle w:val="Body1"/>
        <w:rPr>
          <w:lang w:eastAsia="en-US"/>
        </w:rPr>
      </w:pPr>
      <w:r w:rsidRPr="00D427D8">
        <w:rPr>
          <w:lang w:eastAsia="en-US"/>
        </w:rPr>
        <w:t>In addition, under Article 5(4) of the EU Securitisation Regulation, an institutional investor (other than the originator, sponsor or original lender) holding a securitisation position shall at least establish appropriate written procedures that are proportionate to the risk profile of the securitisation position and, where relevant, to the institutional investor</w:t>
      </w:r>
      <w:r w:rsidR="00EF7333" w:rsidRPr="00D427D8">
        <w:rPr>
          <w:lang w:eastAsia="en-US"/>
        </w:rPr>
        <w:t>'</w:t>
      </w:r>
      <w:r w:rsidRPr="00D427D8">
        <w:rPr>
          <w:lang w:eastAsia="en-US"/>
        </w:rPr>
        <w:t>s trading and non-trading book, in order to monitor, on an ongoing basis, compliance with its due diligence requirements and the performance of the securitisation position and of the underlying exposures.</w:t>
      </w:r>
    </w:p>
    <w:p w14:paraId="61E835C2" w14:textId="77777777" w:rsidR="009F6E91" w:rsidRPr="00D427D8" w:rsidRDefault="009F6E91" w:rsidP="009F6E91">
      <w:pPr>
        <w:pStyle w:val="Body1"/>
        <w:rPr>
          <w:lang w:eastAsia="en-US"/>
        </w:rPr>
      </w:pPr>
      <w:r w:rsidRPr="00D427D8">
        <w:rPr>
          <w:lang w:eastAsia="en-US"/>
        </w:rPr>
        <w:t>Depending on the approach in the relevant member state, failure to comply with one or more of the due diligence requirements may result in penalties including fines, other administrative sanctions and possibly criminal sanctions. In the case of those institutional investors subject to regulatory capital requirements, penal capital charges may also be imposed on the securitisation position (i.e. notes) acquired by the relevant institutional investor.</w:t>
      </w:r>
    </w:p>
    <w:p w14:paraId="24633962" w14:textId="77777777" w:rsidR="009F6E91" w:rsidRPr="00D427D8" w:rsidRDefault="009F6E91" w:rsidP="009F6E91">
      <w:pPr>
        <w:pStyle w:val="Body1"/>
        <w:rPr>
          <w:lang w:eastAsia="en-US"/>
        </w:rPr>
      </w:pPr>
      <w:r w:rsidRPr="00D427D8">
        <w:rPr>
          <w:lang w:eastAsia="en-US"/>
        </w:rPr>
        <w:t>The institutional investor due diligence requirements described above apply in respect of all Notes. With respect to the commitment of the Seller to retain a material net economic interest in the securitisation and with respect to the information to be made available by the Issuer, the Seller or another relevant party, please also see above. Relevant institutional investors are required to independently assess and determine the sufficiency of the information described elsewhere in this Prospectus for the purposes of complying with Article 5 of the EU Securitisation Regulation and any corresponding national measures which may be relevant to investors.</w:t>
      </w:r>
    </w:p>
    <w:p w14:paraId="0D9D1948" w14:textId="4D811321" w:rsidR="009F6E91" w:rsidRPr="00D427D8" w:rsidRDefault="009F6E91" w:rsidP="009F6E91">
      <w:pPr>
        <w:pStyle w:val="Body1"/>
        <w:rPr>
          <w:lang w:eastAsia="en-US"/>
        </w:rPr>
      </w:pPr>
      <w:r w:rsidRPr="00D427D8">
        <w:rPr>
          <w:lang w:eastAsia="en-US"/>
        </w:rPr>
        <w:t>Neither the Issuer, the Arranger, the Lead Manager, the Seller, the Servicer nor any of the Transaction Parties and any of their respective affiliates:</w:t>
      </w:r>
    </w:p>
    <w:p w14:paraId="5EDF86DE" w14:textId="792A2FAC" w:rsidR="009F6E91" w:rsidRPr="00D427D8" w:rsidRDefault="009F6E91" w:rsidP="004C6B8C">
      <w:pPr>
        <w:pStyle w:val="Level3"/>
        <w:numPr>
          <w:ilvl w:val="2"/>
          <w:numId w:val="13"/>
        </w:numPr>
      </w:pPr>
      <w:r w:rsidRPr="00D427D8">
        <w:t xml:space="preserve">gives any representation (whether express or implied), warranty, confirmation or guarantee to any investor in the Notes (i) as to the inclusion of the Transaction in the list administered by ESMA within the meaning of Article 27 of the </w:t>
      </w:r>
      <w:r w:rsidRPr="00D427D8">
        <w:rPr>
          <w:lang w:eastAsia="en-US"/>
        </w:rPr>
        <w:t xml:space="preserve">EU </w:t>
      </w:r>
      <w:r w:rsidRPr="00D427D8">
        <w:t xml:space="preserve">Securitisation Regulation, (ii) that the Transaction does or continues to comply with the </w:t>
      </w:r>
      <w:r w:rsidRPr="00D427D8">
        <w:rPr>
          <w:lang w:eastAsia="en-US"/>
        </w:rPr>
        <w:t xml:space="preserve">EU </w:t>
      </w:r>
      <w:r w:rsidRPr="00D427D8">
        <w:t xml:space="preserve">Securitisation Regulation, (iii) that the Transaction does or continues to be recognised or designated as </w:t>
      </w:r>
      <w:r w:rsidR="00EF7333" w:rsidRPr="00D427D8">
        <w:t>'</w:t>
      </w:r>
      <w:r w:rsidRPr="00D427D8">
        <w:t>STS</w:t>
      </w:r>
      <w:r w:rsidR="00EF7333" w:rsidRPr="00D427D8">
        <w:t>'</w:t>
      </w:r>
      <w:r w:rsidRPr="00D427D8">
        <w:t xml:space="preserve"> or </w:t>
      </w:r>
      <w:r w:rsidR="00EF7333" w:rsidRPr="00D427D8">
        <w:t>'</w:t>
      </w:r>
      <w:r w:rsidRPr="00D427D8">
        <w:t>simple, transparent and standardised</w:t>
      </w:r>
      <w:r w:rsidR="00EF7333" w:rsidRPr="00D427D8">
        <w:t>'</w:t>
      </w:r>
      <w:r w:rsidRPr="00D427D8">
        <w:t xml:space="preserve"> within the meaning of Article 18 et seqq. of the </w:t>
      </w:r>
      <w:r w:rsidRPr="00D427D8">
        <w:rPr>
          <w:lang w:eastAsia="en-US"/>
        </w:rPr>
        <w:t xml:space="preserve">EU </w:t>
      </w:r>
      <w:r w:rsidRPr="00D427D8">
        <w:t>Securitisation Regulation, (iv) that the information described in this Prospectus, or any other information which may be made available to investors, is or will be sufficient for the purposes of any institutional investor</w:t>
      </w:r>
      <w:r w:rsidR="00EF7333" w:rsidRPr="00D427D8">
        <w:t>'</w:t>
      </w:r>
      <w:r w:rsidRPr="00D427D8">
        <w:t xml:space="preserve">s compliance with any investor requirement set out in Article 5 of the </w:t>
      </w:r>
      <w:r w:rsidRPr="00D427D8">
        <w:rPr>
          <w:lang w:eastAsia="en-US"/>
        </w:rPr>
        <w:t xml:space="preserve">EU </w:t>
      </w:r>
      <w:r w:rsidRPr="00D427D8">
        <w:t>Securitisation Regulation, (v) investors in the Notes shall have the benefit of the differentiated capital treatment set out in Articles 260, 262 and 264 of the CRR as respectively referred to in paragraph 2 of Article 243 (Criteria for STS securitisations qualifying for differentiated capital treatment) of the CRR from the Closing Date until the full amortisation of the Notes;</w:t>
      </w:r>
    </w:p>
    <w:p w14:paraId="4045D6D4" w14:textId="761B7446" w:rsidR="009F6E91" w:rsidRPr="00D427D8" w:rsidRDefault="009F6E91" w:rsidP="00141A76">
      <w:pPr>
        <w:pStyle w:val="Level3"/>
      </w:pPr>
      <w:r w:rsidRPr="00D427D8">
        <w:lastRenderedPageBreak/>
        <w:t xml:space="preserve">has or shall have any liability to any prospective investor or any other person for any insufficiency of such information or any non-compliance by any such person with the due diligence and retention rules set out in Article 5 and Article 6 of the </w:t>
      </w:r>
      <w:r w:rsidRPr="00D427D8">
        <w:rPr>
          <w:lang w:eastAsia="en-US"/>
        </w:rPr>
        <w:t xml:space="preserve">EU </w:t>
      </w:r>
      <w:r w:rsidRPr="00D427D8">
        <w:t>Securitisation Regulation or any other applicable legal, regulatory or other requirements, nor has any obligation to provide any further information or take any other steps that may be required by any institutional investor to enable compliance by such person with the requirements of any due diligence and investor requirement or any other applicable legal, regulatory or other requirements.</w:t>
      </w:r>
    </w:p>
    <w:p w14:paraId="524F573C" w14:textId="77777777" w:rsidR="009F6E91" w:rsidRPr="00D427D8" w:rsidRDefault="009F6E91" w:rsidP="009F6E91">
      <w:pPr>
        <w:pStyle w:val="Body1"/>
        <w:rPr>
          <w:rStyle w:val="BoldText"/>
        </w:rPr>
      </w:pPr>
      <w:bookmarkStart w:id="25" w:name="_Hlk64057969"/>
      <w:r w:rsidRPr="00D427D8">
        <w:rPr>
          <w:rStyle w:val="BoldText"/>
        </w:rPr>
        <w:t>Investor compliance with due diligence requirements under the UK Securitisation Framework</w:t>
      </w:r>
    </w:p>
    <w:p w14:paraId="48D278EE" w14:textId="0E4E2AE6" w:rsidR="009F6E91" w:rsidRPr="00D427D8" w:rsidRDefault="009F6E91" w:rsidP="009F6E91">
      <w:pPr>
        <w:pStyle w:val="Body1"/>
        <w:rPr>
          <w:lang w:val="en-US"/>
        </w:rPr>
      </w:pPr>
      <w:bookmarkStart w:id="26" w:name="_Hlk112768633"/>
      <w:r w:rsidRPr="00D427D8">
        <w:rPr>
          <w:lang w:val="en-US"/>
        </w:rPr>
        <w:t>Following the UK</w:t>
      </w:r>
      <w:r w:rsidR="00EF7333" w:rsidRPr="00D427D8">
        <w:rPr>
          <w:lang w:val="en-US"/>
        </w:rPr>
        <w:t>'</w:t>
      </w:r>
      <w:r w:rsidRPr="00D427D8">
        <w:rPr>
          <w:lang w:val="en-US"/>
        </w:rPr>
        <w:t xml:space="preserve">s withdrawal from the EU at the end of 2020, the Securitisation Regulation as it applies in the United Kingdom (together with applicable directions, secondary legislation, guidance, binding technical standards and related documents published by the FCA and the PRA of the United Kingdom) (the </w:t>
      </w:r>
      <w:r w:rsidR="00EF7333" w:rsidRPr="00D427D8">
        <w:rPr>
          <w:lang w:val="en-US"/>
        </w:rPr>
        <w:t>"</w:t>
      </w:r>
      <w:r w:rsidRPr="00D427D8">
        <w:rPr>
          <w:rStyle w:val="BoldText"/>
        </w:rPr>
        <w:t>UK Securitisation Regulation</w:t>
      </w:r>
      <w:r w:rsidR="00EF7333" w:rsidRPr="00D427D8">
        <w:rPr>
          <w:lang w:val="en-US"/>
        </w:rPr>
        <w:t>"</w:t>
      </w:r>
      <w:r w:rsidRPr="00D427D8">
        <w:rPr>
          <w:lang w:val="en-US"/>
        </w:rPr>
        <w:t>) became applicable in the UK largely mirroring (with some adjustments) the securitisation regulation as it applied in the EU at the end of 2020. However, from 1 November 2024, the UK Securitisation Regulation is revoked and replaced with a new recast regime introduced under the Financial Services and Markets Act 2000, as amended (</w:t>
      </w:r>
      <w:r w:rsidR="00EF7333" w:rsidRPr="00D427D8">
        <w:rPr>
          <w:lang w:val="en-US"/>
        </w:rPr>
        <w:t>"</w:t>
      </w:r>
      <w:r w:rsidRPr="00D427D8">
        <w:rPr>
          <w:rStyle w:val="BoldText"/>
        </w:rPr>
        <w:t>FSMA</w:t>
      </w:r>
      <w:r w:rsidR="00EF7333" w:rsidRPr="00D427D8">
        <w:rPr>
          <w:lang w:val="en-US"/>
        </w:rPr>
        <w:t>"</w:t>
      </w:r>
      <w:r w:rsidRPr="00D427D8">
        <w:rPr>
          <w:lang w:val="en-US"/>
        </w:rPr>
        <w:t>) and related thereto (i) the Securitisation Regulations 2024 (SI 2024/102), as amended (</w:t>
      </w:r>
      <w:r w:rsidR="00EF7333" w:rsidRPr="00D427D8">
        <w:rPr>
          <w:lang w:val="en-US"/>
        </w:rPr>
        <w:t>"</w:t>
      </w:r>
      <w:r w:rsidRPr="00D427D8">
        <w:rPr>
          <w:rStyle w:val="BoldText"/>
        </w:rPr>
        <w:t>SR 2024</w:t>
      </w:r>
      <w:r w:rsidR="00EF7333" w:rsidRPr="00D427D8">
        <w:rPr>
          <w:lang w:val="en-US"/>
        </w:rPr>
        <w:t>"</w:t>
      </w:r>
      <w:r w:rsidRPr="00D427D8">
        <w:rPr>
          <w:lang w:val="en-US"/>
        </w:rPr>
        <w:t xml:space="preserve">); as well as (ii) the Securitisation Part of the Prudential Regulation Authority (PRA) Rulebook (the </w:t>
      </w:r>
      <w:r w:rsidR="00EF7333" w:rsidRPr="00D427D8">
        <w:rPr>
          <w:lang w:val="en-US"/>
        </w:rPr>
        <w:t>"</w:t>
      </w:r>
      <w:r w:rsidRPr="00D427D8">
        <w:rPr>
          <w:rStyle w:val="BoldText"/>
        </w:rPr>
        <w:t>PRA Securitisation Rules</w:t>
      </w:r>
      <w:r w:rsidR="00EF7333" w:rsidRPr="00D427D8">
        <w:rPr>
          <w:lang w:val="en-US"/>
        </w:rPr>
        <w:t>"</w:t>
      </w:r>
      <w:r w:rsidRPr="00D427D8">
        <w:rPr>
          <w:lang w:val="en-US"/>
        </w:rPr>
        <w:t>) and the securitisation sourcebook (</w:t>
      </w:r>
      <w:r w:rsidR="00EF7333" w:rsidRPr="00D427D8">
        <w:rPr>
          <w:lang w:val="en-US"/>
        </w:rPr>
        <w:t>"</w:t>
      </w:r>
      <w:r w:rsidRPr="00D427D8">
        <w:rPr>
          <w:rStyle w:val="BoldText"/>
        </w:rPr>
        <w:t>SECN</w:t>
      </w:r>
      <w:r w:rsidR="00EF7333" w:rsidRPr="00D427D8">
        <w:rPr>
          <w:lang w:val="en-US"/>
        </w:rPr>
        <w:t>"</w:t>
      </w:r>
      <w:r w:rsidRPr="00D427D8">
        <w:rPr>
          <w:lang w:val="en-US"/>
        </w:rPr>
        <w:t xml:space="preserve">) of the Financial Conduct Authority (FCA) Handbook (collectively, the </w:t>
      </w:r>
      <w:r w:rsidR="00EF7333" w:rsidRPr="00D427D8">
        <w:rPr>
          <w:lang w:val="en-US"/>
        </w:rPr>
        <w:t>"</w:t>
      </w:r>
      <w:r w:rsidRPr="00D427D8">
        <w:rPr>
          <w:rStyle w:val="BoldText"/>
        </w:rPr>
        <w:t>UK Securitisation Framework</w:t>
      </w:r>
      <w:r w:rsidR="00EF7333" w:rsidRPr="00D427D8">
        <w:rPr>
          <w:lang w:val="en-US"/>
        </w:rPr>
        <w:t>"</w:t>
      </w:r>
      <w:r w:rsidRPr="00D427D8">
        <w:rPr>
          <w:lang w:val="en-US"/>
        </w:rPr>
        <w:t>). The UK Securitisation Framework applies to this Transaction.</w:t>
      </w:r>
    </w:p>
    <w:p w14:paraId="4D761E06" w14:textId="0FDB91A1" w:rsidR="009F6E91" w:rsidRPr="00D427D8" w:rsidRDefault="009F6E91" w:rsidP="009F6E91">
      <w:pPr>
        <w:pStyle w:val="Body1"/>
        <w:rPr>
          <w:lang w:val="en-US"/>
        </w:rPr>
      </w:pPr>
      <w:r w:rsidRPr="00D427D8">
        <w:rPr>
          <w:lang w:val="en-US"/>
        </w:rPr>
        <w:t xml:space="preserve">The reforms were introduced under the Financial Services and Markets Act 2023 as part of the </w:t>
      </w:r>
      <w:r w:rsidR="00EF7333" w:rsidRPr="00D427D8">
        <w:rPr>
          <w:lang w:val="en-US"/>
        </w:rPr>
        <w:t>"</w:t>
      </w:r>
      <w:r w:rsidRPr="00D427D8">
        <w:rPr>
          <w:lang w:val="en-US"/>
        </w:rPr>
        <w:t>Edinburgh Reforms</w:t>
      </w:r>
      <w:r w:rsidR="00EF7333" w:rsidRPr="00D427D8">
        <w:rPr>
          <w:lang w:val="en-US"/>
        </w:rPr>
        <w:t>"</w:t>
      </w:r>
      <w:r w:rsidRPr="00D427D8">
        <w:rPr>
          <w:lang w:val="en-US"/>
        </w:rPr>
        <w:t xml:space="preserve"> of UK financial services unveiled on 9 December 2022. On 29 January 2024, HM Treasury made the SR 2024 which empowers the FCA and the PRA to make rules applicable to securitisation market participants. On 30 April 2024, the FCA Policy Statement 24/4: Rules relating to securitisation and the PRA Policy Statement 7/24 – Securitisation: General requirements were published.</w:t>
      </w:r>
    </w:p>
    <w:p w14:paraId="476AA4AB" w14:textId="77777777" w:rsidR="009F6E91" w:rsidRPr="00D427D8" w:rsidRDefault="009F6E91" w:rsidP="009F6E91">
      <w:pPr>
        <w:pStyle w:val="Body1"/>
        <w:rPr>
          <w:lang w:val="en-US"/>
        </w:rPr>
      </w:pPr>
      <w:r w:rsidRPr="00D427D8">
        <w:rPr>
          <w:lang w:val="en-US"/>
        </w:rPr>
        <w:t>It should be noted that the implementation of the UK Securitisation Framework is a protracted process and will be introduced in phases. The first phase was the publication of the Financial Services and Markets Act 2023 (Commencement No 7) Regulations 2024 on 2 September 2024, which revoked the previous UK Securitisation Regulation regime and replaced it with the recast SR 2024 with effect from 1 November 2024. In 2025, it is expected that there will be a phase two to the reforms whereby the UK government, the PRA and the FCA will consult on further changes including, but not limited to, the recast of the transparency and reporting requirements. Therefore, at this stage, not all the details are known on the implementation of the UK Securitisation Framework.</w:t>
      </w:r>
    </w:p>
    <w:p w14:paraId="613C21D0" w14:textId="77777777" w:rsidR="009F6E91" w:rsidRPr="00D427D8" w:rsidRDefault="009F6E91" w:rsidP="009F6E91">
      <w:pPr>
        <w:pStyle w:val="Body1"/>
        <w:rPr>
          <w:lang w:val="en-US"/>
        </w:rPr>
      </w:pPr>
      <w:r w:rsidRPr="00D427D8">
        <w:rPr>
          <w:lang w:val="en-US"/>
        </w:rPr>
        <w:t>Please note that some divergence between EU and UK regimes exists already. While the UK Securitisation Framework regime brings some alignment with the EU regime, it also introduces new points of divergence and the risk of further divergence between EU and UK regimes cannot be ruled out in the longer term as it is not known at this stage how the ongoing reforms or any future reforms will be finalised and implemented in the UK or the EU.</w:t>
      </w:r>
    </w:p>
    <w:p w14:paraId="5AEA25C4" w14:textId="45F322F7" w:rsidR="009F6E91" w:rsidRPr="00D427D8" w:rsidRDefault="009F6E91" w:rsidP="009F6E91">
      <w:pPr>
        <w:pStyle w:val="Body1"/>
        <w:rPr>
          <w:lang w:val="en-US"/>
        </w:rPr>
      </w:pPr>
      <w:bookmarkStart w:id="27" w:name="_Hlk181179518"/>
      <w:r w:rsidRPr="00D427D8">
        <w:rPr>
          <w:lang w:val="en-US"/>
        </w:rPr>
        <w:t xml:space="preserve">The UK Securitisation Framework includes investor due diligence requirements as prescribed under Article 5 </w:t>
      </w:r>
      <w:bookmarkStart w:id="28" w:name="_Hlk181179580"/>
      <w:r w:rsidRPr="00D427D8">
        <w:rPr>
          <w:lang w:val="en-US"/>
        </w:rPr>
        <w:t xml:space="preserve">of Chapter 2 of the PRA Securitisation Rules (the </w:t>
      </w:r>
      <w:r w:rsidR="00EF7333" w:rsidRPr="00D427D8">
        <w:rPr>
          <w:lang w:val="en-US"/>
        </w:rPr>
        <w:t>"</w:t>
      </w:r>
      <w:r w:rsidRPr="00D427D8">
        <w:rPr>
          <w:rStyle w:val="BoldText"/>
        </w:rPr>
        <w:t>PRA Due Diligence Rules</w:t>
      </w:r>
      <w:r w:rsidR="00EF7333" w:rsidRPr="00D427D8">
        <w:rPr>
          <w:lang w:val="en-US"/>
        </w:rPr>
        <w:t>"</w:t>
      </w:r>
      <w:r w:rsidRPr="00D427D8">
        <w:rPr>
          <w:lang w:val="en-US"/>
        </w:rPr>
        <w:t xml:space="preserve">), SECN 4 (the </w:t>
      </w:r>
      <w:r w:rsidR="00EF7333" w:rsidRPr="00D427D8">
        <w:rPr>
          <w:lang w:val="en-US"/>
        </w:rPr>
        <w:t>"</w:t>
      </w:r>
      <w:r w:rsidRPr="00D427D8">
        <w:rPr>
          <w:rStyle w:val="BoldText"/>
        </w:rPr>
        <w:t>FCA Due Diligence Rules</w:t>
      </w:r>
      <w:r w:rsidR="00EF7333" w:rsidRPr="00D427D8">
        <w:rPr>
          <w:lang w:val="en-US"/>
        </w:rPr>
        <w:t>"</w:t>
      </w:r>
      <w:r w:rsidRPr="00D427D8">
        <w:rPr>
          <w:lang w:val="en-US"/>
        </w:rPr>
        <w:t xml:space="preserve">) and regulations 32B, 32C and 32D of the SR 2024 (the </w:t>
      </w:r>
      <w:r w:rsidR="00EF7333" w:rsidRPr="00D427D8">
        <w:rPr>
          <w:lang w:val="en-US"/>
        </w:rPr>
        <w:t>"</w:t>
      </w:r>
      <w:r w:rsidRPr="00D427D8">
        <w:rPr>
          <w:rStyle w:val="BoldText"/>
        </w:rPr>
        <w:t>OPS Due Diligence Rules</w:t>
      </w:r>
      <w:r w:rsidR="00EF7333" w:rsidRPr="00D427D8">
        <w:rPr>
          <w:lang w:val="en-US"/>
        </w:rPr>
        <w:t>"</w:t>
      </w:r>
      <w:r w:rsidRPr="00D427D8">
        <w:rPr>
          <w:lang w:val="en-US"/>
        </w:rPr>
        <w:t xml:space="preserve">) (depending on the regulatory requirements which may be relevant to such investors) (the </w:t>
      </w:r>
      <w:r w:rsidR="00EF7333" w:rsidRPr="00D427D8">
        <w:rPr>
          <w:lang w:val="en-US"/>
        </w:rPr>
        <w:t>"</w:t>
      </w:r>
      <w:r w:rsidRPr="00D427D8">
        <w:rPr>
          <w:rStyle w:val="BoldText"/>
        </w:rPr>
        <w:t>UK Due Diligence Rules</w:t>
      </w:r>
      <w:r w:rsidR="00EF7333" w:rsidRPr="00D427D8">
        <w:rPr>
          <w:lang w:val="en-US"/>
        </w:rPr>
        <w:t>"</w:t>
      </w:r>
      <w:r w:rsidRPr="00D427D8">
        <w:rPr>
          <w:lang w:val="en-US"/>
        </w:rPr>
        <w:t>).</w:t>
      </w:r>
      <w:r w:rsidR="004C6B8C" w:rsidRPr="00D427D8">
        <w:rPr>
          <w:lang w:val="en-US"/>
        </w:rPr>
        <w:t xml:space="preserve"> </w:t>
      </w:r>
      <w:r w:rsidRPr="00D427D8">
        <w:rPr>
          <w:lang w:val="en-US"/>
        </w:rPr>
        <w:t>Among other things, prior to holding a securitisation position, such institutional investors are required to verify under their respective UK regime certain matters with respect to compliance of the relevant transaction parties with credit granting standards, risk retention and transparency requirements and, on transactions notified as a simple, transparent and standardised securitisation, compliance of that transaction with the EU or UK STS requirements, as applicable. If the UK Due Diligence Rules are not satisfied then, depending on the regulatory requirements applicable to such UK institutional investors, an additional risk weight, regulatory capital charge and/or other regulatory sanction may be applied to such securitisation investment and/or imposed on such UK institutional investor.</w:t>
      </w:r>
    </w:p>
    <w:p w14:paraId="63B7BE0C" w14:textId="77777777" w:rsidR="009F6E91" w:rsidRPr="00D427D8" w:rsidRDefault="009F6E91" w:rsidP="009F6E91">
      <w:pPr>
        <w:pStyle w:val="Body1"/>
        <w:rPr>
          <w:lang w:val="en-US"/>
        </w:rPr>
      </w:pPr>
      <w:bookmarkStart w:id="29" w:name="_Hlk198904368"/>
      <w:r w:rsidRPr="00D427D8">
        <w:rPr>
          <w:lang w:val="en-US"/>
        </w:rPr>
        <w:t>In respect of the UK Due Diligence Rules, potential UK institutional investors (as defined in the UK Securitisation Framework) should note in particular that:</w:t>
      </w:r>
    </w:p>
    <w:p w14:paraId="1B02B724" w14:textId="69C35613" w:rsidR="009F6E91" w:rsidRPr="00D427D8" w:rsidRDefault="009F6E91" w:rsidP="004C6B8C">
      <w:pPr>
        <w:pStyle w:val="Body2"/>
        <w:numPr>
          <w:ilvl w:val="0"/>
          <w:numId w:val="14"/>
        </w:numPr>
        <w:tabs>
          <w:tab w:val="num" w:pos="2247"/>
        </w:tabs>
        <w:ind w:left="1418"/>
      </w:pPr>
      <w:r w:rsidRPr="00D427D8">
        <w:rPr>
          <w:lang w:val="en-US"/>
        </w:rPr>
        <w:t xml:space="preserve">in respect of the risk retention requirements set out in </w:t>
      </w:r>
      <w:bookmarkStart w:id="30" w:name="_Hlk182493796"/>
      <w:r w:rsidRPr="00D427D8">
        <w:rPr>
          <w:lang w:val="en-US"/>
        </w:rPr>
        <w:t xml:space="preserve">SECN </w:t>
      </w:r>
      <w:bookmarkEnd w:id="30"/>
      <w:r w:rsidRPr="00D427D8">
        <w:rPr>
          <w:lang w:val="en-US"/>
        </w:rPr>
        <w:t xml:space="preserve">5.2.8R(1)(a) Stellantis Bank, in its capacity as originator, </w:t>
      </w:r>
      <w:r w:rsidR="00151C32" w:rsidRPr="00151C32">
        <w:rPr>
          <w:lang w:val="en-US"/>
        </w:rPr>
        <w:t xml:space="preserve">contractually agrees to comply with the provisions of the UK </w:t>
      </w:r>
      <w:r w:rsidR="00151C32" w:rsidRPr="00151C32">
        <w:rPr>
          <w:lang w:val="en-US"/>
        </w:rPr>
        <w:lastRenderedPageBreak/>
        <w:t>Securitisation Framework</w:t>
      </w:r>
      <w:r w:rsidR="00151C32">
        <w:rPr>
          <w:lang w:val="en-US"/>
        </w:rPr>
        <w:t xml:space="preserve"> </w:t>
      </w:r>
      <w:r w:rsidR="00151C32" w:rsidRPr="00151C32">
        <w:rPr>
          <w:lang w:val="en-US"/>
        </w:rPr>
        <w:t>through the retention of not less than five (5) per cent. of the nominal value of the Class A Notes, the Class B Notes, the Class C Notes, the Class D Notes, the Class E Notes, the Class F Notes and the Class G Notes as required by SECN 5.2.8R(1)(a) (as such article is interpreted and applied on the date hereof) as at the Closing Date</w:t>
      </w:r>
      <w:r w:rsidR="00151C32">
        <w:rPr>
          <w:lang w:val="en-US"/>
        </w:rPr>
        <w:t xml:space="preserve">; </w:t>
      </w:r>
      <w:r w:rsidRPr="00D427D8">
        <w:t>and</w:t>
      </w:r>
    </w:p>
    <w:p w14:paraId="52389F51" w14:textId="7BD4010F" w:rsidR="009F6E91" w:rsidRPr="00D427D8" w:rsidRDefault="009F6E91" w:rsidP="004C6B8C">
      <w:pPr>
        <w:pStyle w:val="Body2"/>
        <w:numPr>
          <w:ilvl w:val="0"/>
          <w:numId w:val="14"/>
        </w:numPr>
        <w:tabs>
          <w:tab w:val="num" w:pos="2247"/>
        </w:tabs>
        <w:ind w:left="1418"/>
        <w:rPr>
          <w:lang w:val="en-US"/>
        </w:rPr>
      </w:pPr>
      <w:r w:rsidRPr="00D427D8">
        <w:t>in respect of the transparency requirements set out in SECN 6.2.1(R), the Servicer in its capacity as designated</w:t>
      </w:r>
      <w:r w:rsidRPr="00D427D8">
        <w:rPr>
          <w:lang w:val="en-US"/>
        </w:rPr>
        <w:t xml:space="preserve"> reporting entity under Article 7 of the EU Securitisation Regulation will make use of the standardised templates prescribed under any applicable technical standards adopted from ti</w:t>
      </w:r>
      <w:r w:rsidR="00EC6A79">
        <w:rPr>
          <w:lang w:val="en-US"/>
        </w:rPr>
        <w:t>me</w:t>
      </w:r>
      <w:r w:rsidRPr="00D427D8">
        <w:rPr>
          <w:lang w:val="en-US"/>
        </w:rPr>
        <w:t xml:space="preserve"> to time under Article 7 of the EU Securitisation Regulation in respect of the Securitisation Regulation (EU) Disclosure Requirements for the purposes of this Transaction</w:t>
      </w:r>
      <w:r w:rsidR="00151C32">
        <w:rPr>
          <w:lang w:val="en-US"/>
        </w:rPr>
        <w:t xml:space="preserve"> and </w:t>
      </w:r>
      <w:r w:rsidR="00151C32" w:rsidRPr="00151C32">
        <w:rPr>
          <w:lang w:val="en-US"/>
        </w:rPr>
        <w:t>use best efforts to perform all obligations</w:t>
      </w:r>
      <w:r w:rsidR="00151C32">
        <w:rPr>
          <w:lang w:val="en-US"/>
        </w:rPr>
        <w:t xml:space="preserve"> under </w:t>
      </w:r>
      <w:r w:rsidR="00151C32" w:rsidRPr="00D427D8">
        <w:t>SECN 6.2.1(R)</w:t>
      </w:r>
      <w:r w:rsidRPr="00D427D8">
        <w:rPr>
          <w:lang w:val="en-US"/>
        </w:rPr>
        <w:t>.</w:t>
      </w:r>
    </w:p>
    <w:p w14:paraId="6144CBF4" w14:textId="77777777" w:rsidR="009F6E91" w:rsidRPr="00D427D8" w:rsidRDefault="009F6E91" w:rsidP="009F6E91">
      <w:pPr>
        <w:pStyle w:val="Body1"/>
        <w:rPr>
          <w:lang w:val="en-US"/>
        </w:rPr>
      </w:pPr>
      <w:r w:rsidRPr="00D427D8">
        <w:rPr>
          <w:lang w:val="en-US"/>
        </w:rPr>
        <w:t>No assurance can be given, considering the difference in level of transparency requirements between SECN 6.2.1(R) and Article 7 of the EU Securitisation Regulation, that the information included in this Prospectus or provided in accordance with the Securitisation Regulation (EU) Disclosure Requirements will be sufficient for the purposes of assisting such UK institutional investors in complying with their due diligence obligations under the UK Due Diligence Rules.</w:t>
      </w:r>
    </w:p>
    <w:bookmarkEnd w:id="29"/>
    <w:p w14:paraId="27512E34" w14:textId="6BC7C4A8" w:rsidR="009F6E91" w:rsidRPr="00D427D8" w:rsidRDefault="009F6E91" w:rsidP="009F6E91">
      <w:pPr>
        <w:pStyle w:val="Body1"/>
        <w:rPr>
          <w:lang w:val="en-US"/>
        </w:rPr>
      </w:pPr>
      <w:r w:rsidRPr="00D427D8">
        <w:rPr>
          <w:lang w:val="en-US"/>
        </w:rPr>
        <w:t>Relevant UK institutional investors are, however, required to independently assess and determine the sufficiency of the information described in this Prospectus for the purposes of complying with the PRA Due Diligence Rules, the FCA Due Diligence Rules and the OPS Due Diligence Rules which may be relevant to investors, and no assurance can be given that this is the case. None of the Issuer, the Arranger, the Lead Manager, the Collateral Agent, the Servicer, the Seller or any of the other Transaction Parties makes any representation that any such information described in this Prospectus is sufficient in all circumstances for such purposes.</w:t>
      </w:r>
    </w:p>
    <w:bookmarkEnd w:id="27"/>
    <w:bookmarkEnd w:id="28"/>
    <w:p w14:paraId="70663D35" w14:textId="77777777" w:rsidR="009F6E91" w:rsidRPr="00D427D8" w:rsidRDefault="009F6E91" w:rsidP="009F6E91">
      <w:pPr>
        <w:pStyle w:val="Body1"/>
        <w:rPr>
          <w:lang w:val="en-US"/>
        </w:rPr>
      </w:pPr>
      <w:r w:rsidRPr="00D427D8">
        <w:rPr>
          <w:lang w:val="en-US"/>
        </w:rPr>
        <w:t>The UK Securitisation Framework makes provisions for a securitisation transaction to be designated as an STS Securitisation. Under the UK Securitisation Framework, securitisation transactions which have been notified to ESMA prior to 30 June 2026 as meeting the requirements to qualify as an STS Securitisation under the EU Securitisation Regulation can also qualify as an STS Securitisation under the UK Securitisation Framework, provided that the securitisation transaction remains on the ESMA list and continues to meet the requirements for STS Securitisations under the EU Securitisation Regulation. This Securitisation is not intended to be designated as an STS Securitisation for the purposes of the UK Securitisation Framework. Investors should therefore consider the consequence from a regulatory perspective of the Notes not being considered an STS Securitisation, including (but not limited to) that the lack of such designation may negatively affect the regulatory position of the Notes and, in addition, have a negative effect on the price and liquidity of the Notes in the secondary market.</w:t>
      </w:r>
    </w:p>
    <w:bookmarkEnd w:id="25"/>
    <w:bookmarkEnd w:id="26"/>
    <w:p w14:paraId="1D46FC90" w14:textId="77777777" w:rsidR="009F6E91" w:rsidRPr="00D427D8" w:rsidRDefault="009F6E91" w:rsidP="00EF7333">
      <w:pPr>
        <w:pStyle w:val="Body1"/>
        <w:rPr>
          <w:rStyle w:val="BoldItalicText"/>
        </w:rPr>
      </w:pPr>
      <w:r w:rsidRPr="00D427D8">
        <w:rPr>
          <w:rStyle w:val="BoldItalicText"/>
        </w:rPr>
        <w:t>Volcker Rule</w:t>
      </w:r>
    </w:p>
    <w:p w14:paraId="4753DFC7" w14:textId="36FE2EA5" w:rsidR="009F6E91" w:rsidRPr="00D427D8" w:rsidRDefault="009F6E91" w:rsidP="009F6E91">
      <w:pPr>
        <w:pStyle w:val="Body1"/>
      </w:pPr>
      <w:r w:rsidRPr="00D427D8">
        <w:t xml:space="preserve">The Volcker Rule generally prohibits </w:t>
      </w:r>
      <w:r w:rsidR="00EF7333" w:rsidRPr="00D427D8">
        <w:t>"</w:t>
      </w:r>
      <w:r w:rsidRPr="00D427D8">
        <w:t>banking entities</w:t>
      </w:r>
      <w:r w:rsidR="00EF7333" w:rsidRPr="00D427D8">
        <w:t>"</w:t>
      </w:r>
      <w:r w:rsidRPr="00D427D8">
        <w:t xml:space="preserve"> (which is broadly defined to include U.S. banks and bank holding companies and many non-U.S. banking entities, together with their respective subsidiaries and other affiliates) from, among other things, investing in the </w:t>
      </w:r>
      <w:r w:rsidR="00EF7333" w:rsidRPr="00D427D8">
        <w:t>"</w:t>
      </w:r>
      <w:r w:rsidRPr="00D427D8">
        <w:t>ownership interests</w:t>
      </w:r>
      <w:r w:rsidR="00EF7333" w:rsidRPr="00D427D8">
        <w:t>"</w:t>
      </w:r>
      <w:r w:rsidRPr="00D427D8">
        <w:t xml:space="preserve"> of </w:t>
      </w:r>
      <w:r w:rsidR="00EF7333" w:rsidRPr="00D427D8">
        <w:t>"</w:t>
      </w:r>
      <w:r w:rsidRPr="00D427D8">
        <w:t>covered funds</w:t>
      </w:r>
      <w:r w:rsidR="00EF7333" w:rsidRPr="00D427D8">
        <w:t>"</w:t>
      </w:r>
      <w:r w:rsidRPr="00D427D8">
        <w:t xml:space="preserve"> as defined in the Volcker Rule subject to certain exemptions under applicable U.S. laws and regulations.</w:t>
      </w:r>
    </w:p>
    <w:p w14:paraId="77BCA95C" w14:textId="18A08651" w:rsidR="009F6E91" w:rsidRPr="00D427D8" w:rsidRDefault="009F6E91" w:rsidP="009F6E91">
      <w:pPr>
        <w:pStyle w:val="Body1"/>
      </w:pPr>
      <w:r w:rsidRPr="00D427D8">
        <w:t xml:space="preserve">The Securitisation has been structured so that the Issuer should not be considered a </w:t>
      </w:r>
      <w:r w:rsidR="00EF7333" w:rsidRPr="00D427D8">
        <w:t>"</w:t>
      </w:r>
      <w:r w:rsidRPr="00D427D8">
        <w:t>covered fund</w:t>
      </w:r>
      <w:r w:rsidR="00EF7333" w:rsidRPr="00D427D8">
        <w:t>"</w:t>
      </w:r>
      <w:r w:rsidRPr="00D427D8">
        <w:t xml:space="preserve"> on the basis that the Issuer is not registered or required to be registered as an </w:t>
      </w:r>
      <w:r w:rsidR="00EF7333" w:rsidRPr="00D427D8">
        <w:t>"</w:t>
      </w:r>
      <w:r w:rsidRPr="00D427D8">
        <w:t>investment company</w:t>
      </w:r>
      <w:r w:rsidR="00EF7333" w:rsidRPr="00D427D8">
        <w:t>"</w:t>
      </w:r>
      <w:r w:rsidRPr="00D427D8">
        <w:t xml:space="preserve"> under the U.S. Investment Company Act of 1940, as amended, relying on the exemption under Section 3(c)(5) of such act although other exclusions or exemptions may be available to the Issuer. If the Issuer does constitute a </w:t>
      </w:r>
      <w:r w:rsidR="00EF7333" w:rsidRPr="00D427D8">
        <w:t>"</w:t>
      </w:r>
      <w:r w:rsidRPr="00D427D8">
        <w:t>covered fund</w:t>
      </w:r>
      <w:r w:rsidR="00EF7333" w:rsidRPr="00D427D8">
        <w:t>"</w:t>
      </w:r>
      <w:r w:rsidRPr="00D427D8">
        <w:t xml:space="preserve">, the Securitisation has been structured so that the Notes would not be considered an </w:t>
      </w:r>
      <w:r w:rsidR="00EF7333" w:rsidRPr="00D427D8">
        <w:t>"</w:t>
      </w:r>
      <w:r w:rsidRPr="00D427D8">
        <w:t>ownership interest</w:t>
      </w:r>
      <w:r w:rsidR="00EF7333" w:rsidRPr="00D427D8">
        <w:t>"</w:t>
      </w:r>
      <w:r w:rsidRPr="00D427D8">
        <w:t xml:space="preserve"> in the Issuer. However, there are no assurances that the Issuer could not be recharacterised as a </w:t>
      </w:r>
      <w:r w:rsidR="00EF7333" w:rsidRPr="00D427D8">
        <w:t>"</w:t>
      </w:r>
      <w:r w:rsidRPr="00D427D8">
        <w:t>covered fund</w:t>
      </w:r>
      <w:r w:rsidR="00EF7333" w:rsidRPr="00D427D8">
        <w:t>"</w:t>
      </w:r>
      <w:r w:rsidRPr="00D427D8">
        <w:t xml:space="preserve"> or the Notes could not be recharacterised as </w:t>
      </w:r>
      <w:r w:rsidR="00EF7333" w:rsidRPr="00D427D8">
        <w:t>"</w:t>
      </w:r>
      <w:r w:rsidRPr="00D427D8">
        <w:t>ownership interests</w:t>
      </w:r>
      <w:r w:rsidR="00EF7333" w:rsidRPr="00D427D8">
        <w:t>"</w:t>
      </w:r>
      <w:r w:rsidRPr="00D427D8">
        <w:t xml:space="preserve"> in the Issuer.</w:t>
      </w:r>
    </w:p>
    <w:p w14:paraId="1BBA26FC" w14:textId="77777777" w:rsidR="009F6E91" w:rsidRPr="00D427D8" w:rsidRDefault="009F6E91" w:rsidP="009F6E91">
      <w:pPr>
        <w:pStyle w:val="Body1"/>
      </w:pPr>
      <w:r w:rsidRPr="00D427D8">
        <w:t>Prospective investors must rely on their own independent investigation and appraisal of the requirements of the Volcker Rule as it may apply to such investor, the Issuer and the terms of the offering and should consult their own legal advisers in order to assess whether an investment in the Notes would lead them to violate any applicable provisions of the Volcker Rule.</w:t>
      </w:r>
    </w:p>
    <w:p w14:paraId="4F764F10" w14:textId="77777777" w:rsidR="009F6E91" w:rsidRPr="00D427D8" w:rsidRDefault="009F6E91" w:rsidP="009F6E91">
      <w:pPr>
        <w:pStyle w:val="Body1"/>
        <w:rPr>
          <w:rStyle w:val="BoldText"/>
        </w:rPr>
      </w:pPr>
      <w:r w:rsidRPr="00D427D8">
        <w:rPr>
          <w:rStyle w:val="BoldText"/>
        </w:rPr>
        <w:t>U.S. Risk Retention</w:t>
      </w:r>
    </w:p>
    <w:p w14:paraId="08C3F787" w14:textId="7395F0DB" w:rsidR="009F6E91" w:rsidRPr="00D427D8" w:rsidRDefault="009F6E91" w:rsidP="009F6E91">
      <w:pPr>
        <w:pStyle w:val="Body1"/>
      </w:pPr>
      <w:r w:rsidRPr="00D427D8">
        <w:lastRenderedPageBreak/>
        <w:t xml:space="preserve">The final rules promulgated under section 15 (G) of the U.S. Securities Exchange Act of 1934, as amended, codified as Regulation RR 17 C.F.R. Part 246 (the </w:t>
      </w:r>
      <w:r w:rsidR="00EF7333" w:rsidRPr="00D427D8">
        <w:t>"</w:t>
      </w:r>
      <w:r w:rsidRPr="00D427D8">
        <w:rPr>
          <w:rStyle w:val="BoldText"/>
        </w:rPr>
        <w:t>U.S. Risk Retention Rules</w:t>
      </w:r>
      <w:r w:rsidR="00EF7333" w:rsidRPr="00D427D8">
        <w:t>"</w:t>
      </w:r>
      <w:r w:rsidRPr="00D427D8">
        <w:t xml:space="preserve">), and require the </w:t>
      </w:r>
      <w:r w:rsidR="00EF7333" w:rsidRPr="00D427D8">
        <w:t>"</w:t>
      </w:r>
      <w:r w:rsidRPr="00D427D8">
        <w:rPr>
          <w:rStyle w:val="BoldText"/>
        </w:rPr>
        <w:t>sponsor</w:t>
      </w:r>
      <w:r w:rsidR="00EF7333" w:rsidRPr="00D427D8">
        <w:t>"</w:t>
      </w:r>
      <w:r w:rsidRPr="00D427D8">
        <w:t xml:space="preserve"> of a </w:t>
      </w:r>
      <w:r w:rsidR="00EF7333" w:rsidRPr="00D427D8">
        <w:t>"</w:t>
      </w:r>
      <w:r w:rsidRPr="00D427D8">
        <w:rPr>
          <w:rStyle w:val="BoldText"/>
        </w:rPr>
        <w:t>securitisation transaction</w:t>
      </w:r>
      <w:r w:rsidR="00EF7333" w:rsidRPr="00D427D8">
        <w:t>"</w:t>
      </w:r>
      <w:r w:rsidRPr="00D427D8">
        <w:t xml:space="preserve"> to retain at least 5 per cent. of the </w:t>
      </w:r>
      <w:r w:rsidR="00EF7333" w:rsidRPr="00D427D8">
        <w:t>"</w:t>
      </w:r>
      <w:r w:rsidRPr="00D427D8">
        <w:rPr>
          <w:rStyle w:val="BoldText"/>
        </w:rPr>
        <w:t>credit risk</w:t>
      </w:r>
      <w:r w:rsidR="00EF7333" w:rsidRPr="00D427D8">
        <w:t>"</w:t>
      </w:r>
      <w:r w:rsidRPr="00D427D8">
        <w:t xml:space="preserve"> of </w:t>
      </w:r>
      <w:r w:rsidR="00EF7333" w:rsidRPr="00D427D8">
        <w:t>"</w:t>
      </w:r>
      <w:r w:rsidRPr="00D427D8">
        <w:rPr>
          <w:rStyle w:val="BoldText"/>
        </w:rPr>
        <w:t>securitised assets</w:t>
      </w:r>
      <w:r w:rsidR="00EF7333" w:rsidRPr="00D427D8">
        <w:t>"</w:t>
      </w:r>
      <w:r w:rsidRPr="00D427D8">
        <w:t>, as such terms are defined und the U.S. Risk Retention Rules, and generally prohibit a sponsor from directly or indirectly eliminating or reducing its credit exposure by hedging or otherwise transferring the credit risk that the sponsor is required to retain. The U.S. Risk Retention Rules also provide for certain exemptions from the risk retention obligation that they generally impose.</w:t>
      </w:r>
    </w:p>
    <w:p w14:paraId="60FB99EF" w14:textId="10606ABA" w:rsidR="009F6E91" w:rsidRPr="00D427D8" w:rsidRDefault="009F6E91" w:rsidP="009F6E91">
      <w:pPr>
        <w:pStyle w:val="Body1"/>
        <w:rPr>
          <w:rStyle w:val="BoldText"/>
        </w:rPr>
      </w:pPr>
      <w:r w:rsidRPr="00D427D8">
        <w:t xml:space="preserve">The Securitisation will not involve risk retention by the Seller for the purposes of the U.S. Risk Retention Rules, but rather will be made in reliance on an exemption provided for in Section __.20 of the U.S. Risk Retention Rules regarding non-U.S. transactions. Such non-U.S. transactions must meet certain requirements, including that (1) the transaction is not required to be and is not registered under the Securities Act; (2) no more than 10 per cent. of the dollar value (or equivalent amount in the currency in which the securities are issued) of all classes of securities issued in the securitisation transaction are sold or transferred to U.S. persons (in each case, as defined in the U.S. Risk Retention Rules) or for the account or benefit of U.S. persons (as defined in the U.S. Risk Retention Rules and referred to in this Prospectus as </w:t>
      </w:r>
      <w:r w:rsidR="00EF7333" w:rsidRPr="00D427D8">
        <w:t>"</w:t>
      </w:r>
      <w:r w:rsidRPr="00D427D8">
        <w:rPr>
          <w:rStyle w:val="BoldText"/>
        </w:rPr>
        <w:t>Risk Retention U.S. Persons</w:t>
      </w:r>
      <w:r w:rsidR="00EF7333" w:rsidRPr="00D427D8">
        <w:t>"</w:t>
      </w:r>
      <w:r w:rsidRPr="00D427D8">
        <w:t>); (3) neither the sponsor nor the issuer of the securitisation transaction is organised under U.S. law or is a branch located in the United States of a non-U.S. entity; and (4) no more than 25 per cent. of the underlying collateral was acquired from a majority-owned affiliate or branch of the sponsor or issuer organised or located in the United States.</w:t>
      </w:r>
    </w:p>
    <w:p w14:paraId="2F4D3FE4" w14:textId="12E16683" w:rsidR="009F6E91" w:rsidRPr="00D427D8" w:rsidRDefault="009F6E91" w:rsidP="009F6E91">
      <w:pPr>
        <w:pStyle w:val="Body1"/>
      </w:pPr>
      <w:r w:rsidRPr="00D427D8">
        <w:t>Purchasers of Notes that are Risk Retention U.S. Persons are required to obtain the prior written consent of the Seller, who will be monitoring the level of Notes purchased by, or for the account or benefit of, Risk Retention U.S. Persons. There can be no assurance that the requirement to obtain the Seller</w:t>
      </w:r>
      <w:r w:rsidR="00EF7333" w:rsidRPr="00D427D8">
        <w:t>'</w:t>
      </w:r>
      <w:r w:rsidRPr="00D427D8">
        <w:t>s prior written consent to the purchase of any Notes by, or for the account or benefit of, any Risk Retention U.S. Person will be complied with.</w:t>
      </w:r>
    </w:p>
    <w:p w14:paraId="4198CE0B" w14:textId="15842E04" w:rsidR="009F6E91" w:rsidRPr="00D427D8" w:rsidRDefault="009F6E91" w:rsidP="009F6E91">
      <w:pPr>
        <w:pStyle w:val="Body1"/>
      </w:pPr>
      <w:r w:rsidRPr="00D427D8">
        <w:t xml:space="preserve">Prospective investors should note that the definition of </w:t>
      </w:r>
      <w:r w:rsidR="00EF7333" w:rsidRPr="00D427D8">
        <w:t>"</w:t>
      </w:r>
      <w:r w:rsidRPr="00D427D8">
        <w:rPr>
          <w:rStyle w:val="BoldText"/>
        </w:rPr>
        <w:t>U.S. person</w:t>
      </w:r>
      <w:r w:rsidR="00EF7333" w:rsidRPr="00D427D8">
        <w:t>"</w:t>
      </w:r>
      <w:r w:rsidRPr="00D427D8">
        <w:t xml:space="preserve"> in the U.S. Risk Retention Rules is substantially similar to but not identical to, the definition of </w:t>
      </w:r>
      <w:r w:rsidR="00EF7333" w:rsidRPr="00D427D8">
        <w:t>"</w:t>
      </w:r>
      <w:r w:rsidRPr="00D427D8">
        <w:rPr>
          <w:rStyle w:val="BoldText"/>
        </w:rPr>
        <w:t>U.S. person</w:t>
      </w:r>
      <w:r w:rsidR="00EF7333" w:rsidRPr="00D427D8">
        <w:t>"</w:t>
      </w:r>
      <w:r w:rsidRPr="00D427D8">
        <w:t xml:space="preserve"> under Regulation S under the Securities Act, and that persons who are not </w:t>
      </w:r>
      <w:r w:rsidR="00EF7333" w:rsidRPr="00D427D8">
        <w:t>"</w:t>
      </w:r>
      <w:r w:rsidRPr="00D427D8">
        <w:rPr>
          <w:rStyle w:val="BoldText"/>
        </w:rPr>
        <w:t>U.S. persons</w:t>
      </w:r>
      <w:r w:rsidR="00EF7333" w:rsidRPr="00D427D8">
        <w:t>"</w:t>
      </w:r>
      <w:r w:rsidRPr="00D427D8">
        <w:t xml:space="preserve"> under Regulation S may be </w:t>
      </w:r>
      <w:r w:rsidR="00EF7333" w:rsidRPr="00D427D8">
        <w:t>"</w:t>
      </w:r>
      <w:r w:rsidRPr="00D427D8">
        <w:rPr>
          <w:rStyle w:val="BoldText"/>
        </w:rPr>
        <w:t>U.S. persons</w:t>
      </w:r>
      <w:r w:rsidR="00EF7333" w:rsidRPr="00D427D8">
        <w:t>"</w:t>
      </w:r>
      <w:r w:rsidRPr="00D427D8">
        <w:t xml:space="preserve"> under the U.S. Risk Retention Rules.</w:t>
      </w:r>
    </w:p>
    <w:p w14:paraId="1E254906" w14:textId="77777777" w:rsidR="009F6E91" w:rsidRPr="00D427D8" w:rsidRDefault="009F6E91" w:rsidP="009F6E91">
      <w:pPr>
        <w:pStyle w:val="Body1"/>
      </w:pPr>
      <w:r w:rsidRPr="00D427D8">
        <w:t xml:space="preserve">There can be no assurance that the exemption provided for in Section __.20 of the U.S. Risk Retention Rules regarding non-U.S. transactions will be available. Failure of the offering of the Notes to comply with the U.S. Risk Retention Rules (regardless of the reason for such failure to comply) could give rise to regulatory </w:t>
      </w:r>
      <w:r w:rsidRPr="00D427D8">
        <w:rPr>
          <w:shd w:val="clear" w:color="auto" w:fill="FFFFFF"/>
        </w:rPr>
        <w:t>action</w:t>
      </w:r>
      <w:r w:rsidRPr="00D427D8">
        <w:t xml:space="preserve"> which may adversely affect the Notes. Furthermore, the impact of the U.S. Risk Retention Rules on the securitisation market generally is uncertain, and a failure by a transaction to comply with the risk retention requirements of U.S. Risk Retention Rules could negatively affect the market value and secondary market liquidity of the Notes.</w:t>
      </w:r>
      <w:r w:rsidRPr="00D427D8">
        <w:rPr>
          <w:rStyle w:val="BoldText"/>
        </w:rPr>
        <w:t xml:space="preserve"> </w:t>
      </w:r>
      <w:r w:rsidRPr="00D427D8">
        <w:t>Investors should consult their own advisers as to the U.S. Risk Retention Rules. No predictions can be made as to the precise effects of such matters on any investor or otherwise.</w:t>
      </w:r>
    </w:p>
    <w:p w14:paraId="176F3A88" w14:textId="77777777" w:rsidR="009F6E91" w:rsidRPr="00D427D8" w:rsidRDefault="009F6E91" w:rsidP="009F6E91">
      <w:pPr>
        <w:pStyle w:val="Body1"/>
        <w:rPr>
          <w:rStyle w:val="BoldItalicText"/>
        </w:rPr>
      </w:pPr>
      <w:r w:rsidRPr="00D427D8">
        <w:rPr>
          <w:rStyle w:val="BoldItalicText"/>
        </w:rPr>
        <w:t>Basel Capital Accord and regulatory capital requirements</w:t>
      </w:r>
    </w:p>
    <w:p w14:paraId="21253499" w14:textId="62AF6D58" w:rsidR="009F6E91" w:rsidRPr="00D427D8" w:rsidRDefault="009F6E91" w:rsidP="009F6E91">
      <w:pPr>
        <w:pStyle w:val="Body1"/>
        <w:rPr>
          <w:lang w:val="en-US"/>
        </w:rPr>
      </w:pPr>
      <w:r w:rsidRPr="00D427D8">
        <w:rPr>
          <w:lang w:val="en-US"/>
        </w:rPr>
        <w:t xml:space="preserve">The European authorities have incorporated the Basel III framework into EU law, primarily through Directive 2013/36/EU of the European Parliament and of the Council of 26 June 2013 on access to the activity of credit institutions and the prudential supervision of credit institutions and investment firms, amending Directive 2002/87/EC and repealing Directive 2006/48/EC and 2006/49/EC (Capital Requirements Directive – </w:t>
      </w:r>
      <w:r w:rsidR="00EF7333" w:rsidRPr="00D427D8">
        <w:rPr>
          <w:lang w:val="en-US"/>
        </w:rPr>
        <w:t>"</w:t>
      </w:r>
      <w:r w:rsidRPr="00D427D8">
        <w:rPr>
          <w:rStyle w:val="BoldText"/>
        </w:rPr>
        <w:t>CRD</w:t>
      </w:r>
      <w:r w:rsidR="00EF7333" w:rsidRPr="00D427D8">
        <w:rPr>
          <w:lang w:val="en-US"/>
        </w:rPr>
        <w:t>"</w:t>
      </w:r>
      <w:r w:rsidRPr="00D427D8">
        <w:rPr>
          <w:lang w:val="en-US"/>
        </w:rPr>
        <w:t xml:space="preserve">), as amended by Directive (EU) 2019/878 of 20 May 2019 (the </w:t>
      </w:r>
      <w:r w:rsidR="00EF7333" w:rsidRPr="00D427D8">
        <w:rPr>
          <w:lang w:val="en-US"/>
        </w:rPr>
        <w:t>"</w:t>
      </w:r>
      <w:r w:rsidRPr="00D427D8">
        <w:rPr>
          <w:rStyle w:val="BoldText"/>
        </w:rPr>
        <w:t>CRD V</w:t>
      </w:r>
      <w:r w:rsidR="00EF7333" w:rsidRPr="00D427D8">
        <w:rPr>
          <w:lang w:val="en-US"/>
        </w:rPr>
        <w:t>"</w:t>
      </w:r>
      <w:r w:rsidRPr="00D427D8">
        <w:rPr>
          <w:lang w:val="en-US"/>
        </w:rPr>
        <w:t xml:space="preserve">) and Directive (EU) 2024/1619 of 31 May 2024 (the </w:t>
      </w:r>
      <w:r w:rsidR="00EF7333" w:rsidRPr="00D427D8">
        <w:rPr>
          <w:lang w:val="en-US"/>
        </w:rPr>
        <w:t>"</w:t>
      </w:r>
      <w:r w:rsidRPr="00D427D8">
        <w:rPr>
          <w:rStyle w:val="BoldText"/>
        </w:rPr>
        <w:t>CRD VI</w:t>
      </w:r>
      <w:r w:rsidR="00EF7333" w:rsidRPr="00D427D8">
        <w:rPr>
          <w:lang w:val="en-US"/>
        </w:rPr>
        <w:t>"</w:t>
      </w:r>
      <w:r w:rsidRPr="00D427D8">
        <w:rPr>
          <w:lang w:val="en-US"/>
        </w:rPr>
        <w:t xml:space="preserve">), and the CRR, as amended by Regulation (EU) 2019/876 of 20 May 2019 (the </w:t>
      </w:r>
      <w:r w:rsidR="00EF7333" w:rsidRPr="00D427D8">
        <w:rPr>
          <w:lang w:val="en-US"/>
        </w:rPr>
        <w:t>"</w:t>
      </w:r>
      <w:r w:rsidRPr="00D427D8">
        <w:rPr>
          <w:rStyle w:val="BoldText"/>
        </w:rPr>
        <w:t>CRR II</w:t>
      </w:r>
      <w:r w:rsidR="00EF7333" w:rsidRPr="00D427D8">
        <w:rPr>
          <w:lang w:val="en-US"/>
        </w:rPr>
        <w:t>"</w:t>
      </w:r>
      <w:r w:rsidRPr="00D427D8">
        <w:rPr>
          <w:lang w:val="en-US"/>
        </w:rPr>
        <w:t xml:space="preserve">) and Regulation (EU) 2024/1623 of 31 May 2024 (the </w:t>
      </w:r>
      <w:r w:rsidR="00EF7333" w:rsidRPr="00D427D8">
        <w:rPr>
          <w:lang w:val="en-US"/>
        </w:rPr>
        <w:t>"</w:t>
      </w:r>
      <w:r w:rsidRPr="00D427D8">
        <w:rPr>
          <w:rStyle w:val="BoldText"/>
        </w:rPr>
        <w:t>CRR III</w:t>
      </w:r>
      <w:r w:rsidR="00EF7333" w:rsidRPr="00D427D8">
        <w:rPr>
          <w:lang w:val="en-US"/>
        </w:rPr>
        <w:t>"</w:t>
      </w:r>
      <w:r w:rsidRPr="00D427D8">
        <w:rPr>
          <w:lang w:val="en-US"/>
        </w:rPr>
        <w:t>). The CRR III applies largely since 1 January 2025. In respect of the CRD VI, Member States will have 18 months to transpose the directive into national legislation.</w:t>
      </w:r>
    </w:p>
    <w:p w14:paraId="2B5F861C" w14:textId="1790D667" w:rsidR="009F6E91" w:rsidRPr="00D427D8" w:rsidRDefault="009F6E91" w:rsidP="009F6E91">
      <w:pPr>
        <w:pStyle w:val="Body1"/>
        <w:rPr>
          <w:lang w:val="en-US"/>
        </w:rPr>
      </w:pPr>
      <w:r w:rsidRPr="00D427D8">
        <w:rPr>
          <w:shd w:val="clear" w:color="auto" w:fill="FFFFFF"/>
          <w:lang w:val="en-US"/>
        </w:rPr>
        <w:t>CRR III implements changes to the output floor which had been introduced to reduce excessive variability of banks</w:t>
      </w:r>
      <w:r w:rsidR="00EF7333" w:rsidRPr="00D427D8">
        <w:rPr>
          <w:shd w:val="clear" w:color="auto" w:fill="FFFFFF"/>
          <w:lang w:val="en-US"/>
        </w:rPr>
        <w:t>'</w:t>
      </w:r>
      <w:r w:rsidRPr="00D427D8">
        <w:rPr>
          <w:shd w:val="clear" w:color="auto" w:fill="FFFFFF"/>
          <w:lang w:val="en-US"/>
        </w:rPr>
        <w:t xml:space="preserve"> capital requirements calculated with internal models. The output floor will be implemented on a transitional basis starting with 50% as of 1 January 2025 and ending with 72.5% from 1 January 2030 onwards. CRR III also implements changes to the p-factor, for exposures that are risk weighted using the SEC-IRBA or the Internal Assessment Approach and, which shall, until 31 December 2032, apply the following factor p: (a) p = 0,25 for a STS (b) p = 0,5 for non-STS. Further key changes of CRR III are changes to the risk weight provisions.</w:t>
      </w:r>
    </w:p>
    <w:p w14:paraId="0AA8A050" w14:textId="48BE97FC" w:rsidR="009F6E91" w:rsidRPr="00D427D8" w:rsidRDefault="009F6E91" w:rsidP="009F6E91">
      <w:pPr>
        <w:pStyle w:val="Body1"/>
        <w:rPr>
          <w:lang w:val="en-US"/>
        </w:rPr>
      </w:pPr>
      <w:r w:rsidRPr="00D427D8">
        <w:rPr>
          <w:lang w:val="en-US"/>
        </w:rPr>
        <w:lastRenderedPageBreak/>
        <w:t xml:space="preserve">Additionally, Regulation (EU) No 2015/61 of 10 October 2014 (the </w:t>
      </w:r>
      <w:r w:rsidR="00EF7333" w:rsidRPr="00D427D8">
        <w:rPr>
          <w:lang w:val="en-US"/>
        </w:rPr>
        <w:t>"</w:t>
      </w:r>
      <w:r w:rsidRPr="00D427D8">
        <w:rPr>
          <w:rStyle w:val="BoldText"/>
        </w:rPr>
        <w:t>LCR Regulation</w:t>
      </w:r>
      <w:r w:rsidR="00EF7333" w:rsidRPr="00D427D8">
        <w:rPr>
          <w:lang w:val="en-US"/>
        </w:rPr>
        <w:t>"</w:t>
      </w:r>
      <w:r w:rsidRPr="00D427D8">
        <w:rPr>
          <w:lang w:val="en-US"/>
        </w:rPr>
        <w:t xml:space="preserve">) sets out assumed asset inflow and outflow rates to better reflect actual experience in times of stress. On 19 November 2018, Delegated Regulation (EU) 2018/1620 amending the LCR Regulation (the </w:t>
      </w:r>
      <w:r w:rsidR="00EF7333" w:rsidRPr="00D427D8">
        <w:rPr>
          <w:lang w:val="en-US"/>
        </w:rPr>
        <w:t>"</w:t>
      </w:r>
      <w:r w:rsidRPr="00D427D8">
        <w:rPr>
          <w:rStyle w:val="BoldText"/>
        </w:rPr>
        <w:t>Delegated Regulation</w:t>
      </w:r>
      <w:r w:rsidR="00EF7333" w:rsidRPr="00D427D8">
        <w:rPr>
          <w:lang w:val="en-US"/>
        </w:rPr>
        <w:t>"</w:t>
      </w:r>
      <w:r w:rsidRPr="00D427D8">
        <w:rPr>
          <w:lang w:val="en-US"/>
        </w:rPr>
        <w:t xml:space="preserve">) entered into force, pursuant to which, </w:t>
      </w:r>
      <w:r w:rsidRPr="00D427D8">
        <w:rPr>
          <w:i/>
          <w:lang w:val="en-US"/>
        </w:rPr>
        <w:t>inter alia</w:t>
      </w:r>
      <w:r w:rsidRPr="00D427D8">
        <w:rPr>
          <w:lang w:val="en-US"/>
        </w:rPr>
        <w:t>, transactions exposures of securitisations, which qualify as simple, transparent and standardised securitisations in accordance with the Securitisation Regulation, shall qualify as Level 2B high quality liquid assets, if they additionally fulfil the conditions laid down in Article 13 of the LCR Regulation.</w:t>
      </w:r>
    </w:p>
    <w:p w14:paraId="021AE320" w14:textId="77777777" w:rsidR="009F6E91" w:rsidRPr="00D427D8" w:rsidRDefault="009F6E91" w:rsidP="009F6E91">
      <w:pPr>
        <w:pStyle w:val="Body1"/>
      </w:pPr>
      <w:r w:rsidRPr="00D427D8">
        <w:rPr>
          <w:shd w:val="clear" w:color="auto" w:fill="FFFFFF"/>
          <w:lang w:val="en-US"/>
        </w:rPr>
        <w:t xml:space="preserve">The CRR III and the CRD VI could affect the risk-based capital treatment of the Notes for investors which are subject to bank capital adequacy requirements under these provisions or implementing measures and </w:t>
      </w:r>
      <w:r w:rsidRPr="00D427D8">
        <w:rPr>
          <w:lang w:val="en-US"/>
        </w:rPr>
        <w:t>may have negative implications on the cost of regulatory capital for certain investors and thereby on the overall return from an investment of the Notes and the liquidity of the Notes. Therefore, investors should consult their own advisers as to the regulatory capital requirements in respect of the Notes and as to the consequences to and effect on them by the CRR III and the CRD VI</w:t>
      </w:r>
      <w:r w:rsidRPr="00D427D8">
        <w:rPr>
          <w:shd w:val="clear" w:color="auto" w:fill="FFFFFF"/>
          <w:lang w:val="en-US"/>
        </w:rPr>
        <w:t xml:space="preserve"> and its amendments</w:t>
      </w:r>
      <w:r w:rsidRPr="00D427D8">
        <w:rPr>
          <w:lang w:val="en-US"/>
        </w:rPr>
        <w:t>. No predictions can be made as to the precise effects of such matters on any investor or otherwise. There can be no guarantee that the regulatory capital treatment of the Notes for investors will not be affected by any future implementation of and changes to the CRR III and the CRD VI, or other regulatory or accounting changes</w:t>
      </w:r>
      <w:r w:rsidRPr="00D427D8">
        <w:t>.</w:t>
      </w:r>
    </w:p>
    <w:p w14:paraId="5C87EFBB" w14:textId="77777777" w:rsidR="009F6E91" w:rsidRPr="00D427D8" w:rsidRDefault="009F6E91" w:rsidP="009F6E91">
      <w:pPr>
        <w:pStyle w:val="Body1"/>
        <w:rPr>
          <w:lang w:val="en-US"/>
        </w:rPr>
      </w:pPr>
      <w:r w:rsidRPr="00D427D8">
        <w:rPr>
          <w:lang w:val="en-US"/>
        </w:rPr>
        <w:t>For the avoidance of doubt, the Transaction Documents do not provide for an active portfolio management of the Purchased Receivables on a discretionary basis by the Seller. In accordance with Article 244(4)(d) of CRR II, the Seller (i) has no right to repurchase from the Issuer the previously transferred Purchased Lease Receivables in order to realise their benefits and (ii) shall not be otherwise required to re-assume transferred risk.</w:t>
      </w:r>
    </w:p>
    <w:p w14:paraId="6604C01C" w14:textId="77777777" w:rsidR="009F6E91" w:rsidRPr="00D427D8" w:rsidRDefault="009F6E91" w:rsidP="009F6E91">
      <w:pPr>
        <w:pStyle w:val="Body1"/>
        <w:rPr>
          <w:lang w:val="en-US"/>
        </w:rPr>
      </w:pPr>
      <w:r w:rsidRPr="00D427D8">
        <w:rPr>
          <w:lang w:val="en-US"/>
        </w:rPr>
        <w:t>In accordance with Article 244(4)(e)(i) of CRR II and the terms of the Transaction Documents, the Seller shall neither be entitled nor required to alter the Purchased Lease Receivables to improve the average quality of the securitised portfolio.</w:t>
      </w:r>
    </w:p>
    <w:p w14:paraId="5F4AE795" w14:textId="77777777" w:rsidR="009F6E91" w:rsidRPr="00D427D8" w:rsidRDefault="009F6E91" w:rsidP="009F6E91">
      <w:pPr>
        <w:pStyle w:val="Body1"/>
        <w:rPr>
          <w:lang w:val="en-US"/>
        </w:rPr>
      </w:pPr>
      <w:r w:rsidRPr="00D427D8">
        <w:rPr>
          <w:lang w:val="en-US"/>
        </w:rPr>
        <w:t>In accordance with Article 244(4)(e)(ii) of CRR II, the Issuer shall neither be entitled nor required to increase the yield payable to Noteholders or otherwise to enhance the positions in the securitisation transaction (as contemplated by the Transaction Documents) in response to a deterioration in the credit quality of the Purchased Lease Receivables.</w:t>
      </w:r>
    </w:p>
    <w:p w14:paraId="57A3312B" w14:textId="3BC7703E" w:rsidR="009F6E91" w:rsidRPr="00D427D8" w:rsidRDefault="009F6E91" w:rsidP="009F6E91">
      <w:pPr>
        <w:pStyle w:val="Body1"/>
        <w:rPr>
          <w:lang w:val="en-US"/>
        </w:rPr>
      </w:pPr>
      <w:r w:rsidRPr="00D427D8">
        <w:rPr>
          <w:lang w:val="en-US"/>
        </w:rPr>
        <w:t>For the avoidance of doubt, in accordance with Article 244(4)(f) of CRR II, the Transaction Documents do not include any specific provisions allowing the Seller to purchase or repurchase the Notes in accordance with terms and conditions which would be contrary to prevailing market conditions and/or which would be contrary to arm</w:t>
      </w:r>
      <w:r w:rsidR="00EF7333" w:rsidRPr="00D427D8">
        <w:rPr>
          <w:lang w:val="en-US"/>
        </w:rPr>
        <w:t>'</w:t>
      </w:r>
      <w:r w:rsidRPr="00D427D8">
        <w:rPr>
          <w:lang w:val="en-US"/>
        </w:rPr>
        <w:t>s length principles.</w:t>
      </w:r>
    </w:p>
    <w:p w14:paraId="2AA229FF" w14:textId="77777777" w:rsidR="009F6E91" w:rsidRPr="00D427D8" w:rsidRDefault="009F6E91" w:rsidP="009F6E91">
      <w:pPr>
        <w:pStyle w:val="Body1"/>
        <w:rPr>
          <w:lang w:val="en-US"/>
        </w:rPr>
      </w:pPr>
      <w:r w:rsidRPr="00D427D8">
        <w:rPr>
          <w:lang w:val="en-US"/>
        </w:rPr>
        <w:t>Pursuant to Article 244(1)(a) of CRR II, the Seller will transfer a significant credit risk associated with the underlying exposures to third parties and, accordingly, in accordance with the EBA Guidelines on significant credit risk transfer, the BNP Paribas group is prevented to provide significant financing to the Noteholders in relation to the purchase or the holding of all or part of the Notes.</w:t>
      </w:r>
    </w:p>
    <w:p w14:paraId="2A31DA47" w14:textId="77777777" w:rsidR="009F6E91" w:rsidRPr="00D427D8" w:rsidRDefault="009F6E91" w:rsidP="00EF7333">
      <w:pPr>
        <w:pStyle w:val="Body1"/>
        <w:rPr>
          <w:rStyle w:val="BoldItalicText"/>
        </w:rPr>
      </w:pPr>
      <w:r w:rsidRPr="00D427D8">
        <w:rPr>
          <w:rStyle w:val="BoldItalicText"/>
        </w:rPr>
        <w:t>Overcollateralisation</w:t>
      </w:r>
    </w:p>
    <w:p w14:paraId="558FA9F0" w14:textId="77777777" w:rsidR="009F6E91" w:rsidRPr="00D427D8" w:rsidRDefault="009F6E91" w:rsidP="009F6E91">
      <w:pPr>
        <w:pStyle w:val="Body1"/>
        <w:rPr>
          <w:shd w:val="clear" w:color="auto" w:fill="FFFFFF"/>
          <w:lang w:val="en-US"/>
        </w:rPr>
      </w:pPr>
      <w:r w:rsidRPr="00D427D8">
        <w:rPr>
          <w:shd w:val="clear" w:color="auto" w:fill="FFFFFF"/>
          <w:lang w:val="en-US"/>
        </w:rPr>
        <w:t>According to German law, the granting of security may be held invalid and the security or part of the security may have to be released if the lease is overcollateralised. Overcollateralisation occurs where the creditor is granted collateral the value of which excessively exceeds the value of the secured obligations or if the granting of security leads to an inappropriate disadvantage for the debtor. Although there is no direct legal authority on point, the Issuer is of the view that the Purchased Lease Receivables are not overcollateralised; although it cannot be ruled out that a German court would hold otherwise. In the Lease Receivables Purchase Agreement, the Seller has warranted to the Issuer that the Collateral to Purchased Lease Receivables is legal, valid, binding and enforceable.</w:t>
      </w:r>
    </w:p>
    <w:p w14:paraId="0377355B" w14:textId="77777777" w:rsidR="009F6E91" w:rsidRPr="00D427D8" w:rsidRDefault="009F6E91" w:rsidP="009F6E91">
      <w:pPr>
        <w:pStyle w:val="Body1"/>
        <w:rPr>
          <w:rStyle w:val="BoldItalicText"/>
        </w:rPr>
      </w:pPr>
      <w:r w:rsidRPr="00D427D8">
        <w:rPr>
          <w:rStyle w:val="BoldItalicText"/>
        </w:rPr>
        <w:t>Impact of the Banking Secrecy Duty and Data Protection Provisions</w:t>
      </w:r>
    </w:p>
    <w:p w14:paraId="0F469D62" w14:textId="7C8D3864" w:rsidR="009F6E91" w:rsidRPr="00D427D8" w:rsidRDefault="009F6E91" w:rsidP="009F6E91">
      <w:pPr>
        <w:pStyle w:val="Body1"/>
        <w:rPr>
          <w:shd w:val="clear" w:color="auto" w:fill="FFFFFF"/>
          <w:lang w:val="en-US"/>
        </w:rPr>
      </w:pPr>
      <w:r w:rsidRPr="00D427D8">
        <w:rPr>
          <w:shd w:val="clear" w:color="auto" w:fill="FFFFFF"/>
          <w:lang w:val="en-US"/>
        </w:rPr>
        <w:t>Pursuant to the General Data Protection Regulation</w:t>
      </w:r>
      <w:r w:rsidR="00EF7333" w:rsidRPr="00D427D8">
        <w:rPr>
          <w:shd w:val="clear" w:color="auto" w:fill="FFFFFF"/>
          <w:lang w:val="en-US"/>
        </w:rPr>
        <w:t>"</w:t>
      </w:r>
      <w:r w:rsidRPr="00D427D8">
        <w:rPr>
          <w:shd w:val="clear" w:color="auto" w:fill="FFFFFF"/>
          <w:lang w:val="en-US"/>
        </w:rPr>
        <w:t xml:space="preserve">, a transfer of personal data is permitted, </w:t>
      </w:r>
      <w:r w:rsidRPr="00D427D8">
        <w:rPr>
          <w:i/>
          <w:shd w:val="clear" w:color="auto" w:fill="FFFFFF"/>
          <w:lang w:val="en-US"/>
        </w:rPr>
        <w:t>inter alia</w:t>
      </w:r>
      <w:r w:rsidRPr="00D427D8">
        <w:rPr>
          <w:shd w:val="clear" w:color="auto" w:fill="FFFFFF"/>
          <w:lang w:val="en-US"/>
        </w:rPr>
        <w:t>, if (i) the data subject has given consent to the processing of his or her personal data for one or more specific purposes or (ii) processing is necessary for the purposes of the legitimate interests pursued by the controller or by a third party, except where such interests are overridden by the interests or fundamental rights and freedoms of the data subject which require protection of personal data.</w:t>
      </w:r>
    </w:p>
    <w:p w14:paraId="23106A5B" w14:textId="77777777" w:rsidR="009F6E91" w:rsidRPr="00D427D8" w:rsidRDefault="009F6E91" w:rsidP="009F6E91">
      <w:pPr>
        <w:pStyle w:val="Body1"/>
        <w:rPr>
          <w:shd w:val="clear" w:color="auto" w:fill="FFFFFF"/>
          <w:lang w:val="en-US"/>
        </w:rPr>
      </w:pPr>
      <w:r w:rsidRPr="00D427D8">
        <w:rPr>
          <w:shd w:val="clear" w:color="auto" w:fill="FFFFFF"/>
          <w:lang w:val="en-US"/>
        </w:rPr>
        <w:lastRenderedPageBreak/>
        <w:t>The assignment of the Purchased Lease Receivables, however, is not structured in strict compliance with the guidelines for German true sale securitisations of bank assets set out in the circular 4/97 of the German Federal Financial Supervisory Authority (</w:t>
      </w:r>
      <w:r w:rsidRPr="00D427D8">
        <w:rPr>
          <w:i/>
          <w:iCs/>
          <w:shd w:val="clear" w:color="auto" w:fill="FFFFFF"/>
          <w:lang w:val="en-US"/>
        </w:rPr>
        <w:t>Bundesanstalt für Finanzdienstleistungsaufsicht</w:t>
      </w:r>
      <w:r w:rsidRPr="00D427D8">
        <w:rPr>
          <w:shd w:val="clear" w:color="auto" w:fill="FFFFFF"/>
          <w:lang w:val="en-US"/>
        </w:rPr>
        <w:t xml:space="preserve">). In particular, these guidelines require a neutral entity to act as data trustee that is a public notary, a domestic credit institution or a credit institution having its seat in any member state of the European Union or any other state of the European Economic Area and being supervised pursuant to, </w:t>
      </w:r>
      <w:r w:rsidRPr="00D427D8">
        <w:rPr>
          <w:i/>
          <w:iCs/>
          <w:shd w:val="clear" w:color="auto" w:fill="FFFFFF"/>
          <w:lang w:val="en-US"/>
        </w:rPr>
        <w:t>inter alia</w:t>
      </w:r>
      <w:r w:rsidRPr="00D427D8">
        <w:rPr>
          <w:shd w:val="clear" w:color="auto" w:fill="FFFFFF"/>
          <w:lang w:val="en-US"/>
        </w:rPr>
        <w:t>, Directive 2006/48/EC. The Data Protection Trustee does not fall into any of these categories. Arguably, the rationale for identifying regulated credit institutions and notaries as eligible data trustees is, besides their neutrality, their reliability in relation to the protection of data when handling personal data. Thus, the Issuer has been advised that there are good arguments to construe the term neutral entity for this purpose to include other entities having their seat in the European Union or European Economic Area if the relevant entity is equally neutral and reliable in relation to the handling of personal data which is also backed by the view of the German Federal Financial Supervisory Authority (cf. letter of the German Federal Financial Supervisory Authority of 14 December 2007, section capacity as data trustee, BA 37-FR 1903-2007/0001).</w:t>
      </w:r>
    </w:p>
    <w:p w14:paraId="47CCEFE9" w14:textId="77777777" w:rsidR="009F6E91" w:rsidRPr="00D427D8" w:rsidRDefault="009F6E91" w:rsidP="009F6E91">
      <w:pPr>
        <w:pStyle w:val="Body1"/>
        <w:rPr>
          <w:shd w:val="clear" w:color="auto" w:fill="FFFFFF"/>
        </w:rPr>
      </w:pPr>
      <w:r w:rsidRPr="00D427D8">
        <w:rPr>
          <w:shd w:val="clear" w:color="auto" w:fill="FFFFFF"/>
          <w:lang w:val="en-US"/>
        </w:rPr>
        <w:t>If the Issuer was considered to be in breach of the General Data Protection Regulation or the Data Protection Amendment and Implementation Act (</w:t>
      </w:r>
      <w:r w:rsidRPr="00D427D8">
        <w:rPr>
          <w:i/>
          <w:shd w:val="clear" w:color="auto" w:fill="FFFFFF"/>
          <w:lang w:val="en-US"/>
        </w:rPr>
        <w:t>Datenschutzanpassungs- und Umsetzungsgesetz</w:t>
      </w:r>
      <w:r w:rsidRPr="00D427D8">
        <w:rPr>
          <w:shd w:val="clear" w:color="auto" w:fill="FFFFFF"/>
          <w:lang w:val="en-US"/>
        </w:rPr>
        <w:t>), it could be fined and in case of such fines being substantial, this could have an impact on the ability of the Issuer to make payments on the Notes ultimately leading to a risk of the Noteholders to incur a loss.</w:t>
      </w:r>
    </w:p>
    <w:p w14:paraId="1C1CA918" w14:textId="77777777" w:rsidR="009F6E91" w:rsidRPr="00D427D8" w:rsidRDefault="009F6E91" w:rsidP="0092652F">
      <w:pPr>
        <w:pStyle w:val="Heading1Underline"/>
        <w:rPr>
          <w:rStyle w:val="BoldText"/>
        </w:rPr>
      </w:pPr>
      <w:r w:rsidRPr="00D427D8">
        <w:rPr>
          <w:rStyle w:val="BoldText"/>
        </w:rPr>
        <w:t>V. Risks related to taxation</w:t>
      </w:r>
    </w:p>
    <w:p w14:paraId="128FC355" w14:textId="77777777" w:rsidR="009F6E91" w:rsidRPr="00D427D8" w:rsidRDefault="009F6E91" w:rsidP="009F6E91">
      <w:pPr>
        <w:pStyle w:val="Body1"/>
      </w:pPr>
      <w:r w:rsidRPr="00D427D8">
        <w:t>Prospective purchasers of the Notes are advised to consult their own tax advisors as to the tax consequences of purchasing, holding and disposing of the Notes under the tax laws of the country of which they are residents.</w:t>
      </w:r>
    </w:p>
    <w:p w14:paraId="30453D8A" w14:textId="77777777" w:rsidR="009F6E91" w:rsidRPr="00D427D8" w:rsidRDefault="009F6E91" w:rsidP="009F6E91">
      <w:pPr>
        <w:pStyle w:val="Body1"/>
        <w:rPr>
          <w:rStyle w:val="BoldItalicText"/>
        </w:rPr>
      </w:pPr>
      <w:r w:rsidRPr="00D427D8">
        <w:rPr>
          <w:rStyle w:val="BoldItalicText"/>
        </w:rPr>
        <w:t>The Common Reporting Standard</w:t>
      </w:r>
    </w:p>
    <w:p w14:paraId="6B56B0AB" w14:textId="187E8842" w:rsidR="009F6E91" w:rsidRPr="00D427D8" w:rsidRDefault="009F6E91" w:rsidP="009F6E91">
      <w:pPr>
        <w:pStyle w:val="Body1"/>
      </w:pPr>
      <w:r w:rsidRPr="00D427D8">
        <w:t>Directive 2014/107/EU on Administrative Cooperation in the Field of Taxation (</w:t>
      </w:r>
      <w:r w:rsidR="00EF7333" w:rsidRPr="00D427D8">
        <w:t>"</w:t>
      </w:r>
      <w:r w:rsidRPr="00D427D8">
        <w:rPr>
          <w:rStyle w:val="BoldText"/>
        </w:rPr>
        <w:t>DAC II</w:t>
      </w:r>
      <w:r w:rsidR="00EF7333" w:rsidRPr="00D427D8">
        <w:t>"</w:t>
      </w:r>
      <w:r w:rsidRPr="00D427D8">
        <w:t>) implements the Common Reporting Standard (</w:t>
      </w:r>
      <w:r w:rsidR="00EF7333" w:rsidRPr="00D427D8">
        <w:t>"</w:t>
      </w:r>
      <w:r w:rsidRPr="00D427D8">
        <w:rPr>
          <w:rStyle w:val="BoldText"/>
        </w:rPr>
        <w:t>CRS</w:t>
      </w:r>
      <w:r w:rsidR="00EF7333" w:rsidRPr="00D427D8">
        <w:t>"</w:t>
      </w:r>
      <w:r w:rsidRPr="00D427D8">
        <w:t>) in a European context and creates a mandatory obligation for all EU Member States to exchange financial account information in respect of residents in other EU Member States on an annual basis.</w:t>
      </w:r>
    </w:p>
    <w:p w14:paraId="77C492A5" w14:textId="7601A545" w:rsidR="009F6E91" w:rsidRPr="00D427D8" w:rsidRDefault="009F6E91" w:rsidP="009F6E91">
      <w:pPr>
        <w:pStyle w:val="Body1"/>
      </w:pPr>
      <w:r w:rsidRPr="00D427D8">
        <w:t>For the purposes of complying with its obligations under CRS and DAC II, if any, the Issuer shall be entitled to require Noteholders to provide any information regarding their and, in certain circumstances, their controlling persons</w:t>
      </w:r>
      <w:r w:rsidR="00EF7333" w:rsidRPr="00D427D8">
        <w:t>'</w:t>
      </w:r>
      <w:r w:rsidRPr="00D427D8">
        <w:t xml:space="preserve"> tax status, identity or residence in order to satisfy any reporting requirements which the Issuer may have as a result of CRS and DAC II and Noteholders will be deemed, by their holding, to have authorised the automatic disclosure of such information by the Issuer (or any nominated service provider) or any other person to the relevant tax authorities who will exchange the information with the tax authorities of other participating jurisdictions, as applicable. Failure by the Issuer to comply with its CRS and DAC II obligations, if any, may result in the Issuer being deemed to be non-compliant in respect of its CRS obligations and monetary penalties may be imposed as a result under applicable law. Such monetary penalties may lead to an inability of the Issuer to pay fully or partially interest on the Notes and or </w:t>
      </w:r>
      <w:r w:rsidRPr="00D427D8">
        <w:rPr>
          <w:lang w:val="en-US"/>
        </w:rPr>
        <w:t>to redeem part or all of the Notes.</w:t>
      </w:r>
    </w:p>
    <w:p w14:paraId="4B3AADF7" w14:textId="77777777" w:rsidR="009F6E91" w:rsidRPr="00D427D8" w:rsidRDefault="009F6E91" w:rsidP="009F6E91">
      <w:pPr>
        <w:pStyle w:val="Body1"/>
        <w:rPr>
          <w:rStyle w:val="BoldItalicText"/>
        </w:rPr>
      </w:pPr>
      <w:r w:rsidRPr="00D427D8">
        <w:rPr>
          <w:rStyle w:val="BoldItalicText"/>
        </w:rPr>
        <w:t>Withholding or Deduction under the Notes</w:t>
      </w:r>
    </w:p>
    <w:p w14:paraId="2530B778" w14:textId="77777777" w:rsidR="009F6E91" w:rsidRPr="00D427D8" w:rsidRDefault="009F6E91" w:rsidP="009F6E91">
      <w:pPr>
        <w:pStyle w:val="Body1"/>
      </w:pPr>
      <w:r w:rsidRPr="00D427D8">
        <w:t>If in respect of amounts payable under the Notes any withholding or deduction for or on account of taxes are imposed by law (including FTT, FATCA or any domestic provisions referring to the implementation of an automatic exchange of account information for financial institutions) or otherwise neither the Issuer nor any other person is obliged to gross up or otherwise compensate Noteholders for receiving an amount under the Notes reduced by such withholding or deduction.</w:t>
      </w:r>
    </w:p>
    <w:p w14:paraId="58FB4F28" w14:textId="77777777" w:rsidR="009F6E91" w:rsidRPr="00D427D8" w:rsidRDefault="009F6E91" w:rsidP="009F6E91">
      <w:pPr>
        <w:pStyle w:val="Body1"/>
        <w:rPr>
          <w:rStyle w:val="BoldItalicText"/>
        </w:rPr>
      </w:pPr>
      <w:r w:rsidRPr="00D427D8">
        <w:rPr>
          <w:rStyle w:val="BoldItalicText"/>
        </w:rPr>
        <w:t>Taxes on the income in Germany</w:t>
      </w:r>
    </w:p>
    <w:p w14:paraId="3C18A632" w14:textId="5F38F79C" w:rsidR="009F6E91" w:rsidRPr="00D427D8" w:rsidRDefault="009F6E91" w:rsidP="009F6E91">
      <w:pPr>
        <w:pStyle w:val="Body1"/>
        <w:rPr>
          <w:lang w:val="en-US"/>
        </w:rPr>
      </w:pPr>
      <w:r w:rsidRPr="00D427D8">
        <w:t>A foreign corporation is subject to unlimited German resident taxation if it maintains its place of effective management and control (</w:t>
      </w:r>
      <w:r w:rsidRPr="00D427D8">
        <w:rPr>
          <w:i/>
        </w:rPr>
        <w:t>Geschäftsleitung</w:t>
      </w:r>
      <w:r w:rsidRPr="00D427D8">
        <w:t xml:space="preserve">) in Germany. </w:t>
      </w:r>
      <w:r w:rsidRPr="00D427D8">
        <w:rPr>
          <w:lang w:val="en-US"/>
        </w:rPr>
        <w:t>As a consequence, the foreign corporation would be subject to German resident taxation on its worldwide income, unless certain branch income is tax-exempt according to the provision of any applicable tax treaty. The determination of where the place of effective management and control is located is based on factual circumstances and cannot be made with scientific accuracy. If the German tax authorities and German fiscal courts come to the conclusion that the Issuer maintains its effective place of management and control in Germany, the Issuer</w:t>
      </w:r>
      <w:r w:rsidR="00EF7333" w:rsidRPr="00D427D8">
        <w:rPr>
          <w:lang w:val="en-US"/>
        </w:rPr>
        <w:t>'</w:t>
      </w:r>
      <w:r w:rsidRPr="00D427D8">
        <w:rPr>
          <w:lang w:val="en-US"/>
        </w:rPr>
        <w:t xml:space="preserve">s worldwide income would </w:t>
      </w:r>
      <w:r w:rsidRPr="00D427D8">
        <w:rPr>
          <w:lang w:val="en-US"/>
        </w:rPr>
        <w:lastRenderedPageBreak/>
        <w:t>be subject to German corporate income except for non-German branch income which is tax-exempted according to the provision of any applicable tax treaty; ancillary charges might be assessed additionally.</w:t>
      </w:r>
    </w:p>
    <w:p w14:paraId="18AC9EE3" w14:textId="77777777" w:rsidR="009F6E91" w:rsidRPr="00D427D8" w:rsidRDefault="009F6E91" w:rsidP="009F6E91">
      <w:pPr>
        <w:pStyle w:val="Body1"/>
        <w:rPr>
          <w:lang w:val="en-US"/>
        </w:rPr>
      </w:pPr>
      <w:r w:rsidRPr="00D427D8">
        <w:rPr>
          <w:lang w:val="en-US"/>
        </w:rPr>
        <w:t>A foreign corporation that does not maintain its effective place of management and control in Germany may become subject to limited German corporate income taxation if it maintains a permanent establishment (</w:t>
      </w:r>
      <w:r w:rsidRPr="00D427D8">
        <w:rPr>
          <w:i/>
          <w:lang w:val="en-US"/>
        </w:rPr>
        <w:t>Betriebsstätte</w:t>
      </w:r>
      <w:r w:rsidRPr="00D427D8">
        <w:rPr>
          <w:lang w:val="en-US"/>
        </w:rPr>
        <w:t>) or has a permanent representative (</w:t>
      </w:r>
      <w:r w:rsidRPr="00D427D8">
        <w:rPr>
          <w:i/>
          <w:lang w:val="en-US"/>
        </w:rPr>
        <w:t>Ständiger Vertrete</w:t>
      </w:r>
      <w:r w:rsidRPr="00D427D8">
        <w:rPr>
          <w:lang w:val="en-US"/>
        </w:rPr>
        <w:t xml:space="preserve">r) in Germany. The Issuer does not maintain any business premises or office facilities in Germany. </w:t>
      </w:r>
      <w:r w:rsidRPr="00D427D8">
        <w:t>In addition, the servicing activities of the Servicer should not constitute business being rendered for, and subject to the directions of, the Issuer on a permanent basis such that the Issuer would not have a permanent representative in Germany (</w:t>
      </w:r>
      <w:r w:rsidRPr="00D427D8">
        <w:rPr>
          <w:i/>
          <w:iCs/>
        </w:rPr>
        <w:t>ständiger Vertreter</w:t>
      </w:r>
      <w:r w:rsidRPr="00D427D8">
        <w:t xml:space="preserve">) due to the collection services of the Servicer. </w:t>
      </w:r>
      <w:r w:rsidRPr="00D427D8">
        <w:rPr>
          <w:lang w:val="en-US"/>
        </w:rPr>
        <w:t>The competent German tax authorities are still in the process of determining which elements of the activities of a foreign entity (including having its receivables serviced by a German entity) may create a permanent establishment or a permanent representative of such entity pursuant to German domestic law. Should the German tax authorities and German fiscal courts come to the conclusion that the Issuer maintains a permanent establishment (</w:t>
      </w:r>
      <w:r w:rsidRPr="00D427D8">
        <w:rPr>
          <w:i/>
          <w:lang w:val="en-US"/>
        </w:rPr>
        <w:t>Betriebsstätte</w:t>
      </w:r>
      <w:r w:rsidRPr="00D427D8">
        <w:rPr>
          <w:lang w:val="en-US"/>
        </w:rPr>
        <w:t>) or has a permanent representative (</w:t>
      </w:r>
      <w:r w:rsidRPr="00D427D8">
        <w:rPr>
          <w:i/>
          <w:lang w:val="en-US"/>
        </w:rPr>
        <w:t>Ständiger Vertrete</w:t>
      </w:r>
      <w:r w:rsidRPr="00D427D8">
        <w:rPr>
          <w:lang w:val="en-US"/>
        </w:rPr>
        <w:t>r) in Germany, all income attributable to the functions rendered by the Servicer would be subject to German limited corporate income taxation; plus ancillary charges (if any). Such income might include all refinancing income and expenses of the Issuer and, therefore, the earnings-stripping rule might apply to the interest payable on the issued Notes.</w:t>
      </w:r>
    </w:p>
    <w:p w14:paraId="31583253" w14:textId="77777777" w:rsidR="009F6E91" w:rsidRPr="00D427D8" w:rsidRDefault="009F6E91" w:rsidP="009F6E91">
      <w:pPr>
        <w:pStyle w:val="Body1"/>
      </w:pPr>
      <w:r w:rsidRPr="00D427D8">
        <w:t>Any German corporate income tax and trade tax amounts paid by the Issuer to the German tax authorities would reduce the amounts available for payments under the Notes.</w:t>
      </w:r>
    </w:p>
    <w:p w14:paraId="1F8F550C" w14:textId="77777777" w:rsidR="009F6E91" w:rsidRPr="00D427D8" w:rsidRDefault="009F6E91" w:rsidP="009F6E91">
      <w:pPr>
        <w:pStyle w:val="Body1"/>
        <w:rPr>
          <w:rStyle w:val="BoldItalicText"/>
        </w:rPr>
      </w:pPr>
      <w:r w:rsidRPr="00D427D8">
        <w:rPr>
          <w:rStyle w:val="BoldItalicText"/>
        </w:rPr>
        <w:t>Value Added Tax</w:t>
      </w:r>
    </w:p>
    <w:p w14:paraId="58BE7E5B" w14:textId="5BE6EAD2" w:rsidR="009F6E91" w:rsidRPr="00D427D8" w:rsidRDefault="009F6E91" w:rsidP="009F6E91">
      <w:pPr>
        <w:pStyle w:val="Body1"/>
        <w:rPr>
          <w:lang w:val="en-US"/>
        </w:rPr>
      </w:pPr>
      <w:r w:rsidRPr="00D427D8">
        <w:rPr>
          <w:lang w:val="en-US"/>
        </w:rPr>
        <w:t xml:space="preserve">The VAT position of a foreign Issuer in an ABS-transaction with a German originator was not subject to a decision of the German fiscal courts yet. If the German tax authorities and the German fiscal courts came to the conclusion – either with respect to the complete transaction from the beginning or as of the occurrence of a Servicer Default – that the transaction (as regards the sale and transfer of the Purchased Lease Receivables) qualifies as a taxable factoring supplied by the Issuer to the Seller, the difference between the nominal value of the sold receivables and the purchase price would be subject to German VAT. The person liable for such German VAT would be the Seller unless the Issuer would be treated as maintaining its effective place of management and control or a permanent establishment in Germany; please refer to the preceding paragraph </w:t>
      </w:r>
      <w:r w:rsidR="00EF7333" w:rsidRPr="00D427D8">
        <w:rPr>
          <w:lang w:val="en-US"/>
        </w:rPr>
        <w:t>"</w:t>
      </w:r>
      <w:r w:rsidRPr="00D427D8">
        <w:rPr>
          <w:i/>
        </w:rPr>
        <w:t>Taxes on the income in Germany</w:t>
      </w:r>
      <w:r w:rsidR="00EF7333" w:rsidRPr="00D427D8">
        <w:rPr>
          <w:lang w:val="en-US"/>
        </w:rPr>
        <w:t>"</w:t>
      </w:r>
      <w:r w:rsidRPr="00D427D8">
        <w:rPr>
          <w:lang w:val="en-US"/>
        </w:rPr>
        <w:t xml:space="preserve"> for such risk factor. Should the Issuer be treated as maintaining its effective place of management and control or a permanent establishment in Germany, the Issuer would be the person liable for such German VAT at a VAT rate of 19% calculated on the difference between the nominal value of the Purchased Lease Receivables and the purchase price. Any VAT amounts paid by the Issuer to the German tax authorities not being recoverable from the Seller would reduce the amounts available for payments under the Notes.</w:t>
      </w:r>
    </w:p>
    <w:p w14:paraId="1F025076" w14:textId="7541FA01" w:rsidR="009F6E91" w:rsidRPr="00D427D8" w:rsidRDefault="009F6E91" w:rsidP="009F6E91">
      <w:pPr>
        <w:pStyle w:val="Body1"/>
        <w:rPr>
          <w:lang w:val="en-US"/>
        </w:rPr>
      </w:pPr>
      <w:r w:rsidRPr="00D427D8">
        <w:rPr>
          <w:lang w:val="en-US"/>
        </w:rPr>
        <w:t>As regards the sale and transfer of the Expectancy Rights the transaction will attract German VAT but the Issuer would be entitled to claim such VAT as input VAT from the German Tax Authorities. Should the German tax authorities take a different view and deny the Issuer</w:t>
      </w:r>
      <w:r w:rsidR="00EF7333" w:rsidRPr="00D427D8">
        <w:rPr>
          <w:lang w:val="en-US"/>
        </w:rPr>
        <w:t>'</w:t>
      </w:r>
      <w:r w:rsidRPr="00D427D8">
        <w:rPr>
          <w:lang w:val="en-US"/>
        </w:rPr>
        <w:t xml:space="preserve">s right to claim input VAT in part or to the full extent, the Issuer could suffer an additional cash effective German VAT burden corresponding to 19% of the net purchase price for the Purchased Expectancy Rights. To fund the VAT payable upon purchase of any Expectancy Rights the Issuer will enter into the VAT Bridge Loan Agreement. See </w:t>
      </w:r>
      <w:r w:rsidR="00EF7333" w:rsidRPr="00D427D8">
        <w:t>"</w:t>
      </w:r>
      <w:r w:rsidRPr="00D427D8">
        <w:rPr>
          <w:b/>
          <w:bCs/>
          <w:i/>
          <w:iCs/>
        </w:rPr>
        <w:t xml:space="preserve">OUTLINE OF THE OTHER PRINCIPAL TRANSACTION DOCUMENTS — </w:t>
      </w:r>
      <w:r w:rsidRPr="00D427D8">
        <w:rPr>
          <w:b/>
          <w:bCs/>
          <w:i/>
          <w:iCs/>
          <w:lang w:val="en-US"/>
        </w:rPr>
        <w:t xml:space="preserve">VAT Bridge Loan </w:t>
      </w:r>
      <w:r w:rsidRPr="00D427D8">
        <w:rPr>
          <w:b/>
          <w:bCs/>
          <w:i/>
          <w:iCs/>
        </w:rPr>
        <w:t>Agreement</w:t>
      </w:r>
      <w:r w:rsidR="00EF7333" w:rsidRPr="00D427D8">
        <w:t>"</w:t>
      </w:r>
      <w:r w:rsidRPr="00D427D8">
        <w:t>.</w:t>
      </w:r>
    </w:p>
    <w:p w14:paraId="36D58BD2" w14:textId="77777777" w:rsidR="009F6E91" w:rsidRPr="00D427D8" w:rsidRDefault="009F6E91" w:rsidP="009F6E91">
      <w:pPr>
        <w:pStyle w:val="Body1"/>
        <w:rPr>
          <w:lang w:val="en-US"/>
        </w:rPr>
      </w:pPr>
      <w:r w:rsidRPr="00D427D8">
        <w:rPr>
          <w:lang w:val="en-US"/>
        </w:rPr>
        <w:t>If – after a Servicer Default – the transaction is not classified as factoring by the German tax authorities and the servicing of the Purchased Lease Receivables is assumed by a German back-up servicer then the servicing would attract German VAT if the place of supply of such services is in Germany (either because the Issuer would not be deemed as a taxable person for German VAT purposes and/or would be treated as maintaining its effective place of management and control or a permanent establishment in Germany). In such case the Issuer would not be entitled to a credit or refund of input VAT if it does not qualify as a taxable person for German VAT purposes.</w:t>
      </w:r>
    </w:p>
    <w:p w14:paraId="3961BFAC" w14:textId="77777777" w:rsidR="009F6E91" w:rsidRPr="00D427D8" w:rsidRDefault="009F6E91" w:rsidP="00AC3BD5">
      <w:pPr>
        <w:pStyle w:val="Body1"/>
        <w:keepNext/>
        <w:rPr>
          <w:rStyle w:val="BoldText"/>
        </w:rPr>
      </w:pPr>
      <w:bookmarkStart w:id="31" w:name="_Hlk194008531"/>
      <w:r w:rsidRPr="00D427D8">
        <w:rPr>
          <w:rStyle w:val="BoldText"/>
        </w:rPr>
        <w:t>U.S. Foreign Account Tax Compliance Act</w:t>
      </w:r>
    </w:p>
    <w:bookmarkEnd w:id="31"/>
    <w:p w14:paraId="7602EECA" w14:textId="34B3BBC7" w:rsidR="009F6E91" w:rsidRPr="00D427D8" w:rsidRDefault="009F6E91" w:rsidP="009F6E91">
      <w:pPr>
        <w:pStyle w:val="Body1"/>
        <w:rPr>
          <w:lang w:val="en-US" w:eastAsia="en-US"/>
        </w:rPr>
      </w:pPr>
      <w:r w:rsidRPr="00D427D8">
        <w:rPr>
          <w:lang w:val="en-US" w:eastAsia="en-US"/>
        </w:rPr>
        <w:t>In constellations with a US connection the regulations of the Foreign Account Tax Compliance Act (</w:t>
      </w:r>
      <w:r w:rsidR="00EF7333" w:rsidRPr="00D427D8">
        <w:rPr>
          <w:lang w:val="en-US" w:eastAsia="en-US"/>
        </w:rPr>
        <w:t>"</w:t>
      </w:r>
      <w:r w:rsidRPr="00D427D8">
        <w:rPr>
          <w:rStyle w:val="BoldText"/>
        </w:rPr>
        <w:t>FATCA</w:t>
      </w:r>
      <w:r w:rsidR="00EF7333" w:rsidRPr="00D427D8">
        <w:rPr>
          <w:lang w:val="en-US" w:eastAsia="en-US"/>
        </w:rPr>
        <w:t>"</w:t>
      </w:r>
      <w:r w:rsidRPr="00D427D8">
        <w:rPr>
          <w:lang w:val="en-US" w:eastAsia="en-US"/>
        </w:rPr>
        <w:t xml:space="preserve">) could apply. Under the FATCA regime and the corresponding local regulations in Luxembourg, France and Germany </w:t>
      </w:r>
      <w:r w:rsidRPr="00D427D8">
        <w:rPr>
          <w:lang w:eastAsia="en-US"/>
        </w:rPr>
        <w:t>specific</w:t>
      </w:r>
      <w:r w:rsidRPr="00D427D8">
        <w:rPr>
          <w:lang w:val="en-US" w:eastAsia="en-US"/>
        </w:rPr>
        <w:t xml:space="preserve"> financial and non-financial institutions are required to exchange tax relevant information with the US tax authorities. A non-compliance with such reporting obligations can result in a duty to withhold 30 per cent. U.S. withholding tax on, inter alia, interest and other fixed or determinable annual or periodical </w:t>
      </w:r>
      <w:r w:rsidRPr="00D427D8">
        <w:rPr>
          <w:lang w:val="en-US" w:eastAsia="en-US"/>
        </w:rPr>
        <w:lastRenderedPageBreak/>
        <w:t>income of persons or entities taxable in the US. However, if an amount in respect of such withholding tax were to be deducted or withheld either from amounts due to the Issuer or from interest, principal or other payments made in respect of the Notes, neither the Issuer nor any paying agent nor any other person would, pursuant to the Terms and Conditions of the Notes, be required to pay additional amounts as a result of the deduction or withholding. As a result, investors in the Notes may receive less interest or principal than expected.</w:t>
      </w:r>
    </w:p>
    <w:p w14:paraId="698FBC42" w14:textId="77777777" w:rsidR="009F6E91" w:rsidRPr="00D427D8" w:rsidRDefault="009F6E91" w:rsidP="00634246">
      <w:pPr>
        <w:pStyle w:val="Body1"/>
        <w:keepNext/>
        <w:rPr>
          <w:rStyle w:val="BoldText"/>
        </w:rPr>
      </w:pPr>
      <w:r w:rsidRPr="00D427D8">
        <w:rPr>
          <w:rStyle w:val="BoldText"/>
        </w:rPr>
        <w:t>ATAD Laws and ATAD 3 Proposal</w:t>
      </w:r>
    </w:p>
    <w:p w14:paraId="4A361A00" w14:textId="2FF7F852" w:rsidR="009F6E91" w:rsidRPr="00D427D8" w:rsidRDefault="009F6E91" w:rsidP="009F6E91">
      <w:pPr>
        <w:pStyle w:val="Body1"/>
      </w:pPr>
      <w:bookmarkStart w:id="32" w:name="_Hlk60150346"/>
      <w:r w:rsidRPr="00D427D8">
        <w:t xml:space="preserve">The Issuer is liable to Luxembourg corporate income tax on its worldwide net profits. The Luxembourg laws of 21 December 2018, which implements the Council Directive (EU) 2016/1164 of 12 July 2016 laying down rules against tax avoidance practices that directly affect the functioning of the internal market (commonly known as </w:t>
      </w:r>
      <w:r w:rsidR="00EF7333" w:rsidRPr="00D427D8">
        <w:t>"</w:t>
      </w:r>
      <w:r w:rsidRPr="00D427D8">
        <w:rPr>
          <w:rStyle w:val="BoldText"/>
        </w:rPr>
        <w:t>ATAD</w:t>
      </w:r>
      <w:r w:rsidR="00EF7333" w:rsidRPr="00D427D8">
        <w:t>"</w:t>
      </w:r>
      <w:r w:rsidRPr="00D427D8">
        <w:t xml:space="preserve">) and the Luxembourg law of 20 December 2019 implementing the Council Directive (EU) 2017/952 of 29 May 2019 regarding hybrid mismatches with third countries (commonly known as ATAD 2), together known as the </w:t>
      </w:r>
      <w:r w:rsidR="00EF7333" w:rsidRPr="00D427D8">
        <w:t>"</w:t>
      </w:r>
      <w:r w:rsidRPr="00D427D8">
        <w:rPr>
          <w:rStyle w:val="BoldText"/>
        </w:rPr>
        <w:t>ATAD Laws</w:t>
      </w:r>
      <w:r w:rsidR="00EF7333" w:rsidRPr="00D427D8">
        <w:t>"</w:t>
      </w:r>
      <w:r w:rsidRPr="00D427D8">
        <w:t xml:space="preserve">, introduced new tax measures into Luxembourg law, including among others a limitation as regards so-called </w:t>
      </w:r>
      <w:r w:rsidR="00EF7333" w:rsidRPr="00D427D8">
        <w:t>"</w:t>
      </w:r>
      <w:r w:rsidRPr="00D427D8">
        <w:t>exceeding borrowing costs</w:t>
      </w:r>
      <w:r w:rsidR="00EF7333" w:rsidRPr="00D427D8">
        <w:t>"</w:t>
      </w:r>
      <w:r w:rsidRPr="00D427D8">
        <w:t xml:space="preserve"> and hybrid mismatch rules. Whilst certain exemptions and safe harbour provisions (for example, exceeding borrowing costs up to 3 million euro will always remain deductible) exist in relation to the limitation of exceeding borrowing costs, these new rules may in certain situations result in the limitation respectively the denial of the deduction of payments to investors for Luxembourg tax purposes, which may adversely affect the income tax position of the Issuer and as such affect generally its ability to make payments to the holders of the Notes. According to the December infringement package published by the European Commission on 2 December 2021, the European Commission sent a reasoned opinion to Luxembourg asking it to correctly transpose the ATAD into its local laws regarding the treatment of securitisation vehicles subject to and compliant with the Securitisation Regulation. Under current Luxembourg law and contrary to the wording of the ATAD, securitisation companies covered by the Securitisation Regulation are excluded from the scope of the interest deduction limitation rules. The reasoned opinion follows a formal notice sent to Luxembourg on 14 May 2020. In response, Luxembourg adopted a bill of law on 9 March 2022 to remove securitisation vehicles subject to and compliant with the Securitisation Regulation from the list of financial undertakings that are out of scope of the interest deduction limitation rule as from 1 January 2023. Given the absence of ratification of the bill of law so far, the European Commission considered Luxembourg</w:t>
      </w:r>
      <w:r w:rsidR="00EF7333" w:rsidRPr="00D427D8">
        <w:t>'</w:t>
      </w:r>
      <w:r w:rsidRPr="00D427D8">
        <w:t>s reply to its reasoned opinion as not satisfactory and decided, on 14 July 2023, to refer Luxembourg to the ECJ for failing to correctly transpose ATAD. The action was brought on 20 February 2024 to the ECJ by the European Commission. The outcome of an ECJ court case and/or of the bill of law, and the impacts on the Issuer, if any, as well as whether such outcome/impacts ultimately will or will not have a retroactive effect remain uncertain and may as such negatively impact this opinion or alter the tax position of the Issuer.</w:t>
      </w:r>
    </w:p>
    <w:p w14:paraId="18904CAA" w14:textId="77777777" w:rsidR="009F6E91" w:rsidRPr="00D427D8" w:rsidRDefault="009F6E91" w:rsidP="009F6E91">
      <w:pPr>
        <w:pStyle w:val="Body1"/>
      </w:pPr>
      <w:r w:rsidRPr="00D427D8">
        <w:t>In any case, clarifications as regards the ATAD Laws and their interpretation may be enacted after the date of this Prospectus, possibly with retroactive effect, and could alter the tax position of the Issuer. In addition, the Issuer may take positions with respect to certain tax issues resulting from the ATAD Laws which may depend on legal conclusions not yet resolved by the courts. Should any such positions be successfully challenged by the applicable tax authority, there could be a materially adverse effect on the Issuer and its ability to make payments to the holders of the Notes.</w:t>
      </w:r>
    </w:p>
    <w:p w14:paraId="72D9E75A" w14:textId="5B009060" w:rsidR="009F6E91" w:rsidRPr="00D427D8" w:rsidRDefault="009F6E91" w:rsidP="009F6E91">
      <w:pPr>
        <w:pStyle w:val="Body1"/>
      </w:pPr>
      <w:r w:rsidRPr="00D427D8">
        <w:t xml:space="preserve">In addition, on 22 December 2021, the Council of the European Union published the proposal for a Council Directive laying down rules to prevent the misuse of shell entities for tax purposes and amending Directive 2011/16/EU (the </w:t>
      </w:r>
      <w:r w:rsidR="00EF7333" w:rsidRPr="00D427D8">
        <w:t>"</w:t>
      </w:r>
      <w:r w:rsidRPr="00D427D8">
        <w:rPr>
          <w:rStyle w:val="BoldText"/>
        </w:rPr>
        <w:t>ATAD 3 Proposal</w:t>
      </w:r>
      <w:r w:rsidR="00EF7333" w:rsidRPr="00D427D8">
        <w:t>"</w:t>
      </w:r>
      <w:r w:rsidRPr="00D427D8">
        <w:t>). Under the ATAD 3 Proposal, reporting obligations would be imposed on certain entities resident in a Member State for tax purposes. If these entities qualify as shell entities, they would not be able to access the benefits of the tax treaty network of its Member State nor to qualify for benefits under Council Directive 2011/96EU of 30 November 2011, as amended (known as the EU parent-subsidiary directive) and/or Council Directive 2003/49/EC of 3 June 2003, as amended (known as the EU interest and royalties directive). Furthermore, they would not be entitled to a certificate of tax residence to the extent that such certificate serves to obtain any of these benefits. Member States are expected to apply the provisions of the ATAD 3 Proposal as from 1 January 2024.</w:t>
      </w:r>
    </w:p>
    <w:p w14:paraId="2C8D607B" w14:textId="77777777" w:rsidR="009F6E91" w:rsidRPr="00D427D8" w:rsidRDefault="009F6E91" w:rsidP="009F6E91">
      <w:pPr>
        <w:pStyle w:val="Body1"/>
      </w:pPr>
      <w:r w:rsidRPr="00D427D8">
        <w:t>Securitisation companies covered by and compliant with Article 2 point 2 of the Securitisation Regulation are excluded from the scope of the current version of the ATAD 3 Proposal. However, the ATAD 3 Proposal is still subject to negotiation and the final text of the ATAD 3 Proposal as well as its implementation into local laws remain currently uncertain. Consequently, the possible impacts of the ATAD 3 Proposal on the Issuer remain currently unknown.</w:t>
      </w:r>
    </w:p>
    <w:p w14:paraId="46BB2108" w14:textId="77777777" w:rsidR="009F6E91" w:rsidRPr="00D427D8" w:rsidRDefault="009F6E91" w:rsidP="009F6E91">
      <w:pPr>
        <w:pStyle w:val="Body1"/>
        <w:rPr>
          <w:lang w:eastAsia="en-US"/>
        </w:rPr>
      </w:pPr>
      <w:r w:rsidRPr="00D427D8">
        <w:lastRenderedPageBreak/>
        <w:t>Therefore, prospective holders of the Notes should make an investment decision only after careful consideration, with its independent advisers, as to the consequences of the ATAD Laws as well as to the evolution of the ATAD 3 Proposal and its potential impacts on the Issuer.</w:t>
      </w:r>
      <w:bookmarkEnd w:id="32"/>
    </w:p>
    <w:p w14:paraId="13EEFB4A" w14:textId="77777777" w:rsidR="009F6E91" w:rsidRPr="00D427D8" w:rsidRDefault="009F6E91" w:rsidP="00634246">
      <w:pPr>
        <w:pStyle w:val="Body1"/>
        <w:keepNext/>
        <w:rPr>
          <w:rStyle w:val="BoldText"/>
        </w:rPr>
      </w:pPr>
      <w:r w:rsidRPr="00D427D8">
        <w:rPr>
          <w:rStyle w:val="BoldText"/>
        </w:rPr>
        <w:t>No gross up of payments</w:t>
      </w:r>
    </w:p>
    <w:p w14:paraId="522AEF05" w14:textId="77777777" w:rsidR="009F6E91" w:rsidRPr="00D427D8" w:rsidRDefault="009F6E91" w:rsidP="009F6E91">
      <w:pPr>
        <w:pStyle w:val="Body1"/>
        <w:rPr>
          <w:lang w:val="en-US"/>
        </w:rPr>
      </w:pPr>
      <w:r w:rsidRPr="00D427D8">
        <w:rPr>
          <w:lang w:val="en-US"/>
        </w:rPr>
        <w:t>The Notes will not provide for gross-up of payments in the event that the payments on the Notes become subject to withholding taxes, so that in case the Issuer would have to withhold payments due under the Notes for tax reasons, the Noteholders would receive reduced payments only.</w:t>
      </w:r>
    </w:p>
    <w:p w14:paraId="542061F1" w14:textId="77777777" w:rsidR="009F6E91" w:rsidRPr="00D427D8" w:rsidRDefault="009F6E91" w:rsidP="00EF7333">
      <w:pPr>
        <w:pStyle w:val="Body1"/>
      </w:pPr>
      <w:r w:rsidRPr="00D427D8">
        <w:br w:type="page"/>
      </w:r>
    </w:p>
    <w:p w14:paraId="795A2D32" w14:textId="77777777" w:rsidR="009F6E91" w:rsidRPr="00D427D8" w:rsidRDefault="009F6E91" w:rsidP="00634246">
      <w:pPr>
        <w:pStyle w:val="CentredHeading"/>
      </w:pPr>
      <w:bookmarkStart w:id="33" w:name="_Toc194046495"/>
      <w:bookmarkStart w:id="34" w:name="_Toc198539654"/>
      <w:r w:rsidRPr="00D427D8">
        <w:lastRenderedPageBreak/>
        <w:t>RESPONSIBILITY</w:t>
      </w:r>
      <w:bookmarkEnd w:id="33"/>
      <w:bookmarkEnd w:id="34"/>
    </w:p>
    <w:p w14:paraId="1384BE6B" w14:textId="77777777" w:rsidR="009F6E91" w:rsidRPr="00D427D8" w:rsidRDefault="009F6E91" w:rsidP="00EF7333">
      <w:pPr>
        <w:pStyle w:val="Body1"/>
        <w:rPr>
          <w:rStyle w:val="Heading1Text"/>
        </w:rPr>
      </w:pPr>
      <w:r w:rsidRPr="00D427D8">
        <w:rPr>
          <w:rStyle w:val="Heading1Text"/>
        </w:rPr>
        <w:t>Responsible Persons</w:t>
      </w:r>
    </w:p>
    <w:p w14:paraId="6689CE09" w14:textId="6FE21236" w:rsidR="009F6E91" w:rsidRPr="00D427D8" w:rsidRDefault="009F6E91" w:rsidP="009F6E91">
      <w:pPr>
        <w:pStyle w:val="Body1"/>
      </w:pPr>
      <w:r w:rsidRPr="00D427D8">
        <w:t xml:space="preserve">The Notes and interest thereon are solely contractual obligations of the Issuer. The Notes are not obligations or responsibilities of, or guaranteed by, any other entity and in particular any party to a Transaction Document (each a </w:t>
      </w:r>
      <w:r w:rsidR="00EF7333" w:rsidRPr="00D427D8">
        <w:t>"</w:t>
      </w:r>
      <w:r w:rsidRPr="00D427D8">
        <w:rPr>
          <w:rStyle w:val="BoldText"/>
        </w:rPr>
        <w:t>Transaction Party</w:t>
      </w:r>
      <w:r w:rsidR="00EF7333" w:rsidRPr="00D427D8">
        <w:t>"</w:t>
      </w:r>
      <w:r w:rsidRPr="00D427D8">
        <w:t>) or any of their respective affiliates other than the Issuer. Furthermore, no person, other than the Issuer, accepts any liability whatsoever to the Noteholders in respect of any failure by the Issuer to pay any amount due under the Notes.</w:t>
      </w:r>
    </w:p>
    <w:p w14:paraId="4FB20DD4" w14:textId="77777777" w:rsidR="009F6E91" w:rsidRPr="00D427D8" w:rsidRDefault="009F6E91" w:rsidP="009F6E91">
      <w:pPr>
        <w:pStyle w:val="Body1"/>
      </w:pPr>
      <w:r w:rsidRPr="00D427D8">
        <w:t>The Issuer accepts full responsibility for the information contained in this Prospectus (other than the information for which any other entity accepts responsibility below and in respect of which the Issuer confirms has been accurately reproduced in this Prospectus). Subject to the foregoing, the Issuer has taken all reasonable care to ensure that the information given in this Prospectus is to the best of its knowledge, in accordance with the facts and does not omit anything likely to affect its import and the Issuer has taken all reasonable care to ensure that the information stated herein is true and accurate in all material respects and that there are no other material facts the omission of which would make misleading any statement herein.</w:t>
      </w:r>
    </w:p>
    <w:p w14:paraId="7CC960B1" w14:textId="77777777" w:rsidR="009F6E91" w:rsidRPr="00D427D8" w:rsidRDefault="009F6E91" w:rsidP="009F6E91">
      <w:pPr>
        <w:pStyle w:val="Body1"/>
      </w:pPr>
      <w:r w:rsidRPr="00D427D8">
        <w:t>The Issuer is exclusively responsible for the information disclosed in this Prospectus.</w:t>
      </w:r>
    </w:p>
    <w:p w14:paraId="548F6EF8" w14:textId="77777777" w:rsidR="009F6E91" w:rsidRPr="00D427D8" w:rsidRDefault="009F6E91" w:rsidP="009F6E91">
      <w:pPr>
        <w:pStyle w:val="Body1"/>
      </w:pPr>
      <w:r w:rsidRPr="00D427D8">
        <w:t>With respect to any information included herein and specified to be sourced from a third party (i) the Issuer confirms and assumes responsibility that any such information has been accurately reproduced and as far as the Issuer is aware and is able to ascertain from information available to it from such third party, no facts have been omitted, the omission of which would render the reproduced information inaccurate or misleading and (ii) the Issuer has not independently verified any such information and accepts no responsibility for the accuracy thereof.</w:t>
      </w:r>
    </w:p>
    <w:p w14:paraId="1DA105EC" w14:textId="4E2C8E18" w:rsidR="009F6E91" w:rsidRPr="00D427D8" w:rsidRDefault="009F6E91" w:rsidP="009F6E91">
      <w:pPr>
        <w:pStyle w:val="Body1"/>
      </w:pPr>
      <w:r w:rsidRPr="00D427D8">
        <w:t xml:space="preserve">Stellantis Bank provided the information contained in section </w:t>
      </w:r>
      <w:r w:rsidR="00EF7333" w:rsidRPr="00D427D8">
        <w:t>"</w:t>
      </w:r>
      <w:r w:rsidRPr="00D427D8">
        <w:rPr>
          <w:rStyle w:val="BoldText"/>
        </w:rPr>
        <w:t>Description of the Parties - Other Parties - The Seller, the Servicer, the Lender and the Subordinated Lender</w:t>
      </w:r>
      <w:r w:rsidR="00EF7333" w:rsidRPr="00D427D8">
        <w:t>"</w:t>
      </w:r>
      <w:r w:rsidRPr="00D427D8">
        <w:t xml:space="preserve"> and the section </w:t>
      </w:r>
      <w:r w:rsidR="00EF7333" w:rsidRPr="00D427D8">
        <w:t>"</w:t>
      </w:r>
      <w:r w:rsidRPr="00D427D8">
        <w:rPr>
          <w:rStyle w:val="BoldText"/>
        </w:rPr>
        <w:t>The Seller</w:t>
      </w:r>
      <w:r w:rsidR="00B12D53" w:rsidRPr="00D427D8">
        <w:rPr>
          <w:rStyle w:val="BoldText"/>
        </w:rPr>
        <w:t xml:space="preserve"> and</w:t>
      </w:r>
      <w:r w:rsidRPr="00D427D8">
        <w:rPr>
          <w:rStyle w:val="BoldText"/>
        </w:rPr>
        <w:t xml:space="preserve"> the Servicer</w:t>
      </w:r>
      <w:r w:rsidR="00EF7333" w:rsidRPr="00D427D8">
        <w:t>"</w:t>
      </w:r>
      <w:r w:rsidRPr="00D427D8">
        <w:t>.</w:t>
      </w:r>
    </w:p>
    <w:p w14:paraId="456D02CE" w14:textId="58317DBB" w:rsidR="009F6E91" w:rsidRPr="00D427D8" w:rsidRDefault="009F6E91" w:rsidP="009F6E91">
      <w:pPr>
        <w:pStyle w:val="Body1"/>
      </w:pPr>
      <w:r w:rsidRPr="00D427D8">
        <w:t xml:space="preserve">The Data Protection Trustee provided the information contained in the section entitled </w:t>
      </w:r>
      <w:r w:rsidR="00EF7333" w:rsidRPr="00D427D8">
        <w:t>"</w:t>
      </w:r>
      <w:r w:rsidRPr="00D427D8">
        <w:rPr>
          <w:rStyle w:val="BoldText"/>
        </w:rPr>
        <w:t>Description of the Parties - Other Parties - The Data Protection Trustee</w:t>
      </w:r>
      <w:r w:rsidR="00EF7333" w:rsidRPr="00D427D8">
        <w:t>"</w:t>
      </w:r>
      <w:r w:rsidRPr="00D427D8">
        <w:t>.</w:t>
      </w:r>
    </w:p>
    <w:p w14:paraId="02116B09" w14:textId="436A8FB7" w:rsidR="009F6E91" w:rsidRPr="00D427D8" w:rsidRDefault="009F6E91" w:rsidP="009F6E91">
      <w:pPr>
        <w:pStyle w:val="Body1"/>
      </w:pPr>
      <w:r w:rsidRPr="00D427D8">
        <w:t xml:space="preserve">The Account Bank provided the information contained in the section entitled </w:t>
      </w:r>
      <w:r w:rsidR="00EF7333" w:rsidRPr="00D427D8">
        <w:t>"</w:t>
      </w:r>
      <w:r w:rsidRPr="00D427D8">
        <w:rPr>
          <w:rStyle w:val="BoldText"/>
        </w:rPr>
        <w:t>Description of the Parties - Other Parties - The Account Bank</w:t>
      </w:r>
      <w:r w:rsidR="00EF7333" w:rsidRPr="00D427D8">
        <w:t>"</w:t>
      </w:r>
      <w:r w:rsidRPr="00D427D8">
        <w:t xml:space="preserve"> and for the rating information in the section </w:t>
      </w:r>
      <w:r w:rsidR="00EF7333" w:rsidRPr="00D427D8">
        <w:t>"</w:t>
      </w:r>
      <w:r w:rsidRPr="00D427D8">
        <w:rPr>
          <w:rStyle w:val="BoldText"/>
        </w:rPr>
        <w:t>Issuer Accounts</w:t>
      </w:r>
      <w:r w:rsidR="00EF7333" w:rsidRPr="00D427D8">
        <w:t>"</w:t>
      </w:r>
      <w:r w:rsidRPr="00D427D8">
        <w:t>.</w:t>
      </w:r>
    </w:p>
    <w:p w14:paraId="7143F5B5" w14:textId="7BB68AA4" w:rsidR="009F6E91" w:rsidRPr="00D427D8" w:rsidRDefault="009F6E91" w:rsidP="009F6E91">
      <w:pPr>
        <w:pStyle w:val="Body1"/>
      </w:pPr>
      <w:r w:rsidRPr="00D427D8">
        <w:t xml:space="preserve">The Paying Agent provided the information contained in the section entitled </w:t>
      </w:r>
      <w:r w:rsidR="00EF7333" w:rsidRPr="00D427D8">
        <w:t>"</w:t>
      </w:r>
      <w:r w:rsidRPr="00D427D8">
        <w:rPr>
          <w:rStyle w:val="BoldText"/>
        </w:rPr>
        <w:t>Description of the Parties - Other Parties - The Paying Agent</w:t>
      </w:r>
      <w:r w:rsidR="00EF7333" w:rsidRPr="00D427D8">
        <w:t>"</w:t>
      </w:r>
      <w:r w:rsidRPr="00D427D8">
        <w:t>.</w:t>
      </w:r>
    </w:p>
    <w:p w14:paraId="57361EDC" w14:textId="0401A527" w:rsidR="009F6E91" w:rsidRPr="00D427D8" w:rsidRDefault="009F6E91" w:rsidP="009F6E91">
      <w:pPr>
        <w:pStyle w:val="Body1"/>
      </w:pPr>
      <w:r w:rsidRPr="00D427D8">
        <w:t xml:space="preserve">The Calculation Agent provided the information contained in the section entitled </w:t>
      </w:r>
      <w:r w:rsidR="00EF7333" w:rsidRPr="00D427D8">
        <w:t>"</w:t>
      </w:r>
      <w:r w:rsidRPr="00D427D8">
        <w:rPr>
          <w:rStyle w:val="BoldText"/>
        </w:rPr>
        <w:t xml:space="preserve">Description of the Parties - Other Parties - The </w:t>
      </w:r>
      <w:r w:rsidR="00EF7333" w:rsidRPr="00D427D8">
        <w:rPr>
          <w:rStyle w:val="BoldText"/>
        </w:rPr>
        <w:t>"</w:t>
      </w:r>
      <w:r w:rsidRPr="00D427D8">
        <w:rPr>
          <w:rStyle w:val="BoldText"/>
        </w:rPr>
        <w:t>Calculation Agent</w:t>
      </w:r>
      <w:r w:rsidR="00EF7333" w:rsidRPr="00D427D8">
        <w:t>"</w:t>
      </w:r>
      <w:r w:rsidRPr="00D427D8">
        <w:t>.</w:t>
      </w:r>
    </w:p>
    <w:p w14:paraId="524AC34D" w14:textId="15FD5FD2" w:rsidR="009F6E91" w:rsidRPr="00D427D8" w:rsidRDefault="009F6E91" w:rsidP="009F6E91">
      <w:pPr>
        <w:pStyle w:val="Body1"/>
      </w:pPr>
      <w:bookmarkStart w:id="35" w:name="_Hlk141895837"/>
      <w:r w:rsidRPr="00D427D8">
        <w:t xml:space="preserve">The Reporting Agent provided the information contained in the section entitled </w:t>
      </w:r>
      <w:r w:rsidR="00EF7333" w:rsidRPr="00D427D8">
        <w:t>"</w:t>
      </w:r>
      <w:r w:rsidRPr="00D427D8">
        <w:rPr>
          <w:rStyle w:val="BoldText"/>
        </w:rPr>
        <w:t>Description of the Parties - Other Parties - The Reporting Agent</w:t>
      </w:r>
      <w:r w:rsidR="00EF7333" w:rsidRPr="00D427D8">
        <w:t>"</w:t>
      </w:r>
      <w:r w:rsidRPr="00D427D8">
        <w:t>.</w:t>
      </w:r>
    </w:p>
    <w:p w14:paraId="19333199" w14:textId="3E0FE9F2" w:rsidR="009F6E91" w:rsidRPr="00D427D8" w:rsidRDefault="009F6E91" w:rsidP="009F6E91">
      <w:pPr>
        <w:pStyle w:val="Body1"/>
      </w:pPr>
      <w:r w:rsidRPr="00D427D8">
        <w:t xml:space="preserve">The Counterparty provided the information contained in the section entitled </w:t>
      </w:r>
      <w:r w:rsidR="00EF7333" w:rsidRPr="00D427D8">
        <w:t>"</w:t>
      </w:r>
      <w:r w:rsidRPr="00D427D8">
        <w:rPr>
          <w:rStyle w:val="BoldText"/>
        </w:rPr>
        <w:t>Description of the Parties – Other Parties - The Counterparty</w:t>
      </w:r>
      <w:r w:rsidR="00EF7333" w:rsidRPr="00D427D8">
        <w:t>"</w:t>
      </w:r>
      <w:r w:rsidRPr="00D427D8">
        <w:t>.</w:t>
      </w:r>
    </w:p>
    <w:bookmarkEnd w:id="35"/>
    <w:p w14:paraId="5C027F24" w14:textId="30B1A10B" w:rsidR="009F6E91" w:rsidRPr="00D427D8" w:rsidRDefault="009F6E91" w:rsidP="009F6E91">
      <w:pPr>
        <w:pStyle w:val="Body1"/>
      </w:pPr>
      <w:r w:rsidRPr="00D427D8">
        <w:t xml:space="preserve">The Collateral Agent provided the information contained in the section entitled </w:t>
      </w:r>
      <w:r w:rsidR="00EF7333" w:rsidRPr="00D427D8">
        <w:t>"</w:t>
      </w:r>
      <w:r w:rsidRPr="00D427D8">
        <w:rPr>
          <w:rStyle w:val="BoldText"/>
        </w:rPr>
        <w:t>Description of the Parties – Other Parties - The Collateral Agent</w:t>
      </w:r>
      <w:r w:rsidR="00EF7333" w:rsidRPr="00D427D8">
        <w:t>"</w:t>
      </w:r>
      <w:r w:rsidRPr="00D427D8">
        <w:t>.</w:t>
      </w:r>
    </w:p>
    <w:p w14:paraId="66D469A2" w14:textId="72F9E4A5" w:rsidR="009F6E91" w:rsidRPr="00D427D8" w:rsidRDefault="009F6E91" w:rsidP="009F6E91">
      <w:pPr>
        <w:pStyle w:val="Body1"/>
      </w:pPr>
      <w:r w:rsidRPr="00D427D8">
        <w:t xml:space="preserve">The ER Collateral Agent provided the information contained in the section entitled </w:t>
      </w:r>
      <w:r w:rsidR="00EF7333" w:rsidRPr="00D427D8">
        <w:t>"</w:t>
      </w:r>
      <w:r w:rsidRPr="00D427D8">
        <w:rPr>
          <w:rStyle w:val="BoldText"/>
        </w:rPr>
        <w:t>Description of the Parties – Other Parties - The ER Collateral Agent</w:t>
      </w:r>
      <w:r w:rsidR="00EF7333" w:rsidRPr="00D427D8">
        <w:t>"</w:t>
      </w:r>
      <w:r w:rsidRPr="00D427D8">
        <w:t>.</w:t>
      </w:r>
    </w:p>
    <w:p w14:paraId="7DE558B8" w14:textId="7AE04A86" w:rsidR="009F6E91" w:rsidRPr="00D427D8" w:rsidRDefault="009F6E91" w:rsidP="009F6E91">
      <w:pPr>
        <w:pStyle w:val="Body1"/>
      </w:pPr>
      <w:r w:rsidRPr="00D427D8">
        <w:t xml:space="preserve">The Corporate Services Provider provided the information contained in the section entitled </w:t>
      </w:r>
      <w:r w:rsidR="00EF7333" w:rsidRPr="00D427D8">
        <w:t>"</w:t>
      </w:r>
      <w:r w:rsidRPr="00D427D8">
        <w:rPr>
          <w:rStyle w:val="BoldText"/>
        </w:rPr>
        <w:t>Description of the Parties – Other Parties - The Corporate Services Provider</w:t>
      </w:r>
      <w:r w:rsidR="00EF7333" w:rsidRPr="00D427D8">
        <w:t>"</w:t>
      </w:r>
      <w:r w:rsidRPr="00D427D8">
        <w:t>.</w:t>
      </w:r>
    </w:p>
    <w:p w14:paraId="6289881F" w14:textId="21DBC06A" w:rsidR="009F6E91" w:rsidRPr="00D427D8" w:rsidRDefault="009F6E91" w:rsidP="009F6E91">
      <w:pPr>
        <w:pStyle w:val="Body1"/>
      </w:pPr>
      <w:r w:rsidRPr="00D427D8">
        <w:t xml:space="preserve">The Back-up Servicer Facilitator provided the information contained in the section entitled </w:t>
      </w:r>
      <w:r w:rsidR="00EF7333" w:rsidRPr="00D427D8">
        <w:t>"</w:t>
      </w:r>
      <w:r w:rsidRPr="00D427D8">
        <w:rPr>
          <w:rStyle w:val="BoldText"/>
        </w:rPr>
        <w:t>Description of the Parties – Other Parties - The Back-up Servicer Facilitator</w:t>
      </w:r>
      <w:r w:rsidR="00EF7333" w:rsidRPr="00D427D8">
        <w:t>"</w:t>
      </w:r>
      <w:r w:rsidRPr="00D427D8">
        <w:t>.</w:t>
      </w:r>
    </w:p>
    <w:p w14:paraId="51380213" w14:textId="77777777" w:rsidR="009F6E91" w:rsidRPr="00D427D8" w:rsidRDefault="009F6E91" w:rsidP="009F6E91">
      <w:pPr>
        <w:pStyle w:val="Body1"/>
      </w:pPr>
      <w:r w:rsidRPr="00D427D8">
        <w:lastRenderedPageBreak/>
        <w:t>Stellantis Bank hereby declares that, to the best of its knowledge and belief (having taken all reasonable care to ensure that such is the case), all information contained herein for which Stellantis Bank provided is in accordance with the facts and does not omit anything likely to affect the import of such information.</w:t>
      </w:r>
    </w:p>
    <w:p w14:paraId="6CB4738F" w14:textId="77777777" w:rsidR="009F6E91" w:rsidRPr="00D427D8" w:rsidRDefault="009F6E91" w:rsidP="009F6E91">
      <w:pPr>
        <w:pStyle w:val="Body1"/>
      </w:pPr>
      <w:r w:rsidRPr="00D427D8">
        <w:t>The Data Protection Trustee hereby declares that, to the best of its knowledge and belief (having taken all reasonable care to ensure that such is the case), all information contained herein for which the Data Protection Trustee provided is in accordance with the facts and does not omit anything likely to affect the import of such information.</w:t>
      </w:r>
    </w:p>
    <w:p w14:paraId="61C21AED" w14:textId="77777777" w:rsidR="009F6E91" w:rsidRPr="00D427D8" w:rsidRDefault="009F6E91" w:rsidP="009F6E91">
      <w:pPr>
        <w:pStyle w:val="Body1"/>
      </w:pPr>
      <w:r w:rsidRPr="00D427D8">
        <w:t>The Account Bank hereby declares that, to the best of its knowledge and belief (having taken all reasonable care to ensure that such is the case), all information contained herein for which the Account Bank provided is in accordance with the facts and does not omit anything likely to affect the import of such information.</w:t>
      </w:r>
    </w:p>
    <w:p w14:paraId="6E8FD82D" w14:textId="77777777" w:rsidR="009F6E91" w:rsidRPr="00D427D8" w:rsidRDefault="009F6E91" w:rsidP="009F6E91">
      <w:pPr>
        <w:pStyle w:val="Body1"/>
      </w:pPr>
      <w:r w:rsidRPr="00D427D8">
        <w:t>The Paying Agent hereby declares that, to the best of its knowledge and belief (having taken all reasonable care to ensure that such is the case), all information contained herein for which the Paying Agent provided is in accordance with the facts and does not omit anything likely to affect the import of such information.</w:t>
      </w:r>
    </w:p>
    <w:p w14:paraId="1F652DA3" w14:textId="77777777" w:rsidR="009F6E91" w:rsidRPr="00D427D8" w:rsidRDefault="009F6E91" w:rsidP="009F6E91">
      <w:pPr>
        <w:pStyle w:val="Body1"/>
      </w:pPr>
      <w:r w:rsidRPr="00D427D8">
        <w:t>The Calculation Agent hereby declares that, to the best of its knowledge and belief (having taken all reasonable care to ensure that such is the case), all information contained herein for which the Calculation Agent provided is in accordance with the facts and does not omit anything likely to affect the import of such information.</w:t>
      </w:r>
    </w:p>
    <w:p w14:paraId="0794804A" w14:textId="77777777" w:rsidR="009F6E91" w:rsidRPr="00D427D8" w:rsidRDefault="009F6E91" w:rsidP="009F6E91">
      <w:pPr>
        <w:pStyle w:val="Body1"/>
      </w:pPr>
      <w:r w:rsidRPr="00D427D8">
        <w:t>The Reporting Agent hereby declares that, to the best of its knowledge and belief (having taken all reasonable care to ensure that such is the case), all information contained herein for which the Reporting Agent provided is in accordance with the facts and does not omit anything likely to affect the import of such information.</w:t>
      </w:r>
    </w:p>
    <w:p w14:paraId="670A4197" w14:textId="77777777" w:rsidR="009F6E91" w:rsidRPr="00D427D8" w:rsidRDefault="009F6E91" w:rsidP="009F6E91">
      <w:pPr>
        <w:pStyle w:val="Body1"/>
      </w:pPr>
      <w:r w:rsidRPr="00D427D8">
        <w:t>The Counterparty hereby declares that, to the best of its knowledge and belief (having taken all reasonable care to ensure that such is the case), all information contained herein for which the Counterparty provided in accordance with the facts and does not omit anything likely to affect the import of such information.</w:t>
      </w:r>
    </w:p>
    <w:p w14:paraId="0F832C3A" w14:textId="77777777" w:rsidR="009F6E91" w:rsidRPr="00D427D8" w:rsidRDefault="009F6E91" w:rsidP="009F6E91">
      <w:pPr>
        <w:pStyle w:val="Body1"/>
      </w:pPr>
      <w:r w:rsidRPr="00D427D8">
        <w:t>The Collateral Agent hereby declares that, to the best of its knowledge and belief (having taken all reasonable care to ensure that such is the case), all information contained herein for which the Collateral Agent provided in accordance with the facts and does not omit anything likely to affect the import of such information.</w:t>
      </w:r>
    </w:p>
    <w:p w14:paraId="364475E7" w14:textId="77777777" w:rsidR="009F6E91" w:rsidRPr="00D427D8" w:rsidRDefault="009F6E91" w:rsidP="009F6E91">
      <w:pPr>
        <w:pStyle w:val="Body1"/>
      </w:pPr>
      <w:r w:rsidRPr="00D427D8">
        <w:t>The ER Collateral Agent hereby declares that, to the best of its knowledge and belief (having taken all reasonable care to ensure that such is the case), all information contained herein for which the ER Collateral Agent provided in accordance with the facts and does not omit anything likely to affect the import of such information.</w:t>
      </w:r>
    </w:p>
    <w:p w14:paraId="7B6BE7AC" w14:textId="77777777" w:rsidR="009F6E91" w:rsidRPr="00D427D8" w:rsidRDefault="009F6E91" w:rsidP="009F6E91">
      <w:pPr>
        <w:pStyle w:val="Body1"/>
      </w:pPr>
      <w:r w:rsidRPr="00D427D8">
        <w:t>The Corporate Services Provider hereby declares that, to the best of its knowledge and belief (having taken all reasonable care to ensure that such is the case), all information contained herein for which the Corporate Services Provider provided is in accordance with the facts and does not omit anything likely to affect the import of such information.</w:t>
      </w:r>
    </w:p>
    <w:p w14:paraId="75A399A2" w14:textId="77777777" w:rsidR="009F6E91" w:rsidRPr="00D427D8" w:rsidRDefault="009F6E91" w:rsidP="009F6E91">
      <w:pPr>
        <w:pStyle w:val="Body1"/>
      </w:pPr>
      <w:r w:rsidRPr="00D427D8">
        <w:t>The Back-up Servicer Facilitator hereby declares that, to the best of its knowledge and belief (having taken all reasonable care to ensure that such is the case), all information contained herein for which the Back-up Servicer Facilitator provided is in accordance with the facts and does not omit anything likely to affect the import of such information.</w:t>
      </w:r>
    </w:p>
    <w:p w14:paraId="2049C846" w14:textId="77777777" w:rsidR="009F6E91" w:rsidRPr="00D427D8" w:rsidRDefault="009F6E91" w:rsidP="009F6E91">
      <w:pPr>
        <w:pStyle w:val="Body1"/>
      </w:pPr>
      <w:r w:rsidRPr="00D427D8">
        <w:t>None of the persons having provided information as set out above makes any representation, warranty or undertaking, express or implied, and accepts any responsibility or liability as to the accuracy or completeness of any information contained in this Prospectus, or any other information supplied in connection with the Notes or their distribution, that is not contained in the sections of the Prospectus for which they are accountable.</w:t>
      </w:r>
    </w:p>
    <w:p w14:paraId="27C06D3E" w14:textId="77777777" w:rsidR="00946B42" w:rsidRPr="00D427D8" w:rsidRDefault="00946B42">
      <w:pPr>
        <w:rPr>
          <w:rStyle w:val="Heading1Text"/>
        </w:rPr>
      </w:pPr>
      <w:r w:rsidRPr="00D427D8">
        <w:rPr>
          <w:rStyle w:val="Heading1Text"/>
        </w:rPr>
        <w:br w:type="page"/>
      </w:r>
    </w:p>
    <w:p w14:paraId="4994F8F9" w14:textId="3A389532" w:rsidR="009F6E91" w:rsidRPr="00D427D8" w:rsidRDefault="009F6E91" w:rsidP="00EF7333">
      <w:pPr>
        <w:pStyle w:val="Body1"/>
        <w:rPr>
          <w:rStyle w:val="Heading1Text"/>
        </w:rPr>
      </w:pPr>
      <w:r w:rsidRPr="00D427D8">
        <w:rPr>
          <w:rStyle w:val="Heading1Text"/>
        </w:rPr>
        <w:lastRenderedPageBreak/>
        <w:t>Information</w:t>
      </w:r>
    </w:p>
    <w:p w14:paraId="73205699" w14:textId="126D5B90" w:rsidR="009F6E91" w:rsidRPr="00D427D8" w:rsidRDefault="009F6E91" w:rsidP="009F6E91">
      <w:pPr>
        <w:pStyle w:val="Body1"/>
        <w:rPr>
          <w:rStyle w:val="BoldText"/>
        </w:rPr>
      </w:pPr>
      <w:bookmarkStart w:id="36" w:name="_Hlk173429958"/>
      <w:r w:rsidRPr="00D427D8">
        <w:rPr>
          <w:rStyle w:val="BoldText"/>
        </w:rPr>
        <w:t>Neither the Arranger nor the Lead Manager have verified the information contained herein. Accordingly, no representation, warranty or undertaking, express or implied, is made and no responsibility or liability is accepted by either the Arranger or the Lead Manager as to the accuracy or completeness of the information contained in this Prospectus. In making an investment decision, investors must rely on their own examination of the terms of this offering, including the merits and risks involved.</w:t>
      </w:r>
    </w:p>
    <w:bookmarkEnd w:id="36"/>
    <w:p w14:paraId="3AA72C3C" w14:textId="14D1B406" w:rsidR="009F6E91" w:rsidRPr="00D427D8" w:rsidRDefault="009F6E91" w:rsidP="009F6E91">
      <w:pPr>
        <w:pStyle w:val="Body1"/>
        <w:rPr>
          <w:rStyle w:val="BoldText"/>
        </w:rPr>
      </w:pPr>
      <w:r w:rsidRPr="00D427D8">
        <w:rPr>
          <w:rStyle w:val="BoldText"/>
        </w:rPr>
        <w:t>No person has been authorised to give any information or to make any representation concerning the issue of the Notes other than those contained in this Prospectus. Nevertheless, if any such information is given by any broker, seller or any other person, it must not be relied upon as having been authorised by the Issuer, the Arranger, the Lead Manager or any other Transaction Party.</w:t>
      </w:r>
    </w:p>
    <w:p w14:paraId="3A58CEFE" w14:textId="77777777" w:rsidR="009F6E91" w:rsidRPr="00D427D8" w:rsidRDefault="009F6E91" w:rsidP="009F6E91">
      <w:pPr>
        <w:pStyle w:val="Body1"/>
      </w:pPr>
      <w:r w:rsidRPr="00D427D8">
        <w:t>Neither the delivery of this Prospectus nor any offer, sale or solicitation made in connection herewith shall, in any circumstances, imply that the information contained herein is correct at any time subsequent to the date of this Prospectus.</w:t>
      </w:r>
    </w:p>
    <w:p w14:paraId="7C09ADE7" w14:textId="77777777" w:rsidR="009F6E91" w:rsidRPr="00D427D8" w:rsidRDefault="009F6E91" w:rsidP="009F6E91">
      <w:pPr>
        <w:pStyle w:val="Body1"/>
      </w:pPr>
      <w:r w:rsidRPr="00D427D8">
        <w:t>No website or any further items, if any, referred to in this Prospectus forms part of this Prospectus.</w:t>
      </w:r>
    </w:p>
    <w:p w14:paraId="1A6169A3" w14:textId="77777777" w:rsidR="009F6E91" w:rsidRPr="00D427D8" w:rsidRDefault="009F6E91" w:rsidP="009F6E91">
      <w:pPr>
        <w:pStyle w:val="Body1"/>
        <w:rPr>
          <w:rStyle w:val="Heading1Text"/>
        </w:rPr>
      </w:pPr>
      <w:r w:rsidRPr="00D427D8">
        <w:rPr>
          <w:rStyle w:val="Heading1Text"/>
        </w:rPr>
        <w:t>No Obligation to update Information</w:t>
      </w:r>
    </w:p>
    <w:p w14:paraId="261E494A" w14:textId="77777777" w:rsidR="009F6E91" w:rsidRPr="00D427D8" w:rsidRDefault="009F6E91" w:rsidP="009F6E91">
      <w:pPr>
        <w:pStyle w:val="Body1"/>
      </w:pPr>
      <w:r w:rsidRPr="00D427D8">
        <w:t>Neither the Issuer nor any Transaction Party assumes any obligation, except as required by law, to update any forward-looking statements or to conform these forward-looking statements to actual events or developments.</w:t>
      </w:r>
    </w:p>
    <w:p w14:paraId="72EE62C3" w14:textId="77777777" w:rsidR="009F6E91" w:rsidRPr="00D427D8" w:rsidRDefault="009F6E91" w:rsidP="00EF7333">
      <w:pPr>
        <w:pStyle w:val="Body1"/>
        <w:rPr>
          <w:rStyle w:val="Heading1Text"/>
        </w:rPr>
      </w:pPr>
      <w:r w:rsidRPr="00D427D8">
        <w:rPr>
          <w:rStyle w:val="Heading1Text"/>
        </w:rPr>
        <w:t>No advice</w:t>
      </w:r>
    </w:p>
    <w:p w14:paraId="3E4FCC99" w14:textId="77777777" w:rsidR="009F6E91" w:rsidRPr="00D427D8" w:rsidRDefault="009F6E91" w:rsidP="009F6E91">
      <w:pPr>
        <w:pStyle w:val="Body1"/>
      </w:pPr>
      <w:r w:rsidRPr="00D427D8">
        <w:t>The contents of this Prospectus should not be construed as providing legal, business, financial, accounting or tax advice. Each prospective investor should consult its own legal, business, financial, accounting and tax advisers prior to making a decision to invest in the Notes. Any investor in the Notes should be able to bear the economic risk of an investment in the Notes for an indefinite period of time.</w:t>
      </w:r>
    </w:p>
    <w:p w14:paraId="1668E9DE" w14:textId="77777777" w:rsidR="009F6E91" w:rsidRPr="00D427D8" w:rsidRDefault="009F6E91" w:rsidP="00EF7333">
      <w:pPr>
        <w:pStyle w:val="Body1"/>
        <w:rPr>
          <w:rStyle w:val="Heading1Text"/>
        </w:rPr>
      </w:pPr>
      <w:r w:rsidRPr="00D427D8">
        <w:rPr>
          <w:rStyle w:val="Heading1Text"/>
        </w:rPr>
        <w:t>No offer</w:t>
      </w:r>
    </w:p>
    <w:p w14:paraId="51E0ACC9" w14:textId="3E7E026C" w:rsidR="009F6E91" w:rsidRPr="00D427D8" w:rsidRDefault="009F6E91" w:rsidP="009F6E91">
      <w:pPr>
        <w:pStyle w:val="Body1"/>
      </w:pPr>
      <w:r w:rsidRPr="00D427D8">
        <w:t>This Prospectus does not constitute, and is not intended to be, and may not be used for the purposes of an offer of, or an invitation by or on behalf of, the Issuer, the Arranger, the Lead Manager or any other Transaction Party to subscribe for or purchase any of the Notes by any person in any jurisdiction in which such offer or solicitation is not authorised or to any person to whom it is unlawful to make such offer or solicitation and no action is being taken to permit an offering of the Notes or the distribution of this Prospectus in any jurisdiction where such action is required.</w:t>
      </w:r>
    </w:p>
    <w:p w14:paraId="33516B45" w14:textId="77777777" w:rsidR="009F6E91" w:rsidRPr="00D427D8" w:rsidRDefault="009F6E91" w:rsidP="009F6E91">
      <w:pPr>
        <w:pStyle w:val="Body1"/>
      </w:pPr>
      <w:r w:rsidRPr="00D427D8">
        <w:t>The distribution of this Prospectus and the offering of the Notes in certain jurisdictions may be restricted by law. Persons into whose possession this Prospectus comes are required to inform themselves about and to observe such restrictions.</w:t>
      </w:r>
    </w:p>
    <w:p w14:paraId="558CFE25" w14:textId="77777777" w:rsidR="009F6E91" w:rsidRPr="00D427D8" w:rsidRDefault="009F6E91" w:rsidP="009F6E91">
      <w:pPr>
        <w:pStyle w:val="Body1"/>
      </w:pPr>
      <w:r w:rsidRPr="00D427D8">
        <w:t>No action has been, nor will be, taken to permit a public offering of the Notes or the distribution of this Prospectus in any jurisdiction except that:</w:t>
      </w:r>
    </w:p>
    <w:p w14:paraId="1CFEC79B" w14:textId="621AFF6B" w:rsidR="009F6E91" w:rsidRPr="00D427D8" w:rsidRDefault="009F6E91" w:rsidP="004C6B8C">
      <w:pPr>
        <w:pStyle w:val="Body1"/>
        <w:numPr>
          <w:ilvl w:val="0"/>
          <w:numId w:val="15"/>
        </w:numPr>
      </w:pPr>
      <w:r w:rsidRPr="00D427D8">
        <w:t>the approval by the financial regulator of this Prospectus as a Prospectus in accordance with the requirements of the Prospectus Regulation; and</w:t>
      </w:r>
    </w:p>
    <w:p w14:paraId="753C49F1" w14:textId="40C59658" w:rsidR="009F6E91" w:rsidRPr="00D427D8" w:rsidRDefault="009F6E91" w:rsidP="004C6B8C">
      <w:pPr>
        <w:pStyle w:val="Body1"/>
        <w:numPr>
          <w:ilvl w:val="0"/>
          <w:numId w:val="15"/>
        </w:numPr>
      </w:pPr>
      <w:r w:rsidRPr="00D427D8">
        <w:t>the application has been made for the Notes to:</w:t>
      </w:r>
    </w:p>
    <w:p w14:paraId="24ED8B14" w14:textId="4E6F026E" w:rsidR="009F6E91" w:rsidRPr="00D427D8" w:rsidRDefault="009F6E91" w:rsidP="00EF7333">
      <w:pPr>
        <w:pStyle w:val="Level4"/>
      </w:pPr>
      <w:r w:rsidRPr="00D427D8">
        <w:t>be admitted to the official list of the Luxembourg Stock Exchange; and</w:t>
      </w:r>
    </w:p>
    <w:p w14:paraId="47FD40BA" w14:textId="596D2DD2" w:rsidR="009F6E91" w:rsidRPr="00D427D8" w:rsidRDefault="009F6E91" w:rsidP="00EF7333">
      <w:pPr>
        <w:pStyle w:val="Level4"/>
      </w:pPr>
      <w:r w:rsidRPr="00D427D8">
        <w:t>be admitted to trading on the Luxembourg Stock Exchange</w:t>
      </w:r>
      <w:r w:rsidR="00EF7333" w:rsidRPr="00D427D8">
        <w:t>'</w:t>
      </w:r>
      <w:r w:rsidRPr="00D427D8">
        <w:t>s regulated market.</w:t>
      </w:r>
    </w:p>
    <w:p w14:paraId="59A8FDD4" w14:textId="77777777" w:rsidR="009F6E91" w:rsidRPr="00D427D8" w:rsidRDefault="009F6E91" w:rsidP="00946B42">
      <w:pPr>
        <w:pStyle w:val="Body1"/>
        <w:keepNext/>
        <w:rPr>
          <w:rStyle w:val="Heading1Text"/>
        </w:rPr>
      </w:pPr>
      <w:r w:rsidRPr="00D427D8">
        <w:rPr>
          <w:rStyle w:val="Heading1Text"/>
        </w:rPr>
        <w:t>Deemed Representations of any Purchaser of Notes</w:t>
      </w:r>
    </w:p>
    <w:p w14:paraId="431E9B30" w14:textId="77777777" w:rsidR="009F6E91" w:rsidRPr="00D427D8" w:rsidRDefault="009F6E91" w:rsidP="009F6E91">
      <w:pPr>
        <w:pStyle w:val="Body1"/>
      </w:pPr>
      <w:r w:rsidRPr="00D427D8">
        <w:t xml:space="preserve">Each initial and subsequent purchaser of the Notes will make, by its acceptance of such Notes, certain acknowledgements, representations and agreements intended to restrict the resale or other transfer thereof </w:t>
      </w:r>
      <w:r w:rsidRPr="00D427D8">
        <w:lastRenderedPageBreak/>
        <w:t>as set forth therein and described in this Prospectus and, in connection therewith, may be required to provide confirmation of its compliance with such resale and other transfer restrictions in certain cases.</w:t>
      </w:r>
    </w:p>
    <w:p w14:paraId="08344CDE" w14:textId="749190EF" w:rsidR="009F6E91" w:rsidRPr="00D427D8" w:rsidRDefault="009F6E91" w:rsidP="009F6E91">
      <w:pPr>
        <w:pStyle w:val="Body1"/>
      </w:pPr>
      <w:r w:rsidRPr="00D427D8">
        <w:t xml:space="preserve">For a description of certain further restrictions on offers and sales of the Notes and distribution of this Prospectus, see the paragraphs entitled </w:t>
      </w:r>
      <w:r w:rsidR="00EF7333" w:rsidRPr="00D427D8">
        <w:t>"</w:t>
      </w:r>
      <w:r w:rsidRPr="00D427D8">
        <w:t>Subscription and Sale</w:t>
      </w:r>
      <w:r w:rsidR="00EF7333" w:rsidRPr="00D427D8">
        <w:t>"</w:t>
      </w:r>
      <w:r w:rsidRPr="00D427D8">
        <w:t xml:space="preserve"> and </w:t>
      </w:r>
      <w:r w:rsidR="00EF7333" w:rsidRPr="00D427D8">
        <w:t>"</w:t>
      </w:r>
      <w:r w:rsidRPr="00D427D8">
        <w:t>Selling Restrictions under the Notes Subscription Agreement.</w:t>
      </w:r>
      <w:r w:rsidR="00EF7333" w:rsidRPr="00D427D8">
        <w:t>"</w:t>
      </w:r>
    </w:p>
    <w:p w14:paraId="59759E9D" w14:textId="77777777" w:rsidR="009F6E91" w:rsidRPr="00D427D8" w:rsidRDefault="009F6E91" w:rsidP="00946B42">
      <w:pPr>
        <w:pStyle w:val="Body1"/>
        <w:keepNext/>
        <w:rPr>
          <w:rStyle w:val="Heading1Text"/>
        </w:rPr>
      </w:pPr>
      <w:r w:rsidRPr="00D427D8">
        <w:rPr>
          <w:rStyle w:val="Heading1Text"/>
        </w:rPr>
        <w:t>Forward-looking Statements</w:t>
      </w:r>
    </w:p>
    <w:p w14:paraId="1052CF32" w14:textId="77777777" w:rsidR="009F6E91" w:rsidRPr="00D427D8" w:rsidRDefault="009F6E91" w:rsidP="009F6E91">
      <w:pPr>
        <w:pStyle w:val="Body1"/>
      </w:pPr>
      <w:r w:rsidRPr="00D427D8">
        <w:t>This Prospectus contains certain forward-looking statements. A forward-looking statement is any statement that does not relate to historical facts and events. This applies, in particular, to statements in this Prospectus containing information on future earning capacity, cash-flow expectations, plans and expectations regarding the business and management, the growth and profitability, and general economic and regulatory conditions and other factors that affect the Issuer and/or a Transaction Party.</w:t>
      </w:r>
    </w:p>
    <w:p w14:paraId="53E362B1" w14:textId="77777777" w:rsidR="009F6E91" w:rsidRPr="00D427D8" w:rsidRDefault="009F6E91" w:rsidP="009F6E91">
      <w:pPr>
        <w:pStyle w:val="Body1"/>
      </w:pPr>
      <w:r w:rsidRPr="00D427D8">
        <w:t>Forward-looking statements in this Prospectus are based on current estimates and assumptions that the Issuer and the relevant Transaction Party make to the best of their present knowledge. These forward-looking statements are subject to risks, uncertainties and other factors which could cause actual results, including the financial conditions and results of operations of the Issuer and the relevant Transaction Party, to differ materially from and be worse than the results that have been expressly or implicitly assumed or described in these forward-looking statements. In particular, the business of Stellantis Bank is subject to a number of risks and uncertainties that could cause a forward-looking statement, estimate or prediction in this Prospectus to become inaccurate.</w:t>
      </w:r>
    </w:p>
    <w:p w14:paraId="554DFC9D" w14:textId="77777777" w:rsidR="009F6E91" w:rsidRPr="00D427D8" w:rsidRDefault="009F6E91" w:rsidP="009F6E91">
      <w:pPr>
        <w:pStyle w:val="Body1"/>
      </w:pPr>
      <w:r w:rsidRPr="00D427D8">
        <w:t>In light of these risks, uncertainties, and assumptions, future events described in this Prospectus may or may not occur.</w:t>
      </w:r>
    </w:p>
    <w:p w14:paraId="4B186104" w14:textId="77777777" w:rsidR="00946B42" w:rsidRPr="00D427D8" w:rsidRDefault="00946B42">
      <w:r w:rsidRPr="00D427D8">
        <w:br w:type="page"/>
      </w:r>
    </w:p>
    <w:p w14:paraId="2BE0E47C" w14:textId="19F75383" w:rsidR="009F6E91" w:rsidRPr="00D427D8" w:rsidRDefault="00946B42" w:rsidP="00946B42">
      <w:pPr>
        <w:pStyle w:val="CentredHeading"/>
      </w:pPr>
      <w:bookmarkStart w:id="37" w:name="_Toc194046496"/>
      <w:bookmarkStart w:id="38" w:name="_Toc198539655"/>
      <w:r w:rsidRPr="00D427D8">
        <w:lastRenderedPageBreak/>
        <w:t>TRANSACTION OVERVIEW</w:t>
      </w:r>
      <w:bookmarkEnd w:id="37"/>
      <w:bookmarkEnd w:id="38"/>
    </w:p>
    <w:p w14:paraId="6DAA2D87" w14:textId="4B41ECDA" w:rsidR="009F6E91" w:rsidRPr="00D427D8" w:rsidRDefault="009F6E91" w:rsidP="00667F48">
      <w:pPr>
        <w:pStyle w:val="Recitals"/>
      </w:pPr>
      <w:r w:rsidRPr="00D427D8">
        <w:t>On the Closing Date:</w:t>
      </w:r>
    </w:p>
    <w:p w14:paraId="34A194FF" w14:textId="16488C0E" w:rsidR="009F6E91" w:rsidRPr="00D427D8" w:rsidRDefault="009F6E91" w:rsidP="004C6B8C">
      <w:pPr>
        <w:pStyle w:val="Level3"/>
        <w:numPr>
          <w:ilvl w:val="2"/>
          <w:numId w:val="16"/>
        </w:numPr>
      </w:pPr>
      <w:r w:rsidRPr="00D427D8">
        <w:t>the Issuer will issue the Notes and use the proceeds therefrom to pay the Initial Purchase Price and purchase the Initial Purchased Lease Receivables, the Initial Purchased Expectancy Rights and related Collateral from the Seller pursuant to the terms of the Asset Purchase Agreements;</w:t>
      </w:r>
    </w:p>
    <w:p w14:paraId="35DDC557" w14:textId="032FC9F9" w:rsidR="009F6E91" w:rsidRPr="00D427D8" w:rsidRDefault="009F6E91" w:rsidP="00141A76">
      <w:pPr>
        <w:pStyle w:val="Level3"/>
      </w:pPr>
      <w:bookmarkStart w:id="39" w:name="_Hlk170228612"/>
      <w:r w:rsidRPr="00D427D8">
        <w:t xml:space="preserve">the Issuer will draw under the Subordinated Loan and instruct the Subordinated Lender to transfer the funds received under the Subordinated Loan to (i) the Reserve Account to fund the initial Liquidity Reserve Target Amount and (ii) the Distribution Account to fund </w:t>
      </w:r>
      <w:bookmarkStart w:id="40" w:name="_Hlk170153656"/>
      <w:r w:rsidRPr="00D427D8">
        <w:t>the Senior Expenses and Interest Reserve to pay the Senior Expenses and interest on the Notes on the first Distribution Date</w:t>
      </w:r>
      <w:bookmarkEnd w:id="40"/>
      <w:r w:rsidRPr="00D427D8">
        <w:t>;</w:t>
      </w:r>
    </w:p>
    <w:p w14:paraId="17E8781E" w14:textId="26D9CE6E" w:rsidR="009F6E91" w:rsidRPr="00D427D8" w:rsidRDefault="009F6E91" w:rsidP="00141A76">
      <w:pPr>
        <w:pStyle w:val="Level3"/>
      </w:pPr>
      <w:r w:rsidRPr="00D427D8">
        <w:t>the Issuer will draw under the VAT Bridge Loan; and</w:t>
      </w:r>
    </w:p>
    <w:bookmarkEnd w:id="39"/>
    <w:p w14:paraId="4C54E4C0" w14:textId="0CD12369" w:rsidR="009F6E91" w:rsidRPr="00D427D8" w:rsidRDefault="009F6E91" w:rsidP="00141A76">
      <w:pPr>
        <w:pStyle w:val="Level3"/>
      </w:pPr>
      <w:r w:rsidRPr="00D427D8">
        <w:t>the Seller will sell and assign the initial Receivables, sell and transfer the initial Expectancy Rights and transfer title to the related Collateral to the Issuer under the Asset Purchase Agreements.</w:t>
      </w:r>
    </w:p>
    <w:p w14:paraId="6FD86906" w14:textId="2CE7A258" w:rsidR="009F6E91" w:rsidRPr="00D427D8" w:rsidRDefault="009F6E91" w:rsidP="00667F48">
      <w:pPr>
        <w:pStyle w:val="Recitals"/>
      </w:pPr>
      <w:r w:rsidRPr="00D427D8">
        <w:t>During the Revolving Period, the Seller may (but is not obliged to), pursuant to the Asset Purchase Agreements assign the Further Lease Receivables and transfer the Further Expectancy Rights to the Issuer and transfer title to the related Collateral to the Issuer against payment of the Further Purchase Price.</w:t>
      </w:r>
    </w:p>
    <w:p w14:paraId="5C41EBC3" w14:textId="4D4BE2E8" w:rsidR="009F6E91" w:rsidRPr="00D427D8" w:rsidRDefault="009F6E91" w:rsidP="00667F48">
      <w:pPr>
        <w:pStyle w:val="Recitals"/>
      </w:pPr>
      <w:r w:rsidRPr="00D427D8">
        <w:t>During each Monthly Period,</w:t>
      </w:r>
    </w:p>
    <w:p w14:paraId="67FE76EC" w14:textId="4E4837A1" w:rsidR="009F6E91" w:rsidRPr="00D427D8" w:rsidRDefault="009F6E91" w:rsidP="004C6B8C">
      <w:pPr>
        <w:pStyle w:val="Level3"/>
        <w:numPr>
          <w:ilvl w:val="2"/>
          <w:numId w:val="17"/>
        </w:numPr>
      </w:pPr>
      <w:r w:rsidRPr="00D427D8">
        <w:t>the Servicer will, pursuant to the Servicing Agreement:</w:t>
      </w:r>
    </w:p>
    <w:p w14:paraId="282528D5" w14:textId="55DD8B1C" w:rsidR="009F6E91" w:rsidRPr="00D427D8" w:rsidRDefault="009F6E91" w:rsidP="00EF7333">
      <w:pPr>
        <w:pStyle w:val="Level4"/>
      </w:pPr>
      <w:r w:rsidRPr="00D427D8">
        <w:t>collect the Receivables (and, if necessary, enforce the related Seller Collateral); and</w:t>
      </w:r>
    </w:p>
    <w:p w14:paraId="349C38D7" w14:textId="2F2EA1A4" w:rsidR="009F6E91" w:rsidRPr="00D427D8" w:rsidRDefault="009F6E91" w:rsidP="00EF7333">
      <w:pPr>
        <w:pStyle w:val="Level4"/>
      </w:pPr>
      <w:r w:rsidRPr="00D427D8">
        <w:t>transfer the remaining collections (i.e., the Available Collections) within two Business Days after receipt thereof  to the Distribution Account; and</w:t>
      </w:r>
    </w:p>
    <w:p w14:paraId="683D5231" w14:textId="438AF614" w:rsidR="009F6E91" w:rsidRPr="00D427D8" w:rsidRDefault="009F6E91" w:rsidP="00141A76">
      <w:pPr>
        <w:pStyle w:val="Level3"/>
      </w:pPr>
      <w:r w:rsidRPr="00D427D8">
        <w:t xml:space="preserve">the Servicer will pursuant to the Servicing Agreement exercise the </w:t>
      </w:r>
      <w:bookmarkStart w:id="41" w:name="_Hlk196820666"/>
      <w:r w:rsidRPr="00D427D8">
        <w:t xml:space="preserve">Leased Vehicle Put Options </w:t>
      </w:r>
      <w:bookmarkEnd w:id="41"/>
      <w:r w:rsidRPr="00D427D8">
        <w:t>when due.</w:t>
      </w:r>
    </w:p>
    <w:p w14:paraId="13870396" w14:textId="22FFF09B" w:rsidR="009F6E91" w:rsidRPr="00D427D8" w:rsidRDefault="009F6E91" w:rsidP="00667F48">
      <w:pPr>
        <w:pStyle w:val="Recitals"/>
      </w:pPr>
      <w:r w:rsidRPr="00D427D8">
        <w:t xml:space="preserve">On </w:t>
      </w:r>
      <w:bookmarkStart w:id="42" w:name="_Hlk198121052"/>
      <w:r w:rsidRPr="00D427D8">
        <w:t>each Determination Date, the Calculation Agent will (based on the information submitted by the Servicer) calculate all amounts payable under the Transaction Documents and the Notes in accordance with the applicable Priority of Payments and instruct the Account Bank to make all relevant payments.</w:t>
      </w:r>
    </w:p>
    <w:bookmarkEnd w:id="42"/>
    <w:p w14:paraId="3DA1468B" w14:textId="713AAED0" w:rsidR="009F6E91" w:rsidRPr="00D427D8" w:rsidRDefault="009F6E91" w:rsidP="00667F48">
      <w:pPr>
        <w:pStyle w:val="Recitals"/>
      </w:pPr>
      <w:r w:rsidRPr="00D427D8">
        <w:t>On each Distribution Date, the Account Bank will upon the Issuer</w:t>
      </w:r>
      <w:r w:rsidR="00EF7333" w:rsidRPr="00D427D8">
        <w:t>'</w:t>
      </w:r>
      <w:r w:rsidRPr="00D427D8">
        <w:t>s instructions transfer from the Distribution Account to:</w:t>
      </w:r>
    </w:p>
    <w:p w14:paraId="6F1C0D0C" w14:textId="450F27E5" w:rsidR="009F6E91" w:rsidRPr="00D427D8" w:rsidRDefault="009F6E91" w:rsidP="004C6B8C">
      <w:pPr>
        <w:pStyle w:val="Level3"/>
        <w:numPr>
          <w:ilvl w:val="2"/>
          <w:numId w:val="18"/>
        </w:numPr>
      </w:pPr>
      <w:r w:rsidRPr="00D427D8">
        <w:t xml:space="preserve">the Counterparty an amount equal to any tax credits payable to the Counterparty pursuant to </w:t>
      </w:r>
      <w:bookmarkStart w:id="43" w:name="_Hlk158645197"/>
      <w:r w:rsidRPr="00D427D8">
        <w:t xml:space="preserve">Section 2(d)(iii) of </w:t>
      </w:r>
      <w:bookmarkEnd w:id="43"/>
      <w:r w:rsidRPr="00D427D8">
        <w:t>the Hedging Arrangement;</w:t>
      </w:r>
    </w:p>
    <w:p w14:paraId="222D7B4C" w14:textId="717A52BB" w:rsidR="009F6E91" w:rsidRPr="00D427D8" w:rsidRDefault="009F6E91" w:rsidP="00141A76">
      <w:pPr>
        <w:pStyle w:val="Level3"/>
      </w:pPr>
      <w:r w:rsidRPr="00D427D8">
        <w:t>the Subordinated Lender any excess of the Liquidity Reserve not used for the distribution of the Distribution Amount;</w:t>
      </w:r>
    </w:p>
    <w:p w14:paraId="45DFE8DA" w14:textId="7CC4C844" w:rsidR="009F6E91" w:rsidRPr="00D427D8" w:rsidRDefault="009F6E91" w:rsidP="00141A76">
      <w:pPr>
        <w:pStyle w:val="Level3"/>
      </w:pPr>
      <w:r w:rsidRPr="00D427D8">
        <w:t>the Lender any repayment of the VAT Bridge Loan; and</w:t>
      </w:r>
    </w:p>
    <w:p w14:paraId="39F4CFA8" w14:textId="2443CE1E" w:rsidR="009F6E91" w:rsidRPr="00D427D8" w:rsidRDefault="009F6E91" w:rsidP="00141A76">
      <w:pPr>
        <w:pStyle w:val="Level3"/>
      </w:pPr>
      <w:r w:rsidRPr="00D427D8">
        <w:t>the Seller (unless (i) the Seller has failed to punctually comply with its obligation to repurchase Receivables in accordance with clause 8.4(a)(ii) of the Receivables Purchase Agreement or (ii) an Insolvency Event has occurred in respect of the Seller) the amount (if any) by which the Deposit Reserve Amount credited by the Seller to the Reserve Account, and then credited to the Distribution Account, exceeds the Deposit Reserve Amount as at such Distribution Date,</w:t>
      </w:r>
    </w:p>
    <w:p w14:paraId="7FCF3F69" w14:textId="77777777" w:rsidR="009F6E91" w:rsidRPr="00D427D8" w:rsidRDefault="009F6E91" w:rsidP="00EF7333">
      <w:pPr>
        <w:pStyle w:val="Body1"/>
      </w:pPr>
      <w:r w:rsidRPr="00D427D8">
        <w:t>in each case outside the applicable Priority of Payments.</w:t>
      </w:r>
    </w:p>
    <w:p w14:paraId="4CC0A81D" w14:textId="4D0D883B" w:rsidR="009F6E91" w:rsidRPr="00D427D8" w:rsidRDefault="009F6E91" w:rsidP="00667F48">
      <w:pPr>
        <w:pStyle w:val="Recitals"/>
      </w:pPr>
      <w:bookmarkStart w:id="44" w:name="_Hlk165311289"/>
      <w:r w:rsidRPr="00D427D8">
        <w:t>On or before each Distribution Date, the Account Bank will (based on the instruction by the Issuer) transfer from the Reserve Account to the Distribution Account an amount equal to:</w:t>
      </w:r>
    </w:p>
    <w:p w14:paraId="15FE3BE0" w14:textId="584720A6" w:rsidR="009F6E91" w:rsidRPr="00D427D8" w:rsidRDefault="009F6E91" w:rsidP="004C6B8C">
      <w:pPr>
        <w:pStyle w:val="Level3"/>
        <w:numPr>
          <w:ilvl w:val="2"/>
          <w:numId w:val="19"/>
        </w:numPr>
      </w:pPr>
      <w:r w:rsidRPr="00D427D8">
        <w:lastRenderedPageBreak/>
        <w:t>the Liquidity Reserve up to an amount of and only to the extent that no Principal Additional Amounts are available or insufficient to cover any shortfalls under the Liquidity Reserve Items;</w:t>
      </w:r>
    </w:p>
    <w:bookmarkEnd w:id="44"/>
    <w:p w14:paraId="554BC3F6" w14:textId="3BBC72A5" w:rsidR="009F6E91" w:rsidRPr="00D427D8" w:rsidRDefault="009F6E91" w:rsidP="00141A76">
      <w:pPr>
        <w:pStyle w:val="Level3"/>
      </w:pPr>
      <w:r w:rsidRPr="00D427D8">
        <w:t>the Deposit Reserve Amount to the extent that the Deposit Reserve Condition is met in an amount required to make good reductions of the Scheduled Payments due from Deposit Lessees under Lease Agreement as a result of set-offs with deposits by such Deposit Lessees; and</w:t>
      </w:r>
    </w:p>
    <w:p w14:paraId="56A98810" w14:textId="478704D3" w:rsidR="009F6E91" w:rsidRPr="00D427D8" w:rsidRDefault="009F6E91" w:rsidP="00141A76">
      <w:pPr>
        <w:pStyle w:val="Level3"/>
      </w:pPr>
      <w:r w:rsidRPr="00D427D8">
        <w:t>Interest Earnings (if any) on the Reserve Account.</w:t>
      </w:r>
    </w:p>
    <w:p w14:paraId="40D5A388" w14:textId="5D9D1A44" w:rsidR="009F6E91" w:rsidRPr="00D427D8" w:rsidRDefault="009F6E91" w:rsidP="00667F48">
      <w:pPr>
        <w:pStyle w:val="Recitals"/>
      </w:pPr>
      <w:r w:rsidRPr="00D427D8">
        <w:t xml:space="preserve">On each Distribution Date, the Account Bank will (based on the instruction by the Issuer), distribute the amounts standing to the credit of the Distribution Account (after payments on the preceding Distribution Date), less all amounts standing to the credit of the Distribution Account that are allocable to the Monthly Period in which the respective Distribution Date falls in accordance with the Priority of Payments as set out under </w:t>
      </w:r>
      <w:r w:rsidR="00EF7333" w:rsidRPr="00D427D8">
        <w:t>"</w:t>
      </w:r>
      <w:r w:rsidRPr="00D427D8">
        <w:rPr>
          <w:i/>
        </w:rPr>
        <w:t>Terms and Conditions of the Notes – Priority of Payments Schedule</w:t>
      </w:r>
      <w:r w:rsidR="00EF7333" w:rsidRPr="00D427D8">
        <w:t>"</w:t>
      </w:r>
      <w:r w:rsidRPr="00D427D8">
        <w:t>.</w:t>
      </w:r>
    </w:p>
    <w:p w14:paraId="5EEF6A73" w14:textId="77777777" w:rsidR="009F6E91" w:rsidRPr="00D427D8" w:rsidRDefault="009F6E91" w:rsidP="00667F48">
      <w:pPr>
        <w:pStyle w:val="Body2"/>
      </w:pPr>
      <w:r w:rsidRPr="00D427D8">
        <w:t>However, in case an Accelerated Amortisation Event has occurred and is continuing in respect of the Issuer, the Priority of Payments will change to the Accelerated Priority of Payments and the Account Bank will (based on the instruction by the Issuer) after discharging all Senior Expenses pay interest or principal to lower Classes of Notes only after interest and principal on (all) prior ranking Classes of Notes have been discharged, then pay interest and principal on the Subordinated Loan and only thereafter Excess Spread.</w:t>
      </w:r>
    </w:p>
    <w:p w14:paraId="21D3BA03" w14:textId="77777777" w:rsidR="009F6E91" w:rsidRPr="00D427D8" w:rsidRDefault="009F6E91" w:rsidP="00667F48">
      <w:pPr>
        <w:pStyle w:val="Body2"/>
      </w:pPr>
      <w:r w:rsidRPr="00D427D8">
        <w:t>Below is a transaction structure diagram. It is qualified in its entirety by the detailed information presented elsewhere in this Prospectus. If there is any inconsistency between this transaction structure diagram and the information provided elsewhere in this Prospectus, such information shall prevail.</w:t>
      </w:r>
    </w:p>
    <w:p w14:paraId="5293BEB5" w14:textId="004E829D" w:rsidR="009F6E91" w:rsidRPr="00D427D8" w:rsidRDefault="009F6E91" w:rsidP="00667F48">
      <w:pPr>
        <w:pStyle w:val="Body2"/>
      </w:pPr>
      <w:r w:rsidRPr="00D427D8">
        <w:t xml:space="preserve">In addition, investors must consider the risks relating to the Notes. See the section headed </w:t>
      </w:r>
      <w:r w:rsidR="00EF7333" w:rsidRPr="00D427D8">
        <w:t>"</w:t>
      </w:r>
      <w:r w:rsidRPr="00D427D8">
        <w:t>Risks related to the nature of the Notes</w:t>
      </w:r>
      <w:r w:rsidR="00EF7333" w:rsidRPr="00D427D8">
        <w:t>"</w:t>
      </w:r>
      <w:r w:rsidRPr="00D427D8">
        <w:t xml:space="preserve"> for a description of certain aspects of the issue of the Notes about which prospective investors should be aware.</w:t>
      </w:r>
    </w:p>
    <w:p w14:paraId="090819BF" w14:textId="77777777" w:rsidR="009F6E91" w:rsidRPr="00D427D8" w:rsidRDefault="009F6E91">
      <w:pPr>
        <w:rPr>
          <w:rFonts w:asciiTheme="minorHAnsi" w:hAnsiTheme="minorHAnsi" w:cstheme="minorHAnsi"/>
          <w:szCs w:val="19"/>
        </w:rPr>
        <w:sectPr w:rsidR="009F6E91" w:rsidRPr="00D427D8" w:rsidSect="008D071E">
          <w:headerReference w:type="even" r:id="rId10"/>
          <w:headerReference w:type="default" r:id="rId11"/>
          <w:footerReference w:type="even" r:id="rId12"/>
          <w:footerReference w:type="default" r:id="rId13"/>
          <w:headerReference w:type="first" r:id="rId14"/>
          <w:footerReference w:type="first" r:id="rId15"/>
          <w:pgSz w:w="11907" w:h="16840" w:code="9"/>
          <w:pgMar w:top="851" w:right="1418" w:bottom="992" w:left="1418" w:header="720" w:footer="720" w:gutter="0"/>
          <w:pgNumType w:start="1"/>
          <w:cols w:space="708"/>
          <w:titlePg/>
          <w:docGrid w:linePitch="360"/>
        </w:sectPr>
      </w:pPr>
    </w:p>
    <w:p w14:paraId="3F9319EF" w14:textId="45C55147" w:rsidR="00667F48" w:rsidRPr="00D427D8" w:rsidRDefault="0021293D" w:rsidP="0021293D">
      <w:pPr>
        <w:pStyle w:val="CentredHeading"/>
      </w:pPr>
      <w:bookmarkStart w:id="45" w:name="_Toc194046497"/>
      <w:bookmarkStart w:id="46" w:name="_Toc198539656"/>
      <w:r w:rsidRPr="00D427D8">
        <w:lastRenderedPageBreak/>
        <w:t>STRUCTURE DIAGRAM</w:t>
      </w:r>
      <w:bookmarkEnd w:id="45"/>
      <w:bookmarkEnd w:id="46"/>
    </w:p>
    <w:p w14:paraId="01A69606" w14:textId="77777777" w:rsidR="00BC490D" w:rsidRPr="00D427D8" w:rsidRDefault="00BC490D" w:rsidP="00BC490D">
      <w:pPr>
        <w:pStyle w:val="Body1"/>
        <w:jc w:val="center"/>
        <w:rPr>
          <w:rFonts w:asciiTheme="minorHAnsi" w:hAnsiTheme="minorHAnsi" w:cstheme="minorHAnsi"/>
          <w:szCs w:val="19"/>
        </w:rPr>
      </w:pPr>
    </w:p>
    <w:p w14:paraId="6ED617A7" w14:textId="164CEEAF" w:rsidR="00BC490D" w:rsidRPr="00D427D8" w:rsidRDefault="00BC490D" w:rsidP="00BC490D">
      <w:pPr>
        <w:spacing w:after="210"/>
      </w:pPr>
      <w:r w:rsidRPr="00D427D8">
        <w:rPr>
          <w:noProof/>
        </w:rPr>
        <w:drawing>
          <wp:anchor distT="0" distB="0" distL="114300" distR="114300" simplePos="0" relativeHeight="251707392" behindDoc="0" locked="0" layoutInCell="1" allowOverlap="1" wp14:anchorId="59BC3351" wp14:editId="24099DF8">
            <wp:simplePos x="0" y="0"/>
            <wp:positionH relativeFrom="column">
              <wp:posOffset>6244298</wp:posOffset>
            </wp:positionH>
            <wp:positionV relativeFrom="paragraph">
              <wp:posOffset>3049724</wp:posOffset>
            </wp:positionV>
            <wp:extent cx="936000" cy="348679"/>
            <wp:effectExtent l="0" t="0" r="0" b="0"/>
            <wp:wrapNone/>
            <wp:docPr id="118" name="Picture 118" descr="Un logo pour exprimer l'esprit de Stellantis | Stellantis">
              <a:extLst xmlns:a="http://schemas.openxmlformats.org/drawingml/2006/main">
                <a:ext uri="{FF2B5EF4-FFF2-40B4-BE49-F238E27FC236}">
                  <a16:creationId xmlns:a16="http://schemas.microsoft.com/office/drawing/2014/main" id="{B563171B-1709-E007-2C2E-4AF8CDD20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descr="Un logo pour exprimer l'esprit de Stellantis | Stellantis">
                      <a:extLst>
                        <a:ext uri="{FF2B5EF4-FFF2-40B4-BE49-F238E27FC236}">
                          <a16:creationId xmlns:a16="http://schemas.microsoft.com/office/drawing/2014/main" id="{B563171B-1709-E007-2C2E-4AF8CDD20672}"/>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960" b="25414"/>
                    <a:stretch/>
                  </pic:blipFill>
                  <pic:spPr bwMode="auto">
                    <a:xfrm>
                      <a:off x="0" y="0"/>
                      <a:ext cx="936000" cy="3486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427D8">
        <w:rPr>
          <w:noProof/>
        </w:rPr>
        <mc:AlternateContent>
          <mc:Choice Requires="wps">
            <w:drawing>
              <wp:anchor distT="0" distB="0" distL="114300" distR="114300" simplePos="0" relativeHeight="251710464" behindDoc="0" locked="0" layoutInCell="1" allowOverlap="1" wp14:anchorId="1FFDEA05" wp14:editId="6B077AC2">
                <wp:simplePos x="0" y="0"/>
                <wp:positionH relativeFrom="column">
                  <wp:posOffset>7179945</wp:posOffset>
                </wp:positionH>
                <wp:positionV relativeFrom="paragraph">
                  <wp:posOffset>1404348</wp:posOffset>
                </wp:positionV>
                <wp:extent cx="683895" cy="323850"/>
                <wp:effectExtent l="0" t="0" r="1905" b="0"/>
                <wp:wrapNone/>
                <wp:docPr id="16" name="Rectangle 57"/>
                <wp:cNvGraphicFramePr/>
                <a:graphic xmlns:a="http://schemas.openxmlformats.org/drawingml/2006/main">
                  <a:graphicData uri="http://schemas.microsoft.com/office/word/2010/wordprocessingShape">
                    <wps:wsp>
                      <wps:cNvSpPr/>
                      <wps:spPr>
                        <a:xfrm>
                          <a:off x="0" y="0"/>
                          <a:ext cx="683895" cy="323850"/>
                        </a:xfrm>
                        <a:prstGeom prst="rect">
                          <a:avLst/>
                        </a:prstGeom>
                        <a:noFill/>
                        <a:ln w="12700" cap="flat" cmpd="sng" algn="ctr">
                          <a:noFill/>
                          <a:prstDash val="solid"/>
                          <a:miter lim="800000"/>
                        </a:ln>
                        <a:effectLst/>
                      </wps:spPr>
                      <wps:txbx>
                        <w:txbxContent>
                          <w:p w14:paraId="1A74185A"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A Notes</w:t>
                            </w:r>
                          </w:p>
                        </w:txbxContent>
                      </wps:txbx>
                      <wps:bodyPr lIns="36000" tIns="36000" rIns="36000" bIns="36000" rtlCol="0" anchor="ctr">
                        <a:noAutofit/>
                      </wps:bodyPr>
                    </wps:wsp>
                  </a:graphicData>
                </a:graphic>
                <wp14:sizeRelV relativeFrom="margin">
                  <wp14:pctHeight>0</wp14:pctHeight>
                </wp14:sizeRelV>
              </wp:anchor>
            </w:drawing>
          </mc:Choice>
          <mc:Fallback>
            <w:pict>
              <v:rect w14:anchorId="1FFDEA05" id="Rectangle 57" o:spid="_x0000_s1026" style="position:absolute;left:0;text-align:left;margin-left:565.35pt;margin-top:110.6pt;width:53.85pt;height:2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" filled="f" stroked="f" strokeweight="1pt">
                <v:textbox inset="1mm,1mm,1mm,1mm">
                  <w:txbxContent>
                    <w:p w14:paraId="1A74185A"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A Notes</w:t>
                      </w:r>
                    </w:p>
                  </w:txbxContent>
                </v:textbox>
              </v:rect>
            </w:pict>
          </mc:Fallback>
        </mc:AlternateContent>
      </w:r>
      <w:r w:rsidRPr="00D427D8">
        <w:rPr>
          <w:noProof/>
        </w:rPr>
        <mc:AlternateContent>
          <mc:Choice Requires="wps">
            <w:drawing>
              <wp:anchor distT="0" distB="0" distL="114300" distR="114300" simplePos="0" relativeHeight="251709440" behindDoc="0" locked="0" layoutInCell="1" allowOverlap="1" wp14:anchorId="18FD667B" wp14:editId="4C5135DA">
                <wp:simplePos x="0" y="0"/>
                <wp:positionH relativeFrom="column">
                  <wp:posOffset>7145020</wp:posOffset>
                </wp:positionH>
                <wp:positionV relativeFrom="paragraph">
                  <wp:posOffset>2519408</wp:posOffset>
                </wp:positionV>
                <wp:extent cx="739140" cy="395605"/>
                <wp:effectExtent l="0" t="0" r="3810" b="4445"/>
                <wp:wrapNone/>
                <wp:docPr id="17" name="Rectangle 56"/>
                <wp:cNvGraphicFramePr/>
                <a:graphic xmlns:a="http://schemas.openxmlformats.org/drawingml/2006/main">
                  <a:graphicData uri="http://schemas.microsoft.com/office/word/2010/wordprocessingShape">
                    <wps:wsp>
                      <wps:cNvSpPr/>
                      <wps:spPr>
                        <a:xfrm>
                          <a:off x="0" y="0"/>
                          <a:ext cx="739140" cy="395605"/>
                        </a:xfrm>
                        <a:prstGeom prst="rect">
                          <a:avLst/>
                        </a:prstGeom>
                        <a:noFill/>
                        <a:ln w="12700" cap="flat" cmpd="sng" algn="ctr">
                          <a:noFill/>
                          <a:prstDash val="solid"/>
                          <a:miter lim="800000"/>
                        </a:ln>
                        <a:effectLst/>
                      </wps:spPr>
                      <wps:txbx>
                        <w:txbxContent>
                          <w:p w14:paraId="72D6FD39"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B/C/D/E/F/G</w:t>
                            </w:r>
                          </w:p>
                          <w:p w14:paraId="3CBD6D51"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Notes</w:t>
                            </w:r>
                          </w:p>
                        </w:txbxContent>
                      </wps:txbx>
                      <wps:bodyPr lIns="36000" tIns="36000" rIns="36000" bIns="36000" rtlCol="0" anchor="ctr">
                        <a:noAutofit/>
                      </wps:bodyPr>
                    </wps:wsp>
                  </a:graphicData>
                </a:graphic>
                <wp14:sizeRelV relativeFrom="margin">
                  <wp14:pctHeight>0</wp14:pctHeight>
                </wp14:sizeRelV>
              </wp:anchor>
            </w:drawing>
          </mc:Choice>
          <mc:Fallback>
            <w:pict>
              <v:rect w14:anchorId="18FD667B" id="Rectangle 56" o:spid="_x0000_s1027" style="position:absolute;left:0;text-align:left;margin-left:562.6pt;margin-top:198.4pt;width:58.2pt;height:31.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" filled="f" stroked="f" strokeweight="1pt">
                <v:textbox inset="1mm,1mm,1mm,1mm">
                  <w:txbxContent>
                    <w:p w14:paraId="72D6FD39"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B/C/D/E/F/G</w:t>
                      </w:r>
                    </w:p>
                    <w:p w14:paraId="3CBD6D51"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Notes</w:t>
                      </w:r>
                    </w:p>
                  </w:txbxContent>
                </v:textbox>
              </v:rect>
            </w:pict>
          </mc:Fallback>
        </mc:AlternateContent>
      </w:r>
      <w:r w:rsidRPr="00D427D8">
        <w:rPr>
          <w:noProof/>
        </w:rPr>
        <mc:AlternateContent>
          <mc:Choice Requires="wps">
            <w:drawing>
              <wp:anchor distT="0" distB="0" distL="114300" distR="114300" simplePos="0" relativeHeight="251696128" behindDoc="0" locked="0" layoutInCell="1" allowOverlap="1" wp14:anchorId="628BDCBC" wp14:editId="2AA011C2">
                <wp:simplePos x="0" y="0"/>
                <wp:positionH relativeFrom="column">
                  <wp:posOffset>5435600</wp:posOffset>
                </wp:positionH>
                <wp:positionV relativeFrom="paragraph">
                  <wp:posOffset>2476863</wp:posOffset>
                </wp:positionV>
                <wp:extent cx="751840" cy="395605"/>
                <wp:effectExtent l="0" t="0" r="0" b="4445"/>
                <wp:wrapNone/>
                <wp:docPr id="18" name="Rectangle 43"/>
                <wp:cNvGraphicFramePr/>
                <a:graphic xmlns:a="http://schemas.openxmlformats.org/drawingml/2006/main">
                  <a:graphicData uri="http://schemas.microsoft.com/office/word/2010/wordprocessingShape">
                    <wps:wsp>
                      <wps:cNvSpPr/>
                      <wps:spPr>
                        <a:xfrm>
                          <a:off x="0" y="0"/>
                          <a:ext cx="751840" cy="395605"/>
                        </a:xfrm>
                        <a:prstGeom prst="rect">
                          <a:avLst/>
                        </a:prstGeom>
                        <a:noFill/>
                        <a:ln w="12700" cap="flat" cmpd="sng" algn="ctr">
                          <a:noFill/>
                          <a:prstDash val="solid"/>
                          <a:miter lim="800000"/>
                        </a:ln>
                        <a:effectLst/>
                      </wps:spPr>
                      <wps:txbx>
                        <w:txbxContent>
                          <w:p w14:paraId="4A178EC6"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B/C/D/E/F/G Notes</w:t>
                            </w:r>
                            <w:r>
                              <w:rPr>
                                <w:rFonts w:ascii="Calibri" w:eastAsia="Georgia" w:hAnsi="Calibri" w:cs="Georgia"/>
                                <w:color w:val="404040"/>
                                <w:sz w:val="12"/>
                                <w:szCs w:val="12"/>
                              </w:rPr>
                              <w:br/>
                              <w:t>(95%)</w:t>
                            </w:r>
                          </w:p>
                        </w:txbxContent>
                      </wps:txbx>
                      <wps:bodyPr lIns="36000" tIns="36000" rIns="36000" bIns="36000" rtlCol="0" anchor="ctr">
                        <a:noAutofit/>
                      </wps:bodyPr>
                    </wps:wsp>
                  </a:graphicData>
                </a:graphic>
                <wp14:sizeRelV relativeFrom="margin">
                  <wp14:pctHeight>0</wp14:pctHeight>
                </wp14:sizeRelV>
              </wp:anchor>
            </w:drawing>
          </mc:Choice>
          <mc:Fallback>
            <w:pict>
              <v:rect w14:anchorId="628BDCBC" id="Rectangle 43" o:spid="_x0000_s1028" style="position:absolute;left:0;text-align:left;margin-left:428pt;margin-top:195.05pt;width:59.2pt;height:31.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" filled="f" stroked="f" strokeweight="1pt">
                <v:textbox inset="1mm,1mm,1mm,1mm">
                  <w:txbxContent>
                    <w:p w14:paraId="4A178EC6"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B/C/D/E/F/G Notes</w:t>
                      </w:r>
                      <w:r>
                        <w:rPr>
                          <w:rFonts w:ascii="Calibri" w:eastAsia="Georgia" w:hAnsi="Calibri" w:cs="Georgia"/>
                          <w:color w:val="404040"/>
                          <w:sz w:val="12"/>
                          <w:szCs w:val="12"/>
                        </w:rPr>
                        <w:br/>
                        <w:t>(95%)</w:t>
                      </w:r>
                    </w:p>
                  </w:txbxContent>
                </v:textbox>
              </v:rect>
            </w:pict>
          </mc:Fallback>
        </mc:AlternateContent>
      </w:r>
      <w:r w:rsidRPr="00D427D8">
        <w:rPr>
          <w:noProof/>
        </w:rPr>
        <mc:AlternateContent>
          <mc:Choice Requires="wps">
            <w:drawing>
              <wp:anchor distT="0" distB="0" distL="114300" distR="114300" simplePos="0" relativeHeight="251698176" behindDoc="0" locked="0" layoutInCell="1" allowOverlap="1" wp14:anchorId="59D603CF" wp14:editId="025D0F38">
                <wp:simplePos x="0" y="0"/>
                <wp:positionH relativeFrom="column">
                  <wp:posOffset>5436870</wp:posOffset>
                </wp:positionH>
                <wp:positionV relativeFrom="paragraph">
                  <wp:posOffset>3000738</wp:posOffset>
                </wp:positionV>
                <wp:extent cx="751840" cy="395605"/>
                <wp:effectExtent l="0" t="0" r="0" b="4445"/>
                <wp:wrapNone/>
                <wp:docPr id="20" name="Rectangle 45"/>
                <wp:cNvGraphicFramePr/>
                <a:graphic xmlns:a="http://schemas.openxmlformats.org/drawingml/2006/main">
                  <a:graphicData uri="http://schemas.microsoft.com/office/word/2010/wordprocessingShape">
                    <wps:wsp>
                      <wps:cNvSpPr/>
                      <wps:spPr>
                        <a:xfrm>
                          <a:off x="0" y="0"/>
                          <a:ext cx="751840" cy="395605"/>
                        </a:xfrm>
                        <a:prstGeom prst="rect">
                          <a:avLst/>
                        </a:prstGeom>
                        <a:noFill/>
                        <a:ln w="12700" cap="flat" cmpd="sng" algn="ctr">
                          <a:noFill/>
                          <a:prstDash val="solid"/>
                          <a:miter lim="800000"/>
                        </a:ln>
                        <a:effectLst/>
                      </wps:spPr>
                      <wps:txbx>
                        <w:txbxContent>
                          <w:p w14:paraId="04CD0D50"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B/C/D/E/F/G Notes</w:t>
                            </w:r>
                            <w:r>
                              <w:rPr>
                                <w:rFonts w:ascii="Calibri" w:eastAsia="Georgia" w:hAnsi="Calibri" w:cs="Georgia"/>
                                <w:color w:val="404040"/>
                                <w:sz w:val="12"/>
                                <w:szCs w:val="12"/>
                              </w:rPr>
                              <w:br/>
                              <w:t>(5%)</w:t>
                            </w:r>
                          </w:p>
                        </w:txbxContent>
                      </wps:txbx>
                      <wps:bodyPr lIns="36000" tIns="36000" rIns="36000" bIns="36000" rtlCol="0" anchor="ctr">
                        <a:noAutofit/>
                      </wps:bodyPr>
                    </wps:wsp>
                  </a:graphicData>
                </a:graphic>
                <wp14:sizeRelV relativeFrom="margin">
                  <wp14:pctHeight>0</wp14:pctHeight>
                </wp14:sizeRelV>
              </wp:anchor>
            </w:drawing>
          </mc:Choice>
          <mc:Fallback>
            <w:pict>
              <v:rect w14:anchorId="59D603CF" id="Rectangle 45" o:spid="_x0000_s1029" style="position:absolute;left:0;text-align:left;margin-left:428.1pt;margin-top:236.3pt;width:59.2pt;height:31.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" filled="f" stroked="f" strokeweight="1pt">
                <v:textbox inset="1mm,1mm,1mm,1mm">
                  <w:txbxContent>
                    <w:p w14:paraId="04CD0D50"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B/C/D/E/F/G Notes</w:t>
                      </w:r>
                      <w:r>
                        <w:rPr>
                          <w:rFonts w:ascii="Calibri" w:eastAsia="Georgia" w:hAnsi="Calibri" w:cs="Georgia"/>
                          <w:color w:val="404040"/>
                          <w:sz w:val="12"/>
                          <w:szCs w:val="12"/>
                        </w:rPr>
                        <w:br/>
                        <w:t>(5%)</w:t>
                      </w:r>
                    </w:p>
                  </w:txbxContent>
                </v:textbox>
              </v:rect>
            </w:pict>
          </mc:Fallback>
        </mc:AlternateContent>
      </w:r>
      <w:r w:rsidRPr="00D427D8">
        <w:rPr>
          <w:noProof/>
        </w:rPr>
        <mc:AlternateContent>
          <mc:Choice Requires="wps">
            <w:drawing>
              <wp:anchor distT="0" distB="0" distL="114300" distR="114300" simplePos="0" relativeHeight="251681792" behindDoc="0" locked="0" layoutInCell="1" allowOverlap="1" wp14:anchorId="471D83DA" wp14:editId="525817FD">
                <wp:simplePos x="0" y="0"/>
                <wp:positionH relativeFrom="column">
                  <wp:posOffset>1624330</wp:posOffset>
                </wp:positionH>
                <wp:positionV relativeFrom="paragraph">
                  <wp:posOffset>2622913</wp:posOffset>
                </wp:positionV>
                <wp:extent cx="1586865" cy="179705"/>
                <wp:effectExtent l="0" t="0" r="0" b="0"/>
                <wp:wrapNone/>
                <wp:docPr id="30" name="Rectangle 29">
                  <a:extLst xmlns:a="http://schemas.openxmlformats.org/drawingml/2006/main">
                    <a:ext uri="{FF2B5EF4-FFF2-40B4-BE49-F238E27FC236}">
                      <a16:creationId xmlns:a16="http://schemas.microsoft.com/office/drawing/2014/main" id="{85F8B8E2-095E-E694-4EE7-5C3DE21AEC07}"/>
                    </a:ext>
                  </a:extLst>
                </wp:docPr>
                <wp:cNvGraphicFramePr/>
                <a:graphic xmlns:a="http://schemas.openxmlformats.org/drawingml/2006/main">
                  <a:graphicData uri="http://schemas.microsoft.com/office/word/2010/wordprocessingShape">
                    <wps:wsp>
                      <wps:cNvSpPr/>
                      <wps:spPr>
                        <a:xfrm>
                          <a:off x="0" y="0"/>
                          <a:ext cx="1586865" cy="179705"/>
                        </a:xfrm>
                        <a:prstGeom prst="rect">
                          <a:avLst/>
                        </a:prstGeom>
                        <a:noFill/>
                        <a:ln w="12700" cap="flat" cmpd="sng" algn="ctr">
                          <a:noFill/>
                          <a:prstDash val="solid"/>
                          <a:miter lim="800000"/>
                        </a:ln>
                        <a:effectLst/>
                      </wps:spPr>
                      <wps:txbx>
                        <w:txbxContent>
                          <w:p w14:paraId="49845F33"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Purchase Price</w:t>
                            </w:r>
                          </w:p>
                        </w:txbxContent>
                      </wps:txbx>
                      <wps:bodyPr lIns="36000" tIns="36000" rIns="36000" bIns="36000" rtlCol="0" anchor="ctr"/>
                    </wps:wsp>
                  </a:graphicData>
                </a:graphic>
              </wp:anchor>
            </w:drawing>
          </mc:Choice>
          <mc:Fallback>
            <w:pict>
              <v:rect w14:anchorId="471D83DA" id="Rectangle 29" o:spid="_x0000_s1030" style="position:absolute;left:0;text-align:left;margin-left:127.9pt;margin-top:206.55pt;width:124.95pt;height:1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" filled="f" stroked="f" strokeweight="1pt">
                <v:textbox inset="1mm,1mm,1mm,1mm">
                  <w:txbxContent>
                    <w:p w14:paraId="49845F33"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Purchase Price</w:t>
                      </w:r>
                    </w:p>
                  </w:txbxContent>
                </v:textbox>
              </v:rect>
            </w:pict>
          </mc:Fallback>
        </mc:AlternateContent>
      </w:r>
      <w:r w:rsidRPr="00D427D8">
        <w:rPr>
          <w:noProof/>
        </w:rPr>
        <mc:AlternateContent>
          <mc:Choice Requires="wps">
            <w:drawing>
              <wp:anchor distT="0" distB="0" distL="114300" distR="114300" simplePos="0" relativeHeight="251683840" behindDoc="0" locked="0" layoutInCell="1" allowOverlap="1" wp14:anchorId="189D34EE" wp14:editId="62045724">
                <wp:simplePos x="0" y="0"/>
                <wp:positionH relativeFrom="column">
                  <wp:posOffset>1624330</wp:posOffset>
                </wp:positionH>
                <wp:positionV relativeFrom="paragraph">
                  <wp:posOffset>2039348</wp:posOffset>
                </wp:positionV>
                <wp:extent cx="1586865" cy="179705"/>
                <wp:effectExtent l="0" t="0" r="0" b="0"/>
                <wp:wrapNone/>
                <wp:docPr id="32" name="Rectangle 31">
                  <a:extLst xmlns:a="http://schemas.openxmlformats.org/drawingml/2006/main">
                    <a:ext uri="{FF2B5EF4-FFF2-40B4-BE49-F238E27FC236}">
                      <a16:creationId xmlns:a16="http://schemas.microsoft.com/office/drawing/2014/main" id="{38AB0EDA-037F-0F29-5B6E-6CF1A7F71B29}"/>
                    </a:ext>
                  </a:extLst>
                </wp:docPr>
                <wp:cNvGraphicFramePr/>
                <a:graphic xmlns:a="http://schemas.openxmlformats.org/drawingml/2006/main">
                  <a:graphicData uri="http://schemas.microsoft.com/office/word/2010/wordprocessingShape">
                    <wps:wsp>
                      <wps:cNvSpPr/>
                      <wps:spPr>
                        <a:xfrm>
                          <a:off x="0" y="0"/>
                          <a:ext cx="1586865" cy="179705"/>
                        </a:xfrm>
                        <a:prstGeom prst="rect">
                          <a:avLst/>
                        </a:prstGeom>
                        <a:noFill/>
                        <a:ln w="12700" cap="flat" cmpd="sng" algn="ctr">
                          <a:noFill/>
                          <a:prstDash val="solid"/>
                          <a:miter lim="800000"/>
                        </a:ln>
                        <a:effectLst/>
                      </wps:spPr>
                      <wps:txbx>
                        <w:txbxContent>
                          <w:p w14:paraId="7644F6A6" w14:textId="77777777" w:rsidR="00BC490D" w:rsidRDefault="00BC490D" w:rsidP="00BC490D">
                            <w:pPr>
                              <w:jc w:val="center"/>
                              <w:textAlignment w:val="baseline"/>
                              <w:rPr>
                                <w:rFonts w:ascii="Calibri" w:eastAsia="Georgia" w:hAnsi="Calibri" w:cs="Georgia"/>
                                <w:color w:val="404040"/>
                                <w:sz w:val="12"/>
                                <w:szCs w:val="12"/>
                              </w:rPr>
                            </w:pPr>
                            <w:r w:rsidRPr="00030A37">
                              <w:rPr>
                                <w:rFonts w:ascii="Calibri" w:eastAsia="Georgia" w:hAnsi="Calibri" w:cs="Georgia"/>
                                <w:color w:val="404040"/>
                                <w:sz w:val="12"/>
                                <w:szCs w:val="12"/>
                              </w:rPr>
                              <w:t>Available Collections</w:t>
                            </w:r>
                          </w:p>
                        </w:txbxContent>
                      </wps:txbx>
                      <wps:bodyPr lIns="36000" tIns="36000" rIns="36000" bIns="36000" rtlCol="0" anchor="ctr"/>
                    </wps:wsp>
                  </a:graphicData>
                </a:graphic>
              </wp:anchor>
            </w:drawing>
          </mc:Choice>
          <mc:Fallback>
            <w:pict>
              <v:rect w14:anchorId="189D34EE" id="Rectangle 31" o:spid="_x0000_s1031" style="position:absolute;left:0;text-align:left;margin-left:127.9pt;margin-top:160.6pt;width:124.95pt;height:14.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" filled="f" stroked="f" strokeweight="1pt">
                <v:textbox inset="1mm,1mm,1mm,1mm">
                  <w:txbxContent>
                    <w:p w14:paraId="7644F6A6" w14:textId="77777777" w:rsidR="00BC490D" w:rsidRDefault="00BC490D" w:rsidP="00BC490D">
                      <w:pPr>
                        <w:jc w:val="center"/>
                        <w:textAlignment w:val="baseline"/>
                        <w:rPr>
                          <w:rFonts w:ascii="Calibri" w:eastAsia="Georgia" w:hAnsi="Calibri" w:cs="Georgia"/>
                          <w:color w:val="404040"/>
                          <w:sz w:val="12"/>
                          <w:szCs w:val="12"/>
                        </w:rPr>
                      </w:pPr>
                      <w:r w:rsidRPr="00030A37">
                        <w:rPr>
                          <w:rFonts w:ascii="Calibri" w:eastAsia="Georgia" w:hAnsi="Calibri" w:cs="Georgia"/>
                          <w:color w:val="404040"/>
                          <w:sz w:val="12"/>
                          <w:szCs w:val="12"/>
                        </w:rPr>
                        <w:t>Available Collections</w:t>
                      </w:r>
                    </w:p>
                  </w:txbxContent>
                </v:textbox>
              </v:rect>
            </w:pict>
          </mc:Fallback>
        </mc:AlternateContent>
      </w:r>
      <w:r w:rsidRPr="00D427D8">
        <w:rPr>
          <w:noProof/>
        </w:rPr>
        <mc:AlternateContent>
          <mc:Choice Requires="wps">
            <w:drawing>
              <wp:anchor distT="0" distB="0" distL="114300" distR="114300" simplePos="0" relativeHeight="251682816" behindDoc="0" locked="0" layoutInCell="1" allowOverlap="1" wp14:anchorId="5B8FE142" wp14:editId="39C1915F">
                <wp:simplePos x="0" y="0"/>
                <wp:positionH relativeFrom="column">
                  <wp:posOffset>1624330</wp:posOffset>
                </wp:positionH>
                <wp:positionV relativeFrom="paragraph">
                  <wp:posOffset>1740263</wp:posOffset>
                </wp:positionV>
                <wp:extent cx="1586865" cy="179705"/>
                <wp:effectExtent l="0" t="0" r="0" b="0"/>
                <wp:wrapNone/>
                <wp:docPr id="31" name="Rectangle 30">
                  <a:extLst xmlns:a="http://schemas.openxmlformats.org/drawingml/2006/main">
                    <a:ext uri="{FF2B5EF4-FFF2-40B4-BE49-F238E27FC236}">
                      <a16:creationId xmlns:a16="http://schemas.microsoft.com/office/drawing/2014/main" id="{6E4D0974-656C-E298-768B-4D3A6A27FBD1}"/>
                    </a:ext>
                  </a:extLst>
                </wp:docPr>
                <wp:cNvGraphicFramePr/>
                <a:graphic xmlns:a="http://schemas.openxmlformats.org/drawingml/2006/main">
                  <a:graphicData uri="http://schemas.microsoft.com/office/word/2010/wordprocessingShape">
                    <wps:wsp>
                      <wps:cNvSpPr/>
                      <wps:spPr>
                        <a:xfrm>
                          <a:off x="0" y="0"/>
                          <a:ext cx="1586865" cy="179705"/>
                        </a:xfrm>
                        <a:prstGeom prst="rect">
                          <a:avLst/>
                        </a:prstGeom>
                        <a:noFill/>
                        <a:ln w="12700" cap="flat" cmpd="sng" algn="ctr">
                          <a:noFill/>
                          <a:prstDash val="solid"/>
                          <a:miter lim="800000"/>
                        </a:ln>
                        <a:effectLst/>
                      </wps:spPr>
                      <wps:txbx>
                        <w:txbxContent>
                          <w:p w14:paraId="4EB73750"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Sale of Lease Receivables and Expectancy Rights</w:t>
                            </w:r>
                          </w:p>
                        </w:txbxContent>
                      </wps:txbx>
                      <wps:bodyPr lIns="36000" tIns="36000" rIns="36000" bIns="36000" rtlCol="0" anchor="ctr"/>
                    </wps:wsp>
                  </a:graphicData>
                </a:graphic>
              </wp:anchor>
            </w:drawing>
          </mc:Choice>
          <mc:Fallback>
            <w:pict>
              <v:rect w14:anchorId="5B8FE142" id="Rectangle 30" o:spid="_x0000_s1032" style="position:absolute;left:0;text-align:left;margin-left:127.9pt;margin-top:137.05pt;width:124.95pt;height:14.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" filled="f" stroked="f" strokeweight="1pt">
                <v:textbox inset="1mm,1mm,1mm,1mm">
                  <w:txbxContent>
                    <w:p w14:paraId="4EB73750"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Sale of Lease Receivables and Expectancy Rights</w:t>
                      </w:r>
                    </w:p>
                  </w:txbxContent>
                </v:textbox>
              </v:rect>
            </w:pict>
          </mc:Fallback>
        </mc:AlternateContent>
      </w:r>
      <w:r w:rsidRPr="00D427D8">
        <w:rPr>
          <w:noProof/>
        </w:rPr>
        <mc:AlternateContent>
          <mc:Choice Requires="wps">
            <w:drawing>
              <wp:anchor distT="0" distB="0" distL="114300" distR="114300" simplePos="0" relativeHeight="251659264" behindDoc="0" locked="0" layoutInCell="1" allowOverlap="1" wp14:anchorId="51F2AEAB" wp14:editId="6623C90F">
                <wp:simplePos x="0" y="0"/>
                <wp:positionH relativeFrom="column">
                  <wp:posOffset>3932555</wp:posOffset>
                </wp:positionH>
                <wp:positionV relativeFrom="paragraph">
                  <wp:posOffset>-635</wp:posOffset>
                </wp:positionV>
                <wp:extent cx="1152000" cy="504000"/>
                <wp:effectExtent l="0" t="0" r="10160" b="10795"/>
                <wp:wrapNone/>
                <wp:docPr id="21" name="Rectangle 2"/>
                <wp:cNvGraphicFramePr/>
                <a:graphic xmlns:a="http://schemas.openxmlformats.org/drawingml/2006/main">
                  <a:graphicData uri="http://schemas.microsoft.com/office/word/2010/wordprocessingShape">
                    <wps:wsp>
                      <wps:cNvSpPr/>
                      <wps:spPr>
                        <a:xfrm>
                          <a:off x="0" y="0"/>
                          <a:ext cx="1152000" cy="504000"/>
                        </a:xfrm>
                        <a:prstGeom prst="rect">
                          <a:avLst/>
                        </a:prstGeom>
                        <a:noFill/>
                        <a:ln w="6350" cap="flat" cmpd="sng" algn="ctr">
                          <a:solidFill>
                            <a:srgbClr val="000000">
                              <a:lumMod val="75000"/>
                              <a:lumOff val="25000"/>
                            </a:srgbClr>
                          </a:solidFill>
                          <a:prstDash val="solid"/>
                          <a:miter lim="800000"/>
                        </a:ln>
                        <a:effectLst/>
                      </wps:spPr>
                      <wps:txbx>
                        <w:txbxContent>
                          <w:p w14:paraId="65D1DF63" w14:textId="6F15B319" w:rsidR="00BC490D" w:rsidRDefault="00BC490D" w:rsidP="00BC490D">
                            <w:pPr>
                              <w:jc w:val="center"/>
                              <w:textAlignment w:val="baseline"/>
                              <w:rPr>
                                <w:rFonts w:ascii="Calibri" w:eastAsia="Georgia" w:hAnsi="Calibri" w:cs="Georgia"/>
                                <w:b/>
                                <w:bCs/>
                                <w:color w:val="282832"/>
                                <w:sz w:val="12"/>
                                <w:szCs w:val="12"/>
                              </w:rPr>
                            </w:pPr>
                            <w:r>
                              <w:rPr>
                                <w:rFonts w:ascii="Calibri" w:eastAsia="Georgia" w:hAnsi="Calibri" w:cs="Georgia"/>
                                <w:b/>
                                <w:bCs/>
                                <w:color w:val="282832"/>
                                <w:sz w:val="12"/>
                                <w:szCs w:val="12"/>
                              </w:rPr>
                              <w:t xml:space="preserve">CSC </w:t>
                            </w:r>
                            <w:r w:rsidR="0030287E">
                              <w:rPr>
                                <w:rFonts w:ascii="Calibri" w:eastAsia="Georgia" w:hAnsi="Calibri" w:cs="Georgia"/>
                                <w:b/>
                                <w:bCs/>
                                <w:color w:val="282832"/>
                                <w:sz w:val="12"/>
                                <w:szCs w:val="12"/>
                              </w:rPr>
                              <w:t xml:space="preserve">Global Solutions </w:t>
                            </w:r>
                            <w:r>
                              <w:rPr>
                                <w:rFonts w:ascii="Calibri" w:eastAsia="Georgia" w:hAnsi="Calibri" w:cs="Georgia"/>
                                <w:b/>
                                <w:bCs/>
                                <w:color w:val="282832"/>
                                <w:sz w:val="12"/>
                                <w:szCs w:val="12"/>
                              </w:rPr>
                              <w:t xml:space="preserve">(Luxembourg) </w:t>
                            </w:r>
                            <w:r>
                              <w:rPr>
                                <w:rFonts w:ascii="Calibri" w:eastAsia="Georgia" w:hAnsi="Calibri" w:cs="Georgia"/>
                                <w:b/>
                                <w:bCs/>
                                <w:color w:val="282832"/>
                                <w:sz w:val="12"/>
                                <w:szCs w:val="12"/>
                              </w:rPr>
                              <w:br/>
                              <w:t>S.á r.l.</w:t>
                            </w:r>
                            <w:r>
                              <w:rPr>
                                <w:rFonts w:ascii="Calibri" w:eastAsia="Georgia" w:hAnsi="Calibri" w:cs="Georgia"/>
                                <w:color w:val="282832"/>
                                <w:sz w:val="12"/>
                                <w:szCs w:val="12"/>
                              </w:rPr>
                              <w:br/>
                              <w:t>(Corporate Services Provider)</w:t>
                            </w:r>
                          </w:p>
                        </w:txbxContent>
                      </wps:txbx>
                      <wps:bodyPr rtlCol="0" anchor="ctr"/>
                    </wps:wsp>
                  </a:graphicData>
                </a:graphic>
              </wp:anchor>
            </w:drawing>
          </mc:Choice>
          <mc:Fallback>
            <w:pict>
              <v:rect w14:anchorId="51F2AEAB" id="Rectangle 2" o:spid="_x0000_s1033" style="position:absolute;left:0;text-align:left;margin-left:309.65pt;margin-top:-.05pt;width:90.7pt;height:39.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" filled="f" strokecolor="#404040" strokeweight=".5pt">
                <v:textbox>
                  <w:txbxContent>
                    <w:p w14:paraId="65D1DF63" w14:textId="6F15B319" w:rsidR="00BC490D" w:rsidRDefault="00BC490D" w:rsidP="00BC490D">
                      <w:pPr>
                        <w:jc w:val="center"/>
                        <w:textAlignment w:val="baseline"/>
                        <w:rPr>
                          <w:rFonts w:ascii="Calibri" w:eastAsia="Georgia" w:hAnsi="Calibri" w:cs="Georgia"/>
                          <w:b/>
                          <w:bCs/>
                          <w:color w:val="282832"/>
                          <w:sz w:val="12"/>
                          <w:szCs w:val="12"/>
                        </w:rPr>
                      </w:pPr>
                      <w:r>
                        <w:rPr>
                          <w:rFonts w:ascii="Calibri" w:eastAsia="Georgia" w:hAnsi="Calibri" w:cs="Georgia"/>
                          <w:b/>
                          <w:bCs/>
                          <w:color w:val="282832"/>
                          <w:sz w:val="12"/>
                          <w:szCs w:val="12"/>
                        </w:rPr>
                        <w:t xml:space="preserve">CSC </w:t>
                      </w:r>
                      <w:r w:rsidR="0030287E">
                        <w:rPr>
                          <w:rFonts w:ascii="Calibri" w:eastAsia="Georgia" w:hAnsi="Calibri" w:cs="Georgia"/>
                          <w:b/>
                          <w:bCs/>
                          <w:color w:val="282832"/>
                          <w:sz w:val="12"/>
                          <w:szCs w:val="12"/>
                        </w:rPr>
                        <w:t xml:space="preserve">Global Solutions </w:t>
                      </w:r>
                      <w:r>
                        <w:rPr>
                          <w:rFonts w:ascii="Calibri" w:eastAsia="Georgia" w:hAnsi="Calibri" w:cs="Georgia"/>
                          <w:b/>
                          <w:bCs/>
                          <w:color w:val="282832"/>
                          <w:sz w:val="12"/>
                          <w:szCs w:val="12"/>
                        </w:rPr>
                        <w:t xml:space="preserve">(Luxembourg) </w:t>
                      </w:r>
                      <w:r>
                        <w:rPr>
                          <w:rFonts w:ascii="Calibri" w:eastAsia="Georgia" w:hAnsi="Calibri" w:cs="Georgia"/>
                          <w:b/>
                          <w:bCs/>
                          <w:color w:val="282832"/>
                          <w:sz w:val="12"/>
                          <w:szCs w:val="12"/>
                        </w:rPr>
                        <w:br/>
                        <w:t>S.á r.l.</w:t>
                      </w:r>
                      <w:r>
                        <w:rPr>
                          <w:rFonts w:ascii="Calibri" w:eastAsia="Georgia" w:hAnsi="Calibri" w:cs="Georgia"/>
                          <w:color w:val="282832"/>
                          <w:sz w:val="12"/>
                          <w:szCs w:val="12"/>
                        </w:rPr>
                        <w:br/>
                        <w:t>(Corporate Services Provider)</w:t>
                      </w:r>
                    </w:p>
                  </w:txbxContent>
                </v:textbox>
              </v:rect>
            </w:pict>
          </mc:Fallback>
        </mc:AlternateContent>
      </w:r>
      <w:r w:rsidRPr="00D427D8">
        <w:rPr>
          <w:noProof/>
        </w:rPr>
        <mc:AlternateContent>
          <mc:Choice Requires="wps">
            <w:drawing>
              <wp:anchor distT="0" distB="0" distL="114300" distR="114300" simplePos="0" relativeHeight="251660288" behindDoc="0" locked="0" layoutInCell="1" allowOverlap="1" wp14:anchorId="05E536B8" wp14:editId="4570E465">
                <wp:simplePos x="0" y="0"/>
                <wp:positionH relativeFrom="column">
                  <wp:posOffset>4508500</wp:posOffset>
                </wp:positionH>
                <wp:positionV relativeFrom="paragraph">
                  <wp:posOffset>502920</wp:posOffset>
                </wp:positionV>
                <wp:extent cx="1136" cy="176771"/>
                <wp:effectExtent l="0" t="0" r="37465" b="33020"/>
                <wp:wrapNone/>
                <wp:docPr id="22" name="Straight Connector 3"/>
                <wp:cNvGraphicFramePr/>
                <a:graphic xmlns:a="http://schemas.openxmlformats.org/drawingml/2006/main">
                  <a:graphicData uri="http://schemas.microsoft.com/office/word/2010/wordprocessingShape">
                    <wps:wsp>
                      <wps:cNvCnPr/>
                      <wps:spPr>
                        <a:xfrm>
                          <a:off x="0" y="0"/>
                          <a:ext cx="1136" cy="176771"/>
                        </a:xfrm>
                        <a:prstGeom prst="line">
                          <a:avLst/>
                        </a:prstGeom>
                        <a:noFill/>
                        <a:ln w="6350" cap="rnd" cmpd="sng" algn="ctr">
                          <a:solidFill>
                            <a:srgbClr val="4D5357"/>
                          </a:solidFill>
                          <a:prstDash val="solid"/>
                        </a:ln>
                        <a:effectLst/>
                      </wps:spPr>
                      <wps:bodyPr/>
                    </wps:wsp>
                  </a:graphicData>
                </a:graphic>
              </wp:anchor>
            </w:drawing>
          </mc:Choice>
          <mc:Fallback>
            <w:pict>
              <v:line w14:anchorId="0FAAE79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5pt,39.6pt" to="355.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" strokecolor="#4d5357" strokeweight=".5pt">
                <v:stroke endcap="round"/>
              </v:line>
            </w:pict>
          </mc:Fallback>
        </mc:AlternateContent>
      </w:r>
      <w:r w:rsidRPr="00D427D8">
        <w:rPr>
          <w:noProof/>
        </w:rPr>
        <mc:AlternateContent>
          <mc:Choice Requires="wps">
            <w:drawing>
              <wp:anchor distT="0" distB="0" distL="114300" distR="114300" simplePos="0" relativeHeight="251662336" behindDoc="0" locked="0" layoutInCell="1" allowOverlap="1" wp14:anchorId="16F6CF56" wp14:editId="157CC526">
                <wp:simplePos x="0" y="0"/>
                <wp:positionH relativeFrom="column">
                  <wp:posOffset>3496945</wp:posOffset>
                </wp:positionH>
                <wp:positionV relativeFrom="paragraph">
                  <wp:posOffset>1094105</wp:posOffset>
                </wp:positionV>
                <wp:extent cx="1944000" cy="2672683"/>
                <wp:effectExtent l="0" t="0" r="18415" b="13970"/>
                <wp:wrapNone/>
                <wp:docPr id="25" name="Rectangle 10"/>
                <wp:cNvGraphicFramePr/>
                <a:graphic xmlns:a="http://schemas.openxmlformats.org/drawingml/2006/main">
                  <a:graphicData uri="http://schemas.microsoft.com/office/word/2010/wordprocessingShape">
                    <wps:wsp>
                      <wps:cNvSpPr/>
                      <wps:spPr>
                        <a:xfrm>
                          <a:off x="0" y="0"/>
                          <a:ext cx="1944000" cy="2672683"/>
                        </a:xfrm>
                        <a:prstGeom prst="rect">
                          <a:avLst/>
                        </a:prstGeom>
                        <a:noFill/>
                        <a:ln w="6350" cap="flat" cmpd="sng" algn="ctr">
                          <a:solidFill>
                            <a:srgbClr val="535656">
                              <a:lumMod val="75000"/>
                            </a:srgbClr>
                          </a:solidFill>
                          <a:prstDash val="solid"/>
                          <a:miter lim="800000"/>
                        </a:ln>
                        <a:effectLst/>
                      </wps:spPr>
                      <wps:bodyPr rtlCol="0" anchor="ctr"/>
                    </wps:wsp>
                  </a:graphicData>
                </a:graphic>
              </wp:anchor>
            </w:drawing>
          </mc:Choice>
          <mc:Fallback>
            <w:pict>
              <v:rect w14:anchorId="45A42A45" id="Rectangle 10" o:spid="_x0000_s1026" style="position:absolute;margin-left:275.35pt;margin-top:86.15pt;width:153.05pt;height:210.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" filled="f" strokecolor="#3e4040" strokeweight=".5pt"/>
            </w:pict>
          </mc:Fallback>
        </mc:AlternateContent>
      </w:r>
      <w:r w:rsidRPr="00D427D8">
        <w:rPr>
          <w:noProof/>
        </w:rPr>
        <mc:AlternateContent>
          <mc:Choice Requires="wps">
            <w:drawing>
              <wp:anchor distT="0" distB="0" distL="114300" distR="114300" simplePos="0" relativeHeight="251663360" behindDoc="0" locked="0" layoutInCell="1" allowOverlap="1" wp14:anchorId="6EA41167" wp14:editId="273C8B04">
                <wp:simplePos x="0" y="0"/>
                <wp:positionH relativeFrom="column">
                  <wp:posOffset>112395</wp:posOffset>
                </wp:positionH>
                <wp:positionV relativeFrom="paragraph">
                  <wp:posOffset>502920</wp:posOffset>
                </wp:positionV>
                <wp:extent cx="1188000" cy="324000"/>
                <wp:effectExtent l="0" t="0" r="12700" b="19050"/>
                <wp:wrapNone/>
                <wp:docPr id="27" name="Rectangle 11"/>
                <wp:cNvGraphicFramePr/>
                <a:graphic xmlns:a="http://schemas.openxmlformats.org/drawingml/2006/main">
                  <a:graphicData uri="http://schemas.microsoft.com/office/word/2010/wordprocessingShape">
                    <wps:wsp>
                      <wps:cNvSpPr/>
                      <wps:spPr>
                        <a:xfrm>
                          <a:off x="0" y="0"/>
                          <a:ext cx="1188000" cy="324000"/>
                        </a:xfrm>
                        <a:prstGeom prst="rect">
                          <a:avLst/>
                        </a:prstGeom>
                        <a:solidFill>
                          <a:srgbClr val="FFFFFF">
                            <a:lumMod val="75000"/>
                          </a:srgbClr>
                        </a:solidFill>
                        <a:ln w="6350" cap="flat" cmpd="sng" algn="ctr">
                          <a:solidFill>
                            <a:srgbClr val="000000">
                              <a:lumMod val="65000"/>
                              <a:lumOff val="35000"/>
                            </a:srgbClr>
                          </a:solidFill>
                          <a:prstDash val="solid"/>
                          <a:miter lim="800000"/>
                        </a:ln>
                        <a:effectLst/>
                      </wps:spPr>
                      <wps:txbx>
                        <w:txbxContent>
                          <w:p w14:paraId="3F73C550" w14:textId="77777777" w:rsidR="00BC490D" w:rsidRDefault="00BC490D" w:rsidP="00BC490D">
                            <w:pPr>
                              <w:jc w:val="center"/>
                              <w:textAlignment w:val="baseline"/>
                              <w:rPr>
                                <w:rFonts w:ascii="Calibri" w:eastAsia="Georgia" w:hAnsi="Calibri" w:cs="Georgia"/>
                                <w:color w:val="535656"/>
                                <w:sz w:val="12"/>
                                <w:szCs w:val="12"/>
                              </w:rPr>
                            </w:pPr>
                            <w:r>
                              <w:rPr>
                                <w:rFonts w:ascii="Calibri" w:eastAsia="Georgia" w:hAnsi="Calibri" w:cs="Georgia"/>
                                <w:color w:val="535656"/>
                                <w:sz w:val="12"/>
                                <w:szCs w:val="12"/>
                              </w:rPr>
                              <w:t>Lessees</w:t>
                            </w:r>
                          </w:p>
                        </w:txbxContent>
                      </wps:txbx>
                      <wps:bodyPr rtlCol="0" anchor="ctr"/>
                    </wps:wsp>
                  </a:graphicData>
                </a:graphic>
              </wp:anchor>
            </w:drawing>
          </mc:Choice>
          <mc:Fallback>
            <w:pict>
              <v:rect w14:anchorId="6EA41167" id="Rectangle 11" o:spid="_x0000_s1034" style="position:absolute;left:0;text-align:left;margin-left:8.85pt;margin-top:39.6pt;width:93.5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" fillcolor="#bfbfbf" strokecolor="#595959" strokeweight=".5pt">
                <v:textbox>
                  <w:txbxContent>
                    <w:p w14:paraId="3F73C550" w14:textId="77777777" w:rsidR="00BC490D" w:rsidRDefault="00BC490D" w:rsidP="00BC490D">
                      <w:pPr>
                        <w:jc w:val="center"/>
                        <w:textAlignment w:val="baseline"/>
                        <w:rPr>
                          <w:rFonts w:ascii="Calibri" w:eastAsia="Georgia" w:hAnsi="Calibri" w:cs="Georgia"/>
                          <w:color w:val="535656"/>
                          <w:sz w:val="12"/>
                          <w:szCs w:val="12"/>
                        </w:rPr>
                      </w:pPr>
                      <w:r>
                        <w:rPr>
                          <w:rFonts w:ascii="Calibri" w:eastAsia="Georgia" w:hAnsi="Calibri" w:cs="Georgia"/>
                          <w:color w:val="535656"/>
                          <w:sz w:val="12"/>
                          <w:szCs w:val="12"/>
                        </w:rPr>
                        <w:t>Lessees</w:t>
                      </w:r>
                    </w:p>
                  </w:txbxContent>
                </v:textbox>
              </v:rect>
            </w:pict>
          </mc:Fallback>
        </mc:AlternateContent>
      </w:r>
      <w:r w:rsidRPr="00D427D8">
        <w:rPr>
          <w:noProof/>
        </w:rPr>
        <mc:AlternateContent>
          <mc:Choice Requires="wps">
            <w:drawing>
              <wp:anchor distT="0" distB="0" distL="114300" distR="114300" simplePos="0" relativeHeight="251664384" behindDoc="0" locked="0" layoutInCell="1" allowOverlap="1" wp14:anchorId="58ADCFD3" wp14:editId="1F0AB469">
                <wp:simplePos x="0" y="0"/>
                <wp:positionH relativeFrom="column">
                  <wp:posOffset>4509770</wp:posOffset>
                </wp:positionH>
                <wp:positionV relativeFrom="paragraph">
                  <wp:posOffset>1306195</wp:posOffset>
                </wp:positionV>
                <wp:extent cx="828000" cy="1159200"/>
                <wp:effectExtent l="0" t="0" r="10795" b="22225"/>
                <wp:wrapNone/>
                <wp:docPr id="28" name="Rectangle 12"/>
                <wp:cNvGraphicFramePr/>
                <a:graphic xmlns:a="http://schemas.openxmlformats.org/drawingml/2006/main">
                  <a:graphicData uri="http://schemas.microsoft.com/office/word/2010/wordprocessingShape">
                    <wps:wsp>
                      <wps:cNvSpPr/>
                      <wps:spPr>
                        <a:xfrm>
                          <a:off x="0" y="0"/>
                          <a:ext cx="828000" cy="1159200"/>
                        </a:xfrm>
                        <a:prstGeom prst="rect">
                          <a:avLst/>
                        </a:prstGeom>
                        <a:solidFill>
                          <a:srgbClr val="00B1AE"/>
                        </a:solidFill>
                        <a:ln w="6350" cap="flat" cmpd="sng" algn="ctr">
                          <a:solidFill>
                            <a:srgbClr val="535656">
                              <a:lumMod val="75000"/>
                            </a:srgbClr>
                          </a:solidFill>
                          <a:prstDash val="solid"/>
                          <a:miter lim="800000"/>
                        </a:ln>
                        <a:effectLst/>
                      </wps:spPr>
                      <wps:txbx>
                        <w:txbxContent>
                          <w:p w14:paraId="57655A90" w14:textId="77777777" w:rsidR="00BC490D" w:rsidRDefault="00BC490D" w:rsidP="00BC490D">
                            <w:pPr>
                              <w:jc w:val="center"/>
                              <w:textAlignment w:val="baseline"/>
                              <w:rPr>
                                <w:rFonts w:ascii="Calibri" w:eastAsia="Georgia" w:hAnsi="Calibri" w:cs="Georgia"/>
                                <w:color w:val="FFFFFF"/>
                                <w:sz w:val="12"/>
                                <w:szCs w:val="12"/>
                              </w:rPr>
                            </w:pPr>
                            <w:r>
                              <w:rPr>
                                <w:rFonts w:ascii="Calibri" w:eastAsia="Georgia" w:hAnsi="Calibri" w:cs="Georgia"/>
                                <w:color w:val="FFFFFF"/>
                                <w:sz w:val="12"/>
                                <w:szCs w:val="12"/>
                              </w:rPr>
                              <w:t xml:space="preserve">Class A </w:t>
                            </w:r>
                          </w:p>
                        </w:txbxContent>
                      </wps:txbx>
                      <wps:bodyPr rtlCol="0" anchor="ctr"/>
                    </wps:wsp>
                  </a:graphicData>
                </a:graphic>
              </wp:anchor>
            </w:drawing>
          </mc:Choice>
          <mc:Fallback>
            <w:pict>
              <v:rect w14:anchorId="58ADCFD3" id="Rectangle 12" o:spid="_x0000_s1035" style="position:absolute;left:0;text-align:left;margin-left:355.1pt;margin-top:102.85pt;width:65.2pt;height:9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" fillcolor="#00b1ae" strokecolor="#3e4040" strokeweight=".5pt">
                <v:textbox>
                  <w:txbxContent>
                    <w:p w14:paraId="57655A90" w14:textId="77777777" w:rsidR="00BC490D" w:rsidRDefault="00BC490D" w:rsidP="00BC490D">
                      <w:pPr>
                        <w:jc w:val="center"/>
                        <w:textAlignment w:val="baseline"/>
                        <w:rPr>
                          <w:rFonts w:ascii="Calibri" w:eastAsia="Georgia" w:hAnsi="Calibri" w:cs="Georgia"/>
                          <w:color w:val="FFFFFF"/>
                          <w:sz w:val="12"/>
                          <w:szCs w:val="12"/>
                        </w:rPr>
                      </w:pPr>
                      <w:r>
                        <w:rPr>
                          <w:rFonts w:ascii="Calibri" w:eastAsia="Georgia" w:hAnsi="Calibri" w:cs="Georgia"/>
                          <w:color w:val="FFFFFF"/>
                          <w:sz w:val="12"/>
                          <w:szCs w:val="12"/>
                        </w:rPr>
                        <w:t xml:space="preserve">Class A </w:t>
                      </w:r>
                    </w:p>
                  </w:txbxContent>
                </v:textbox>
              </v:rect>
            </w:pict>
          </mc:Fallback>
        </mc:AlternateContent>
      </w:r>
      <w:r w:rsidRPr="00D427D8">
        <w:rPr>
          <w:noProof/>
        </w:rPr>
        <mc:AlternateContent>
          <mc:Choice Requires="wps">
            <w:drawing>
              <wp:anchor distT="0" distB="0" distL="114300" distR="114300" simplePos="0" relativeHeight="251666432" behindDoc="0" locked="0" layoutInCell="1" allowOverlap="1" wp14:anchorId="10B04D32" wp14:editId="0CAD9E44">
                <wp:simplePos x="0" y="0"/>
                <wp:positionH relativeFrom="column">
                  <wp:posOffset>3602355</wp:posOffset>
                </wp:positionH>
                <wp:positionV relativeFrom="paragraph">
                  <wp:posOffset>1306195</wp:posOffset>
                </wp:positionV>
                <wp:extent cx="828000" cy="2317945"/>
                <wp:effectExtent l="0" t="0" r="10795" b="25400"/>
                <wp:wrapNone/>
                <wp:docPr id="34" name="Rectangle 14"/>
                <wp:cNvGraphicFramePr/>
                <a:graphic xmlns:a="http://schemas.openxmlformats.org/drawingml/2006/main">
                  <a:graphicData uri="http://schemas.microsoft.com/office/word/2010/wordprocessingShape">
                    <wps:wsp>
                      <wps:cNvSpPr/>
                      <wps:spPr>
                        <a:xfrm>
                          <a:off x="0" y="0"/>
                          <a:ext cx="828000" cy="2317945"/>
                        </a:xfrm>
                        <a:prstGeom prst="rect">
                          <a:avLst/>
                        </a:prstGeom>
                        <a:solidFill>
                          <a:srgbClr val="00B1AE">
                            <a:lumMod val="50000"/>
                          </a:srgbClr>
                        </a:solidFill>
                        <a:ln w="6350" cap="flat" cmpd="sng" algn="ctr">
                          <a:solidFill>
                            <a:srgbClr val="535656">
                              <a:lumMod val="50000"/>
                            </a:srgbClr>
                          </a:solidFill>
                          <a:prstDash val="solid"/>
                          <a:miter lim="800000"/>
                        </a:ln>
                        <a:effectLst/>
                      </wps:spPr>
                      <wps:txbx>
                        <w:txbxContent>
                          <w:p w14:paraId="70A9F704" w14:textId="77777777" w:rsidR="00BC490D" w:rsidRDefault="00BC490D" w:rsidP="00BC490D">
                            <w:pPr>
                              <w:jc w:val="center"/>
                              <w:textAlignment w:val="baseline"/>
                              <w:rPr>
                                <w:rFonts w:ascii="Calibri" w:eastAsia="Georgia" w:hAnsi="Calibri" w:cs="Georgia"/>
                                <w:color w:val="FFFFFF"/>
                                <w:sz w:val="12"/>
                                <w:szCs w:val="12"/>
                              </w:rPr>
                            </w:pPr>
                            <w:r>
                              <w:rPr>
                                <w:rFonts w:ascii="Calibri" w:eastAsia="Georgia" w:hAnsi="Calibri" w:cs="Georgia"/>
                                <w:color w:val="FFFFFF"/>
                                <w:sz w:val="12"/>
                                <w:szCs w:val="12"/>
                              </w:rPr>
                              <w:t>Portfolio</w:t>
                            </w:r>
                          </w:p>
                        </w:txbxContent>
                      </wps:txbx>
                      <wps:bodyPr rtlCol="0" anchor="ctr"/>
                    </wps:wsp>
                  </a:graphicData>
                </a:graphic>
              </wp:anchor>
            </w:drawing>
          </mc:Choice>
          <mc:Fallback>
            <w:pict>
              <v:rect w14:anchorId="10B04D32" id="Rectangle 14" o:spid="_x0000_s1036" style="position:absolute;left:0;text-align:left;margin-left:283.65pt;margin-top:102.85pt;width:65.2pt;height:1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" fillcolor="#005957" strokecolor="#292b2b" strokeweight=".5pt">
                <v:textbox>
                  <w:txbxContent>
                    <w:p w14:paraId="70A9F704" w14:textId="77777777" w:rsidR="00BC490D" w:rsidRDefault="00BC490D" w:rsidP="00BC490D">
                      <w:pPr>
                        <w:jc w:val="center"/>
                        <w:textAlignment w:val="baseline"/>
                        <w:rPr>
                          <w:rFonts w:ascii="Calibri" w:eastAsia="Georgia" w:hAnsi="Calibri" w:cs="Georgia"/>
                          <w:color w:val="FFFFFF"/>
                          <w:sz w:val="12"/>
                          <w:szCs w:val="12"/>
                        </w:rPr>
                      </w:pPr>
                      <w:r>
                        <w:rPr>
                          <w:rFonts w:ascii="Calibri" w:eastAsia="Georgia" w:hAnsi="Calibri" w:cs="Georgia"/>
                          <w:color w:val="FFFFFF"/>
                          <w:sz w:val="12"/>
                          <w:szCs w:val="12"/>
                        </w:rPr>
                        <w:t>Portfolio</w:t>
                      </w:r>
                    </w:p>
                  </w:txbxContent>
                </v:textbox>
              </v:rect>
            </w:pict>
          </mc:Fallback>
        </mc:AlternateContent>
      </w:r>
      <w:r w:rsidRPr="00D427D8">
        <w:rPr>
          <w:noProof/>
        </w:rPr>
        <mc:AlternateContent>
          <mc:Choice Requires="wps">
            <w:drawing>
              <wp:anchor distT="0" distB="0" distL="114300" distR="114300" simplePos="0" relativeHeight="251668480" behindDoc="0" locked="0" layoutInCell="1" allowOverlap="1" wp14:anchorId="02058298" wp14:editId="2DAD2D35">
                <wp:simplePos x="0" y="0"/>
                <wp:positionH relativeFrom="column">
                  <wp:posOffset>3602355</wp:posOffset>
                </wp:positionH>
                <wp:positionV relativeFrom="paragraph">
                  <wp:posOffset>1129665</wp:posOffset>
                </wp:positionV>
                <wp:extent cx="828000" cy="180000"/>
                <wp:effectExtent l="0" t="0" r="0" b="0"/>
                <wp:wrapNone/>
                <wp:docPr id="36" name="Rectangle 16"/>
                <wp:cNvGraphicFramePr/>
                <a:graphic xmlns:a="http://schemas.openxmlformats.org/drawingml/2006/main">
                  <a:graphicData uri="http://schemas.microsoft.com/office/word/2010/wordprocessingShape">
                    <wps:wsp>
                      <wps:cNvSpPr/>
                      <wps:spPr>
                        <a:xfrm>
                          <a:off x="0" y="0"/>
                          <a:ext cx="828000" cy="180000"/>
                        </a:xfrm>
                        <a:prstGeom prst="rect">
                          <a:avLst/>
                        </a:prstGeom>
                        <a:noFill/>
                        <a:ln w="6350" cap="flat" cmpd="sng" algn="ctr">
                          <a:noFill/>
                          <a:prstDash val="solid"/>
                          <a:miter lim="800000"/>
                        </a:ln>
                        <a:effectLst/>
                      </wps:spPr>
                      <wps:txbx>
                        <w:txbxContent>
                          <w:p w14:paraId="2D724497" w14:textId="77777777" w:rsidR="00BC490D" w:rsidRDefault="00BC490D" w:rsidP="00BC490D">
                            <w:pPr>
                              <w:jc w:val="center"/>
                              <w:textAlignment w:val="baseline"/>
                              <w:rPr>
                                <w:rFonts w:ascii="Calibri" w:eastAsia="Georgia" w:hAnsi="Calibri" w:cs="Georgia"/>
                                <w:i/>
                                <w:iCs/>
                                <w:color w:val="404040"/>
                                <w:sz w:val="12"/>
                                <w:szCs w:val="12"/>
                              </w:rPr>
                            </w:pPr>
                            <w:r>
                              <w:rPr>
                                <w:rFonts w:ascii="Calibri" w:eastAsia="Georgia" w:hAnsi="Calibri" w:cs="Georgia"/>
                                <w:i/>
                                <w:iCs/>
                                <w:color w:val="404040"/>
                                <w:sz w:val="12"/>
                                <w:szCs w:val="12"/>
                              </w:rPr>
                              <w:t>Assets</w:t>
                            </w:r>
                          </w:p>
                        </w:txbxContent>
                      </wps:txbx>
                      <wps:bodyPr rtlCol="0" anchor="ctr"/>
                    </wps:wsp>
                  </a:graphicData>
                </a:graphic>
              </wp:anchor>
            </w:drawing>
          </mc:Choice>
          <mc:Fallback>
            <w:pict>
              <v:rect w14:anchorId="02058298" id="Rectangle 16" o:spid="_x0000_s1037" style="position:absolute;left:0;text-align:left;margin-left:283.65pt;margin-top:88.95pt;width:65.2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" filled="f" stroked="f" strokeweight=".5pt">
                <v:textbox>
                  <w:txbxContent>
                    <w:p w14:paraId="2D724497" w14:textId="77777777" w:rsidR="00BC490D" w:rsidRDefault="00BC490D" w:rsidP="00BC490D">
                      <w:pPr>
                        <w:jc w:val="center"/>
                        <w:textAlignment w:val="baseline"/>
                        <w:rPr>
                          <w:rFonts w:ascii="Calibri" w:eastAsia="Georgia" w:hAnsi="Calibri" w:cs="Georgia"/>
                          <w:i/>
                          <w:iCs/>
                          <w:color w:val="404040"/>
                          <w:sz w:val="12"/>
                          <w:szCs w:val="12"/>
                        </w:rPr>
                      </w:pPr>
                      <w:r>
                        <w:rPr>
                          <w:rFonts w:ascii="Calibri" w:eastAsia="Georgia" w:hAnsi="Calibri" w:cs="Georgia"/>
                          <w:i/>
                          <w:iCs/>
                          <w:color w:val="404040"/>
                          <w:sz w:val="12"/>
                          <w:szCs w:val="12"/>
                        </w:rPr>
                        <w:t>Assets</w:t>
                      </w:r>
                    </w:p>
                  </w:txbxContent>
                </v:textbox>
              </v:rect>
            </w:pict>
          </mc:Fallback>
        </mc:AlternateContent>
      </w:r>
      <w:r w:rsidRPr="00D427D8">
        <w:rPr>
          <w:noProof/>
        </w:rPr>
        <mc:AlternateContent>
          <mc:Choice Requires="wps">
            <w:drawing>
              <wp:anchor distT="0" distB="0" distL="114300" distR="114300" simplePos="0" relativeHeight="251669504" behindDoc="0" locked="0" layoutInCell="1" allowOverlap="1" wp14:anchorId="623CEDC6" wp14:editId="567AB240">
                <wp:simplePos x="0" y="0"/>
                <wp:positionH relativeFrom="column">
                  <wp:posOffset>4509770</wp:posOffset>
                </wp:positionH>
                <wp:positionV relativeFrom="paragraph">
                  <wp:posOffset>1129665</wp:posOffset>
                </wp:positionV>
                <wp:extent cx="828000" cy="180000"/>
                <wp:effectExtent l="0" t="0" r="0" b="0"/>
                <wp:wrapNone/>
                <wp:docPr id="37" name="Rectangle 17"/>
                <wp:cNvGraphicFramePr/>
                <a:graphic xmlns:a="http://schemas.openxmlformats.org/drawingml/2006/main">
                  <a:graphicData uri="http://schemas.microsoft.com/office/word/2010/wordprocessingShape">
                    <wps:wsp>
                      <wps:cNvSpPr/>
                      <wps:spPr>
                        <a:xfrm>
                          <a:off x="0" y="0"/>
                          <a:ext cx="828000" cy="180000"/>
                        </a:xfrm>
                        <a:prstGeom prst="rect">
                          <a:avLst/>
                        </a:prstGeom>
                        <a:noFill/>
                        <a:ln w="6350" cap="flat" cmpd="sng" algn="ctr">
                          <a:noFill/>
                          <a:prstDash val="solid"/>
                          <a:miter lim="800000"/>
                        </a:ln>
                        <a:effectLst/>
                      </wps:spPr>
                      <wps:txbx>
                        <w:txbxContent>
                          <w:p w14:paraId="13BE222F" w14:textId="77777777" w:rsidR="00BC490D" w:rsidRDefault="00BC490D" w:rsidP="00BC490D">
                            <w:pPr>
                              <w:jc w:val="center"/>
                              <w:textAlignment w:val="baseline"/>
                              <w:rPr>
                                <w:rFonts w:ascii="Calibri" w:eastAsia="Georgia" w:hAnsi="Calibri" w:cs="Georgia"/>
                                <w:i/>
                                <w:iCs/>
                                <w:color w:val="404040"/>
                                <w:sz w:val="12"/>
                                <w:szCs w:val="12"/>
                              </w:rPr>
                            </w:pPr>
                            <w:r>
                              <w:rPr>
                                <w:rFonts w:ascii="Calibri" w:eastAsia="Georgia" w:hAnsi="Calibri" w:cs="Georgia"/>
                                <w:i/>
                                <w:iCs/>
                                <w:color w:val="404040"/>
                                <w:sz w:val="12"/>
                                <w:szCs w:val="12"/>
                              </w:rPr>
                              <w:t>Liabilities</w:t>
                            </w:r>
                          </w:p>
                        </w:txbxContent>
                      </wps:txbx>
                      <wps:bodyPr rtlCol="0" anchor="ctr"/>
                    </wps:wsp>
                  </a:graphicData>
                </a:graphic>
              </wp:anchor>
            </w:drawing>
          </mc:Choice>
          <mc:Fallback>
            <w:pict>
              <v:rect w14:anchorId="623CEDC6" id="Rectangle 17" o:spid="_x0000_s1038" style="position:absolute;left:0;text-align:left;margin-left:355.1pt;margin-top:88.95pt;width:65.2pt;height:14.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" filled="f" stroked="f" strokeweight=".5pt">
                <v:textbox>
                  <w:txbxContent>
                    <w:p w14:paraId="13BE222F" w14:textId="77777777" w:rsidR="00BC490D" w:rsidRDefault="00BC490D" w:rsidP="00BC490D">
                      <w:pPr>
                        <w:jc w:val="center"/>
                        <w:textAlignment w:val="baseline"/>
                        <w:rPr>
                          <w:rFonts w:ascii="Calibri" w:eastAsia="Georgia" w:hAnsi="Calibri" w:cs="Georgia"/>
                          <w:i/>
                          <w:iCs/>
                          <w:color w:val="404040"/>
                          <w:sz w:val="12"/>
                          <w:szCs w:val="12"/>
                        </w:rPr>
                      </w:pPr>
                      <w:r>
                        <w:rPr>
                          <w:rFonts w:ascii="Calibri" w:eastAsia="Georgia" w:hAnsi="Calibri" w:cs="Georgia"/>
                          <w:i/>
                          <w:iCs/>
                          <w:color w:val="404040"/>
                          <w:sz w:val="12"/>
                          <w:szCs w:val="12"/>
                        </w:rPr>
                        <w:t>Liabilities</w:t>
                      </w:r>
                    </w:p>
                  </w:txbxContent>
                </v:textbox>
              </v:rect>
            </w:pict>
          </mc:Fallback>
        </mc:AlternateContent>
      </w:r>
      <w:r w:rsidRPr="00D427D8">
        <w:rPr>
          <w:noProof/>
        </w:rPr>
        <mc:AlternateContent>
          <mc:Choice Requires="wps">
            <w:drawing>
              <wp:anchor distT="0" distB="0" distL="114300" distR="114300" simplePos="0" relativeHeight="251670528" behindDoc="0" locked="0" layoutInCell="1" allowOverlap="1" wp14:anchorId="3C151B9D" wp14:editId="10D13220">
                <wp:simplePos x="0" y="0"/>
                <wp:positionH relativeFrom="column">
                  <wp:posOffset>905510</wp:posOffset>
                </wp:positionH>
                <wp:positionV relativeFrom="paragraph">
                  <wp:posOffset>865505</wp:posOffset>
                </wp:positionV>
                <wp:extent cx="0" cy="504000"/>
                <wp:effectExtent l="95250" t="0" r="76200" b="48895"/>
                <wp:wrapNone/>
                <wp:docPr id="83" name="Straight Arrow Connector 18"/>
                <wp:cNvGraphicFramePr/>
                <a:graphic xmlns:a="http://schemas.openxmlformats.org/drawingml/2006/main">
                  <a:graphicData uri="http://schemas.microsoft.com/office/word/2010/wordprocessingShape">
                    <wps:wsp>
                      <wps:cNvCnPr/>
                      <wps:spPr>
                        <a:xfrm>
                          <a:off x="0" y="0"/>
                          <a:ext cx="0" cy="50400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type w14:anchorId="69D81C92" id="_x0000_t32" coordsize="21600,21600" o:spt="32" o:oned="t" path="m,l21600,21600e" filled="f">
                <v:path arrowok="t" fillok="f" o:connecttype="none"/>
                <o:lock v:ext="edit" shapetype="t"/>
              </v:shapetype>
              <v:shape id="Straight Arrow Connector 18" o:spid="_x0000_s1026" type="#_x0000_t32" style="position:absolute;margin-left:71.3pt;margin-top:68.15pt;width:0;height:39.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671552" behindDoc="0" locked="0" layoutInCell="1" allowOverlap="1" wp14:anchorId="447CB22B" wp14:editId="7ECBEC77">
                <wp:simplePos x="0" y="0"/>
                <wp:positionH relativeFrom="column">
                  <wp:posOffset>898525</wp:posOffset>
                </wp:positionH>
                <wp:positionV relativeFrom="paragraph">
                  <wp:posOffset>1071880</wp:posOffset>
                </wp:positionV>
                <wp:extent cx="679282" cy="324000"/>
                <wp:effectExtent l="0" t="0" r="6985" b="0"/>
                <wp:wrapNone/>
                <wp:docPr id="84" name="Rectangle 19"/>
                <wp:cNvGraphicFramePr/>
                <a:graphic xmlns:a="http://schemas.openxmlformats.org/drawingml/2006/main">
                  <a:graphicData uri="http://schemas.microsoft.com/office/word/2010/wordprocessingShape">
                    <wps:wsp>
                      <wps:cNvSpPr/>
                      <wps:spPr>
                        <a:xfrm>
                          <a:off x="0" y="0"/>
                          <a:ext cx="679282" cy="324000"/>
                        </a:xfrm>
                        <a:prstGeom prst="rect">
                          <a:avLst/>
                        </a:prstGeom>
                        <a:noFill/>
                        <a:ln w="6350" cap="flat" cmpd="sng" algn="ctr">
                          <a:noFill/>
                          <a:prstDash val="solid"/>
                          <a:miter lim="800000"/>
                        </a:ln>
                        <a:effectLst/>
                      </wps:spPr>
                      <wps:txbx>
                        <w:txbxContent>
                          <w:p w14:paraId="003229F0"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Collections</w:t>
                            </w:r>
                          </w:p>
                        </w:txbxContent>
                      </wps:txbx>
                      <wps:bodyPr lIns="36000" tIns="36000" rIns="36000" bIns="36000" rtlCol="0" anchor="ctr"/>
                    </wps:wsp>
                  </a:graphicData>
                </a:graphic>
              </wp:anchor>
            </w:drawing>
          </mc:Choice>
          <mc:Fallback>
            <w:pict>
              <v:rect w14:anchorId="447CB22B" id="Rectangle 19" o:spid="_x0000_s1039" style="position:absolute;left:0;text-align:left;margin-left:70.75pt;margin-top:84.4pt;width:53.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" filled="f" stroked="f" strokeweight=".5pt">
                <v:textbox inset="1mm,1mm,1mm,1mm">
                  <w:txbxContent>
                    <w:p w14:paraId="003229F0"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Collections</w:t>
                      </w:r>
                    </w:p>
                  </w:txbxContent>
                </v:textbox>
              </v:rect>
            </w:pict>
          </mc:Fallback>
        </mc:AlternateContent>
      </w:r>
      <w:r w:rsidRPr="00D427D8">
        <w:rPr>
          <w:noProof/>
        </w:rPr>
        <mc:AlternateContent>
          <mc:Choice Requires="wps">
            <w:drawing>
              <wp:anchor distT="0" distB="0" distL="114300" distR="114300" simplePos="0" relativeHeight="251672576" behindDoc="0" locked="0" layoutInCell="1" allowOverlap="1" wp14:anchorId="703B910E" wp14:editId="3838C1CB">
                <wp:simplePos x="0" y="0"/>
                <wp:positionH relativeFrom="column">
                  <wp:posOffset>567055</wp:posOffset>
                </wp:positionH>
                <wp:positionV relativeFrom="paragraph">
                  <wp:posOffset>904875</wp:posOffset>
                </wp:positionV>
                <wp:extent cx="0" cy="504000"/>
                <wp:effectExtent l="95250" t="38100" r="57150" b="10795"/>
                <wp:wrapNone/>
                <wp:docPr id="85" name="Straight Arrow Connector 20"/>
                <wp:cNvGraphicFramePr/>
                <a:graphic xmlns:a="http://schemas.openxmlformats.org/drawingml/2006/main">
                  <a:graphicData uri="http://schemas.microsoft.com/office/word/2010/wordprocessingShape">
                    <wps:wsp>
                      <wps:cNvCnPr/>
                      <wps:spPr>
                        <a:xfrm flipV="1">
                          <a:off x="0" y="0"/>
                          <a:ext cx="0" cy="50400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094A13C9" id="Straight Arrow Connector 20" o:spid="_x0000_s1026" type="#_x0000_t32" style="position:absolute;margin-left:44.65pt;margin-top:71.25pt;width:0;height:39.7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674624" behindDoc="0" locked="0" layoutInCell="1" allowOverlap="1" wp14:anchorId="746F5E63" wp14:editId="6F84ED67">
                <wp:simplePos x="0" y="0"/>
                <wp:positionH relativeFrom="column">
                  <wp:posOffset>112395</wp:posOffset>
                </wp:positionH>
                <wp:positionV relativeFrom="paragraph">
                  <wp:posOffset>2348865</wp:posOffset>
                </wp:positionV>
                <wp:extent cx="1293655" cy="184666"/>
                <wp:effectExtent l="0" t="0" r="0" b="0"/>
                <wp:wrapNone/>
                <wp:docPr id="87" name="TextBox 22"/>
                <wp:cNvGraphicFramePr/>
                <a:graphic xmlns:a="http://schemas.openxmlformats.org/drawingml/2006/main">
                  <a:graphicData uri="http://schemas.microsoft.com/office/word/2010/wordprocessingShape">
                    <wps:wsp>
                      <wps:cNvSpPr txBox="1"/>
                      <wps:spPr>
                        <a:xfrm>
                          <a:off x="0" y="0"/>
                          <a:ext cx="1293655" cy="184666"/>
                        </a:xfrm>
                        <a:prstGeom prst="rect">
                          <a:avLst/>
                        </a:prstGeom>
                        <a:noFill/>
                      </wps:spPr>
                      <wps:txbx>
                        <w:txbxContent>
                          <w:p w14:paraId="1F7F8CE5" w14:textId="77777777" w:rsidR="00BC490D" w:rsidRDefault="00BC490D" w:rsidP="00BC490D">
                            <w:pPr>
                              <w:jc w:val="center"/>
                              <w:rPr>
                                <w:rFonts w:ascii="Calibri" w:eastAsia="Georgia" w:hAnsi="Calibri" w:cs="Georgia"/>
                                <w:color w:val="535656"/>
                                <w:kern w:val="24"/>
                                <w:sz w:val="12"/>
                                <w:szCs w:val="12"/>
                                <w:lang w:val="fr-FR"/>
                              </w:rPr>
                            </w:pPr>
                            <w:r>
                              <w:rPr>
                                <w:rFonts w:ascii="Calibri" w:eastAsia="Georgia" w:hAnsi="Calibri" w:cs="Georgia"/>
                                <w:color w:val="535656"/>
                                <w:kern w:val="24"/>
                                <w:sz w:val="12"/>
                                <w:szCs w:val="12"/>
                                <w:lang w:val="fr-FR"/>
                              </w:rPr>
                              <w:t>Seller, Servicer</w:t>
                            </w:r>
                          </w:p>
                        </w:txbxContent>
                      </wps:txbx>
                      <wps:bodyPr wrap="square" rtlCol="0">
                        <a:spAutoFit/>
                      </wps:bodyPr>
                    </wps:wsp>
                  </a:graphicData>
                </a:graphic>
              </wp:anchor>
            </w:drawing>
          </mc:Choice>
          <mc:Fallback>
            <w:pict>
              <v:shapetype w14:anchorId="746F5E63" id="_x0000_t202" coordsize="21600,21600" o:spt="202" path="m,l,21600r21600,l21600,xe">
                <v:stroke joinstyle="miter"/>
                <v:path gradientshapeok="t" o:connecttype="rect"/>
              </v:shapetype>
              <v:shape id="TextBox 22" o:spid="_x0000_s1040" type="#_x0000_t202" style="position:absolute;left:0;text-align:left;margin-left:8.85pt;margin-top:184.95pt;width:101.85pt;height:14.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" filled="f" stroked="f">
                <v:textbox style="mso-fit-shape-to-text:t">
                  <w:txbxContent>
                    <w:p w14:paraId="1F7F8CE5" w14:textId="77777777" w:rsidR="00BC490D" w:rsidRDefault="00BC490D" w:rsidP="00BC490D">
                      <w:pPr>
                        <w:jc w:val="center"/>
                        <w:rPr>
                          <w:rFonts w:ascii="Calibri" w:eastAsia="Georgia" w:hAnsi="Calibri" w:cs="Georgia"/>
                          <w:color w:val="535656"/>
                          <w:kern w:val="24"/>
                          <w:sz w:val="12"/>
                          <w:szCs w:val="12"/>
                          <w:lang w:val="fr-FR"/>
                        </w:rPr>
                      </w:pPr>
                      <w:r>
                        <w:rPr>
                          <w:rFonts w:ascii="Calibri" w:eastAsia="Georgia" w:hAnsi="Calibri" w:cs="Georgia"/>
                          <w:color w:val="535656"/>
                          <w:kern w:val="24"/>
                          <w:sz w:val="12"/>
                          <w:szCs w:val="12"/>
                          <w:lang w:val="fr-FR"/>
                        </w:rPr>
                        <w:t>Seller, Servicer</w:t>
                      </w:r>
                    </w:p>
                  </w:txbxContent>
                </v:textbox>
              </v:shape>
            </w:pict>
          </mc:Fallback>
        </mc:AlternateContent>
      </w:r>
      <w:r w:rsidRPr="00D427D8">
        <w:rPr>
          <w:noProof/>
        </w:rPr>
        <mc:AlternateContent>
          <mc:Choice Requires="wps">
            <w:drawing>
              <wp:anchor distT="0" distB="0" distL="114300" distR="114300" simplePos="0" relativeHeight="251675648" behindDoc="0" locked="0" layoutInCell="1" allowOverlap="1" wp14:anchorId="599488EB" wp14:editId="32558CFE">
                <wp:simplePos x="0" y="0"/>
                <wp:positionH relativeFrom="column">
                  <wp:posOffset>102870</wp:posOffset>
                </wp:positionH>
                <wp:positionV relativeFrom="paragraph">
                  <wp:posOffset>1448435</wp:posOffset>
                </wp:positionV>
                <wp:extent cx="1325308" cy="1448022"/>
                <wp:effectExtent l="0" t="0" r="27305" b="19050"/>
                <wp:wrapNone/>
                <wp:docPr id="88" name="Rectangle 23"/>
                <wp:cNvGraphicFramePr/>
                <a:graphic xmlns:a="http://schemas.openxmlformats.org/drawingml/2006/main">
                  <a:graphicData uri="http://schemas.microsoft.com/office/word/2010/wordprocessingShape">
                    <wps:wsp>
                      <wps:cNvSpPr/>
                      <wps:spPr>
                        <a:xfrm>
                          <a:off x="0" y="0"/>
                          <a:ext cx="1325308" cy="1448022"/>
                        </a:xfrm>
                        <a:prstGeom prst="rect">
                          <a:avLst/>
                        </a:prstGeom>
                        <a:noFill/>
                        <a:ln w="6350" cap="flat" cmpd="sng" algn="ctr">
                          <a:solidFill>
                            <a:srgbClr val="535656">
                              <a:lumMod val="75000"/>
                            </a:srgbClr>
                          </a:solidFill>
                          <a:prstDash val="solid"/>
                          <a:miter lim="800000"/>
                        </a:ln>
                        <a:effectLst/>
                      </wps:spPr>
                      <wps:bodyPr rtlCol="0" anchor="ctr"/>
                    </wps:wsp>
                  </a:graphicData>
                </a:graphic>
              </wp:anchor>
            </w:drawing>
          </mc:Choice>
          <mc:Fallback>
            <w:pict>
              <v:rect w14:anchorId="03AAE3AC" id="Rectangle 23" o:spid="_x0000_s1026" style="position:absolute;margin-left:8.1pt;margin-top:114.05pt;width:104.35pt;height:11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" filled="f" strokecolor="#3e4040" strokeweight=".5pt"/>
            </w:pict>
          </mc:Fallback>
        </mc:AlternateContent>
      </w:r>
      <w:r w:rsidRPr="00D427D8">
        <w:rPr>
          <w:noProof/>
        </w:rPr>
        <w:drawing>
          <wp:anchor distT="0" distB="0" distL="114300" distR="114300" simplePos="0" relativeHeight="251676672" behindDoc="0" locked="0" layoutInCell="1" allowOverlap="1" wp14:anchorId="170EBC26" wp14:editId="2B54C969">
            <wp:simplePos x="0" y="0"/>
            <wp:positionH relativeFrom="column">
              <wp:posOffset>182245</wp:posOffset>
            </wp:positionH>
            <wp:positionV relativeFrom="paragraph">
              <wp:posOffset>1727200</wp:posOffset>
            </wp:positionV>
            <wp:extent cx="1191891" cy="444003"/>
            <wp:effectExtent l="0" t="0" r="8890" b="0"/>
            <wp:wrapNone/>
            <wp:docPr id="119" name="Picture 119" descr="Un logo pour exprimer l'esprit de Stellantis | Stellantis">
              <a:extLst xmlns:a="http://schemas.openxmlformats.org/drawingml/2006/main">
                <a:ext uri="{FF2B5EF4-FFF2-40B4-BE49-F238E27FC236}">
                  <a16:creationId xmlns:a16="http://schemas.microsoft.com/office/drawing/2014/main" id="{01E2DE8B-D009-26CE-21AF-CF6D162A4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Un logo pour exprimer l'esprit de Stellantis | Stellantis">
                      <a:extLst>
                        <a:ext uri="{FF2B5EF4-FFF2-40B4-BE49-F238E27FC236}">
                          <a16:creationId xmlns:a16="http://schemas.microsoft.com/office/drawing/2014/main" id="{01E2DE8B-D009-26CE-21AF-CF6D162A4D82}"/>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21960" b="25414"/>
                    <a:stretch/>
                  </pic:blipFill>
                  <pic:spPr bwMode="auto">
                    <a:xfrm>
                      <a:off x="0" y="0"/>
                      <a:ext cx="1191891" cy="44400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427D8">
        <w:rPr>
          <w:noProof/>
        </w:rPr>
        <mc:AlternateContent>
          <mc:Choice Requires="wps">
            <w:drawing>
              <wp:anchor distT="0" distB="0" distL="114300" distR="114300" simplePos="0" relativeHeight="251677696" behindDoc="0" locked="0" layoutInCell="1" allowOverlap="1" wp14:anchorId="6EBF7F2F" wp14:editId="437F1733">
                <wp:simplePos x="0" y="0"/>
                <wp:positionH relativeFrom="column">
                  <wp:posOffset>408940</wp:posOffset>
                </wp:positionH>
                <wp:positionV relativeFrom="paragraph">
                  <wp:posOffset>2974975</wp:posOffset>
                </wp:positionV>
                <wp:extent cx="800168" cy="296903"/>
                <wp:effectExtent l="0" t="0" r="0" b="8255"/>
                <wp:wrapNone/>
                <wp:docPr id="89" name="Rectangle 25"/>
                <wp:cNvGraphicFramePr/>
                <a:graphic xmlns:a="http://schemas.openxmlformats.org/drawingml/2006/main">
                  <a:graphicData uri="http://schemas.microsoft.com/office/word/2010/wordprocessingShape">
                    <wps:wsp>
                      <wps:cNvSpPr/>
                      <wps:spPr>
                        <a:xfrm>
                          <a:off x="0" y="0"/>
                          <a:ext cx="800168" cy="296903"/>
                        </a:xfrm>
                        <a:prstGeom prst="rect">
                          <a:avLst/>
                        </a:prstGeom>
                        <a:noFill/>
                        <a:ln w="6350" cap="flat" cmpd="sng" algn="ctr">
                          <a:noFill/>
                          <a:prstDash val="solid"/>
                          <a:miter lim="800000"/>
                        </a:ln>
                        <a:effectLst/>
                      </wps:spPr>
                      <wps:txbx>
                        <w:txbxContent>
                          <w:p w14:paraId="7B4CE336"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Liquidation Proceeds</w:t>
                            </w:r>
                          </w:p>
                        </w:txbxContent>
                      </wps:txbx>
                      <wps:bodyPr lIns="36000" tIns="36000" rIns="36000" bIns="36000" rtlCol="0" anchor="ctr"/>
                    </wps:wsp>
                  </a:graphicData>
                </a:graphic>
              </wp:anchor>
            </w:drawing>
          </mc:Choice>
          <mc:Fallback>
            <w:pict>
              <v:rect w14:anchorId="6EBF7F2F" id="Rectangle 25" o:spid="_x0000_s1041" style="position:absolute;left:0;text-align:left;margin-left:32.2pt;margin-top:234.25pt;width:63pt;height:23.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" filled="f" stroked="f" strokeweight=".5pt">
                <v:textbox inset="1mm,1mm,1mm,1mm">
                  <w:txbxContent>
                    <w:p w14:paraId="7B4CE336"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Liquidation Proceeds</w:t>
                      </w:r>
                    </w:p>
                  </w:txbxContent>
                </v:textbox>
              </v:rect>
            </w:pict>
          </mc:Fallback>
        </mc:AlternateContent>
      </w:r>
      <w:r w:rsidRPr="00D427D8">
        <w:rPr>
          <w:noProof/>
        </w:rPr>
        <mc:AlternateContent>
          <mc:Choice Requires="wps">
            <w:drawing>
              <wp:anchor distT="0" distB="0" distL="114300" distR="114300" simplePos="0" relativeHeight="251678720" behindDoc="0" locked="0" layoutInCell="1" allowOverlap="1" wp14:anchorId="7DA9D35E" wp14:editId="771EC72A">
                <wp:simplePos x="0" y="0"/>
                <wp:positionH relativeFrom="column">
                  <wp:posOffset>112395</wp:posOffset>
                </wp:positionH>
                <wp:positionV relativeFrom="paragraph">
                  <wp:posOffset>3352165</wp:posOffset>
                </wp:positionV>
                <wp:extent cx="1188000" cy="324000"/>
                <wp:effectExtent l="0" t="0" r="12700" b="19050"/>
                <wp:wrapNone/>
                <wp:docPr id="90" name="Rectangle 26"/>
                <wp:cNvGraphicFramePr/>
                <a:graphic xmlns:a="http://schemas.openxmlformats.org/drawingml/2006/main">
                  <a:graphicData uri="http://schemas.microsoft.com/office/word/2010/wordprocessingShape">
                    <wps:wsp>
                      <wps:cNvSpPr/>
                      <wps:spPr>
                        <a:xfrm>
                          <a:off x="0" y="0"/>
                          <a:ext cx="1188000" cy="324000"/>
                        </a:xfrm>
                        <a:prstGeom prst="rect">
                          <a:avLst/>
                        </a:prstGeom>
                        <a:solidFill>
                          <a:srgbClr val="FFFFFF">
                            <a:lumMod val="75000"/>
                          </a:srgbClr>
                        </a:solidFill>
                        <a:ln w="6350" cap="flat" cmpd="sng" algn="ctr">
                          <a:solidFill>
                            <a:srgbClr val="000000">
                              <a:lumMod val="65000"/>
                              <a:lumOff val="35000"/>
                            </a:srgbClr>
                          </a:solidFill>
                          <a:prstDash val="solid"/>
                          <a:miter lim="800000"/>
                        </a:ln>
                        <a:effectLst/>
                      </wps:spPr>
                      <wps:txbx>
                        <w:txbxContent>
                          <w:p w14:paraId="4FB59BC8" w14:textId="77777777" w:rsidR="00BC490D" w:rsidRDefault="00BC490D" w:rsidP="00BC490D">
                            <w:pPr>
                              <w:jc w:val="center"/>
                              <w:textAlignment w:val="baseline"/>
                              <w:rPr>
                                <w:rFonts w:ascii="Calibri" w:eastAsia="Georgia" w:hAnsi="Calibri" w:cs="Georgia"/>
                                <w:color w:val="282832"/>
                                <w:sz w:val="12"/>
                                <w:szCs w:val="12"/>
                              </w:rPr>
                            </w:pPr>
                            <w:r>
                              <w:rPr>
                                <w:rFonts w:ascii="Calibri" w:eastAsia="Georgia" w:hAnsi="Calibri" w:cs="Georgia"/>
                                <w:color w:val="282832"/>
                                <w:sz w:val="12"/>
                                <w:szCs w:val="12"/>
                              </w:rPr>
                              <w:t>Third parties</w:t>
                            </w:r>
                          </w:p>
                        </w:txbxContent>
                      </wps:txbx>
                      <wps:bodyPr rtlCol="0" anchor="ctr"/>
                    </wps:wsp>
                  </a:graphicData>
                </a:graphic>
              </wp:anchor>
            </w:drawing>
          </mc:Choice>
          <mc:Fallback>
            <w:pict>
              <v:rect w14:anchorId="7DA9D35E" id="Rectangle 26" o:spid="_x0000_s1042" style="position:absolute;left:0;text-align:left;margin-left:8.85pt;margin-top:263.95pt;width:93.55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" fillcolor="#bfbfbf" strokecolor="#595959" strokeweight=".5pt">
                <v:textbox>
                  <w:txbxContent>
                    <w:p w14:paraId="4FB59BC8" w14:textId="77777777" w:rsidR="00BC490D" w:rsidRDefault="00BC490D" w:rsidP="00BC490D">
                      <w:pPr>
                        <w:jc w:val="center"/>
                        <w:textAlignment w:val="baseline"/>
                        <w:rPr>
                          <w:rFonts w:ascii="Calibri" w:eastAsia="Georgia" w:hAnsi="Calibri" w:cs="Georgia"/>
                          <w:color w:val="282832"/>
                          <w:sz w:val="12"/>
                          <w:szCs w:val="12"/>
                        </w:rPr>
                      </w:pPr>
                      <w:r>
                        <w:rPr>
                          <w:rFonts w:ascii="Calibri" w:eastAsia="Georgia" w:hAnsi="Calibri" w:cs="Georgia"/>
                          <w:color w:val="282832"/>
                          <w:sz w:val="12"/>
                          <w:szCs w:val="12"/>
                        </w:rPr>
                        <w:t>Third parties</w:t>
                      </w:r>
                    </w:p>
                  </w:txbxContent>
                </v:textbox>
              </v:rect>
            </w:pict>
          </mc:Fallback>
        </mc:AlternateContent>
      </w:r>
      <w:r w:rsidRPr="00D427D8">
        <w:rPr>
          <w:noProof/>
        </w:rPr>
        <mc:AlternateContent>
          <mc:Choice Requires="wps">
            <w:drawing>
              <wp:anchor distT="0" distB="0" distL="114300" distR="114300" simplePos="0" relativeHeight="251679744" behindDoc="0" locked="0" layoutInCell="1" allowOverlap="1" wp14:anchorId="72CB8693" wp14:editId="04F69A09">
                <wp:simplePos x="0" y="0"/>
                <wp:positionH relativeFrom="column">
                  <wp:posOffset>408940</wp:posOffset>
                </wp:positionH>
                <wp:positionV relativeFrom="paragraph">
                  <wp:posOffset>2983230</wp:posOffset>
                </wp:positionV>
                <wp:extent cx="0" cy="360000"/>
                <wp:effectExtent l="95250" t="38100" r="57150" b="21590"/>
                <wp:wrapNone/>
                <wp:docPr id="91" name="Straight Arrow Connector 27"/>
                <wp:cNvGraphicFramePr/>
                <a:graphic xmlns:a="http://schemas.openxmlformats.org/drawingml/2006/main">
                  <a:graphicData uri="http://schemas.microsoft.com/office/word/2010/wordprocessingShape">
                    <wps:wsp>
                      <wps:cNvCnPr/>
                      <wps:spPr>
                        <a:xfrm flipV="1">
                          <a:off x="0" y="0"/>
                          <a:ext cx="0" cy="36000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766E5D60" id="Straight Arrow Connector 27" o:spid="_x0000_s1026" type="#_x0000_t32" style="position:absolute;margin-left:32.2pt;margin-top:234.9pt;width:0;height:28.3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680768" behindDoc="0" locked="0" layoutInCell="1" allowOverlap="1" wp14:anchorId="037FFCA7" wp14:editId="600C3AAE">
                <wp:simplePos x="0" y="0"/>
                <wp:positionH relativeFrom="column">
                  <wp:posOffset>1428115</wp:posOffset>
                </wp:positionH>
                <wp:positionV relativeFrom="paragraph">
                  <wp:posOffset>2811145</wp:posOffset>
                </wp:positionV>
                <wp:extent cx="1980000" cy="0"/>
                <wp:effectExtent l="38100" t="76200" r="0" b="114300"/>
                <wp:wrapNone/>
                <wp:docPr id="92" name="Straight Arrow Connector 28"/>
                <wp:cNvGraphicFramePr/>
                <a:graphic xmlns:a="http://schemas.openxmlformats.org/drawingml/2006/main">
                  <a:graphicData uri="http://schemas.microsoft.com/office/word/2010/wordprocessingShape">
                    <wps:wsp>
                      <wps:cNvCnPr/>
                      <wps:spPr>
                        <a:xfrm flipH="1">
                          <a:off x="0" y="0"/>
                          <a:ext cx="1980000" cy="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57F3C86E" id="Straight Arrow Connector 28" o:spid="_x0000_s1026" type="#_x0000_t32" style="position:absolute;margin-left:112.45pt;margin-top:221.35pt;width:155.9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684864" behindDoc="0" locked="0" layoutInCell="1" allowOverlap="1" wp14:anchorId="5033FEE6" wp14:editId="75C6A7A6">
                <wp:simplePos x="0" y="0"/>
                <wp:positionH relativeFrom="column">
                  <wp:posOffset>1428115</wp:posOffset>
                </wp:positionH>
                <wp:positionV relativeFrom="paragraph">
                  <wp:posOffset>1920240</wp:posOffset>
                </wp:positionV>
                <wp:extent cx="1980000" cy="168"/>
                <wp:effectExtent l="0" t="76200" r="20320" b="114300"/>
                <wp:wrapNone/>
                <wp:docPr id="93" name="Straight Arrow Connector 32"/>
                <wp:cNvGraphicFramePr/>
                <a:graphic xmlns:a="http://schemas.openxmlformats.org/drawingml/2006/main">
                  <a:graphicData uri="http://schemas.microsoft.com/office/word/2010/wordprocessingShape">
                    <wps:wsp>
                      <wps:cNvCnPr/>
                      <wps:spPr>
                        <a:xfrm flipV="1">
                          <a:off x="0" y="0"/>
                          <a:ext cx="1980000" cy="168"/>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22EFFEA5" id="Straight Arrow Connector 32" o:spid="_x0000_s1026" type="#_x0000_t32" style="position:absolute;margin-left:112.45pt;margin-top:151.2pt;width:155.9pt;height:0;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685888" behindDoc="0" locked="0" layoutInCell="1" allowOverlap="1" wp14:anchorId="611A934C" wp14:editId="5391BE86">
                <wp:simplePos x="0" y="0"/>
                <wp:positionH relativeFrom="column">
                  <wp:posOffset>1428115</wp:posOffset>
                </wp:positionH>
                <wp:positionV relativeFrom="paragraph">
                  <wp:posOffset>2218690</wp:posOffset>
                </wp:positionV>
                <wp:extent cx="1980000" cy="0"/>
                <wp:effectExtent l="0" t="76200" r="20320" b="114300"/>
                <wp:wrapNone/>
                <wp:docPr id="94" name="Straight Arrow Connector 33"/>
                <wp:cNvGraphicFramePr/>
                <a:graphic xmlns:a="http://schemas.openxmlformats.org/drawingml/2006/main">
                  <a:graphicData uri="http://schemas.microsoft.com/office/word/2010/wordprocessingShape">
                    <wps:wsp>
                      <wps:cNvCnPr/>
                      <wps:spPr>
                        <a:xfrm>
                          <a:off x="0" y="0"/>
                          <a:ext cx="1980000" cy="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783AB8F7" id="Straight Arrow Connector 33" o:spid="_x0000_s1026" type="#_x0000_t32" style="position:absolute;margin-left:112.45pt;margin-top:174.7pt;width:155.9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692032" behindDoc="0" locked="0" layoutInCell="1" allowOverlap="1" wp14:anchorId="1946F472" wp14:editId="521C841E">
                <wp:simplePos x="0" y="0"/>
                <wp:positionH relativeFrom="column">
                  <wp:posOffset>3108642</wp:posOffset>
                </wp:positionH>
                <wp:positionV relativeFrom="paragraph">
                  <wp:posOffset>2604453</wp:posOffset>
                </wp:positionV>
                <wp:extent cx="196389" cy="2523848"/>
                <wp:effectExtent l="0" t="1587" r="30797" b="11748"/>
                <wp:wrapNone/>
                <wp:docPr id="100" name="Elbow Connector 90"/>
                <wp:cNvGraphicFramePr/>
                <a:graphic xmlns:a="http://schemas.openxmlformats.org/drawingml/2006/main">
                  <a:graphicData uri="http://schemas.microsoft.com/office/word/2010/wordprocessingShape">
                    <wps:wsp>
                      <wps:cNvCnPr/>
                      <wps:spPr>
                        <a:xfrm rot="5400000" flipH="1" flipV="1">
                          <a:off x="0" y="0"/>
                          <a:ext cx="196389" cy="2523848"/>
                        </a:xfrm>
                        <a:prstGeom prst="bentConnector3">
                          <a:avLst>
                            <a:gd name="adj1" fmla="val 50000"/>
                          </a:avLst>
                        </a:prstGeom>
                        <a:noFill/>
                        <a:ln w="3175" cap="flat" cmpd="sng" algn="ctr">
                          <a:solidFill>
                            <a:srgbClr val="000000">
                              <a:lumMod val="50000"/>
                              <a:lumOff val="50000"/>
                            </a:srgbClr>
                          </a:solidFill>
                          <a:prstDash val="solid"/>
                          <a:miter lim="800000"/>
                        </a:ln>
                        <a:effectLst/>
                      </wps:spPr>
                      <wps:bodyPr/>
                    </wps:wsp>
                  </a:graphicData>
                </a:graphic>
              </wp:anchor>
            </w:drawing>
          </mc:Choice>
          <mc:Fallback>
            <w:pict>
              <v:shapetype w14:anchorId="2DA1CDA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0" o:spid="_x0000_s1026" type="#_x0000_t34" style="position:absolute;margin-left:244.75pt;margin-top:205.1pt;width:15.45pt;height:198.75pt;rotation:90;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" strokecolor="#7f7f7f" strokeweight=".25pt"/>
            </w:pict>
          </mc:Fallback>
        </mc:AlternateContent>
      </w:r>
      <w:r w:rsidRPr="00D427D8">
        <w:rPr>
          <w:noProof/>
        </w:rPr>
        <mc:AlternateContent>
          <mc:Choice Requires="wps">
            <w:drawing>
              <wp:anchor distT="0" distB="0" distL="114300" distR="114300" simplePos="0" relativeHeight="251693056" behindDoc="0" locked="0" layoutInCell="1" allowOverlap="1" wp14:anchorId="2B055069" wp14:editId="05EA9A00">
                <wp:simplePos x="0" y="0"/>
                <wp:positionH relativeFrom="column">
                  <wp:posOffset>4472305</wp:posOffset>
                </wp:positionH>
                <wp:positionV relativeFrom="paragraph">
                  <wp:posOffset>3863340</wp:posOffset>
                </wp:positionV>
                <wp:extent cx="2613780" cy="0"/>
                <wp:effectExtent l="0" t="0" r="0" b="0"/>
                <wp:wrapNone/>
                <wp:docPr id="101" name="Straight Connector 40"/>
                <wp:cNvGraphicFramePr/>
                <a:graphic xmlns:a="http://schemas.openxmlformats.org/drawingml/2006/main">
                  <a:graphicData uri="http://schemas.microsoft.com/office/word/2010/wordprocessingShape">
                    <wps:wsp>
                      <wps:cNvCnPr/>
                      <wps:spPr>
                        <a:xfrm>
                          <a:off x="0" y="0"/>
                          <a:ext cx="2613780" cy="0"/>
                        </a:xfrm>
                        <a:prstGeom prst="line">
                          <a:avLst/>
                        </a:prstGeom>
                        <a:noFill/>
                        <a:ln w="3175" cap="flat" cmpd="sng" algn="ctr">
                          <a:solidFill>
                            <a:srgbClr val="7F7F7F"/>
                          </a:solidFill>
                          <a:prstDash val="solid"/>
                          <a:miter lim="800000"/>
                        </a:ln>
                        <a:effectLst/>
                      </wps:spPr>
                      <wps:bodyPr/>
                    </wps:wsp>
                  </a:graphicData>
                </a:graphic>
              </wp:anchor>
            </w:drawing>
          </mc:Choice>
          <mc:Fallback>
            <w:pict>
              <v:line w14:anchorId="420C5AF6" id="Straight Connector 4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52.15pt,304.2pt" to="557.9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" strokecolor="#7f7f7f" strokeweight=".25pt">
                <v:stroke joinstyle="miter"/>
              </v:line>
            </w:pict>
          </mc:Fallback>
        </mc:AlternateContent>
      </w:r>
      <w:r w:rsidRPr="00D427D8">
        <w:rPr>
          <w:noProof/>
        </w:rPr>
        <mc:AlternateContent>
          <mc:Choice Requires="wps">
            <w:drawing>
              <wp:anchor distT="0" distB="0" distL="114300" distR="114300" simplePos="0" relativeHeight="251694080" behindDoc="0" locked="0" layoutInCell="1" allowOverlap="1" wp14:anchorId="14229AEA" wp14:editId="0E9DBD3B">
                <wp:simplePos x="0" y="0"/>
                <wp:positionH relativeFrom="column">
                  <wp:posOffset>3245485</wp:posOffset>
                </wp:positionH>
                <wp:positionV relativeFrom="paragraph">
                  <wp:posOffset>3867150</wp:posOffset>
                </wp:positionV>
                <wp:extent cx="0" cy="93600"/>
                <wp:effectExtent l="0" t="0" r="38100" b="20955"/>
                <wp:wrapNone/>
                <wp:docPr id="102" name="Straight Connector 41"/>
                <wp:cNvGraphicFramePr/>
                <a:graphic xmlns:a="http://schemas.openxmlformats.org/drawingml/2006/main">
                  <a:graphicData uri="http://schemas.microsoft.com/office/word/2010/wordprocessingShape">
                    <wps:wsp>
                      <wps:cNvCnPr/>
                      <wps:spPr>
                        <a:xfrm>
                          <a:off x="0" y="0"/>
                          <a:ext cx="0" cy="93600"/>
                        </a:xfrm>
                        <a:prstGeom prst="line">
                          <a:avLst/>
                        </a:prstGeom>
                        <a:noFill/>
                        <a:ln w="3175" cap="flat" cmpd="sng" algn="ctr">
                          <a:solidFill>
                            <a:srgbClr val="7F7F7F"/>
                          </a:solidFill>
                          <a:prstDash val="solid"/>
                          <a:miter lim="800000"/>
                        </a:ln>
                        <a:effectLst/>
                      </wps:spPr>
                      <wps:bodyPr/>
                    </wps:wsp>
                  </a:graphicData>
                </a:graphic>
              </wp:anchor>
            </w:drawing>
          </mc:Choice>
          <mc:Fallback>
            <w:pict>
              <v:line w14:anchorId="60A57113" id="Straight Connector 4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55.55pt,304.5pt" to="255.55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" strokecolor="#7f7f7f" strokeweight=".25pt">
                <v:stroke joinstyle="miter"/>
              </v:line>
            </w:pict>
          </mc:Fallback>
        </mc:AlternateContent>
      </w:r>
      <w:r w:rsidRPr="00D427D8">
        <w:rPr>
          <w:noProof/>
        </w:rPr>
        <mc:AlternateContent>
          <mc:Choice Requires="wps">
            <w:drawing>
              <wp:anchor distT="0" distB="0" distL="114300" distR="114300" simplePos="0" relativeHeight="251695104" behindDoc="0" locked="0" layoutInCell="1" allowOverlap="1" wp14:anchorId="54713914" wp14:editId="16A79A65">
                <wp:simplePos x="0" y="0"/>
                <wp:positionH relativeFrom="column">
                  <wp:posOffset>4469765</wp:posOffset>
                </wp:positionH>
                <wp:positionV relativeFrom="paragraph">
                  <wp:posOffset>3865880</wp:posOffset>
                </wp:positionV>
                <wp:extent cx="0" cy="93600"/>
                <wp:effectExtent l="0" t="0" r="38100" b="20955"/>
                <wp:wrapNone/>
                <wp:docPr id="103" name="Straight Connector 42"/>
                <wp:cNvGraphicFramePr/>
                <a:graphic xmlns:a="http://schemas.openxmlformats.org/drawingml/2006/main">
                  <a:graphicData uri="http://schemas.microsoft.com/office/word/2010/wordprocessingShape">
                    <wps:wsp>
                      <wps:cNvCnPr/>
                      <wps:spPr>
                        <a:xfrm>
                          <a:off x="0" y="0"/>
                          <a:ext cx="0" cy="93600"/>
                        </a:xfrm>
                        <a:prstGeom prst="line">
                          <a:avLst/>
                        </a:prstGeom>
                        <a:noFill/>
                        <a:ln w="3175" cap="flat" cmpd="sng" algn="ctr">
                          <a:solidFill>
                            <a:srgbClr val="7F7F7F"/>
                          </a:solidFill>
                          <a:prstDash val="solid"/>
                          <a:miter lim="800000"/>
                        </a:ln>
                        <a:effectLst/>
                      </wps:spPr>
                      <wps:bodyPr/>
                    </wps:wsp>
                  </a:graphicData>
                </a:graphic>
              </wp:anchor>
            </w:drawing>
          </mc:Choice>
          <mc:Fallback>
            <w:pict>
              <v:line w14:anchorId="18A50EDB" id="Straight Connector 4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51.95pt,304.4pt" to="351.95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" strokecolor="#7f7f7f" strokeweight=".25pt">
                <v:stroke joinstyle="miter"/>
              </v:line>
            </w:pict>
          </mc:Fallback>
        </mc:AlternateContent>
      </w:r>
      <w:r w:rsidRPr="00D427D8">
        <w:rPr>
          <w:noProof/>
        </w:rPr>
        <mc:AlternateContent>
          <mc:Choice Requires="wps">
            <w:drawing>
              <wp:anchor distT="0" distB="0" distL="114300" distR="114300" simplePos="0" relativeHeight="251697152" behindDoc="0" locked="0" layoutInCell="1" allowOverlap="1" wp14:anchorId="36DADE46" wp14:editId="058DE525">
                <wp:simplePos x="0" y="0"/>
                <wp:positionH relativeFrom="column">
                  <wp:posOffset>5487670</wp:posOffset>
                </wp:positionH>
                <wp:positionV relativeFrom="paragraph">
                  <wp:posOffset>2118360</wp:posOffset>
                </wp:positionV>
                <wp:extent cx="712800" cy="0"/>
                <wp:effectExtent l="0" t="76200" r="11430" b="114300"/>
                <wp:wrapNone/>
                <wp:docPr id="104" name="Straight Arrow Connector 44"/>
                <wp:cNvGraphicFramePr/>
                <a:graphic xmlns:a="http://schemas.openxmlformats.org/drawingml/2006/main">
                  <a:graphicData uri="http://schemas.microsoft.com/office/word/2010/wordprocessingShape">
                    <wps:wsp>
                      <wps:cNvCnPr/>
                      <wps:spPr>
                        <a:xfrm>
                          <a:off x="0" y="0"/>
                          <a:ext cx="712800" cy="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34E2FB6F" id="Straight Arrow Connector 44" o:spid="_x0000_s1026" type="#_x0000_t32" style="position:absolute;margin-left:432.1pt;margin-top:166.8pt;width:56.1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699200" behindDoc="0" locked="0" layoutInCell="1" allowOverlap="1" wp14:anchorId="2F9C7B62" wp14:editId="21362842">
                <wp:simplePos x="0" y="0"/>
                <wp:positionH relativeFrom="column">
                  <wp:posOffset>5487670</wp:posOffset>
                </wp:positionH>
                <wp:positionV relativeFrom="paragraph">
                  <wp:posOffset>1620520</wp:posOffset>
                </wp:positionV>
                <wp:extent cx="712800" cy="0"/>
                <wp:effectExtent l="0" t="76200" r="11430" b="114300"/>
                <wp:wrapNone/>
                <wp:docPr id="105" name="Straight Arrow Connector 46"/>
                <wp:cNvGraphicFramePr/>
                <a:graphic xmlns:a="http://schemas.openxmlformats.org/drawingml/2006/main">
                  <a:graphicData uri="http://schemas.microsoft.com/office/word/2010/wordprocessingShape">
                    <wps:wsp>
                      <wps:cNvCnPr/>
                      <wps:spPr>
                        <a:xfrm>
                          <a:off x="0" y="0"/>
                          <a:ext cx="712800" cy="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6AFA7CF6" id="Straight Arrow Connector 46" o:spid="_x0000_s1026" type="#_x0000_t32" style="position:absolute;margin-left:432.1pt;margin-top:127.6pt;width:56.1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700224" behindDoc="0" locked="0" layoutInCell="1" allowOverlap="1" wp14:anchorId="35B334A8" wp14:editId="36F7F237">
                <wp:simplePos x="0" y="0"/>
                <wp:positionH relativeFrom="column">
                  <wp:posOffset>5436870</wp:posOffset>
                </wp:positionH>
                <wp:positionV relativeFrom="paragraph">
                  <wp:posOffset>1431290</wp:posOffset>
                </wp:positionV>
                <wp:extent cx="684000" cy="396000"/>
                <wp:effectExtent l="0" t="0" r="1905" b="4445"/>
                <wp:wrapNone/>
                <wp:docPr id="106" name="Rectangle 47"/>
                <wp:cNvGraphicFramePr/>
                <a:graphic xmlns:a="http://schemas.openxmlformats.org/drawingml/2006/main">
                  <a:graphicData uri="http://schemas.microsoft.com/office/word/2010/wordprocessingShape">
                    <wps:wsp>
                      <wps:cNvSpPr/>
                      <wps:spPr>
                        <a:xfrm>
                          <a:off x="0" y="0"/>
                          <a:ext cx="684000" cy="396000"/>
                        </a:xfrm>
                        <a:prstGeom prst="rect">
                          <a:avLst/>
                        </a:prstGeom>
                        <a:noFill/>
                        <a:ln w="12700" cap="flat" cmpd="sng" algn="ctr">
                          <a:noFill/>
                          <a:prstDash val="solid"/>
                          <a:miter lim="800000"/>
                        </a:ln>
                        <a:effectLst/>
                      </wps:spPr>
                      <wps:txbx>
                        <w:txbxContent>
                          <w:p w14:paraId="05262997"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A Notes</w:t>
                            </w:r>
                            <w:r>
                              <w:rPr>
                                <w:rFonts w:ascii="Calibri" w:eastAsia="Georgia" w:hAnsi="Calibri" w:cs="Georgia"/>
                                <w:color w:val="404040"/>
                                <w:sz w:val="12"/>
                                <w:szCs w:val="12"/>
                              </w:rPr>
                              <w:br/>
                              <w:t>(95%)</w:t>
                            </w:r>
                          </w:p>
                        </w:txbxContent>
                      </wps:txbx>
                      <wps:bodyPr lIns="36000" tIns="36000" rIns="36000" bIns="36000" rtlCol="0" anchor="ctr">
                        <a:noAutofit/>
                      </wps:bodyPr>
                    </wps:wsp>
                  </a:graphicData>
                </a:graphic>
                <wp14:sizeRelV relativeFrom="margin">
                  <wp14:pctHeight>0</wp14:pctHeight>
                </wp14:sizeRelV>
              </wp:anchor>
            </w:drawing>
          </mc:Choice>
          <mc:Fallback>
            <w:pict>
              <v:rect w14:anchorId="35B334A8" id="Rectangle 47" o:spid="_x0000_s1043" style="position:absolute;left:0;text-align:left;margin-left:428.1pt;margin-top:112.7pt;width:53.85pt;height:31.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" filled="f" stroked="f" strokeweight="1pt">
                <v:textbox inset="1mm,1mm,1mm,1mm">
                  <w:txbxContent>
                    <w:p w14:paraId="05262997"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A Notes</w:t>
                      </w:r>
                      <w:r>
                        <w:rPr>
                          <w:rFonts w:ascii="Calibri" w:eastAsia="Georgia" w:hAnsi="Calibri" w:cs="Georgia"/>
                          <w:color w:val="404040"/>
                          <w:sz w:val="12"/>
                          <w:szCs w:val="12"/>
                        </w:rPr>
                        <w:br/>
                        <w:t>(95%)</w:t>
                      </w:r>
                    </w:p>
                  </w:txbxContent>
                </v:textbox>
              </v:rect>
            </w:pict>
          </mc:Fallback>
        </mc:AlternateContent>
      </w:r>
      <w:r w:rsidRPr="00D427D8">
        <w:rPr>
          <w:noProof/>
        </w:rPr>
        <mc:AlternateContent>
          <mc:Choice Requires="wps">
            <w:drawing>
              <wp:anchor distT="0" distB="0" distL="114300" distR="114300" simplePos="0" relativeHeight="251701248" behindDoc="0" locked="0" layoutInCell="1" allowOverlap="1" wp14:anchorId="6113F202" wp14:editId="5538223F">
                <wp:simplePos x="0" y="0"/>
                <wp:positionH relativeFrom="column">
                  <wp:posOffset>5436870</wp:posOffset>
                </wp:positionH>
                <wp:positionV relativeFrom="paragraph">
                  <wp:posOffset>1938655</wp:posOffset>
                </wp:positionV>
                <wp:extent cx="684000" cy="396000"/>
                <wp:effectExtent l="0" t="0" r="1905" b="4445"/>
                <wp:wrapNone/>
                <wp:docPr id="107" name="Rectangle 48"/>
                <wp:cNvGraphicFramePr/>
                <a:graphic xmlns:a="http://schemas.openxmlformats.org/drawingml/2006/main">
                  <a:graphicData uri="http://schemas.microsoft.com/office/word/2010/wordprocessingShape">
                    <wps:wsp>
                      <wps:cNvSpPr/>
                      <wps:spPr>
                        <a:xfrm>
                          <a:off x="0" y="0"/>
                          <a:ext cx="684000" cy="396000"/>
                        </a:xfrm>
                        <a:prstGeom prst="rect">
                          <a:avLst/>
                        </a:prstGeom>
                        <a:noFill/>
                        <a:ln w="12700" cap="flat" cmpd="sng" algn="ctr">
                          <a:noFill/>
                          <a:prstDash val="solid"/>
                          <a:miter lim="800000"/>
                        </a:ln>
                        <a:effectLst/>
                      </wps:spPr>
                      <wps:txbx>
                        <w:txbxContent>
                          <w:p w14:paraId="241648D8"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A Notes</w:t>
                            </w:r>
                            <w:r>
                              <w:rPr>
                                <w:rFonts w:ascii="Calibri" w:eastAsia="Georgia" w:hAnsi="Calibri" w:cs="Georgia"/>
                                <w:color w:val="404040"/>
                                <w:sz w:val="12"/>
                                <w:szCs w:val="12"/>
                              </w:rPr>
                              <w:br/>
                              <w:t>(5%)</w:t>
                            </w:r>
                          </w:p>
                        </w:txbxContent>
                      </wps:txbx>
                      <wps:bodyPr lIns="36000" tIns="36000" rIns="36000" bIns="36000" rtlCol="0" anchor="ctr">
                        <a:noAutofit/>
                      </wps:bodyPr>
                    </wps:wsp>
                  </a:graphicData>
                </a:graphic>
                <wp14:sizeRelV relativeFrom="margin">
                  <wp14:pctHeight>0</wp14:pctHeight>
                </wp14:sizeRelV>
              </wp:anchor>
            </w:drawing>
          </mc:Choice>
          <mc:Fallback>
            <w:pict>
              <v:rect w14:anchorId="6113F202" id="Rectangle 48" o:spid="_x0000_s1044" style="position:absolute;left:0;text-align:left;margin-left:428.1pt;margin-top:152.65pt;width:53.85pt;height:31.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" filled="f" stroked="f" strokeweight="1pt">
                <v:textbox inset="1mm,1mm,1mm,1mm">
                  <w:txbxContent>
                    <w:p w14:paraId="241648D8"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Class A Notes</w:t>
                      </w:r>
                      <w:r>
                        <w:rPr>
                          <w:rFonts w:ascii="Calibri" w:eastAsia="Georgia" w:hAnsi="Calibri" w:cs="Georgia"/>
                          <w:color w:val="404040"/>
                          <w:sz w:val="12"/>
                          <w:szCs w:val="12"/>
                        </w:rPr>
                        <w:br/>
                        <w:t>(5%)</w:t>
                      </w:r>
                    </w:p>
                  </w:txbxContent>
                </v:textbox>
              </v:rect>
            </w:pict>
          </mc:Fallback>
        </mc:AlternateContent>
      </w:r>
      <w:r w:rsidRPr="00D427D8">
        <w:rPr>
          <w:noProof/>
        </w:rPr>
        <mc:AlternateContent>
          <mc:Choice Requires="wps">
            <w:drawing>
              <wp:anchor distT="0" distB="0" distL="114300" distR="114300" simplePos="0" relativeHeight="251702272" behindDoc="0" locked="0" layoutInCell="1" allowOverlap="1" wp14:anchorId="6586BDD3" wp14:editId="7D2D39EA">
                <wp:simplePos x="0" y="0"/>
                <wp:positionH relativeFrom="column">
                  <wp:posOffset>5486400</wp:posOffset>
                </wp:positionH>
                <wp:positionV relativeFrom="paragraph">
                  <wp:posOffset>2719070</wp:posOffset>
                </wp:positionV>
                <wp:extent cx="712800" cy="0"/>
                <wp:effectExtent l="0" t="76200" r="11430" b="114300"/>
                <wp:wrapNone/>
                <wp:docPr id="108" name="Straight Arrow Connector 49"/>
                <wp:cNvGraphicFramePr/>
                <a:graphic xmlns:a="http://schemas.openxmlformats.org/drawingml/2006/main">
                  <a:graphicData uri="http://schemas.microsoft.com/office/word/2010/wordprocessingShape">
                    <wps:wsp>
                      <wps:cNvCnPr/>
                      <wps:spPr>
                        <a:xfrm>
                          <a:off x="0" y="0"/>
                          <a:ext cx="712800" cy="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7F066267" id="Straight Arrow Connector 49" o:spid="_x0000_s1026" type="#_x0000_t32" style="position:absolute;margin-left:6in;margin-top:214.1pt;width:56.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703296" behindDoc="0" locked="0" layoutInCell="1" allowOverlap="1" wp14:anchorId="4B13C649" wp14:editId="50AAB729">
                <wp:simplePos x="0" y="0"/>
                <wp:positionH relativeFrom="column">
                  <wp:posOffset>5487670</wp:posOffset>
                </wp:positionH>
                <wp:positionV relativeFrom="paragraph">
                  <wp:posOffset>3241040</wp:posOffset>
                </wp:positionV>
                <wp:extent cx="712800" cy="0"/>
                <wp:effectExtent l="0" t="76200" r="11430" b="114300"/>
                <wp:wrapNone/>
                <wp:docPr id="109" name="Straight Arrow Connector 50"/>
                <wp:cNvGraphicFramePr/>
                <a:graphic xmlns:a="http://schemas.openxmlformats.org/drawingml/2006/main">
                  <a:graphicData uri="http://schemas.microsoft.com/office/word/2010/wordprocessingShape">
                    <wps:wsp>
                      <wps:cNvCnPr/>
                      <wps:spPr>
                        <a:xfrm>
                          <a:off x="0" y="0"/>
                          <a:ext cx="712800" cy="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7F9D1003" id="Straight Arrow Connector 50" o:spid="_x0000_s1026" type="#_x0000_t32" style="position:absolute;margin-left:432.1pt;margin-top:255.2pt;width:56.1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704320" behindDoc="0" locked="0" layoutInCell="1" allowOverlap="1" wp14:anchorId="4041752A" wp14:editId="2A389ADC">
                <wp:simplePos x="0" y="0"/>
                <wp:positionH relativeFrom="column">
                  <wp:posOffset>6226810</wp:posOffset>
                </wp:positionH>
                <wp:positionV relativeFrom="paragraph">
                  <wp:posOffset>1025525</wp:posOffset>
                </wp:positionV>
                <wp:extent cx="940268" cy="724199"/>
                <wp:effectExtent l="0" t="0" r="12700" b="19050"/>
                <wp:wrapNone/>
                <wp:docPr id="110" name="Rectangle 51"/>
                <wp:cNvGraphicFramePr/>
                <a:graphic xmlns:a="http://schemas.openxmlformats.org/drawingml/2006/main">
                  <a:graphicData uri="http://schemas.microsoft.com/office/word/2010/wordprocessingShape">
                    <wps:wsp>
                      <wps:cNvSpPr/>
                      <wps:spPr>
                        <a:xfrm>
                          <a:off x="0" y="0"/>
                          <a:ext cx="940268" cy="724199"/>
                        </a:xfrm>
                        <a:prstGeom prst="rect">
                          <a:avLst/>
                        </a:prstGeom>
                        <a:noFill/>
                        <a:ln w="6350" cap="flat" cmpd="sng" algn="ctr">
                          <a:solidFill>
                            <a:srgbClr val="000000">
                              <a:lumMod val="75000"/>
                              <a:lumOff val="25000"/>
                            </a:srgbClr>
                          </a:solidFill>
                          <a:prstDash val="solid"/>
                          <a:miter lim="800000"/>
                        </a:ln>
                        <a:effectLst/>
                      </wps:spPr>
                      <wps:txbx>
                        <w:txbxContent>
                          <w:p w14:paraId="05F548C9" w14:textId="4DF933A1" w:rsidR="00BC490D" w:rsidRDefault="00BC490D" w:rsidP="00BC490D">
                            <w:pPr>
                              <w:jc w:val="center"/>
                              <w:textAlignment w:val="baseline"/>
                              <w:rPr>
                                <w:rFonts w:ascii="Calibri" w:eastAsia="Georgia" w:hAnsi="Calibri" w:cs="Georgia"/>
                                <w:b/>
                                <w:bCs/>
                                <w:color w:val="000000"/>
                                <w:sz w:val="12"/>
                                <w:szCs w:val="12"/>
                              </w:rPr>
                            </w:pPr>
                            <w:r>
                              <w:rPr>
                                <w:rFonts w:ascii="Calibri" w:eastAsia="Georgia" w:hAnsi="Calibri" w:cs="Georgia"/>
                                <w:b/>
                                <w:bCs/>
                                <w:color w:val="000000"/>
                                <w:sz w:val="12"/>
                                <w:szCs w:val="12"/>
                              </w:rPr>
                              <w:t>BNP Paribas</w:t>
                            </w:r>
                            <w:r>
                              <w:rPr>
                                <w:rFonts w:ascii="Calibri" w:eastAsia="Georgia" w:hAnsi="Calibri" w:cs="Georgia"/>
                                <w:b/>
                                <w:bCs/>
                                <w:color w:val="000000"/>
                                <w:sz w:val="12"/>
                                <w:szCs w:val="12"/>
                              </w:rPr>
                              <w:br/>
                            </w:r>
                            <w:r>
                              <w:rPr>
                                <w:rFonts w:ascii="Calibri" w:eastAsia="Georgia" w:hAnsi="Calibri" w:cs="Georgia"/>
                                <w:color w:val="000000"/>
                                <w:sz w:val="12"/>
                                <w:szCs w:val="12"/>
                              </w:rPr>
                              <w:t>(Lead Manager)</w:t>
                            </w:r>
                          </w:p>
                        </w:txbxContent>
                      </wps:txbx>
                      <wps:bodyPr rtlCol="0" anchor="ctr"/>
                    </wps:wsp>
                  </a:graphicData>
                </a:graphic>
              </wp:anchor>
            </w:drawing>
          </mc:Choice>
          <mc:Fallback>
            <w:pict>
              <v:rect w14:anchorId="4041752A" id="Rectangle 51" o:spid="_x0000_s1045" style="position:absolute;left:0;text-align:left;margin-left:490.3pt;margin-top:80.75pt;width:74.05pt;height:5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" filled="f" strokecolor="#404040" strokeweight=".5pt">
                <v:textbox>
                  <w:txbxContent>
                    <w:p w14:paraId="05F548C9" w14:textId="4DF933A1" w:rsidR="00BC490D" w:rsidRDefault="00BC490D" w:rsidP="00BC490D">
                      <w:pPr>
                        <w:jc w:val="center"/>
                        <w:textAlignment w:val="baseline"/>
                        <w:rPr>
                          <w:rFonts w:ascii="Calibri" w:eastAsia="Georgia" w:hAnsi="Calibri" w:cs="Georgia"/>
                          <w:b/>
                          <w:bCs/>
                          <w:color w:val="000000"/>
                          <w:sz w:val="12"/>
                          <w:szCs w:val="12"/>
                        </w:rPr>
                      </w:pPr>
                      <w:r>
                        <w:rPr>
                          <w:rFonts w:ascii="Calibri" w:eastAsia="Georgia" w:hAnsi="Calibri" w:cs="Georgia"/>
                          <w:b/>
                          <w:bCs/>
                          <w:color w:val="000000"/>
                          <w:sz w:val="12"/>
                          <w:szCs w:val="12"/>
                        </w:rPr>
                        <w:t>BNP Paribas</w:t>
                      </w:r>
                      <w:r>
                        <w:rPr>
                          <w:rFonts w:ascii="Calibri" w:eastAsia="Georgia" w:hAnsi="Calibri" w:cs="Georgia"/>
                          <w:b/>
                          <w:bCs/>
                          <w:color w:val="000000"/>
                          <w:sz w:val="12"/>
                          <w:szCs w:val="12"/>
                        </w:rPr>
                        <w:br/>
                      </w:r>
                      <w:r>
                        <w:rPr>
                          <w:rFonts w:ascii="Calibri" w:eastAsia="Georgia" w:hAnsi="Calibri" w:cs="Georgia"/>
                          <w:color w:val="000000"/>
                          <w:sz w:val="12"/>
                          <w:szCs w:val="12"/>
                        </w:rPr>
                        <w:t>(Lead Manager)</w:t>
                      </w:r>
                    </w:p>
                  </w:txbxContent>
                </v:textbox>
              </v:rect>
            </w:pict>
          </mc:Fallback>
        </mc:AlternateContent>
      </w:r>
      <w:r w:rsidRPr="00D427D8">
        <w:rPr>
          <w:noProof/>
        </w:rPr>
        <mc:AlternateContent>
          <mc:Choice Requires="wps">
            <w:drawing>
              <wp:anchor distT="0" distB="0" distL="114300" distR="114300" simplePos="0" relativeHeight="251705344" behindDoc="0" locked="0" layoutInCell="1" allowOverlap="1" wp14:anchorId="5899B227" wp14:editId="1B545FE8">
                <wp:simplePos x="0" y="0"/>
                <wp:positionH relativeFrom="column">
                  <wp:posOffset>6228715</wp:posOffset>
                </wp:positionH>
                <wp:positionV relativeFrom="paragraph">
                  <wp:posOffset>2415540</wp:posOffset>
                </wp:positionV>
                <wp:extent cx="938441" cy="446263"/>
                <wp:effectExtent l="0" t="0" r="14605" b="11430"/>
                <wp:wrapNone/>
                <wp:docPr id="111" name="Rectangle 52"/>
                <wp:cNvGraphicFramePr/>
                <a:graphic xmlns:a="http://schemas.openxmlformats.org/drawingml/2006/main">
                  <a:graphicData uri="http://schemas.microsoft.com/office/word/2010/wordprocessingShape">
                    <wps:wsp>
                      <wps:cNvSpPr/>
                      <wps:spPr>
                        <a:xfrm>
                          <a:off x="0" y="0"/>
                          <a:ext cx="938441" cy="446263"/>
                        </a:xfrm>
                        <a:prstGeom prst="rect">
                          <a:avLst/>
                        </a:prstGeom>
                        <a:noFill/>
                        <a:ln w="6350" cap="flat" cmpd="sng" algn="ctr">
                          <a:solidFill>
                            <a:srgbClr val="000000">
                              <a:lumMod val="75000"/>
                              <a:lumOff val="25000"/>
                            </a:srgbClr>
                          </a:solidFill>
                          <a:prstDash val="solid"/>
                          <a:miter lim="800000"/>
                        </a:ln>
                        <a:effectLst/>
                      </wps:spPr>
                      <wps:txbx>
                        <w:txbxContent>
                          <w:p w14:paraId="2DF5F0FB" w14:textId="6C3E7CC1" w:rsidR="00BC490D" w:rsidRDefault="00BC490D" w:rsidP="00BC490D">
                            <w:pPr>
                              <w:jc w:val="center"/>
                              <w:textAlignment w:val="baseline"/>
                              <w:rPr>
                                <w:rFonts w:ascii="Calibri" w:eastAsia="Georgia" w:hAnsi="Calibri" w:cs="Georgia"/>
                                <w:b/>
                                <w:bCs/>
                                <w:color w:val="000000"/>
                                <w:sz w:val="12"/>
                                <w:szCs w:val="12"/>
                              </w:rPr>
                            </w:pPr>
                            <w:r>
                              <w:rPr>
                                <w:rFonts w:ascii="Calibri" w:eastAsia="Georgia" w:hAnsi="Calibri" w:cs="Georgia"/>
                                <w:b/>
                                <w:bCs/>
                                <w:color w:val="000000"/>
                                <w:sz w:val="12"/>
                                <w:szCs w:val="12"/>
                              </w:rPr>
                              <w:t>BNP Paribas</w:t>
                            </w:r>
                            <w:r>
                              <w:rPr>
                                <w:rFonts w:ascii="Calibri" w:eastAsia="Georgia" w:hAnsi="Calibri" w:cs="Georgia"/>
                                <w:b/>
                                <w:bCs/>
                                <w:color w:val="000000"/>
                                <w:sz w:val="12"/>
                                <w:szCs w:val="12"/>
                              </w:rPr>
                              <w:br/>
                            </w:r>
                            <w:r>
                              <w:rPr>
                                <w:rFonts w:ascii="Calibri" w:eastAsia="Georgia" w:hAnsi="Calibri" w:cs="Georgia"/>
                                <w:color w:val="000000"/>
                                <w:sz w:val="12"/>
                                <w:szCs w:val="12"/>
                              </w:rPr>
                              <w:t>(Lead Manager)</w:t>
                            </w:r>
                          </w:p>
                        </w:txbxContent>
                      </wps:txbx>
                      <wps:bodyPr rtlCol="0" anchor="ctr"/>
                    </wps:wsp>
                  </a:graphicData>
                </a:graphic>
              </wp:anchor>
            </w:drawing>
          </mc:Choice>
          <mc:Fallback>
            <w:pict>
              <v:rect w14:anchorId="5899B227" id="Rectangle 52" o:spid="_x0000_s1046" style="position:absolute;left:0;text-align:left;margin-left:490.45pt;margin-top:190.2pt;width:73.9pt;height:35.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" filled="f" strokecolor="#404040" strokeweight=".5pt">
                <v:textbox>
                  <w:txbxContent>
                    <w:p w14:paraId="2DF5F0FB" w14:textId="6C3E7CC1" w:rsidR="00BC490D" w:rsidRDefault="00BC490D" w:rsidP="00BC490D">
                      <w:pPr>
                        <w:jc w:val="center"/>
                        <w:textAlignment w:val="baseline"/>
                        <w:rPr>
                          <w:rFonts w:ascii="Calibri" w:eastAsia="Georgia" w:hAnsi="Calibri" w:cs="Georgia"/>
                          <w:b/>
                          <w:bCs/>
                          <w:color w:val="000000"/>
                          <w:sz w:val="12"/>
                          <w:szCs w:val="12"/>
                        </w:rPr>
                      </w:pPr>
                      <w:r>
                        <w:rPr>
                          <w:rFonts w:ascii="Calibri" w:eastAsia="Georgia" w:hAnsi="Calibri" w:cs="Georgia"/>
                          <w:b/>
                          <w:bCs/>
                          <w:color w:val="000000"/>
                          <w:sz w:val="12"/>
                          <w:szCs w:val="12"/>
                        </w:rPr>
                        <w:t>BNP Paribas</w:t>
                      </w:r>
                      <w:r>
                        <w:rPr>
                          <w:rFonts w:ascii="Calibri" w:eastAsia="Georgia" w:hAnsi="Calibri" w:cs="Georgia"/>
                          <w:b/>
                          <w:bCs/>
                          <w:color w:val="000000"/>
                          <w:sz w:val="12"/>
                          <w:szCs w:val="12"/>
                        </w:rPr>
                        <w:br/>
                      </w:r>
                      <w:r>
                        <w:rPr>
                          <w:rFonts w:ascii="Calibri" w:eastAsia="Georgia" w:hAnsi="Calibri" w:cs="Georgia"/>
                          <w:color w:val="000000"/>
                          <w:sz w:val="12"/>
                          <w:szCs w:val="12"/>
                        </w:rPr>
                        <w:t>(Lead Manager)</w:t>
                      </w:r>
                    </w:p>
                  </w:txbxContent>
                </v:textbox>
              </v:rect>
            </w:pict>
          </mc:Fallback>
        </mc:AlternateContent>
      </w:r>
      <w:r w:rsidRPr="00D427D8">
        <w:rPr>
          <w:noProof/>
        </w:rPr>
        <w:drawing>
          <wp:anchor distT="0" distB="0" distL="114300" distR="114300" simplePos="0" relativeHeight="251706368" behindDoc="0" locked="0" layoutInCell="1" allowOverlap="1" wp14:anchorId="0EF003AD" wp14:editId="28C9C6C3">
            <wp:simplePos x="0" y="0"/>
            <wp:positionH relativeFrom="column">
              <wp:posOffset>6231255</wp:posOffset>
            </wp:positionH>
            <wp:positionV relativeFrom="paragraph">
              <wp:posOffset>1873250</wp:posOffset>
            </wp:positionV>
            <wp:extent cx="936000" cy="348679"/>
            <wp:effectExtent l="0" t="0" r="0" b="0"/>
            <wp:wrapNone/>
            <wp:docPr id="120" name="Picture 120" descr="Un logo pour exprimer l'esprit de Stellantis | Stellantis">
              <a:extLst xmlns:a="http://schemas.openxmlformats.org/drawingml/2006/main">
                <a:ext uri="{FF2B5EF4-FFF2-40B4-BE49-F238E27FC236}">
                  <a16:creationId xmlns:a16="http://schemas.microsoft.com/office/drawing/2014/main" id="{531B1A6E-D9B6-8E8F-E265-D17CDEC7E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descr="Un logo pour exprimer l'esprit de Stellantis | Stellantis">
                      <a:extLst>
                        <a:ext uri="{FF2B5EF4-FFF2-40B4-BE49-F238E27FC236}">
                          <a16:creationId xmlns:a16="http://schemas.microsoft.com/office/drawing/2014/main" id="{531B1A6E-D9B6-8E8F-E265-D17CDEC7E2B5}"/>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960" b="25414"/>
                    <a:stretch/>
                  </pic:blipFill>
                  <pic:spPr bwMode="auto">
                    <a:xfrm>
                      <a:off x="0" y="0"/>
                      <a:ext cx="936000" cy="3486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427D8">
        <w:rPr>
          <w:noProof/>
        </w:rPr>
        <mc:AlternateContent>
          <mc:Choice Requires="wps">
            <w:drawing>
              <wp:anchor distT="0" distB="0" distL="114300" distR="114300" simplePos="0" relativeHeight="251708416" behindDoc="0" locked="0" layoutInCell="1" allowOverlap="1" wp14:anchorId="5FDAE22E" wp14:editId="6B23F984">
                <wp:simplePos x="0" y="0"/>
                <wp:positionH relativeFrom="column">
                  <wp:posOffset>7192010</wp:posOffset>
                </wp:positionH>
                <wp:positionV relativeFrom="paragraph">
                  <wp:posOffset>1620520</wp:posOffset>
                </wp:positionV>
                <wp:extent cx="712800" cy="0"/>
                <wp:effectExtent l="0" t="76200" r="11430" b="114300"/>
                <wp:wrapNone/>
                <wp:docPr id="112" name="Straight Arrow Connector 55"/>
                <wp:cNvGraphicFramePr/>
                <a:graphic xmlns:a="http://schemas.openxmlformats.org/drawingml/2006/main">
                  <a:graphicData uri="http://schemas.microsoft.com/office/word/2010/wordprocessingShape">
                    <wps:wsp>
                      <wps:cNvCnPr/>
                      <wps:spPr>
                        <a:xfrm>
                          <a:off x="0" y="0"/>
                          <a:ext cx="712800" cy="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033AE0D0" id="Straight Arrow Connector 55" o:spid="_x0000_s1026" type="#_x0000_t32" style="position:absolute;margin-left:566.3pt;margin-top:127.6pt;width:56.1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711488" behindDoc="0" locked="0" layoutInCell="1" allowOverlap="1" wp14:anchorId="5E2831FD" wp14:editId="4712AC9F">
                <wp:simplePos x="0" y="0"/>
                <wp:positionH relativeFrom="column">
                  <wp:posOffset>7193915</wp:posOffset>
                </wp:positionH>
                <wp:positionV relativeFrom="paragraph">
                  <wp:posOffset>2713990</wp:posOffset>
                </wp:positionV>
                <wp:extent cx="712800" cy="0"/>
                <wp:effectExtent l="0" t="76200" r="11430" b="114300"/>
                <wp:wrapNone/>
                <wp:docPr id="113" name="Straight Arrow Connector 58"/>
                <wp:cNvGraphicFramePr/>
                <a:graphic xmlns:a="http://schemas.openxmlformats.org/drawingml/2006/main">
                  <a:graphicData uri="http://schemas.microsoft.com/office/word/2010/wordprocessingShape">
                    <wps:wsp>
                      <wps:cNvCnPr/>
                      <wps:spPr>
                        <a:xfrm>
                          <a:off x="0" y="0"/>
                          <a:ext cx="712800" cy="0"/>
                        </a:xfrm>
                        <a:prstGeom prst="straightConnector1">
                          <a:avLst/>
                        </a:prstGeom>
                        <a:noFill/>
                        <a:ln w="3175" cap="flat" cmpd="sng" algn="ctr">
                          <a:solidFill>
                            <a:srgbClr val="000000">
                              <a:lumMod val="50000"/>
                              <a:lumOff val="50000"/>
                            </a:srgbClr>
                          </a:solidFill>
                          <a:prstDash val="solid"/>
                          <a:miter lim="800000"/>
                          <a:tailEnd type="arrow"/>
                        </a:ln>
                        <a:effectLst/>
                      </wps:spPr>
                      <wps:bodyPr/>
                    </wps:wsp>
                  </a:graphicData>
                </a:graphic>
              </wp:anchor>
            </w:drawing>
          </mc:Choice>
          <mc:Fallback>
            <w:pict>
              <v:shape w14:anchorId="1D758D34" id="Straight Arrow Connector 58" o:spid="_x0000_s1026" type="#_x0000_t32" style="position:absolute;margin-left:566.45pt;margin-top:213.7pt;width:56.1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" strokecolor="#7f7f7f" strokeweight=".25pt">
                <v:stroke endarrow="open" joinstyle="miter"/>
              </v:shape>
            </w:pict>
          </mc:Fallback>
        </mc:AlternateContent>
      </w:r>
      <w:r w:rsidRPr="00D427D8">
        <w:rPr>
          <w:noProof/>
        </w:rPr>
        <mc:AlternateContent>
          <mc:Choice Requires="wps">
            <w:drawing>
              <wp:anchor distT="0" distB="0" distL="114300" distR="114300" simplePos="0" relativeHeight="251712512" behindDoc="0" locked="0" layoutInCell="1" allowOverlap="1" wp14:anchorId="32753750" wp14:editId="55D7D2F3">
                <wp:simplePos x="0" y="0"/>
                <wp:positionH relativeFrom="column">
                  <wp:posOffset>7919085</wp:posOffset>
                </wp:positionH>
                <wp:positionV relativeFrom="paragraph">
                  <wp:posOffset>1196340</wp:posOffset>
                </wp:positionV>
                <wp:extent cx="940268" cy="691653"/>
                <wp:effectExtent l="0" t="0" r="12700" b="13335"/>
                <wp:wrapNone/>
                <wp:docPr id="114" name="Rectangle 59"/>
                <wp:cNvGraphicFramePr/>
                <a:graphic xmlns:a="http://schemas.openxmlformats.org/drawingml/2006/main">
                  <a:graphicData uri="http://schemas.microsoft.com/office/word/2010/wordprocessingShape">
                    <wps:wsp>
                      <wps:cNvSpPr/>
                      <wps:spPr>
                        <a:xfrm>
                          <a:off x="0" y="0"/>
                          <a:ext cx="940268" cy="691653"/>
                        </a:xfrm>
                        <a:prstGeom prst="rect">
                          <a:avLst/>
                        </a:prstGeom>
                        <a:solidFill>
                          <a:srgbClr val="000000">
                            <a:lumMod val="50000"/>
                            <a:lumOff val="50000"/>
                          </a:srgbClr>
                        </a:solidFill>
                        <a:ln w="6350" cap="flat" cmpd="sng" algn="ctr">
                          <a:solidFill>
                            <a:srgbClr val="000000">
                              <a:lumMod val="95000"/>
                              <a:lumOff val="5000"/>
                            </a:srgbClr>
                          </a:solidFill>
                          <a:prstDash val="solid"/>
                          <a:miter lim="800000"/>
                        </a:ln>
                        <a:effectLst/>
                      </wps:spPr>
                      <wps:txbx>
                        <w:txbxContent>
                          <w:p w14:paraId="4F2A9C3B" w14:textId="77777777" w:rsidR="00BC490D" w:rsidRDefault="00BC490D" w:rsidP="00BC490D">
                            <w:pPr>
                              <w:jc w:val="center"/>
                              <w:textAlignment w:val="baseline"/>
                              <w:rPr>
                                <w:rFonts w:ascii="Calibri" w:eastAsia="Georgia" w:hAnsi="Calibri" w:cs="Georgia"/>
                                <w:b/>
                                <w:bCs/>
                                <w:color w:val="FFFFFF"/>
                                <w:sz w:val="12"/>
                                <w:szCs w:val="12"/>
                              </w:rPr>
                            </w:pPr>
                            <w:r>
                              <w:rPr>
                                <w:rFonts w:ascii="Calibri" w:eastAsia="Georgia" w:hAnsi="Calibri" w:cs="Georgia"/>
                                <w:b/>
                                <w:bCs/>
                                <w:color w:val="FFFFFF"/>
                                <w:sz w:val="12"/>
                                <w:szCs w:val="12"/>
                              </w:rPr>
                              <w:t>ABS Investors</w:t>
                            </w:r>
                          </w:p>
                        </w:txbxContent>
                      </wps:txbx>
                      <wps:bodyPr rtlCol="0" anchor="ctr"/>
                    </wps:wsp>
                  </a:graphicData>
                </a:graphic>
              </wp:anchor>
            </w:drawing>
          </mc:Choice>
          <mc:Fallback>
            <w:pict>
              <v:rect w14:anchorId="32753750" id="Rectangle 59" o:spid="_x0000_s1047" style="position:absolute;left:0;text-align:left;margin-left:623.55pt;margin-top:94.2pt;width:74.05pt;height:54.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" fillcolor="#7f7f7f" strokecolor="#0d0d0d" strokeweight=".5pt">
                <v:textbox>
                  <w:txbxContent>
                    <w:p w14:paraId="4F2A9C3B" w14:textId="77777777" w:rsidR="00BC490D" w:rsidRDefault="00BC490D" w:rsidP="00BC490D">
                      <w:pPr>
                        <w:jc w:val="center"/>
                        <w:textAlignment w:val="baseline"/>
                        <w:rPr>
                          <w:rFonts w:ascii="Calibri" w:eastAsia="Georgia" w:hAnsi="Calibri" w:cs="Georgia"/>
                          <w:b/>
                          <w:bCs/>
                          <w:color w:val="FFFFFF"/>
                          <w:sz w:val="12"/>
                          <w:szCs w:val="12"/>
                        </w:rPr>
                      </w:pPr>
                      <w:r>
                        <w:rPr>
                          <w:rFonts w:ascii="Calibri" w:eastAsia="Georgia" w:hAnsi="Calibri" w:cs="Georgia"/>
                          <w:b/>
                          <w:bCs/>
                          <w:color w:val="FFFFFF"/>
                          <w:sz w:val="12"/>
                          <w:szCs w:val="12"/>
                        </w:rPr>
                        <w:t>ABS Investors</w:t>
                      </w:r>
                    </w:p>
                  </w:txbxContent>
                </v:textbox>
              </v:rect>
            </w:pict>
          </mc:Fallback>
        </mc:AlternateContent>
      </w:r>
      <w:r w:rsidRPr="00D427D8">
        <w:rPr>
          <w:noProof/>
        </w:rPr>
        <mc:AlternateContent>
          <mc:Choice Requires="wps">
            <w:drawing>
              <wp:anchor distT="0" distB="0" distL="114300" distR="114300" simplePos="0" relativeHeight="251713536" behindDoc="0" locked="0" layoutInCell="1" allowOverlap="1" wp14:anchorId="53C49AC7" wp14:editId="3872B0B7">
                <wp:simplePos x="0" y="0"/>
                <wp:positionH relativeFrom="column">
                  <wp:posOffset>7914005</wp:posOffset>
                </wp:positionH>
                <wp:positionV relativeFrom="paragraph">
                  <wp:posOffset>2290445</wp:posOffset>
                </wp:positionV>
                <wp:extent cx="940268" cy="691653"/>
                <wp:effectExtent l="0" t="0" r="12700" b="13335"/>
                <wp:wrapNone/>
                <wp:docPr id="115" name="Rectangle 60"/>
                <wp:cNvGraphicFramePr/>
                <a:graphic xmlns:a="http://schemas.openxmlformats.org/drawingml/2006/main">
                  <a:graphicData uri="http://schemas.microsoft.com/office/word/2010/wordprocessingShape">
                    <wps:wsp>
                      <wps:cNvSpPr/>
                      <wps:spPr>
                        <a:xfrm>
                          <a:off x="0" y="0"/>
                          <a:ext cx="940268" cy="691653"/>
                        </a:xfrm>
                        <a:prstGeom prst="rect">
                          <a:avLst/>
                        </a:prstGeom>
                        <a:solidFill>
                          <a:srgbClr val="000000">
                            <a:lumMod val="50000"/>
                            <a:lumOff val="50000"/>
                          </a:srgbClr>
                        </a:solidFill>
                        <a:ln w="6350" cap="flat" cmpd="sng" algn="ctr">
                          <a:solidFill>
                            <a:srgbClr val="000000">
                              <a:lumMod val="95000"/>
                              <a:lumOff val="5000"/>
                            </a:srgbClr>
                          </a:solidFill>
                          <a:prstDash val="solid"/>
                          <a:miter lim="800000"/>
                        </a:ln>
                        <a:effectLst/>
                      </wps:spPr>
                      <wps:txbx>
                        <w:txbxContent>
                          <w:p w14:paraId="30B8757A" w14:textId="77777777" w:rsidR="00BC490D" w:rsidRDefault="00BC490D" w:rsidP="00BC490D">
                            <w:pPr>
                              <w:jc w:val="center"/>
                              <w:textAlignment w:val="baseline"/>
                              <w:rPr>
                                <w:rFonts w:ascii="Calibri" w:eastAsia="Georgia" w:hAnsi="Calibri" w:cs="Georgia"/>
                                <w:b/>
                                <w:bCs/>
                                <w:color w:val="FFFFFF"/>
                                <w:sz w:val="12"/>
                                <w:szCs w:val="12"/>
                              </w:rPr>
                            </w:pPr>
                            <w:r>
                              <w:rPr>
                                <w:rFonts w:ascii="Calibri" w:eastAsia="Georgia" w:hAnsi="Calibri" w:cs="Georgia"/>
                                <w:b/>
                                <w:bCs/>
                                <w:color w:val="FFFFFF"/>
                                <w:sz w:val="12"/>
                                <w:szCs w:val="12"/>
                              </w:rPr>
                              <w:t>ABS Investors</w:t>
                            </w:r>
                          </w:p>
                        </w:txbxContent>
                      </wps:txbx>
                      <wps:bodyPr rtlCol="0" anchor="ctr"/>
                    </wps:wsp>
                  </a:graphicData>
                </a:graphic>
              </wp:anchor>
            </w:drawing>
          </mc:Choice>
          <mc:Fallback>
            <w:pict>
              <v:rect w14:anchorId="53C49AC7" id="Rectangle 60" o:spid="_x0000_s1048" style="position:absolute;left:0;text-align:left;margin-left:623.15pt;margin-top:180.35pt;width:74.05pt;height:54.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" fillcolor="#7f7f7f" strokecolor="#0d0d0d" strokeweight=".5pt">
                <v:textbox>
                  <w:txbxContent>
                    <w:p w14:paraId="30B8757A" w14:textId="77777777" w:rsidR="00BC490D" w:rsidRDefault="00BC490D" w:rsidP="00BC490D">
                      <w:pPr>
                        <w:jc w:val="center"/>
                        <w:textAlignment w:val="baseline"/>
                        <w:rPr>
                          <w:rFonts w:ascii="Calibri" w:eastAsia="Georgia" w:hAnsi="Calibri" w:cs="Georgia"/>
                          <w:b/>
                          <w:bCs/>
                          <w:color w:val="FFFFFF"/>
                          <w:sz w:val="12"/>
                          <w:szCs w:val="12"/>
                        </w:rPr>
                      </w:pPr>
                      <w:r>
                        <w:rPr>
                          <w:rFonts w:ascii="Calibri" w:eastAsia="Georgia" w:hAnsi="Calibri" w:cs="Georgia"/>
                          <w:b/>
                          <w:bCs/>
                          <w:color w:val="FFFFFF"/>
                          <w:sz w:val="12"/>
                          <w:szCs w:val="12"/>
                        </w:rPr>
                        <w:t>ABS Investors</w:t>
                      </w:r>
                    </w:p>
                  </w:txbxContent>
                </v:textbox>
              </v:rect>
            </w:pict>
          </mc:Fallback>
        </mc:AlternateContent>
      </w:r>
      <w:r w:rsidRPr="00D427D8">
        <w:rPr>
          <w:noProof/>
        </w:rPr>
        <mc:AlternateContent>
          <mc:Choice Requires="wps">
            <w:drawing>
              <wp:anchor distT="0" distB="0" distL="114300" distR="114300" simplePos="0" relativeHeight="251714560" behindDoc="0" locked="0" layoutInCell="1" allowOverlap="1" wp14:anchorId="22F22FF4" wp14:editId="40266474">
                <wp:simplePos x="0" y="0"/>
                <wp:positionH relativeFrom="column">
                  <wp:posOffset>7083425</wp:posOffset>
                </wp:positionH>
                <wp:positionV relativeFrom="paragraph">
                  <wp:posOffset>3863340</wp:posOffset>
                </wp:positionV>
                <wp:extent cx="0" cy="90000"/>
                <wp:effectExtent l="0" t="0" r="38100" b="24765"/>
                <wp:wrapNone/>
                <wp:docPr id="116" name="Straight Connector 61"/>
                <wp:cNvGraphicFramePr/>
                <a:graphic xmlns:a="http://schemas.openxmlformats.org/drawingml/2006/main">
                  <a:graphicData uri="http://schemas.microsoft.com/office/word/2010/wordprocessingShape">
                    <wps:wsp>
                      <wps:cNvCnPr/>
                      <wps:spPr>
                        <a:xfrm flipV="1">
                          <a:off x="0" y="0"/>
                          <a:ext cx="0" cy="90000"/>
                        </a:xfrm>
                        <a:prstGeom prst="line">
                          <a:avLst/>
                        </a:prstGeom>
                        <a:noFill/>
                        <a:ln w="3175" cap="flat" cmpd="sng" algn="ctr">
                          <a:solidFill>
                            <a:srgbClr val="7F7F7F"/>
                          </a:solidFill>
                          <a:prstDash val="solid"/>
                          <a:miter lim="800000"/>
                        </a:ln>
                        <a:effectLst/>
                      </wps:spPr>
                      <wps:bodyPr/>
                    </wps:wsp>
                  </a:graphicData>
                </a:graphic>
              </wp:anchor>
            </w:drawing>
          </mc:Choice>
          <mc:Fallback>
            <w:pict>
              <v:line w14:anchorId="729892F7" id="Straight Connector 61"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557.75pt,304.2pt" to="557.75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" strokecolor="#7f7f7f" strokeweight=".25pt">
                <v:stroke joinstyle="miter"/>
              </v:line>
            </w:pict>
          </mc:Fallback>
        </mc:AlternateContent>
      </w:r>
      <w:r w:rsidRPr="00D427D8">
        <w:rPr>
          <w:noProof/>
        </w:rPr>
        <mc:AlternateContent>
          <mc:Choice Requires="wps">
            <w:drawing>
              <wp:anchor distT="0" distB="0" distL="114300" distR="114300" simplePos="0" relativeHeight="251715584" behindDoc="0" locked="0" layoutInCell="1" allowOverlap="1" wp14:anchorId="1BE8948E" wp14:editId="4497B9F7">
                <wp:simplePos x="0" y="0"/>
                <wp:positionH relativeFrom="column">
                  <wp:posOffset>5819140</wp:posOffset>
                </wp:positionH>
                <wp:positionV relativeFrom="paragraph">
                  <wp:posOffset>3867785</wp:posOffset>
                </wp:positionV>
                <wp:extent cx="0" cy="90000"/>
                <wp:effectExtent l="0" t="0" r="38100" b="24765"/>
                <wp:wrapNone/>
                <wp:docPr id="117"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0000"/>
                        </a:xfrm>
                        <a:prstGeom prst="line">
                          <a:avLst/>
                        </a:prstGeom>
                        <a:noFill/>
                        <a:ln w="3175" cap="flat" cmpd="sng" algn="ctr">
                          <a:solidFill>
                            <a:srgbClr val="7F7F7F"/>
                          </a:solidFill>
                          <a:prstDash val="solid"/>
                          <a:miter lim="800000"/>
                        </a:ln>
                        <a:effectLst/>
                      </wps:spPr>
                      <wps:bodyPr/>
                    </wps:wsp>
                  </a:graphicData>
                </a:graphic>
              </wp:anchor>
            </w:drawing>
          </mc:Choice>
          <mc:Fallback>
            <w:pict>
              <v:line w14:anchorId="155AEF80" id="Straight Connector 62"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458.2pt,304.55pt" to="458.2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" strokecolor="#7f7f7f" strokeweight=".25pt">
                <v:stroke joinstyle="miter"/>
                <o:lock v:ext="edit" shapetype="f"/>
              </v:line>
            </w:pict>
          </mc:Fallback>
        </mc:AlternateContent>
      </w:r>
    </w:p>
    <w:p w14:paraId="265659B5" w14:textId="6FF43D5A" w:rsidR="00BC490D" w:rsidRPr="00D427D8" w:rsidRDefault="004F7E50" w:rsidP="00BC490D">
      <w:pPr>
        <w:pStyle w:val="Body1"/>
        <w:jc w:val="center"/>
        <w:rPr>
          <w:rFonts w:asciiTheme="minorHAnsi" w:hAnsiTheme="minorHAnsi" w:cstheme="minorHAnsi"/>
          <w:b/>
          <w:bCs/>
          <w:szCs w:val="19"/>
        </w:rPr>
      </w:pPr>
      <w:r w:rsidRPr="00D427D8">
        <w:rPr>
          <w:noProof/>
        </w:rPr>
        <mc:AlternateContent>
          <mc:Choice Requires="wps">
            <w:drawing>
              <wp:anchor distT="0" distB="0" distL="114300" distR="114300" simplePos="0" relativeHeight="251661312" behindDoc="0" locked="0" layoutInCell="1" allowOverlap="1" wp14:anchorId="14532921" wp14:editId="6DFBDB5B">
                <wp:simplePos x="0" y="0"/>
                <wp:positionH relativeFrom="column">
                  <wp:posOffset>3919764</wp:posOffset>
                </wp:positionH>
                <wp:positionV relativeFrom="paragraph">
                  <wp:posOffset>243114</wp:posOffset>
                </wp:positionV>
                <wp:extent cx="1176020" cy="509452"/>
                <wp:effectExtent l="0" t="0" r="24130" b="24130"/>
                <wp:wrapNone/>
                <wp:docPr id="23" name="Rectangle 6"/>
                <wp:cNvGraphicFramePr/>
                <a:graphic xmlns:a="http://schemas.openxmlformats.org/drawingml/2006/main">
                  <a:graphicData uri="http://schemas.microsoft.com/office/word/2010/wordprocessingShape">
                    <wps:wsp>
                      <wps:cNvSpPr/>
                      <wps:spPr>
                        <a:xfrm>
                          <a:off x="0" y="0"/>
                          <a:ext cx="1176020" cy="509452"/>
                        </a:xfrm>
                        <a:prstGeom prst="rect">
                          <a:avLst/>
                        </a:prstGeom>
                        <a:noFill/>
                        <a:ln w="6350" cap="flat" cmpd="sng" algn="ctr">
                          <a:solidFill>
                            <a:srgbClr val="000000"/>
                          </a:solidFill>
                          <a:prstDash val="solid"/>
                          <a:miter lim="800000"/>
                        </a:ln>
                        <a:effectLst/>
                      </wps:spPr>
                      <wps:txbx>
                        <w:txbxContent>
                          <w:p w14:paraId="4B841185" w14:textId="77777777" w:rsidR="00BC490D" w:rsidRPr="00AD61C6" w:rsidRDefault="00BC490D" w:rsidP="00BC490D">
                            <w:pPr>
                              <w:jc w:val="center"/>
                              <w:textAlignment w:val="baseline"/>
                              <w:rPr>
                                <w:rFonts w:ascii="Calibri" w:eastAsia="Georgia" w:hAnsi="Calibri" w:cs="Georgia"/>
                                <w:color w:val="404040"/>
                                <w:sz w:val="12"/>
                                <w:szCs w:val="12"/>
                                <w:lang w:val="en-US"/>
                              </w:rPr>
                            </w:pPr>
                            <w:r w:rsidRPr="00AD61C6">
                              <w:rPr>
                                <w:rFonts w:ascii="Calibri" w:eastAsia="Georgia" w:hAnsi="Calibri" w:cs="Georgia"/>
                                <w:color w:val="282832"/>
                                <w:sz w:val="12"/>
                                <w:szCs w:val="12"/>
                              </w:rPr>
                              <w:t xml:space="preserve">ECARAT DE S.A. acting on behalf and for the account of its Compartment </w:t>
                            </w:r>
                            <w:r>
                              <w:rPr>
                                <w:rFonts w:ascii="Calibri" w:eastAsia="Georgia" w:hAnsi="Calibri" w:cs="Georgia"/>
                                <w:color w:val="282832"/>
                                <w:sz w:val="12"/>
                                <w:szCs w:val="12"/>
                              </w:rPr>
                              <w:t xml:space="preserve">Lease </w:t>
                            </w:r>
                            <w:r w:rsidRPr="00AD61C6">
                              <w:rPr>
                                <w:rFonts w:ascii="Calibri" w:eastAsia="Georgia" w:hAnsi="Calibri" w:cs="Georgia"/>
                                <w:color w:val="282832"/>
                                <w:sz w:val="12"/>
                                <w:szCs w:val="12"/>
                              </w:rPr>
                              <w:t>2025-1</w:t>
                            </w:r>
                            <w:r w:rsidRPr="00AD61C6">
                              <w:rPr>
                                <w:rFonts w:ascii="Calibri" w:eastAsia="Georgia" w:hAnsi="Calibri" w:cs="Georgia"/>
                                <w:color w:val="404040"/>
                                <w:sz w:val="12"/>
                                <w:szCs w:val="12"/>
                                <w:lang w:val="en-US"/>
                              </w:rPr>
                              <w:br/>
                              <w:t>(Issuer, Purchaser)</w:t>
                            </w:r>
                          </w:p>
                        </w:txbxContent>
                      </wps:txbx>
                      <wps:bodyPr rtlCol="0" anchor="ctr">
                        <a:noAutofit/>
                      </wps:bodyPr>
                    </wps:wsp>
                  </a:graphicData>
                </a:graphic>
                <wp14:sizeRelV relativeFrom="margin">
                  <wp14:pctHeight>0</wp14:pctHeight>
                </wp14:sizeRelV>
              </wp:anchor>
            </w:drawing>
          </mc:Choice>
          <mc:Fallback>
            <w:pict>
              <v:rect w14:anchorId="14532921" id="Rectangle 6" o:spid="_x0000_s1049" style="position:absolute;left:0;text-align:left;margin-left:308.65pt;margin-top:19.15pt;width:92.6pt;height:40.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" filled="f" strokeweight=".5pt">
                <v:textbox>
                  <w:txbxContent>
                    <w:p w14:paraId="4B841185" w14:textId="77777777" w:rsidR="00BC490D" w:rsidRPr="00AD61C6" w:rsidRDefault="00BC490D" w:rsidP="00BC490D">
                      <w:pPr>
                        <w:jc w:val="center"/>
                        <w:textAlignment w:val="baseline"/>
                        <w:rPr>
                          <w:rFonts w:ascii="Calibri" w:eastAsia="Georgia" w:hAnsi="Calibri" w:cs="Georgia"/>
                          <w:color w:val="404040"/>
                          <w:sz w:val="12"/>
                          <w:szCs w:val="12"/>
                          <w:lang w:val="en-US"/>
                        </w:rPr>
                      </w:pPr>
                      <w:r w:rsidRPr="00AD61C6">
                        <w:rPr>
                          <w:rFonts w:ascii="Calibri" w:eastAsia="Georgia" w:hAnsi="Calibri" w:cs="Georgia"/>
                          <w:color w:val="282832"/>
                          <w:sz w:val="12"/>
                          <w:szCs w:val="12"/>
                        </w:rPr>
                        <w:t xml:space="preserve">ECARAT DE S.A. acting on behalf and for the account of its Compartment </w:t>
                      </w:r>
                      <w:r>
                        <w:rPr>
                          <w:rFonts w:ascii="Calibri" w:eastAsia="Georgia" w:hAnsi="Calibri" w:cs="Georgia"/>
                          <w:color w:val="282832"/>
                          <w:sz w:val="12"/>
                          <w:szCs w:val="12"/>
                        </w:rPr>
                        <w:t xml:space="preserve">Lease </w:t>
                      </w:r>
                      <w:r w:rsidRPr="00AD61C6">
                        <w:rPr>
                          <w:rFonts w:ascii="Calibri" w:eastAsia="Georgia" w:hAnsi="Calibri" w:cs="Georgia"/>
                          <w:color w:val="282832"/>
                          <w:sz w:val="12"/>
                          <w:szCs w:val="12"/>
                        </w:rPr>
                        <w:t>2025-1</w:t>
                      </w:r>
                      <w:r w:rsidRPr="00AD61C6">
                        <w:rPr>
                          <w:rFonts w:ascii="Calibri" w:eastAsia="Georgia" w:hAnsi="Calibri" w:cs="Georgia"/>
                          <w:color w:val="404040"/>
                          <w:sz w:val="12"/>
                          <w:szCs w:val="12"/>
                          <w:lang w:val="en-US"/>
                        </w:rPr>
                        <w:br/>
                        <w:t>(Issuer, Purchaser)</w:t>
                      </w:r>
                    </w:p>
                  </w:txbxContent>
                </v:textbox>
              </v:rect>
            </w:pict>
          </mc:Fallback>
        </mc:AlternateContent>
      </w:r>
      <w:r w:rsidR="00BC490D" w:rsidRPr="00D427D8">
        <w:rPr>
          <w:noProof/>
        </w:rPr>
        <mc:AlternateContent>
          <mc:Choice Requires="wps">
            <w:drawing>
              <wp:anchor distT="0" distB="0" distL="114300" distR="114300" simplePos="0" relativeHeight="251673600" behindDoc="0" locked="0" layoutInCell="1" allowOverlap="1" wp14:anchorId="0BC62348" wp14:editId="23CD5F47">
                <wp:simplePos x="0" y="0"/>
                <wp:positionH relativeFrom="column">
                  <wp:posOffset>1847</wp:posOffset>
                </wp:positionH>
                <wp:positionV relativeFrom="paragraph">
                  <wp:posOffset>721937</wp:posOffset>
                </wp:positionV>
                <wp:extent cx="678815" cy="382039"/>
                <wp:effectExtent l="0" t="0" r="6985" b="0"/>
                <wp:wrapNone/>
                <wp:docPr id="86" name="Rectangle 21"/>
                <wp:cNvGraphicFramePr/>
                <a:graphic xmlns:a="http://schemas.openxmlformats.org/drawingml/2006/main">
                  <a:graphicData uri="http://schemas.microsoft.com/office/word/2010/wordprocessingShape">
                    <wps:wsp>
                      <wps:cNvSpPr/>
                      <wps:spPr>
                        <a:xfrm>
                          <a:off x="0" y="0"/>
                          <a:ext cx="678815" cy="382039"/>
                        </a:xfrm>
                        <a:prstGeom prst="rect">
                          <a:avLst/>
                        </a:prstGeom>
                        <a:noFill/>
                        <a:ln w="6350" cap="flat" cmpd="sng" algn="ctr">
                          <a:noFill/>
                          <a:prstDash val="solid"/>
                          <a:miter lim="800000"/>
                        </a:ln>
                        <a:effectLst/>
                      </wps:spPr>
                      <wps:txbx>
                        <w:txbxContent>
                          <w:p w14:paraId="2F7F8E55"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Lease Contracts</w:t>
                            </w:r>
                          </w:p>
                        </w:txbxContent>
                      </wps:txbx>
                      <wps:bodyPr lIns="36000" tIns="36000" rIns="36000" bIns="36000" rtlCol="0" anchor="ctr">
                        <a:noAutofit/>
                      </wps:bodyPr>
                    </wps:wsp>
                  </a:graphicData>
                </a:graphic>
                <wp14:sizeRelV relativeFrom="margin">
                  <wp14:pctHeight>0</wp14:pctHeight>
                </wp14:sizeRelV>
              </wp:anchor>
            </w:drawing>
          </mc:Choice>
          <mc:Fallback>
            <w:pict>
              <v:rect w14:anchorId="0BC62348" id="Rectangle 21" o:spid="_x0000_s1050" style="position:absolute;left:0;text-align:left;margin-left:.15pt;margin-top:56.85pt;width:53.45pt;height:30.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" filled="f" stroked="f" strokeweight=".5pt">
                <v:textbox inset="1mm,1mm,1mm,1mm">
                  <w:txbxContent>
                    <w:p w14:paraId="2F7F8E55" w14:textId="77777777" w:rsidR="00BC490D" w:rsidRDefault="00BC490D" w:rsidP="00BC490D">
                      <w:pPr>
                        <w:jc w:val="center"/>
                        <w:textAlignment w:val="baseline"/>
                        <w:rPr>
                          <w:rFonts w:ascii="Calibri" w:eastAsia="Georgia" w:hAnsi="Calibri" w:cs="Georgia"/>
                          <w:color w:val="404040"/>
                          <w:sz w:val="12"/>
                          <w:szCs w:val="12"/>
                        </w:rPr>
                      </w:pPr>
                      <w:r>
                        <w:rPr>
                          <w:rFonts w:ascii="Calibri" w:eastAsia="Georgia" w:hAnsi="Calibri" w:cs="Georgia"/>
                          <w:color w:val="404040"/>
                          <w:sz w:val="12"/>
                          <w:szCs w:val="12"/>
                        </w:rPr>
                        <w:t>Lease Contracts</w:t>
                      </w:r>
                    </w:p>
                  </w:txbxContent>
                </v:textbox>
              </v:rect>
            </w:pict>
          </mc:Fallback>
        </mc:AlternateContent>
      </w:r>
      <w:r w:rsidR="00BC490D" w:rsidRPr="00D427D8">
        <w:rPr>
          <w:noProof/>
        </w:rPr>
        <mc:AlternateContent>
          <mc:Choice Requires="wps">
            <w:drawing>
              <wp:anchor distT="0" distB="0" distL="114300" distR="114300" simplePos="0" relativeHeight="251686912" behindDoc="0" locked="0" layoutInCell="1" allowOverlap="1" wp14:anchorId="7FDDD12D" wp14:editId="7BAEA64D">
                <wp:simplePos x="0" y="0"/>
                <wp:positionH relativeFrom="column">
                  <wp:posOffset>1275080</wp:posOffset>
                </wp:positionH>
                <wp:positionV relativeFrom="paragraph">
                  <wp:posOffset>3665855</wp:posOffset>
                </wp:positionV>
                <wp:extent cx="1187450" cy="742950"/>
                <wp:effectExtent l="0" t="0" r="12700" b="19050"/>
                <wp:wrapNone/>
                <wp:docPr id="95" name="Rectangle 34"/>
                <wp:cNvGraphicFramePr/>
                <a:graphic xmlns:a="http://schemas.openxmlformats.org/drawingml/2006/main">
                  <a:graphicData uri="http://schemas.microsoft.com/office/word/2010/wordprocessingShape">
                    <wps:wsp>
                      <wps:cNvSpPr/>
                      <wps:spPr>
                        <a:xfrm>
                          <a:off x="0" y="0"/>
                          <a:ext cx="1187450" cy="742950"/>
                        </a:xfrm>
                        <a:prstGeom prst="rect">
                          <a:avLst/>
                        </a:prstGeom>
                        <a:noFill/>
                        <a:ln w="6350" cap="flat" cmpd="sng" algn="ctr">
                          <a:solidFill>
                            <a:srgbClr val="000000">
                              <a:lumMod val="75000"/>
                              <a:lumOff val="25000"/>
                            </a:srgbClr>
                          </a:solidFill>
                          <a:prstDash val="solid"/>
                          <a:miter lim="800000"/>
                        </a:ln>
                        <a:effectLst/>
                      </wps:spPr>
                      <wps:txbx>
                        <w:txbxContent>
                          <w:p w14:paraId="24A0EF76" w14:textId="77777777" w:rsidR="00BC490D" w:rsidRDefault="00BC490D" w:rsidP="00BC490D">
                            <w:pPr>
                              <w:jc w:val="center"/>
                              <w:textAlignment w:val="baseline"/>
                              <w:rPr>
                                <w:rFonts w:ascii="Calibri" w:eastAsia="Georgia" w:hAnsi="Calibri" w:cs="Georgia"/>
                                <w:b/>
                                <w:bCs/>
                                <w:color w:val="282832"/>
                                <w:sz w:val="12"/>
                                <w:szCs w:val="12"/>
                              </w:rPr>
                            </w:pPr>
                            <w:r>
                              <w:rPr>
                                <w:rFonts w:ascii="Calibri" w:eastAsia="Georgia" w:hAnsi="Calibri" w:cs="Georgia"/>
                                <w:color w:val="282832"/>
                                <w:sz w:val="12"/>
                                <w:szCs w:val="12"/>
                              </w:rPr>
                              <w:t>BNP Paribas</w:t>
                            </w:r>
                            <w:r>
                              <w:rPr>
                                <w:rFonts w:ascii="Calibri" w:eastAsia="Georgia" w:hAnsi="Calibri" w:cs="Georgia"/>
                                <w:b/>
                                <w:bCs/>
                                <w:color w:val="282832"/>
                                <w:sz w:val="12"/>
                                <w:szCs w:val="12"/>
                              </w:rPr>
                              <w:br/>
                            </w:r>
                            <w:r>
                              <w:rPr>
                                <w:rFonts w:ascii="Calibri" w:eastAsia="Georgia" w:hAnsi="Calibri" w:cs="Georgia"/>
                                <w:color w:val="282832"/>
                                <w:sz w:val="12"/>
                                <w:szCs w:val="12"/>
                              </w:rPr>
                              <w:t>(Account Bank / Paying Agent / Data Protection Trustee / Counterparty)</w:t>
                            </w:r>
                          </w:p>
                        </w:txbxContent>
                      </wps:txbx>
                      <wps:bodyPr rtlCol="0" anchor="ctr">
                        <a:noAutofit/>
                      </wps:bodyPr>
                    </wps:wsp>
                  </a:graphicData>
                </a:graphic>
                <wp14:sizeRelV relativeFrom="margin">
                  <wp14:pctHeight>0</wp14:pctHeight>
                </wp14:sizeRelV>
              </wp:anchor>
            </w:drawing>
          </mc:Choice>
          <mc:Fallback>
            <w:pict>
              <v:rect w14:anchorId="7FDDD12D" id="Rectangle 34" o:spid="_x0000_s1051" style="position:absolute;left:0;text-align:left;margin-left:100.4pt;margin-top:288.65pt;width:93.5pt;height:5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" filled="f" strokecolor="#404040" strokeweight=".5pt">
                <v:textbox>
                  <w:txbxContent>
                    <w:p w14:paraId="24A0EF76" w14:textId="77777777" w:rsidR="00BC490D" w:rsidRDefault="00BC490D" w:rsidP="00BC490D">
                      <w:pPr>
                        <w:jc w:val="center"/>
                        <w:textAlignment w:val="baseline"/>
                        <w:rPr>
                          <w:rFonts w:ascii="Calibri" w:eastAsia="Georgia" w:hAnsi="Calibri" w:cs="Georgia"/>
                          <w:b/>
                          <w:bCs/>
                          <w:color w:val="282832"/>
                          <w:sz w:val="12"/>
                          <w:szCs w:val="12"/>
                        </w:rPr>
                      </w:pPr>
                      <w:r>
                        <w:rPr>
                          <w:rFonts w:ascii="Calibri" w:eastAsia="Georgia" w:hAnsi="Calibri" w:cs="Georgia"/>
                          <w:color w:val="282832"/>
                          <w:sz w:val="12"/>
                          <w:szCs w:val="12"/>
                        </w:rPr>
                        <w:t>BNP Paribas</w:t>
                      </w:r>
                      <w:r>
                        <w:rPr>
                          <w:rFonts w:ascii="Calibri" w:eastAsia="Georgia" w:hAnsi="Calibri" w:cs="Georgia"/>
                          <w:b/>
                          <w:bCs/>
                          <w:color w:val="282832"/>
                          <w:sz w:val="12"/>
                          <w:szCs w:val="12"/>
                        </w:rPr>
                        <w:br/>
                      </w:r>
                      <w:r>
                        <w:rPr>
                          <w:rFonts w:ascii="Calibri" w:eastAsia="Georgia" w:hAnsi="Calibri" w:cs="Georgia"/>
                          <w:color w:val="282832"/>
                          <w:sz w:val="12"/>
                          <w:szCs w:val="12"/>
                        </w:rPr>
                        <w:t>(Account Bank / Paying Agent / Data Protection Trustee / Counterparty)</w:t>
                      </w:r>
                    </w:p>
                  </w:txbxContent>
                </v:textbox>
              </v:rect>
            </w:pict>
          </mc:Fallback>
        </mc:AlternateContent>
      </w:r>
      <w:r w:rsidR="00BC490D" w:rsidRPr="00D427D8">
        <w:rPr>
          <w:noProof/>
        </w:rPr>
        <mc:AlternateContent>
          <mc:Choice Requires="wps">
            <w:drawing>
              <wp:anchor distT="0" distB="0" distL="114300" distR="114300" simplePos="0" relativeHeight="251687936" behindDoc="0" locked="0" layoutInCell="1" allowOverlap="1" wp14:anchorId="762EDB05" wp14:editId="7E95432D">
                <wp:simplePos x="0" y="0"/>
                <wp:positionH relativeFrom="column">
                  <wp:posOffset>2580005</wp:posOffset>
                </wp:positionH>
                <wp:positionV relativeFrom="paragraph">
                  <wp:posOffset>3665855</wp:posOffset>
                </wp:positionV>
                <wp:extent cx="1187450" cy="742950"/>
                <wp:effectExtent l="0" t="0" r="12700" b="19050"/>
                <wp:wrapNone/>
                <wp:docPr id="96" name="Rectangle 35"/>
                <wp:cNvGraphicFramePr/>
                <a:graphic xmlns:a="http://schemas.openxmlformats.org/drawingml/2006/main">
                  <a:graphicData uri="http://schemas.microsoft.com/office/word/2010/wordprocessingShape">
                    <wps:wsp>
                      <wps:cNvSpPr/>
                      <wps:spPr>
                        <a:xfrm>
                          <a:off x="0" y="0"/>
                          <a:ext cx="1187450" cy="742950"/>
                        </a:xfrm>
                        <a:prstGeom prst="rect">
                          <a:avLst/>
                        </a:prstGeom>
                        <a:noFill/>
                        <a:ln w="6350" cap="flat" cmpd="sng" algn="ctr">
                          <a:solidFill>
                            <a:srgbClr val="000000">
                              <a:lumMod val="75000"/>
                              <a:lumOff val="25000"/>
                            </a:srgbClr>
                          </a:solidFill>
                          <a:prstDash val="solid"/>
                          <a:miter lim="800000"/>
                        </a:ln>
                        <a:effectLst/>
                      </wps:spPr>
                      <wps:txbx>
                        <w:txbxContent>
                          <w:p w14:paraId="4D0F5B08" w14:textId="77777777" w:rsidR="00BC490D" w:rsidRDefault="00BC490D" w:rsidP="00BC490D">
                            <w:pPr>
                              <w:jc w:val="center"/>
                              <w:textAlignment w:val="baseline"/>
                              <w:rPr>
                                <w:rFonts w:ascii="Calibri" w:eastAsia="Georgia" w:hAnsi="Calibri" w:cs="Georgia"/>
                                <w:color w:val="282832"/>
                                <w:sz w:val="12"/>
                                <w:szCs w:val="12"/>
                              </w:rPr>
                            </w:pPr>
                            <w:r w:rsidRPr="00CC40B9">
                              <w:rPr>
                                <w:rFonts w:ascii="Calibri" w:eastAsia="Georgia" w:hAnsi="Calibri" w:cs="Georgia"/>
                                <w:color w:val="282832"/>
                                <w:sz w:val="12"/>
                                <w:szCs w:val="12"/>
                              </w:rPr>
                              <w:t>CSC Trustees Limited</w:t>
                            </w:r>
                            <w:r>
                              <w:rPr>
                                <w:rFonts w:ascii="Calibri" w:eastAsia="Georgia" w:hAnsi="Calibri" w:cs="Georgia"/>
                                <w:color w:val="282832"/>
                                <w:sz w:val="12"/>
                                <w:szCs w:val="12"/>
                              </w:rPr>
                              <w:br/>
                              <w:t>(ER Collateral Agent)</w:t>
                            </w:r>
                          </w:p>
                        </w:txbxContent>
                      </wps:txbx>
                      <wps:bodyPr rtlCol="0" anchor="ctr">
                        <a:noAutofit/>
                      </wps:bodyPr>
                    </wps:wsp>
                  </a:graphicData>
                </a:graphic>
                <wp14:sizeRelV relativeFrom="margin">
                  <wp14:pctHeight>0</wp14:pctHeight>
                </wp14:sizeRelV>
              </wp:anchor>
            </w:drawing>
          </mc:Choice>
          <mc:Fallback>
            <w:pict>
              <v:rect w14:anchorId="762EDB05" id="Rectangle 35" o:spid="_x0000_s1052" style="position:absolute;left:0;text-align:left;margin-left:203.15pt;margin-top:288.65pt;width:93.5pt;height:5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" filled="f" strokecolor="#404040" strokeweight=".5pt">
                <v:textbox>
                  <w:txbxContent>
                    <w:p w14:paraId="4D0F5B08" w14:textId="77777777" w:rsidR="00BC490D" w:rsidRDefault="00BC490D" w:rsidP="00BC490D">
                      <w:pPr>
                        <w:jc w:val="center"/>
                        <w:textAlignment w:val="baseline"/>
                        <w:rPr>
                          <w:rFonts w:ascii="Calibri" w:eastAsia="Georgia" w:hAnsi="Calibri" w:cs="Georgia"/>
                          <w:color w:val="282832"/>
                          <w:sz w:val="12"/>
                          <w:szCs w:val="12"/>
                        </w:rPr>
                      </w:pPr>
                      <w:r w:rsidRPr="00CC40B9">
                        <w:rPr>
                          <w:rFonts w:ascii="Calibri" w:eastAsia="Georgia" w:hAnsi="Calibri" w:cs="Georgia"/>
                          <w:color w:val="282832"/>
                          <w:sz w:val="12"/>
                          <w:szCs w:val="12"/>
                        </w:rPr>
                        <w:t>CSC Trustees Limited</w:t>
                      </w:r>
                      <w:r>
                        <w:rPr>
                          <w:rFonts w:ascii="Calibri" w:eastAsia="Georgia" w:hAnsi="Calibri" w:cs="Georgia"/>
                          <w:color w:val="282832"/>
                          <w:sz w:val="12"/>
                          <w:szCs w:val="12"/>
                        </w:rPr>
                        <w:br/>
                        <w:t>(ER Collateral Agent)</w:t>
                      </w:r>
                    </w:p>
                  </w:txbxContent>
                </v:textbox>
              </v:rect>
            </w:pict>
          </mc:Fallback>
        </mc:AlternateContent>
      </w:r>
      <w:r w:rsidR="00BC490D" w:rsidRPr="00D427D8">
        <w:rPr>
          <w:noProof/>
        </w:rPr>
        <mc:AlternateContent>
          <mc:Choice Requires="wps">
            <w:drawing>
              <wp:anchor distT="0" distB="0" distL="114300" distR="114300" simplePos="0" relativeHeight="251688960" behindDoc="0" locked="0" layoutInCell="1" allowOverlap="1" wp14:anchorId="3F3F18FF" wp14:editId="72AECE05">
                <wp:simplePos x="0" y="0"/>
                <wp:positionH relativeFrom="column">
                  <wp:posOffset>3884930</wp:posOffset>
                </wp:positionH>
                <wp:positionV relativeFrom="paragraph">
                  <wp:posOffset>3665855</wp:posOffset>
                </wp:positionV>
                <wp:extent cx="1187450" cy="742950"/>
                <wp:effectExtent l="0" t="0" r="12700" b="19050"/>
                <wp:wrapNone/>
                <wp:docPr id="97" name="Rectangle 36"/>
                <wp:cNvGraphicFramePr/>
                <a:graphic xmlns:a="http://schemas.openxmlformats.org/drawingml/2006/main">
                  <a:graphicData uri="http://schemas.microsoft.com/office/word/2010/wordprocessingShape">
                    <wps:wsp>
                      <wps:cNvSpPr/>
                      <wps:spPr>
                        <a:xfrm>
                          <a:off x="0" y="0"/>
                          <a:ext cx="1187450" cy="742950"/>
                        </a:xfrm>
                        <a:prstGeom prst="rect">
                          <a:avLst/>
                        </a:prstGeom>
                        <a:noFill/>
                        <a:ln w="6350" cap="flat" cmpd="sng" algn="ctr">
                          <a:solidFill>
                            <a:srgbClr val="000000">
                              <a:lumMod val="75000"/>
                              <a:lumOff val="25000"/>
                            </a:srgbClr>
                          </a:solidFill>
                          <a:prstDash val="solid"/>
                          <a:miter lim="800000"/>
                        </a:ln>
                        <a:effectLst/>
                      </wps:spPr>
                      <wps:txbx>
                        <w:txbxContent>
                          <w:p w14:paraId="61242197" w14:textId="77777777" w:rsidR="00BC490D" w:rsidRDefault="00BC490D" w:rsidP="00BC490D">
                            <w:pPr>
                              <w:jc w:val="center"/>
                              <w:textAlignment w:val="baseline"/>
                              <w:rPr>
                                <w:rFonts w:ascii="Calibri" w:eastAsia="Georgia" w:hAnsi="Calibri" w:cs="Georgia"/>
                                <w:color w:val="282832"/>
                                <w:sz w:val="12"/>
                                <w:szCs w:val="12"/>
                              </w:rPr>
                            </w:pPr>
                            <w:r w:rsidRPr="00CC40B9">
                              <w:rPr>
                                <w:rFonts w:ascii="Calibri" w:eastAsia="Georgia" w:hAnsi="Calibri" w:cs="Georgia"/>
                                <w:color w:val="282832"/>
                                <w:sz w:val="12"/>
                                <w:szCs w:val="12"/>
                              </w:rPr>
                              <w:t xml:space="preserve">CSC Trustees </w:t>
                            </w:r>
                            <w:r>
                              <w:rPr>
                                <w:rFonts w:ascii="Calibri" w:eastAsia="Georgia" w:hAnsi="Calibri" w:cs="Georgia"/>
                                <w:color w:val="282832"/>
                                <w:sz w:val="12"/>
                                <w:szCs w:val="12"/>
                              </w:rPr>
                              <w:t>GmbH</w:t>
                            </w:r>
                            <w:r>
                              <w:rPr>
                                <w:rFonts w:ascii="Calibri" w:eastAsia="Georgia" w:hAnsi="Calibri" w:cs="Georgia"/>
                                <w:color w:val="282832"/>
                                <w:sz w:val="12"/>
                                <w:szCs w:val="12"/>
                              </w:rPr>
                              <w:br/>
                              <w:t>(Collateral Agent)</w:t>
                            </w:r>
                          </w:p>
                          <w:p w14:paraId="422975F9" w14:textId="77777777" w:rsidR="00BC490D" w:rsidRDefault="00BC490D" w:rsidP="00BC490D">
                            <w:pPr>
                              <w:jc w:val="center"/>
                              <w:textAlignment w:val="baseline"/>
                              <w:rPr>
                                <w:rFonts w:ascii="Calibri" w:eastAsia="Georgia" w:hAnsi="Calibri" w:cs="Georgia"/>
                                <w:b/>
                                <w:bCs/>
                                <w:color w:val="282832"/>
                                <w:sz w:val="12"/>
                                <w:szCs w:val="12"/>
                              </w:rPr>
                            </w:pPr>
                          </w:p>
                        </w:txbxContent>
                      </wps:txbx>
                      <wps:bodyPr lIns="36000" rIns="36000" rtlCol="0" anchor="ctr">
                        <a:noAutofit/>
                      </wps:bodyPr>
                    </wps:wsp>
                  </a:graphicData>
                </a:graphic>
                <wp14:sizeRelV relativeFrom="margin">
                  <wp14:pctHeight>0</wp14:pctHeight>
                </wp14:sizeRelV>
              </wp:anchor>
            </w:drawing>
          </mc:Choice>
          <mc:Fallback>
            <w:pict>
              <v:rect w14:anchorId="3F3F18FF" id="Rectangle 36" o:spid="_x0000_s1053" style="position:absolute;left:0;text-align:left;margin-left:305.9pt;margin-top:288.65pt;width:93.5pt;height:5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" filled="f" strokecolor="#404040" strokeweight=".5pt">
                <v:textbox inset="1mm,,1mm">
                  <w:txbxContent>
                    <w:p w14:paraId="61242197" w14:textId="77777777" w:rsidR="00BC490D" w:rsidRDefault="00BC490D" w:rsidP="00BC490D">
                      <w:pPr>
                        <w:jc w:val="center"/>
                        <w:textAlignment w:val="baseline"/>
                        <w:rPr>
                          <w:rFonts w:ascii="Calibri" w:eastAsia="Georgia" w:hAnsi="Calibri" w:cs="Georgia"/>
                          <w:color w:val="282832"/>
                          <w:sz w:val="12"/>
                          <w:szCs w:val="12"/>
                        </w:rPr>
                      </w:pPr>
                      <w:r w:rsidRPr="00CC40B9">
                        <w:rPr>
                          <w:rFonts w:ascii="Calibri" w:eastAsia="Georgia" w:hAnsi="Calibri" w:cs="Georgia"/>
                          <w:color w:val="282832"/>
                          <w:sz w:val="12"/>
                          <w:szCs w:val="12"/>
                        </w:rPr>
                        <w:t xml:space="preserve">CSC Trustees </w:t>
                      </w:r>
                      <w:r>
                        <w:rPr>
                          <w:rFonts w:ascii="Calibri" w:eastAsia="Georgia" w:hAnsi="Calibri" w:cs="Georgia"/>
                          <w:color w:val="282832"/>
                          <w:sz w:val="12"/>
                          <w:szCs w:val="12"/>
                        </w:rPr>
                        <w:t>GmbH</w:t>
                      </w:r>
                      <w:r>
                        <w:rPr>
                          <w:rFonts w:ascii="Calibri" w:eastAsia="Georgia" w:hAnsi="Calibri" w:cs="Georgia"/>
                          <w:color w:val="282832"/>
                          <w:sz w:val="12"/>
                          <w:szCs w:val="12"/>
                        </w:rPr>
                        <w:br/>
                        <w:t>(Collateral Agent)</w:t>
                      </w:r>
                    </w:p>
                    <w:p w14:paraId="422975F9" w14:textId="77777777" w:rsidR="00BC490D" w:rsidRDefault="00BC490D" w:rsidP="00BC490D">
                      <w:pPr>
                        <w:jc w:val="center"/>
                        <w:textAlignment w:val="baseline"/>
                        <w:rPr>
                          <w:rFonts w:ascii="Calibri" w:eastAsia="Georgia" w:hAnsi="Calibri" w:cs="Georgia"/>
                          <w:b/>
                          <w:bCs/>
                          <w:color w:val="282832"/>
                          <w:sz w:val="12"/>
                          <w:szCs w:val="12"/>
                        </w:rPr>
                      </w:pPr>
                    </w:p>
                  </w:txbxContent>
                </v:textbox>
              </v:rect>
            </w:pict>
          </mc:Fallback>
        </mc:AlternateContent>
      </w:r>
      <w:r w:rsidR="00BC490D" w:rsidRPr="00D427D8">
        <w:rPr>
          <w:noProof/>
        </w:rPr>
        <mc:AlternateContent>
          <mc:Choice Requires="wps">
            <w:drawing>
              <wp:anchor distT="0" distB="0" distL="114300" distR="114300" simplePos="0" relativeHeight="251689984" behindDoc="0" locked="0" layoutInCell="1" allowOverlap="1" wp14:anchorId="3722786C" wp14:editId="4072A292">
                <wp:simplePos x="0" y="0"/>
                <wp:positionH relativeFrom="column">
                  <wp:posOffset>5189855</wp:posOffset>
                </wp:positionH>
                <wp:positionV relativeFrom="paragraph">
                  <wp:posOffset>3656330</wp:posOffset>
                </wp:positionV>
                <wp:extent cx="1187450" cy="752475"/>
                <wp:effectExtent l="0" t="0" r="12700" b="28575"/>
                <wp:wrapNone/>
                <wp:docPr id="98" name="Rectangle 37"/>
                <wp:cNvGraphicFramePr/>
                <a:graphic xmlns:a="http://schemas.openxmlformats.org/drawingml/2006/main">
                  <a:graphicData uri="http://schemas.microsoft.com/office/word/2010/wordprocessingShape">
                    <wps:wsp>
                      <wps:cNvSpPr/>
                      <wps:spPr>
                        <a:xfrm>
                          <a:off x="0" y="0"/>
                          <a:ext cx="1187450" cy="752475"/>
                        </a:xfrm>
                        <a:prstGeom prst="rect">
                          <a:avLst/>
                        </a:prstGeom>
                        <a:noFill/>
                        <a:ln w="6350" cap="flat" cmpd="sng" algn="ctr">
                          <a:solidFill>
                            <a:srgbClr val="000000">
                              <a:lumMod val="75000"/>
                              <a:lumOff val="25000"/>
                            </a:srgbClr>
                          </a:solidFill>
                          <a:prstDash val="solid"/>
                          <a:miter lim="800000"/>
                        </a:ln>
                        <a:effectLst/>
                      </wps:spPr>
                      <wps:txbx>
                        <w:txbxContent>
                          <w:p w14:paraId="4B9F9C4F" w14:textId="77777777" w:rsidR="00BC490D" w:rsidRPr="00CC40B9" w:rsidRDefault="00BC490D" w:rsidP="00BC490D">
                            <w:pPr>
                              <w:jc w:val="center"/>
                              <w:textAlignment w:val="baseline"/>
                              <w:rPr>
                                <w:rFonts w:ascii="Calibri" w:eastAsia="Georgia" w:hAnsi="Calibri" w:cs="Georgia"/>
                                <w:color w:val="282832"/>
                                <w:sz w:val="12"/>
                                <w:szCs w:val="12"/>
                              </w:rPr>
                            </w:pPr>
                            <w:r w:rsidRPr="00CC40B9">
                              <w:rPr>
                                <w:rFonts w:ascii="Calibri" w:eastAsia="Georgia" w:hAnsi="Calibri" w:cs="Georgia"/>
                                <w:color w:val="282832"/>
                                <w:sz w:val="12"/>
                                <w:szCs w:val="12"/>
                              </w:rPr>
                              <w:t>France Titrisation</w:t>
                            </w:r>
                          </w:p>
                          <w:p w14:paraId="453C6E25" w14:textId="77777777" w:rsidR="00BC490D" w:rsidRPr="00CC40B9" w:rsidRDefault="00BC490D" w:rsidP="00BC490D">
                            <w:pPr>
                              <w:jc w:val="center"/>
                              <w:textAlignment w:val="baseline"/>
                              <w:rPr>
                                <w:rFonts w:ascii="Calibri" w:eastAsia="Georgia" w:hAnsi="Calibri" w:cs="Georgia"/>
                                <w:color w:val="282832"/>
                                <w:sz w:val="12"/>
                                <w:szCs w:val="12"/>
                              </w:rPr>
                            </w:pPr>
                            <w:r w:rsidRPr="00CC40B9">
                              <w:rPr>
                                <w:rFonts w:ascii="Calibri" w:eastAsia="Georgia" w:hAnsi="Calibri" w:cs="Georgia"/>
                                <w:color w:val="282832"/>
                                <w:sz w:val="12"/>
                                <w:szCs w:val="12"/>
                              </w:rPr>
                              <w:t>(Calculation Agent</w:t>
                            </w:r>
                            <w:r>
                              <w:rPr>
                                <w:rFonts w:ascii="Calibri" w:eastAsia="Georgia" w:hAnsi="Calibri" w:cs="Georgia"/>
                                <w:color w:val="282832"/>
                                <w:sz w:val="12"/>
                                <w:szCs w:val="12"/>
                              </w:rPr>
                              <w:t xml:space="preserve"> /</w:t>
                            </w:r>
                            <w:r w:rsidRPr="00CC40B9">
                              <w:rPr>
                                <w:rFonts w:ascii="Calibri" w:eastAsia="Georgia" w:hAnsi="Calibri" w:cs="Georgia"/>
                                <w:color w:val="282832"/>
                                <w:sz w:val="12"/>
                                <w:szCs w:val="12"/>
                              </w:rPr>
                              <w:t xml:space="preserve"> Reporting</w:t>
                            </w:r>
                          </w:p>
                          <w:p w14:paraId="3A5A6D6A" w14:textId="77777777" w:rsidR="00BC490D" w:rsidRDefault="00BC490D" w:rsidP="00BC490D">
                            <w:pPr>
                              <w:jc w:val="center"/>
                              <w:textAlignment w:val="baseline"/>
                              <w:rPr>
                                <w:rFonts w:ascii="Calibri" w:eastAsia="Georgia" w:hAnsi="Calibri" w:cs="Georgia"/>
                                <w:b/>
                                <w:bCs/>
                                <w:color w:val="282832"/>
                                <w:sz w:val="12"/>
                                <w:szCs w:val="12"/>
                              </w:rPr>
                            </w:pPr>
                            <w:r w:rsidRPr="00CC40B9">
                              <w:rPr>
                                <w:rFonts w:ascii="Calibri" w:eastAsia="Georgia" w:hAnsi="Calibri" w:cs="Georgia"/>
                                <w:color w:val="282832"/>
                                <w:sz w:val="12"/>
                                <w:szCs w:val="12"/>
                              </w:rPr>
                              <w:t>Agent)</w:t>
                            </w:r>
                          </w:p>
                        </w:txbxContent>
                      </wps:txbx>
                      <wps:bodyPr rtlCol="0" anchor="ctr">
                        <a:noAutofit/>
                      </wps:bodyPr>
                    </wps:wsp>
                  </a:graphicData>
                </a:graphic>
                <wp14:sizeRelV relativeFrom="margin">
                  <wp14:pctHeight>0</wp14:pctHeight>
                </wp14:sizeRelV>
              </wp:anchor>
            </w:drawing>
          </mc:Choice>
          <mc:Fallback>
            <w:pict>
              <v:rect w14:anchorId="3722786C" id="Rectangle 37" o:spid="_x0000_s1054" style="position:absolute;left:0;text-align:left;margin-left:408.65pt;margin-top:287.9pt;width:93.5pt;height:59.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" filled="f" strokecolor="#404040" strokeweight=".5pt">
                <v:textbox>
                  <w:txbxContent>
                    <w:p w14:paraId="4B9F9C4F" w14:textId="77777777" w:rsidR="00BC490D" w:rsidRPr="00CC40B9" w:rsidRDefault="00BC490D" w:rsidP="00BC490D">
                      <w:pPr>
                        <w:jc w:val="center"/>
                        <w:textAlignment w:val="baseline"/>
                        <w:rPr>
                          <w:rFonts w:ascii="Calibri" w:eastAsia="Georgia" w:hAnsi="Calibri" w:cs="Georgia"/>
                          <w:color w:val="282832"/>
                          <w:sz w:val="12"/>
                          <w:szCs w:val="12"/>
                        </w:rPr>
                      </w:pPr>
                      <w:r w:rsidRPr="00CC40B9">
                        <w:rPr>
                          <w:rFonts w:ascii="Calibri" w:eastAsia="Georgia" w:hAnsi="Calibri" w:cs="Georgia"/>
                          <w:color w:val="282832"/>
                          <w:sz w:val="12"/>
                          <w:szCs w:val="12"/>
                        </w:rPr>
                        <w:t>France Titrisation</w:t>
                      </w:r>
                    </w:p>
                    <w:p w14:paraId="453C6E25" w14:textId="77777777" w:rsidR="00BC490D" w:rsidRPr="00CC40B9" w:rsidRDefault="00BC490D" w:rsidP="00BC490D">
                      <w:pPr>
                        <w:jc w:val="center"/>
                        <w:textAlignment w:val="baseline"/>
                        <w:rPr>
                          <w:rFonts w:ascii="Calibri" w:eastAsia="Georgia" w:hAnsi="Calibri" w:cs="Georgia"/>
                          <w:color w:val="282832"/>
                          <w:sz w:val="12"/>
                          <w:szCs w:val="12"/>
                        </w:rPr>
                      </w:pPr>
                      <w:r w:rsidRPr="00CC40B9">
                        <w:rPr>
                          <w:rFonts w:ascii="Calibri" w:eastAsia="Georgia" w:hAnsi="Calibri" w:cs="Georgia"/>
                          <w:color w:val="282832"/>
                          <w:sz w:val="12"/>
                          <w:szCs w:val="12"/>
                        </w:rPr>
                        <w:t>(Calculation Agent</w:t>
                      </w:r>
                      <w:r>
                        <w:rPr>
                          <w:rFonts w:ascii="Calibri" w:eastAsia="Georgia" w:hAnsi="Calibri" w:cs="Georgia"/>
                          <w:color w:val="282832"/>
                          <w:sz w:val="12"/>
                          <w:szCs w:val="12"/>
                        </w:rPr>
                        <w:t xml:space="preserve"> /</w:t>
                      </w:r>
                      <w:r w:rsidRPr="00CC40B9">
                        <w:rPr>
                          <w:rFonts w:ascii="Calibri" w:eastAsia="Georgia" w:hAnsi="Calibri" w:cs="Georgia"/>
                          <w:color w:val="282832"/>
                          <w:sz w:val="12"/>
                          <w:szCs w:val="12"/>
                        </w:rPr>
                        <w:t xml:space="preserve"> Reporting</w:t>
                      </w:r>
                    </w:p>
                    <w:p w14:paraId="3A5A6D6A" w14:textId="77777777" w:rsidR="00BC490D" w:rsidRDefault="00BC490D" w:rsidP="00BC490D">
                      <w:pPr>
                        <w:jc w:val="center"/>
                        <w:textAlignment w:val="baseline"/>
                        <w:rPr>
                          <w:rFonts w:ascii="Calibri" w:eastAsia="Georgia" w:hAnsi="Calibri" w:cs="Georgia"/>
                          <w:b/>
                          <w:bCs/>
                          <w:color w:val="282832"/>
                          <w:sz w:val="12"/>
                          <w:szCs w:val="12"/>
                        </w:rPr>
                      </w:pPr>
                      <w:r w:rsidRPr="00CC40B9">
                        <w:rPr>
                          <w:rFonts w:ascii="Calibri" w:eastAsia="Georgia" w:hAnsi="Calibri" w:cs="Georgia"/>
                          <w:color w:val="282832"/>
                          <w:sz w:val="12"/>
                          <w:szCs w:val="12"/>
                        </w:rPr>
                        <w:t>Agent)</w:t>
                      </w:r>
                    </w:p>
                  </w:txbxContent>
                </v:textbox>
              </v:rect>
            </w:pict>
          </mc:Fallback>
        </mc:AlternateContent>
      </w:r>
      <w:r w:rsidR="00BC490D" w:rsidRPr="00D427D8">
        <w:rPr>
          <w:noProof/>
        </w:rPr>
        <mc:AlternateContent>
          <mc:Choice Requires="wps">
            <w:drawing>
              <wp:anchor distT="0" distB="0" distL="114300" distR="114300" simplePos="0" relativeHeight="251691008" behindDoc="0" locked="0" layoutInCell="1" allowOverlap="1" wp14:anchorId="08D3A4FE" wp14:editId="3A6D519B">
                <wp:simplePos x="0" y="0"/>
                <wp:positionH relativeFrom="column">
                  <wp:posOffset>6485255</wp:posOffset>
                </wp:positionH>
                <wp:positionV relativeFrom="paragraph">
                  <wp:posOffset>3656329</wp:posOffset>
                </wp:positionV>
                <wp:extent cx="1187450" cy="752475"/>
                <wp:effectExtent l="0" t="0" r="12700" b="28575"/>
                <wp:wrapNone/>
                <wp:docPr id="99" name="Rectangle 38"/>
                <wp:cNvGraphicFramePr/>
                <a:graphic xmlns:a="http://schemas.openxmlformats.org/drawingml/2006/main">
                  <a:graphicData uri="http://schemas.microsoft.com/office/word/2010/wordprocessingShape">
                    <wps:wsp>
                      <wps:cNvSpPr/>
                      <wps:spPr>
                        <a:xfrm>
                          <a:off x="0" y="0"/>
                          <a:ext cx="1187450" cy="752475"/>
                        </a:xfrm>
                        <a:prstGeom prst="rect">
                          <a:avLst/>
                        </a:prstGeom>
                        <a:noFill/>
                        <a:ln w="6350" cap="flat" cmpd="sng" algn="ctr">
                          <a:solidFill>
                            <a:srgbClr val="000000">
                              <a:lumMod val="75000"/>
                              <a:lumOff val="25000"/>
                            </a:srgbClr>
                          </a:solidFill>
                          <a:prstDash val="solid"/>
                          <a:miter lim="800000"/>
                        </a:ln>
                        <a:effectLst/>
                      </wps:spPr>
                      <wps:txbx>
                        <w:txbxContent>
                          <w:p w14:paraId="3A244B88" w14:textId="77777777" w:rsidR="00BC490D" w:rsidRDefault="00BC490D" w:rsidP="00BC490D">
                            <w:pPr>
                              <w:jc w:val="center"/>
                              <w:textAlignment w:val="baseline"/>
                              <w:rPr>
                                <w:rFonts w:ascii="Calibri" w:eastAsia="Georgia" w:hAnsi="Calibri" w:cs="Georgia"/>
                                <w:color w:val="282832"/>
                                <w:sz w:val="12"/>
                                <w:szCs w:val="12"/>
                              </w:rPr>
                            </w:pPr>
                            <w:r w:rsidRPr="00E50F24">
                              <w:rPr>
                                <w:rFonts w:ascii="Calibri" w:eastAsia="Georgia" w:hAnsi="Calibri" w:cs="Georgia"/>
                                <w:noProof/>
                                <w:color w:val="282832"/>
                                <w:sz w:val="12"/>
                                <w:szCs w:val="12"/>
                              </w:rPr>
                              <w:drawing>
                                <wp:inline distT="0" distB="0" distL="0" distR="0" wp14:anchorId="4BBD1513" wp14:editId="2FDE63C7">
                                  <wp:extent cx="729615" cy="272415"/>
                                  <wp:effectExtent l="0" t="0" r="0" b="0"/>
                                  <wp:docPr id="1039927886" name="Picture 103992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9615" cy="272415"/>
                                          </a:xfrm>
                                          <a:prstGeom prst="rect">
                                            <a:avLst/>
                                          </a:prstGeom>
                                          <a:noFill/>
                                          <a:ln>
                                            <a:noFill/>
                                          </a:ln>
                                        </pic:spPr>
                                      </pic:pic>
                                    </a:graphicData>
                                  </a:graphic>
                                </wp:inline>
                              </w:drawing>
                            </w:r>
                          </w:p>
                          <w:p w14:paraId="1D7279F3" w14:textId="77777777" w:rsidR="00BC490D" w:rsidRDefault="00BC490D" w:rsidP="00BC490D">
                            <w:pPr>
                              <w:jc w:val="center"/>
                              <w:textAlignment w:val="baseline"/>
                              <w:rPr>
                                <w:rFonts w:ascii="Calibri" w:eastAsia="Georgia" w:hAnsi="Calibri" w:cs="Georgia"/>
                                <w:color w:val="282832"/>
                                <w:sz w:val="12"/>
                                <w:szCs w:val="12"/>
                              </w:rPr>
                            </w:pPr>
                            <w:r>
                              <w:rPr>
                                <w:rFonts w:ascii="Calibri" w:eastAsia="Georgia" w:hAnsi="Calibri" w:cs="Georgia"/>
                                <w:color w:val="282832"/>
                                <w:sz w:val="12"/>
                                <w:szCs w:val="12"/>
                              </w:rPr>
                              <w:t>(Subordinated Lender / Lender)</w:t>
                            </w:r>
                          </w:p>
                        </w:txbxContent>
                      </wps:txbx>
                      <wps:bodyPr rtlCol="0" anchor="ctr">
                        <a:noAutofit/>
                      </wps:bodyPr>
                    </wps:wsp>
                  </a:graphicData>
                </a:graphic>
                <wp14:sizeRelV relativeFrom="margin">
                  <wp14:pctHeight>0</wp14:pctHeight>
                </wp14:sizeRelV>
              </wp:anchor>
            </w:drawing>
          </mc:Choice>
          <mc:Fallback>
            <w:pict>
              <v:rect w14:anchorId="08D3A4FE" id="Rectangle 38" o:spid="_x0000_s1055" style="position:absolute;left:0;text-align:left;margin-left:510.65pt;margin-top:287.9pt;width:93.5pt;height:59.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" filled="f" strokecolor="#404040" strokeweight=".5pt">
                <v:textbox>
                  <w:txbxContent>
                    <w:p w14:paraId="3A244B88" w14:textId="77777777" w:rsidR="00BC490D" w:rsidRDefault="00BC490D" w:rsidP="00BC490D">
                      <w:pPr>
                        <w:jc w:val="center"/>
                        <w:textAlignment w:val="baseline"/>
                        <w:rPr>
                          <w:rFonts w:ascii="Calibri" w:eastAsia="Georgia" w:hAnsi="Calibri" w:cs="Georgia"/>
                          <w:color w:val="282832"/>
                          <w:sz w:val="12"/>
                          <w:szCs w:val="12"/>
                        </w:rPr>
                      </w:pPr>
                      <w:r w:rsidRPr="00E50F24">
                        <w:rPr>
                          <w:rFonts w:ascii="Calibri" w:eastAsia="Georgia" w:hAnsi="Calibri" w:cs="Georgia"/>
                          <w:noProof/>
                          <w:color w:val="282832"/>
                          <w:sz w:val="12"/>
                          <w:szCs w:val="12"/>
                        </w:rPr>
                        <w:drawing>
                          <wp:inline distT="0" distB="0" distL="0" distR="0" wp14:anchorId="4BBD1513" wp14:editId="2FDE63C7">
                            <wp:extent cx="729615" cy="272415"/>
                            <wp:effectExtent l="0" t="0" r="0" b="0"/>
                            <wp:docPr id="1039927886" name="Picture 103992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615" cy="272415"/>
                                    </a:xfrm>
                                    <a:prstGeom prst="rect">
                                      <a:avLst/>
                                    </a:prstGeom>
                                    <a:noFill/>
                                    <a:ln>
                                      <a:noFill/>
                                    </a:ln>
                                  </pic:spPr>
                                </pic:pic>
                              </a:graphicData>
                            </a:graphic>
                          </wp:inline>
                        </w:drawing>
                      </w:r>
                    </w:p>
                    <w:p w14:paraId="1D7279F3" w14:textId="77777777" w:rsidR="00BC490D" w:rsidRDefault="00BC490D" w:rsidP="00BC490D">
                      <w:pPr>
                        <w:jc w:val="center"/>
                        <w:textAlignment w:val="baseline"/>
                        <w:rPr>
                          <w:rFonts w:ascii="Calibri" w:eastAsia="Georgia" w:hAnsi="Calibri" w:cs="Georgia"/>
                          <w:color w:val="282832"/>
                          <w:sz w:val="12"/>
                          <w:szCs w:val="12"/>
                        </w:rPr>
                      </w:pPr>
                      <w:r>
                        <w:rPr>
                          <w:rFonts w:ascii="Calibri" w:eastAsia="Georgia" w:hAnsi="Calibri" w:cs="Georgia"/>
                          <w:color w:val="282832"/>
                          <w:sz w:val="12"/>
                          <w:szCs w:val="12"/>
                        </w:rPr>
                        <w:t>(Subordinated Lender / Lender)</w:t>
                      </w:r>
                    </w:p>
                  </w:txbxContent>
                </v:textbox>
              </v:rect>
            </w:pict>
          </mc:Fallback>
        </mc:AlternateContent>
      </w:r>
    </w:p>
    <w:p w14:paraId="5841C24F" w14:textId="77777777" w:rsidR="00667F48" w:rsidRPr="00D427D8" w:rsidRDefault="00667F48"/>
    <w:p w14:paraId="3722731E" w14:textId="206D5E42" w:rsidR="00667F48" w:rsidRPr="00D427D8" w:rsidRDefault="004F7E50">
      <w:r w:rsidRPr="00D427D8">
        <w:rPr>
          <w:noProof/>
        </w:rPr>
        <mc:AlternateContent>
          <mc:Choice Requires="wps">
            <w:drawing>
              <wp:anchor distT="0" distB="0" distL="114300" distR="114300" simplePos="0" relativeHeight="251665408" behindDoc="0" locked="0" layoutInCell="1" allowOverlap="1" wp14:anchorId="78B7E30D" wp14:editId="59C84CB3">
                <wp:simplePos x="0" y="0"/>
                <wp:positionH relativeFrom="column">
                  <wp:posOffset>4507593</wp:posOffset>
                </wp:positionH>
                <wp:positionV relativeFrom="paragraph">
                  <wp:posOffset>1823176</wp:posOffset>
                </wp:positionV>
                <wp:extent cx="827405" cy="1051560"/>
                <wp:effectExtent l="0" t="0" r="10795" b="15240"/>
                <wp:wrapNone/>
                <wp:docPr id="33" name="Rectangle 13"/>
                <wp:cNvGraphicFramePr/>
                <a:graphic xmlns:a="http://schemas.openxmlformats.org/drawingml/2006/main">
                  <a:graphicData uri="http://schemas.microsoft.com/office/word/2010/wordprocessingShape">
                    <wps:wsp>
                      <wps:cNvSpPr/>
                      <wps:spPr>
                        <a:xfrm>
                          <a:off x="0" y="0"/>
                          <a:ext cx="827405" cy="1051560"/>
                        </a:xfrm>
                        <a:prstGeom prst="rect">
                          <a:avLst/>
                        </a:prstGeom>
                        <a:solidFill>
                          <a:srgbClr val="00B1AE"/>
                        </a:solidFill>
                        <a:ln w="6350" cap="flat" cmpd="sng" algn="ctr">
                          <a:solidFill>
                            <a:srgbClr val="535656">
                              <a:lumMod val="75000"/>
                            </a:srgbClr>
                          </a:solidFill>
                          <a:prstDash val="solid"/>
                          <a:miter lim="800000"/>
                        </a:ln>
                        <a:effectLst/>
                      </wps:spPr>
                      <wps:txbx>
                        <w:txbxContent>
                          <w:p w14:paraId="6650319C" w14:textId="77777777" w:rsidR="00BC490D" w:rsidRDefault="00BC490D" w:rsidP="00BC490D">
                            <w:pPr>
                              <w:jc w:val="center"/>
                              <w:textAlignment w:val="baseline"/>
                              <w:rPr>
                                <w:rFonts w:ascii="Calibri" w:eastAsia="Georgia" w:hAnsi="Calibri" w:cs="Georgia"/>
                                <w:color w:val="FFFFFF"/>
                                <w:sz w:val="12"/>
                                <w:szCs w:val="12"/>
                              </w:rPr>
                            </w:pPr>
                            <w:r>
                              <w:rPr>
                                <w:rFonts w:ascii="Calibri" w:eastAsia="Georgia" w:hAnsi="Calibri" w:cs="Georgia"/>
                                <w:color w:val="FFFFFF"/>
                                <w:sz w:val="12"/>
                                <w:szCs w:val="12"/>
                              </w:rPr>
                              <w:t>Class B/C/D/E/F/G</w:t>
                            </w:r>
                          </w:p>
                          <w:p w14:paraId="2D8C0BB5" w14:textId="77777777" w:rsidR="00BC490D" w:rsidRDefault="00BC490D" w:rsidP="00BC490D">
                            <w:pPr>
                              <w:jc w:val="center"/>
                              <w:textAlignment w:val="baseline"/>
                              <w:rPr>
                                <w:rFonts w:ascii="Calibri" w:eastAsia="Georgia" w:hAnsi="Calibri" w:cs="Georgia"/>
                                <w:color w:val="FFFFFF"/>
                                <w:sz w:val="12"/>
                                <w:szCs w:val="12"/>
                              </w:rPr>
                            </w:pPr>
                            <w:r>
                              <w:rPr>
                                <w:rFonts w:ascii="Calibri" w:eastAsia="Georgia" w:hAnsi="Calibri" w:cs="Georgia"/>
                                <w:color w:val="FFFFFF"/>
                                <w:sz w:val="12"/>
                                <w:szCs w:val="12"/>
                              </w:rPr>
                              <w:t>Notes</w:t>
                            </w:r>
                          </w:p>
                        </w:txbxContent>
                      </wps:txbx>
                      <wps:bodyPr rtlCol="0" anchor="ctr">
                        <a:noAutofit/>
                      </wps:bodyPr>
                    </wps:wsp>
                  </a:graphicData>
                </a:graphic>
                <wp14:sizeRelV relativeFrom="margin">
                  <wp14:pctHeight>0</wp14:pctHeight>
                </wp14:sizeRelV>
              </wp:anchor>
            </w:drawing>
          </mc:Choice>
          <mc:Fallback>
            <w:pict>
              <v:rect w14:anchorId="78B7E30D" id="Rectangle 13" o:spid="_x0000_s1056" style="position:absolute;left:0;text-align:left;margin-left:354.95pt;margin-top:143.55pt;width:65.15pt;height:8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" fillcolor="#00b1ae" strokecolor="#3e4040" strokeweight=".5pt">
                <v:textbox>
                  <w:txbxContent>
                    <w:p w14:paraId="6650319C" w14:textId="77777777" w:rsidR="00BC490D" w:rsidRDefault="00BC490D" w:rsidP="00BC490D">
                      <w:pPr>
                        <w:jc w:val="center"/>
                        <w:textAlignment w:val="baseline"/>
                        <w:rPr>
                          <w:rFonts w:ascii="Calibri" w:eastAsia="Georgia" w:hAnsi="Calibri" w:cs="Georgia"/>
                          <w:color w:val="FFFFFF"/>
                          <w:sz w:val="12"/>
                          <w:szCs w:val="12"/>
                        </w:rPr>
                      </w:pPr>
                      <w:r>
                        <w:rPr>
                          <w:rFonts w:ascii="Calibri" w:eastAsia="Georgia" w:hAnsi="Calibri" w:cs="Georgia"/>
                          <w:color w:val="FFFFFF"/>
                          <w:sz w:val="12"/>
                          <w:szCs w:val="12"/>
                        </w:rPr>
                        <w:t>Class B/C/D/E/F/G</w:t>
                      </w:r>
                    </w:p>
                    <w:p w14:paraId="2D8C0BB5" w14:textId="77777777" w:rsidR="00BC490D" w:rsidRDefault="00BC490D" w:rsidP="00BC490D">
                      <w:pPr>
                        <w:jc w:val="center"/>
                        <w:textAlignment w:val="baseline"/>
                        <w:rPr>
                          <w:rFonts w:ascii="Calibri" w:eastAsia="Georgia" w:hAnsi="Calibri" w:cs="Georgia"/>
                          <w:color w:val="FFFFFF"/>
                          <w:sz w:val="12"/>
                          <w:szCs w:val="12"/>
                        </w:rPr>
                      </w:pPr>
                      <w:r>
                        <w:rPr>
                          <w:rFonts w:ascii="Calibri" w:eastAsia="Georgia" w:hAnsi="Calibri" w:cs="Georgia"/>
                          <w:color w:val="FFFFFF"/>
                          <w:sz w:val="12"/>
                          <w:szCs w:val="12"/>
                        </w:rPr>
                        <w:t>Notes</w:t>
                      </w:r>
                    </w:p>
                  </w:txbxContent>
                </v:textbox>
              </v:rect>
            </w:pict>
          </mc:Fallback>
        </mc:AlternateContent>
      </w:r>
    </w:p>
    <w:p w14:paraId="3756DD06" w14:textId="77777777" w:rsidR="00667F48" w:rsidRPr="00D427D8" w:rsidRDefault="00667F48">
      <w:pPr>
        <w:sectPr w:rsidR="00667F48" w:rsidRPr="00D427D8" w:rsidSect="008D071E">
          <w:footerReference w:type="default" r:id="rId19"/>
          <w:footerReference w:type="first" r:id="rId20"/>
          <w:pgSz w:w="16840" w:h="11907" w:orient="landscape" w:code="9"/>
          <w:pgMar w:top="851" w:right="1418" w:bottom="992" w:left="1418" w:header="720" w:footer="720" w:gutter="0"/>
          <w:cols w:space="708"/>
          <w:docGrid w:linePitch="360"/>
        </w:sectPr>
      </w:pPr>
    </w:p>
    <w:p w14:paraId="20ED7846" w14:textId="1B78DE5C" w:rsidR="009F6E91" w:rsidRPr="00D427D8" w:rsidRDefault="0021293D" w:rsidP="00045A2C">
      <w:pPr>
        <w:pStyle w:val="CentredHeading"/>
      </w:pPr>
      <w:bookmarkStart w:id="47" w:name="_Toc194046498"/>
      <w:bookmarkStart w:id="48" w:name="_Toc198539657"/>
      <w:r w:rsidRPr="00D427D8">
        <w:lastRenderedPageBreak/>
        <w:t>CREDIT STRUCTURE AND CASHFLOW</w:t>
      </w:r>
      <w:bookmarkEnd w:id="47"/>
      <w:bookmarkEnd w:id="48"/>
    </w:p>
    <w:p w14:paraId="512BEA53" w14:textId="77777777" w:rsidR="009F6E91" w:rsidRPr="00D427D8" w:rsidRDefault="009F6E91" w:rsidP="009F6E91">
      <w:pPr>
        <w:pStyle w:val="Body1"/>
      </w:pPr>
      <w:r w:rsidRPr="00D427D8">
        <w:t>On the Closing Date:</w:t>
      </w:r>
    </w:p>
    <w:p w14:paraId="1CC94447" w14:textId="72B38B8D" w:rsidR="009F6E91" w:rsidRPr="00D427D8" w:rsidRDefault="009F6E91" w:rsidP="002A625A">
      <w:pPr>
        <w:pStyle w:val="Parties"/>
      </w:pPr>
      <w:r w:rsidRPr="00D427D8">
        <w:t>The Lead Manager and the Seller will pay to the Issuer the purchase price for the Notes pursuant to the terms of the Notes Subscription Agreement.</w:t>
      </w:r>
    </w:p>
    <w:p w14:paraId="704D0E43" w14:textId="015138D4" w:rsidR="009F6E91" w:rsidRPr="00D427D8" w:rsidRDefault="009F6E91" w:rsidP="002A625A">
      <w:pPr>
        <w:pStyle w:val="Parties"/>
      </w:pPr>
      <w:r w:rsidRPr="00D427D8">
        <w:t>The Issuer will draw on the VAT Bridge Loan pursuant to the VAT Bridge Loan Agreement.</w:t>
      </w:r>
    </w:p>
    <w:p w14:paraId="57292290" w14:textId="23FDD36A" w:rsidR="009F6E91" w:rsidRPr="00D427D8" w:rsidRDefault="009F6E91" w:rsidP="002A625A">
      <w:pPr>
        <w:pStyle w:val="Parties"/>
      </w:pPr>
      <w:r w:rsidRPr="00D427D8">
        <w:t>The Issuer will draw on the Subordinated Loan pursuant to the Subordinated Loan Agreement.</w:t>
      </w:r>
    </w:p>
    <w:p w14:paraId="601FE2D3" w14:textId="635BF867" w:rsidR="009F6E91" w:rsidRPr="00D427D8" w:rsidRDefault="009F6E91" w:rsidP="002A625A">
      <w:pPr>
        <w:pStyle w:val="Parties"/>
      </w:pPr>
      <w:r w:rsidRPr="00D427D8">
        <w:t>The Issuer will enter into the Hedging Arrangement with the Counterparty.</w:t>
      </w:r>
    </w:p>
    <w:p w14:paraId="424DA3CD" w14:textId="4BC6730A" w:rsidR="009F6E91" w:rsidRPr="00D427D8" w:rsidRDefault="009F6E91" w:rsidP="002A625A">
      <w:pPr>
        <w:pStyle w:val="Parties"/>
      </w:pPr>
      <w:r w:rsidRPr="00D427D8">
        <w:t>The Issuer will pay the Initial Purchase Price to the Seller and the Seller will sell Initial Receivables to the Issuer pursuant to the terms of the Asset Purchase Agreements.</w:t>
      </w:r>
    </w:p>
    <w:p w14:paraId="3791BF92" w14:textId="5662858D" w:rsidR="009F6E91" w:rsidRPr="00D427D8" w:rsidRDefault="009F6E91" w:rsidP="002A625A">
      <w:pPr>
        <w:pStyle w:val="Parties"/>
      </w:pPr>
      <w:r w:rsidRPr="00D427D8">
        <w:t>The proceeds received under the Subordinated Loan</w:t>
      </w:r>
      <w:r w:rsidRPr="00D427D8" w:rsidDel="00C92987">
        <w:t xml:space="preserve"> </w:t>
      </w:r>
      <w:r w:rsidRPr="00D427D8">
        <w:t xml:space="preserve">will be paid into (i) the Reserve Account to fund the initial Liquidity Reserve Target Amount and (ii) the Distribution Account to fund the Senior Expenses and Interest Reserve to pay the Senior Expenses and interest on the Notes on the first Distribution Date. </w:t>
      </w:r>
    </w:p>
    <w:p w14:paraId="6D6F248B" w14:textId="77777777" w:rsidR="009F6E91" w:rsidRPr="00D427D8" w:rsidRDefault="009F6E91" w:rsidP="009F6E91">
      <w:pPr>
        <w:pStyle w:val="Body1"/>
      </w:pPr>
      <w:r w:rsidRPr="00D427D8">
        <w:t>While the Notes remain outstanding:</w:t>
      </w:r>
    </w:p>
    <w:p w14:paraId="5BD9E6E6" w14:textId="38A8CA23" w:rsidR="009F6E91" w:rsidRPr="00D427D8" w:rsidRDefault="009F6E91" w:rsidP="002A625A">
      <w:pPr>
        <w:pStyle w:val="Parties"/>
      </w:pPr>
      <w:r w:rsidRPr="00D427D8">
        <w:t>The Lessees will make payments on the Lease Agreements to bank accounts held by the Servicer.</w:t>
      </w:r>
    </w:p>
    <w:p w14:paraId="517BEFE1" w14:textId="77777777" w:rsidR="009F6E91" w:rsidRPr="00D427D8" w:rsidRDefault="009F6E91" w:rsidP="00EF7333">
      <w:pPr>
        <w:pStyle w:val="Body1"/>
      </w:pPr>
      <w:r w:rsidRPr="00D427D8">
        <w:t>Collections:</w:t>
      </w:r>
    </w:p>
    <w:p w14:paraId="1AAE5AEA" w14:textId="6F607E25" w:rsidR="009F6E91" w:rsidRPr="00D427D8" w:rsidRDefault="009F6E91" w:rsidP="002A625A">
      <w:pPr>
        <w:pStyle w:val="Parties"/>
      </w:pPr>
      <w:r w:rsidRPr="00D427D8">
        <w:t>The Servicer will pay the Vehicle Realisation Proceeds to the Issuer</w:t>
      </w:r>
      <w:r w:rsidR="00EF7333" w:rsidRPr="00D427D8">
        <w:t>'</w:t>
      </w:r>
      <w:r w:rsidRPr="00D427D8">
        <w:t>s Distribution Account within two Business Days after receipt thereof.</w:t>
      </w:r>
    </w:p>
    <w:p w14:paraId="2DE2841F" w14:textId="63D44DBF" w:rsidR="009F6E91" w:rsidRPr="00D427D8" w:rsidRDefault="009F6E91" w:rsidP="002A625A">
      <w:pPr>
        <w:pStyle w:val="Parties"/>
      </w:pPr>
      <w:r w:rsidRPr="00D427D8">
        <w:t>Pursuant to the Servicing Agreement, the Servicer will remit Available Collections to the Issuer</w:t>
      </w:r>
      <w:r w:rsidR="00EF7333" w:rsidRPr="00D427D8">
        <w:t>'</w:t>
      </w:r>
      <w:r w:rsidRPr="00D427D8">
        <w:t>s Distribution Account within two Business Days after receipt thereof.</w:t>
      </w:r>
    </w:p>
    <w:p w14:paraId="65F36D2E" w14:textId="77777777" w:rsidR="009F6E91" w:rsidRPr="00D427D8" w:rsidDel="00D70B11" w:rsidRDefault="009F6E91" w:rsidP="009F6E91">
      <w:pPr>
        <w:pStyle w:val="Body1"/>
      </w:pPr>
      <w:r w:rsidRPr="00D427D8" w:rsidDel="00D70B11">
        <w:t>On each Distribution Date:</w:t>
      </w:r>
    </w:p>
    <w:p w14:paraId="46B06855" w14:textId="1B22AEB4" w:rsidR="009F6E91" w:rsidRPr="00D427D8" w:rsidRDefault="009F6E91" w:rsidP="002A625A">
      <w:pPr>
        <w:pStyle w:val="Parties"/>
      </w:pPr>
      <w:r w:rsidRPr="00D427D8">
        <w:t>The Calculation Agent, on behalf of the Issuer, will use the information received from the Reporting Agent to determine the amounts payable under the Transaction Documents and the Notes in accordance with the applicable Priority of Payments on the Determination Date. Pursuant to the Agency Agreement, the Paying Agent will, based on an instruction of the Calculation Agent on behalf of the Issuer, make payments to the Noteholders.</w:t>
      </w:r>
    </w:p>
    <w:p w14:paraId="789F70EC" w14:textId="1C950017" w:rsidR="009F6E91" w:rsidRPr="00D427D8" w:rsidRDefault="009F6E91" w:rsidP="002A625A">
      <w:pPr>
        <w:pStyle w:val="Parties"/>
      </w:pPr>
      <w:r w:rsidRPr="00D427D8">
        <w:t>If necessary, payments made from the Reserve Account will be transferred to the Distribution Account and then transferred to the Noteholders according to the applicable Priority of Payments.</w:t>
      </w:r>
    </w:p>
    <w:p w14:paraId="17BC0B18" w14:textId="1B313DE3" w:rsidR="009F6E91" w:rsidRPr="00D427D8" w:rsidRDefault="009F6E91" w:rsidP="002A625A">
      <w:pPr>
        <w:pStyle w:val="Parties"/>
      </w:pPr>
      <w:r w:rsidRPr="00D427D8">
        <w:t>If the Deposit Reserve Condition is met on such Distribution Date, the Seller shall credit to the Reserve Account an amount equal to the relevant Deposit Exposure Amount.</w:t>
      </w:r>
    </w:p>
    <w:p w14:paraId="240246DA" w14:textId="77777777" w:rsidR="009F6E91" w:rsidRPr="00D427D8" w:rsidRDefault="009F6E91" w:rsidP="00EF7333">
      <w:pPr>
        <w:pStyle w:val="Body1"/>
        <w:rPr>
          <w:szCs w:val="19"/>
        </w:rPr>
      </w:pPr>
      <w:r w:rsidRPr="00D427D8">
        <w:br w:type="page"/>
      </w:r>
    </w:p>
    <w:p w14:paraId="0664D657" w14:textId="77777777" w:rsidR="009F6E91" w:rsidRPr="00D427D8" w:rsidRDefault="009F6E91" w:rsidP="00EF7333">
      <w:pPr>
        <w:pStyle w:val="Body1"/>
        <w:rPr>
          <w:rStyle w:val="Heading1Text"/>
        </w:rPr>
      </w:pPr>
      <w:r w:rsidRPr="00D427D8">
        <w:rPr>
          <w:rStyle w:val="Heading1Text"/>
        </w:rPr>
        <w:lastRenderedPageBreak/>
        <w:t>Available Collections</w:t>
      </w:r>
    </w:p>
    <w:p w14:paraId="657F8379" w14:textId="77777777" w:rsidR="009F6E91" w:rsidRPr="00D427D8" w:rsidRDefault="009F6E91" w:rsidP="009F6E91">
      <w:pPr>
        <w:pStyle w:val="Body1"/>
      </w:pPr>
      <w:r w:rsidRPr="00D427D8">
        <w:t>The following chart summarizes which collections are available to make payments on each Distribution Date. The amounts on the Distribution Account and the reserve amounts withdrawn from the Reserve Account to cover shortfalls, if any, are the main funds that will be used to make payments to the Noteholders on each Distribution Date.</w:t>
      </w:r>
    </w:p>
    <w:p w14:paraId="7C56B1A9" w14:textId="77777777" w:rsidR="002A625A" w:rsidRPr="00D427D8" w:rsidRDefault="002A625A" w:rsidP="009F6E91">
      <w:pPr>
        <w:pStyle w:val="Body1"/>
      </w:pPr>
    </w:p>
    <w:p w14:paraId="560377A4" w14:textId="3508B39C" w:rsidR="002A625A" w:rsidRPr="00D427D8" w:rsidRDefault="002A625A" w:rsidP="009F6E91">
      <w:pPr>
        <w:pStyle w:val="Body1"/>
      </w:pPr>
      <w:r w:rsidRPr="00D427D8">
        <w:rPr>
          <w:noProof/>
        </w:rPr>
        <mc:AlternateContent>
          <mc:Choice Requires="wpc">
            <w:drawing>
              <wp:inline distT="0" distB="0" distL="0" distR="0" wp14:anchorId="29DF2D0F" wp14:editId="6F042680">
                <wp:extent cx="6195695" cy="3167427"/>
                <wp:effectExtent l="0" t="0" r="14605" b="1397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 name="Text Box 11"/>
                        <wps:cNvSpPr txBox="1"/>
                        <wps:spPr>
                          <a:xfrm>
                            <a:off x="163260" y="439389"/>
                            <a:ext cx="887973" cy="998886"/>
                          </a:xfrm>
                          <a:prstGeom prst="rect">
                            <a:avLst/>
                          </a:prstGeom>
                          <a:solidFill>
                            <a:schemeClr val="lt1"/>
                          </a:solidFill>
                          <a:ln w="6350">
                            <a:noFill/>
                          </a:ln>
                        </wps:spPr>
                        <wps:txbx>
                          <w:txbxContent>
                            <w:p w14:paraId="316A97E4" w14:textId="621D780A" w:rsidR="002A625A" w:rsidRPr="002A625A" w:rsidRDefault="002A625A">
                              <w:pPr>
                                <w:rPr>
                                  <w:sz w:val="12"/>
                                  <w:szCs w:val="12"/>
                                </w:rPr>
                              </w:pPr>
                              <w:r w:rsidRPr="002A625A">
                                <w:rPr>
                                  <w:sz w:val="12"/>
                                  <w:szCs w:val="12"/>
                                </w:rPr>
                                <w:t>Collections:</w:t>
                              </w:r>
                            </w:p>
                            <w:p w14:paraId="4E4D873E" w14:textId="06FEF3F2" w:rsidR="002A625A" w:rsidRPr="002A625A" w:rsidRDefault="002A625A" w:rsidP="002A625A">
                              <w:pPr>
                                <w:rPr>
                                  <w:sz w:val="12"/>
                                  <w:szCs w:val="12"/>
                                </w:rPr>
                              </w:pPr>
                              <w:r w:rsidRPr="002A625A">
                                <w:rPr>
                                  <w:sz w:val="12"/>
                                  <w:szCs w:val="12"/>
                                </w:rPr>
                                <w:t>•Lessee payments</w:t>
                              </w:r>
                            </w:p>
                            <w:p w14:paraId="0F4A4458" w14:textId="7DE147E7" w:rsidR="002A625A" w:rsidRPr="002A625A" w:rsidRDefault="002A625A" w:rsidP="002A625A">
                              <w:pPr>
                                <w:rPr>
                                  <w:sz w:val="12"/>
                                  <w:szCs w:val="12"/>
                                </w:rPr>
                              </w:pPr>
                              <w:r w:rsidRPr="002A625A">
                                <w:rPr>
                                  <w:sz w:val="12"/>
                                  <w:szCs w:val="12"/>
                                </w:rPr>
                                <w:t>•Insurance Proceeds</w:t>
                              </w:r>
                            </w:p>
                            <w:p w14:paraId="2F2CB03F" w14:textId="2C48E595" w:rsidR="002A625A" w:rsidRPr="002A625A" w:rsidRDefault="002A625A" w:rsidP="002A625A">
                              <w:pPr>
                                <w:rPr>
                                  <w:sz w:val="12"/>
                                  <w:szCs w:val="12"/>
                                </w:rPr>
                              </w:pPr>
                              <w:r w:rsidRPr="002A625A">
                                <w:rPr>
                                  <w:sz w:val="12"/>
                                  <w:szCs w:val="12"/>
                                </w:rPr>
                                <w:t>•Vehicle Realisation Proceeds</w:t>
                              </w:r>
                            </w:p>
                            <w:p w14:paraId="67F80A92" w14:textId="039C3D2E" w:rsidR="002A625A" w:rsidRPr="002A625A" w:rsidRDefault="002A625A" w:rsidP="002A625A">
                              <w:pPr>
                                <w:rPr>
                                  <w:sz w:val="12"/>
                                  <w:szCs w:val="12"/>
                                </w:rPr>
                              </w:pPr>
                              <w:r w:rsidRPr="002A625A">
                                <w:rPr>
                                  <w:sz w:val="12"/>
                                  <w:szCs w:val="12"/>
                                </w:rPr>
                                <w:t>•Recovery Proceeds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Oval 9"/>
                        <wps:cNvSpPr/>
                        <wps:spPr>
                          <a:xfrm>
                            <a:off x="22090" y="202849"/>
                            <a:ext cx="1189248" cy="1125822"/>
                          </a:xfrm>
                          <a:prstGeom prst="ellipse">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380166" y="36304"/>
                            <a:ext cx="864000" cy="504000"/>
                          </a:xfrm>
                          <a:prstGeom prst="rect">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0C7D74" w14:textId="1194D681" w:rsidR="001071EB" w:rsidRPr="001071EB" w:rsidRDefault="001071EB" w:rsidP="001071EB">
                              <w:pPr>
                                <w:jc w:val="center"/>
                                <w:rPr>
                                  <w:color w:val="000000" w:themeColor="text1"/>
                                  <w:sz w:val="14"/>
                                  <w:szCs w:val="14"/>
                                </w:rPr>
                              </w:pPr>
                              <w:r>
                                <w:rPr>
                                  <w:color w:val="000000" w:themeColor="text1"/>
                                  <w:sz w:val="14"/>
                                  <w:szCs w:val="14"/>
                                </w:rPr>
                                <w:t xml:space="preserve">Originator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780317" y="36304"/>
                            <a:ext cx="864000" cy="504000"/>
                          </a:xfrm>
                          <a:prstGeom prst="rect">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750FC1" w14:textId="392C2AEB" w:rsidR="001071EB" w:rsidRPr="001071EB" w:rsidRDefault="001071EB" w:rsidP="001071EB">
                              <w:pPr>
                                <w:jc w:val="center"/>
                                <w:rPr>
                                  <w:color w:val="000000" w:themeColor="text1"/>
                                  <w:sz w:val="14"/>
                                  <w:szCs w:val="14"/>
                                </w:rPr>
                              </w:pPr>
                              <w:r>
                                <w:rPr>
                                  <w:color w:val="000000" w:themeColor="text1"/>
                                  <w:sz w:val="14"/>
                                  <w:szCs w:val="14"/>
                                </w:rPr>
                                <w:t xml:space="preserve">Servicer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037719" y="36001"/>
                            <a:ext cx="864000" cy="504000"/>
                          </a:xfrm>
                          <a:prstGeom prst="rect">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9248F7" w14:textId="77777777" w:rsidR="001071EB" w:rsidRPr="001071EB" w:rsidRDefault="001071EB" w:rsidP="00A52B3B">
                              <w:pPr>
                                <w:jc w:val="center"/>
                                <w:rPr>
                                  <w:color w:val="000000" w:themeColor="text1"/>
                                  <w:sz w:val="14"/>
                                  <w:szCs w:val="14"/>
                                </w:rPr>
                              </w:pPr>
                              <w:r w:rsidRPr="001071EB">
                                <w:rPr>
                                  <w:color w:val="000000" w:themeColor="text1"/>
                                  <w:sz w:val="14"/>
                                  <w:szCs w:val="14"/>
                                </w:rPr>
                                <w:t>Distribution</w:t>
                              </w:r>
                            </w:p>
                            <w:p w14:paraId="6E77426C" w14:textId="2E061229" w:rsidR="001071EB" w:rsidRPr="001071EB" w:rsidRDefault="001071EB" w:rsidP="001071EB">
                              <w:pPr>
                                <w:jc w:val="center"/>
                                <w:rPr>
                                  <w:color w:val="000000" w:themeColor="text1"/>
                                  <w:sz w:val="14"/>
                                  <w:szCs w:val="14"/>
                                </w:rPr>
                              </w:pPr>
                              <w:r w:rsidRPr="001071EB">
                                <w:rPr>
                                  <w:color w:val="000000" w:themeColor="text1"/>
                                  <w:sz w:val="14"/>
                                  <w:szCs w:val="14"/>
                                </w:rPr>
                                <w:t>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198527" y="36001"/>
                            <a:ext cx="864000" cy="504000"/>
                          </a:xfrm>
                          <a:prstGeom prst="rect">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F14DFB" w14:textId="77777777" w:rsidR="00A52B3B" w:rsidRPr="00A52B3B" w:rsidRDefault="00A52B3B" w:rsidP="00A52B3B">
                              <w:pPr>
                                <w:pStyle w:val="NormalWeb"/>
                                <w:jc w:val="center"/>
                                <w:rPr>
                                  <w:rFonts w:asciiTheme="majorHAnsi" w:hAnsiTheme="majorHAnsi" w:cstheme="majorHAnsi"/>
                                  <w:color w:val="000000" w:themeColor="text1"/>
                                  <w:kern w:val="24"/>
                                  <w:sz w:val="14"/>
                                  <w:szCs w:val="14"/>
                                  <w:lang w:val="de-DE"/>
                                </w:rPr>
                              </w:pPr>
                              <w:r w:rsidRPr="00A52B3B">
                                <w:rPr>
                                  <w:rFonts w:asciiTheme="majorHAnsi" w:hAnsiTheme="majorHAnsi" w:cstheme="majorHAnsi"/>
                                  <w:color w:val="000000" w:themeColor="text1"/>
                                  <w:kern w:val="24"/>
                                  <w:sz w:val="14"/>
                                  <w:szCs w:val="14"/>
                                  <w:lang w:val="de-DE"/>
                                </w:rPr>
                                <w:t>Reserve</w:t>
                              </w:r>
                            </w:p>
                            <w:p w14:paraId="31F8EB71" w14:textId="1FB0904A" w:rsidR="00A52B3B" w:rsidRPr="00A52B3B" w:rsidRDefault="00A52B3B" w:rsidP="00A52B3B">
                              <w:pPr>
                                <w:pStyle w:val="NormalWeb"/>
                                <w:jc w:val="center"/>
                                <w:rPr>
                                  <w:rFonts w:asciiTheme="majorHAnsi" w:hAnsiTheme="majorHAnsi" w:cstheme="majorHAnsi"/>
                                  <w:sz w:val="14"/>
                                  <w:szCs w:val="14"/>
                                </w:rPr>
                              </w:pPr>
                              <w:r w:rsidRPr="00A52B3B">
                                <w:rPr>
                                  <w:rFonts w:asciiTheme="majorHAnsi" w:hAnsiTheme="majorHAnsi" w:cstheme="majorHAnsi"/>
                                  <w:color w:val="000000" w:themeColor="text1"/>
                                  <w:kern w:val="24"/>
                                  <w:sz w:val="14"/>
                                  <w:szCs w:val="14"/>
                                  <w:lang w:val="de-DE"/>
                                </w:rPr>
                                <w:t>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339098" y="1199136"/>
                            <a:ext cx="1044000" cy="1044000"/>
                          </a:xfrm>
                          <a:prstGeom prst="ellipse">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1CB861" w14:textId="7E7E52EB" w:rsidR="00B54996" w:rsidRPr="00B54996" w:rsidRDefault="00B54996" w:rsidP="00B54996">
                              <w:pPr>
                                <w:jc w:val="center"/>
                                <w:rPr>
                                  <w:color w:val="000000" w:themeColor="text1"/>
                                  <w:sz w:val="10"/>
                                  <w:szCs w:val="10"/>
                                </w:rPr>
                              </w:pPr>
                              <w:r w:rsidRPr="00B54996">
                                <w:rPr>
                                  <w:color w:val="000000" w:themeColor="text1"/>
                                  <w:sz w:val="10"/>
                                  <w:szCs w:val="10"/>
                                </w:rPr>
                                <w:t>Amounts paid to the Issuer to repurchase certain Receivables after breach of representations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698312" y="1199136"/>
                            <a:ext cx="1044000" cy="1044000"/>
                          </a:xfrm>
                          <a:prstGeom prst="ellipse">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DDE48B" w14:textId="77777777" w:rsidR="00B54996" w:rsidRPr="00B54996" w:rsidRDefault="00B54996" w:rsidP="00B54996">
                              <w:pPr>
                                <w:rPr>
                                  <w:color w:val="000000" w:themeColor="text1"/>
                                  <w:sz w:val="10"/>
                                  <w:szCs w:val="10"/>
                                </w:rPr>
                              </w:pPr>
                              <w:r w:rsidRPr="00B54996">
                                <w:rPr>
                                  <w:color w:val="000000" w:themeColor="text1"/>
                                  <w:sz w:val="10"/>
                                  <w:szCs w:val="10"/>
                                </w:rPr>
                                <w:t>Amounts paid to</w:t>
                              </w:r>
                            </w:p>
                            <w:p w14:paraId="4F3FEBC5" w14:textId="44959F42" w:rsidR="00B54996" w:rsidRPr="00B54996" w:rsidRDefault="00B54996" w:rsidP="00B54996">
                              <w:pPr>
                                <w:jc w:val="center"/>
                                <w:rPr>
                                  <w:color w:val="000000" w:themeColor="text1"/>
                                  <w:sz w:val="10"/>
                                  <w:szCs w:val="10"/>
                                </w:rPr>
                              </w:pPr>
                              <w:r w:rsidRPr="00B54996">
                                <w:rPr>
                                  <w:color w:val="000000" w:themeColor="text1"/>
                                  <w:sz w:val="10"/>
                                  <w:szCs w:val="10"/>
                                </w:rPr>
                                <w:t>the Issuer to repurchase certain Receivables after breach of covenants including Liquidation Proceeds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934714" y="1198842"/>
                            <a:ext cx="1044000" cy="1044000"/>
                          </a:xfrm>
                          <a:prstGeom prst="ellipse">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C9EA10" w14:textId="3E043132" w:rsidR="00B54996" w:rsidRPr="00B54996" w:rsidRDefault="00B54996" w:rsidP="00B54996">
                              <w:pPr>
                                <w:jc w:val="center"/>
                                <w:rPr>
                                  <w:color w:val="000000" w:themeColor="text1"/>
                                  <w:sz w:val="10"/>
                                  <w:szCs w:val="10"/>
                                </w:rPr>
                              </w:pPr>
                              <w:r w:rsidRPr="00B54996">
                                <w:rPr>
                                  <w:color w:val="000000" w:themeColor="text1"/>
                                  <w:sz w:val="10"/>
                                  <w:szCs w:val="10"/>
                                </w:rPr>
                                <w:t>Interest earnings on Distribution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5150680" y="1199120"/>
                            <a:ext cx="1044000" cy="1044000"/>
                          </a:xfrm>
                          <a:prstGeom prst="ellipse">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515984" w14:textId="1E2AA681" w:rsidR="00B54996" w:rsidRPr="00B54996" w:rsidRDefault="00B54996" w:rsidP="00B54996">
                              <w:pPr>
                                <w:jc w:val="center"/>
                                <w:rPr>
                                  <w:color w:val="000000" w:themeColor="text1"/>
                                  <w:sz w:val="10"/>
                                  <w:szCs w:val="10"/>
                                </w:rPr>
                              </w:pPr>
                              <w:r w:rsidRPr="00B54996">
                                <w:rPr>
                                  <w:color w:val="000000" w:themeColor="text1"/>
                                  <w:sz w:val="10"/>
                                  <w:szCs w:val="10"/>
                                </w:rPr>
                                <w:t>Interest earnings on Reserve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a:endCxn id="19" idx="0"/>
                        </wps:cNvCnPr>
                        <wps:spPr>
                          <a:xfrm>
                            <a:off x="1842867" y="568578"/>
                            <a:ext cx="18231" cy="630558"/>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3214467" y="568284"/>
                            <a:ext cx="116" cy="630558"/>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4483708" y="554637"/>
                            <a:ext cx="116" cy="630558"/>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5650592" y="568284"/>
                            <a:ext cx="116" cy="630558"/>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2" name="Rectangle 42"/>
                        <wps:cNvSpPr/>
                        <wps:spPr>
                          <a:xfrm>
                            <a:off x="2773493" y="2663498"/>
                            <a:ext cx="864000" cy="504000"/>
                          </a:xfrm>
                          <a:prstGeom prst="rect">
                            <a:avLst/>
                          </a:prstGeom>
                          <a:noFill/>
                          <a:ln w="12700">
                            <a:solidFill>
                              <a:srgbClr val="005A8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26B012" w14:textId="3EF45FDC" w:rsidR="00BB24BD" w:rsidRPr="001071EB" w:rsidRDefault="00BB24BD" w:rsidP="001071EB">
                              <w:pPr>
                                <w:jc w:val="center"/>
                                <w:rPr>
                                  <w:color w:val="000000" w:themeColor="text1"/>
                                  <w:sz w:val="14"/>
                                  <w:szCs w:val="14"/>
                                </w:rPr>
                              </w:pPr>
                              <w:r w:rsidRPr="00BB24BD">
                                <w:rPr>
                                  <w:color w:val="000000" w:themeColor="text1"/>
                                  <w:sz w:val="14"/>
                                  <w:szCs w:val="14"/>
                                </w:rPr>
                                <w:t>Available Collections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a:off x="3214583" y="2254076"/>
                            <a:ext cx="0" cy="3957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600502" y="2486032"/>
                            <a:ext cx="51110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607325" y="1328641"/>
                            <a:ext cx="0" cy="11573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1861098" y="2236261"/>
                            <a:ext cx="0" cy="2565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4476884" y="2229440"/>
                            <a:ext cx="0" cy="2565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5698359" y="2229440"/>
                            <a:ext cx="0" cy="2565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9DF2D0F" id="Canvas 8" o:spid="_x0000_s1057" editas="canvas" style="width:487.85pt;height:249.4pt;mso-position-horizontal-relative:char;mso-position-vertical-relative:line" coordsize="61956,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61956;height:31673;visibility:visible;mso-wrap-style:square" filled="t">
                  <v:fill o:detectmouseclick="t"/>
                  <v:path o:connecttype="none"/>
                </v:shape>
                <v:shape id="Text Box 11" o:spid="_x0000_s1059" type="#_x0000_t202" style="position:absolute;left:1632;top:4393;width:8880;height: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316A97E4" w14:textId="621D780A" w:rsidR="002A625A" w:rsidRPr="002A625A" w:rsidRDefault="002A625A">
                        <w:pPr>
                          <w:rPr>
                            <w:sz w:val="12"/>
                            <w:szCs w:val="12"/>
                          </w:rPr>
                        </w:pPr>
                        <w:r w:rsidRPr="002A625A">
                          <w:rPr>
                            <w:sz w:val="12"/>
                            <w:szCs w:val="12"/>
                          </w:rPr>
                          <w:t>Collections:</w:t>
                        </w:r>
                      </w:p>
                      <w:p w14:paraId="4E4D873E" w14:textId="06FEF3F2" w:rsidR="002A625A" w:rsidRPr="002A625A" w:rsidRDefault="002A625A" w:rsidP="002A625A">
                        <w:pPr>
                          <w:rPr>
                            <w:sz w:val="12"/>
                            <w:szCs w:val="12"/>
                          </w:rPr>
                        </w:pPr>
                        <w:r w:rsidRPr="002A625A">
                          <w:rPr>
                            <w:sz w:val="12"/>
                            <w:szCs w:val="12"/>
                          </w:rPr>
                          <w:t>•Lessee payments</w:t>
                        </w:r>
                      </w:p>
                      <w:p w14:paraId="0F4A4458" w14:textId="7DE147E7" w:rsidR="002A625A" w:rsidRPr="002A625A" w:rsidRDefault="002A625A" w:rsidP="002A625A">
                        <w:pPr>
                          <w:rPr>
                            <w:sz w:val="12"/>
                            <w:szCs w:val="12"/>
                          </w:rPr>
                        </w:pPr>
                        <w:r w:rsidRPr="002A625A">
                          <w:rPr>
                            <w:sz w:val="12"/>
                            <w:szCs w:val="12"/>
                          </w:rPr>
                          <w:t>•Insurance Proceeds</w:t>
                        </w:r>
                      </w:p>
                      <w:p w14:paraId="2F2CB03F" w14:textId="2C48E595" w:rsidR="002A625A" w:rsidRPr="002A625A" w:rsidRDefault="002A625A" w:rsidP="002A625A">
                        <w:pPr>
                          <w:rPr>
                            <w:sz w:val="12"/>
                            <w:szCs w:val="12"/>
                          </w:rPr>
                        </w:pPr>
                        <w:r w:rsidRPr="002A625A">
                          <w:rPr>
                            <w:sz w:val="12"/>
                            <w:szCs w:val="12"/>
                          </w:rPr>
                          <w:t>•Vehicle Realisation Proceeds</w:t>
                        </w:r>
                      </w:p>
                      <w:p w14:paraId="67F80A92" w14:textId="039C3D2E" w:rsidR="002A625A" w:rsidRPr="002A625A" w:rsidRDefault="002A625A" w:rsidP="002A625A">
                        <w:pPr>
                          <w:rPr>
                            <w:sz w:val="12"/>
                            <w:szCs w:val="12"/>
                          </w:rPr>
                        </w:pPr>
                        <w:r w:rsidRPr="002A625A">
                          <w:rPr>
                            <w:sz w:val="12"/>
                            <w:szCs w:val="12"/>
                          </w:rPr>
                          <w:t>•Recovery Proceeds</w:t>
                        </w:r>
                      </w:p>
                    </w:txbxContent>
                  </v:textbox>
                </v:shape>
                <v:oval id="Oval 9" o:spid="_x0000_s1060" style="position:absolute;left:220;top:2028;width:11893;height:1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" filled="f" strokecolor="#005a8c" strokeweight="1pt"/>
                <v:rect id="_x0000_s1061" style="position:absolute;left:13801;top:363;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" filled="f" strokecolor="#005a8c" strokeweight="1pt">
                  <v:textbox>
                    <w:txbxContent>
                      <w:p w14:paraId="130C7D74" w14:textId="1194D681" w:rsidR="001071EB" w:rsidRPr="001071EB" w:rsidRDefault="001071EB" w:rsidP="001071EB">
                        <w:pPr>
                          <w:jc w:val="center"/>
                          <w:rPr>
                            <w:color w:val="000000" w:themeColor="text1"/>
                            <w:sz w:val="14"/>
                            <w:szCs w:val="14"/>
                          </w:rPr>
                        </w:pPr>
                        <w:r>
                          <w:rPr>
                            <w:color w:val="000000" w:themeColor="text1"/>
                            <w:sz w:val="14"/>
                            <w:szCs w:val="14"/>
                          </w:rPr>
                          <w:t xml:space="preserve">Originator </w:t>
                        </w:r>
                      </w:p>
                    </w:txbxContent>
                  </v:textbox>
                </v:rect>
                <v:rect id="_x0000_s1062" style="position:absolute;left:27803;top:363;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" filled="f" strokecolor="#005a8c" strokeweight="1pt">
                  <v:textbox>
                    <w:txbxContent>
                      <w:p w14:paraId="29750FC1" w14:textId="392C2AEB" w:rsidR="001071EB" w:rsidRPr="001071EB" w:rsidRDefault="001071EB" w:rsidP="001071EB">
                        <w:pPr>
                          <w:jc w:val="center"/>
                          <w:rPr>
                            <w:color w:val="000000" w:themeColor="text1"/>
                            <w:sz w:val="14"/>
                            <w:szCs w:val="14"/>
                          </w:rPr>
                        </w:pPr>
                        <w:r>
                          <w:rPr>
                            <w:color w:val="000000" w:themeColor="text1"/>
                            <w:sz w:val="14"/>
                            <w:szCs w:val="14"/>
                          </w:rPr>
                          <w:t xml:space="preserve">Servicer </w:t>
                        </w:r>
                      </w:p>
                    </w:txbxContent>
                  </v:textbox>
                </v:rect>
                <v:rect id="_x0000_s1063" style="position:absolute;left:40377;top:360;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" filled="f" strokecolor="#005a8c" strokeweight="1pt">
                  <v:textbox>
                    <w:txbxContent>
                      <w:p w14:paraId="539248F7" w14:textId="77777777" w:rsidR="001071EB" w:rsidRPr="001071EB" w:rsidRDefault="001071EB" w:rsidP="00A52B3B">
                        <w:pPr>
                          <w:jc w:val="center"/>
                          <w:rPr>
                            <w:color w:val="000000" w:themeColor="text1"/>
                            <w:sz w:val="14"/>
                            <w:szCs w:val="14"/>
                          </w:rPr>
                        </w:pPr>
                        <w:r w:rsidRPr="001071EB">
                          <w:rPr>
                            <w:color w:val="000000" w:themeColor="text1"/>
                            <w:sz w:val="14"/>
                            <w:szCs w:val="14"/>
                          </w:rPr>
                          <w:t>Distribution</w:t>
                        </w:r>
                      </w:p>
                      <w:p w14:paraId="6E77426C" w14:textId="2E061229" w:rsidR="001071EB" w:rsidRPr="001071EB" w:rsidRDefault="001071EB" w:rsidP="001071EB">
                        <w:pPr>
                          <w:jc w:val="center"/>
                          <w:rPr>
                            <w:color w:val="000000" w:themeColor="text1"/>
                            <w:sz w:val="14"/>
                            <w:szCs w:val="14"/>
                          </w:rPr>
                        </w:pPr>
                        <w:r w:rsidRPr="001071EB">
                          <w:rPr>
                            <w:color w:val="000000" w:themeColor="text1"/>
                            <w:sz w:val="14"/>
                            <w:szCs w:val="14"/>
                          </w:rPr>
                          <w:t>Account</w:t>
                        </w:r>
                      </w:p>
                    </w:txbxContent>
                  </v:textbox>
                </v:rect>
                <v:rect id="Rectangle 15" o:spid="_x0000_s1064" style="position:absolute;left:51985;top:360;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" filled="f" strokecolor="#005a8c" strokeweight="1pt">
                  <v:textbox>
                    <w:txbxContent>
                      <w:p w14:paraId="66F14DFB" w14:textId="77777777" w:rsidR="00A52B3B" w:rsidRPr="00A52B3B" w:rsidRDefault="00A52B3B" w:rsidP="00A52B3B">
                        <w:pPr>
                          <w:pStyle w:val="NormalWeb"/>
                          <w:jc w:val="center"/>
                          <w:rPr>
                            <w:rFonts w:asciiTheme="majorHAnsi" w:hAnsiTheme="majorHAnsi" w:cstheme="majorHAnsi"/>
                            <w:color w:val="000000" w:themeColor="text1"/>
                            <w:kern w:val="24"/>
                            <w:sz w:val="14"/>
                            <w:szCs w:val="14"/>
                            <w:lang w:val="de-DE"/>
                          </w:rPr>
                        </w:pPr>
                        <w:r w:rsidRPr="00A52B3B">
                          <w:rPr>
                            <w:rFonts w:asciiTheme="majorHAnsi" w:hAnsiTheme="majorHAnsi" w:cstheme="majorHAnsi"/>
                            <w:color w:val="000000" w:themeColor="text1"/>
                            <w:kern w:val="24"/>
                            <w:sz w:val="14"/>
                            <w:szCs w:val="14"/>
                            <w:lang w:val="de-DE"/>
                          </w:rPr>
                          <w:t>Reserve</w:t>
                        </w:r>
                      </w:p>
                      <w:p w14:paraId="31F8EB71" w14:textId="1FB0904A" w:rsidR="00A52B3B" w:rsidRPr="00A52B3B" w:rsidRDefault="00A52B3B" w:rsidP="00A52B3B">
                        <w:pPr>
                          <w:pStyle w:val="NormalWeb"/>
                          <w:jc w:val="center"/>
                          <w:rPr>
                            <w:rFonts w:asciiTheme="majorHAnsi" w:hAnsiTheme="majorHAnsi" w:cstheme="majorHAnsi"/>
                            <w:sz w:val="14"/>
                            <w:szCs w:val="14"/>
                          </w:rPr>
                        </w:pPr>
                        <w:r w:rsidRPr="00A52B3B">
                          <w:rPr>
                            <w:rFonts w:asciiTheme="majorHAnsi" w:hAnsiTheme="majorHAnsi" w:cstheme="majorHAnsi"/>
                            <w:color w:val="000000" w:themeColor="text1"/>
                            <w:kern w:val="24"/>
                            <w:sz w:val="14"/>
                            <w:szCs w:val="14"/>
                            <w:lang w:val="de-DE"/>
                          </w:rPr>
                          <w:t>Account</w:t>
                        </w:r>
                      </w:p>
                    </w:txbxContent>
                  </v:textbox>
                </v:rect>
                <v:oval id="Oval 19" o:spid="_x0000_s1065" style="position:absolute;left:13390;top:11991;width:10440;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" filled="f" strokecolor="#005a8c" strokeweight="1pt">
                  <v:textbox>
                    <w:txbxContent>
                      <w:p w14:paraId="471CB861" w14:textId="7E7E52EB" w:rsidR="00B54996" w:rsidRPr="00B54996" w:rsidRDefault="00B54996" w:rsidP="00B54996">
                        <w:pPr>
                          <w:jc w:val="center"/>
                          <w:rPr>
                            <w:color w:val="000000" w:themeColor="text1"/>
                            <w:sz w:val="10"/>
                            <w:szCs w:val="10"/>
                          </w:rPr>
                        </w:pPr>
                        <w:r w:rsidRPr="00B54996">
                          <w:rPr>
                            <w:color w:val="000000" w:themeColor="text1"/>
                            <w:sz w:val="10"/>
                            <w:szCs w:val="10"/>
                          </w:rPr>
                          <w:t>Amounts paid to the Issuer to repurchase certain Receivables after breach of representations</w:t>
                        </w:r>
                      </w:p>
                    </w:txbxContent>
                  </v:textbox>
                </v:oval>
                <v:oval id="Oval 24" o:spid="_x0000_s1066" style="position:absolute;left:26983;top:11991;width:10440;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" filled="f" strokecolor="#005a8c" strokeweight="1pt">
                  <v:textbox>
                    <w:txbxContent>
                      <w:p w14:paraId="7DDDE48B" w14:textId="77777777" w:rsidR="00B54996" w:rsidRPr="00B54996" w:rsidRDefault="00B54996" w:rsidP="00B54996">
                        <w:pPr>
                          <w:rPr>
                            <w:color w:val="000000" w:themeColor="text1"/>
                            <w:sz w:val="10"/>
                            <w:szCs w:val="10"/>
                          </w:rPr>
                        </w:pPr>
                        <w:r w:rsidRPr="00B54996">
                          <w:rPr>
                            <w:color w:val="000000" w:themeColor="text1"/>
                            <w:sz w:val="10"/>
                            <w:szCs w:val="10"/>
                          </w:rPr>
                          <w:t>Amounts paid to</w:t>
                        </w:r>
                      </w:p>
                      <w:p w14:paraId="4F3FEBC5" w14:textId="44959F42" w:rsidR="00B54996" w:rsidRPr="00B54996" w:rsidRDefault="00B54996" w:rsidP="00B54996">
                        <w:pPr>
                          <w:jc w:val="center"/>
                          <w:rPr>
                            <w:color w:val="000000" w:themeColor="text1"/>
                            <w:sz w:val="10"/>
                            <w:szCs w:val="10"/>
                          </w:rPr>
                        </w:pPr>
                        <w:r w:rsidRPr="00B54996">
                          <w:rPr>
                            <w:color w:val="000000" w:themeColor="text1"/>
                            <w:sz w:val="10"/>
                            <w:szCs w:val="10"/>
                          </w:rPr>
                          <w:t>the Issuer to repurchase certain Receivables after breach of covenants including Liquidation Proceeds</w:t>
                        </w:r>
                      </w:p>
                    </w:txbxContent>
                  </v:textbox>
                </v:oval>
                <v:oval id="Oval 26" o:spid="_x0000_s1067" style="position:absolute;left:39347;top:11988;width:10440;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" filled="f" strokecolor="#005a8c" strokeweight="1pt">
                  <v:textbox>
                    <w:txbxContent>
                      <w:p w14:paraId="42C9EA10" w14:textId="3E043132" w:rsidR="00B54996" w:rsidRPr="00B54996" w:rsidRDefault="00B54996" w:rsidP="00B54996">
                        <w:pPr>
                          <w:jc w:val="center"/>
                          <w:rPr>
                            <w:color w:val="000000" w:themeColor="text1"/>
                            <w:sz w:val="10"/>
                            <w:szCs w:val="10"/>
                          </w:rPr>
                        </w:pPr>
                        <w:r w:rsidRPr="00B54996">
                          <w:rPr>
                            <w:color w:val="000000" w:themeColor="text1"/>
                            <w:sz w:val="10"/>
                            <w:szCs w:val="10"/>
                          </w:rPr>
                          <w:t>Interest earnings on Distribution Account</w:t>
                        </w:r>
                      </w:p>
                    </w:txbxContent>
                  </v:textbox>
                </v:oval>
                <v:oval id="Oval 29" o:spid="_x0000_s1068" style="position:absolute;left:51506;top:11991;width:10440;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" filled="f" strokecolor="#005a8c" strokeweight="1pt">
                  <v:textbox>
                    <w:txbxContent>
                      <w:p w14:paraId="50515984" w14:textId="1E2AA681" w:rsidR="00B54996" w:rsidRPr="00B54996" w:rsidRDefault="00B54996" w:rsidP="00B54996">
                        <w:pPr>
                          <w:jc w:val="center"/>
                          <w:rPr>
                            <w:color w:val="000000" w:themeColor="text1"/>
                            <w:sz w:val="10"/>
                            <w:szCs w:val="10"/>
                          </w:rPr>
                        </w:pPr>
                        <w:r w:rsidRPr="00B54996">
                          <w:rPr>
                            <w:color w:val="000000" w:themeColor="text1"/>
                            <w:sz w:val="10"/>
                            <w:szCs w:val="10"/>
                          </w:rPr>
                          <w:t>Interest earnings on Reserve Account</w:t>
                        </w:r>
                      </w:p>
                    </w:txbxContent>
                  </v:textbox>
                </v:oval>
                <v:shapetype id="_x0000_t32" coordsize="21600,21600" o:spt="32" o:oned="t" path="m,l21600,21600e" filled="f">
                  <v:path arrowok="t" fillok="f" o:connecttype="none"/>
                  <o:lock v:ext="edit" shapetype="t"/>
                </v:shapetype>
                <v:shape id="Straight Arrow Connector 38" o:spid="_x0000_s1069" type="#_x0000_t32" style="position:absolute;left:18428;top:5685;width:182;height:6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" strokecolor="black [3213]">
                  <v:stroke dashstyle="3 1" endarrow="block"/>
                </v:shape>
                <v:shape id="Straight Arrow Connector 39" o:spid="_x0000_s1070" type="#_x0000_t32" style="position:absolute;left:32144;top:5682;width:1;height:6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" strokecolor="black [3213]">
                  <v:stroke dashstyle="3 1" endarrow="block"/>
                </v:shape>
                <v:shape id="Straight Arrow Connector 40" o:spid="_x0000_s1071" type="#_x0000_t32" style="position:absolute;left:44837;top:5546;width:1;height:6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" strokecolor="black [3213]">
                  <v:stroke dashstyle="3 1" endarrow="block"/>
                </v:shape>
                <v:shape id="Straight Arrow Connector 41" o:spid="_x0000_s1072" type="#_x0000_t32" style="position:absolute;left:56505;top:5682;width:2;height:6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" strokecolor="black [3213]">
                  <v:stroke dashstyle="3 1" endarrow="block"/>
                </v:shape>
                <v:rect id="Rectangle 42" o:spid="_x0000_s1073" style="position:absolute;left:27734;top:26634;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" filled="f" strokecolor="#005a8c" strokeweight="1pt">
                  <v:textbox>
                    <w:txbxContent>
                      <w:p w14:paraId="2D26B012" w14:textId="3EF45FDC" w:rsidR="00BB24BD" w:rsidRPr="001071EB" w:rsidRDefault="00BB24BD" w:rsidP="001071EB">
                        <w:pPr>
                          <w:jc w:val="center"/>
                          <w:rPr>
                            <w:color w:val="000000" w:themeColor="text1"/>
                            <w:sz w:val="14"/>
                            <w:szCs w:val="14"/>
                          </w:rPr>
                        </w:pPr>
                        <w:r w:rsidRPr="00BB24BD">
                          <w:rPr>
                            <w:color w:val="000000" w:themeColor="text1"/>
                            <w:sz w:val="14"/>
                            <w:szCs w:val="14"/>
                          </w:rPr>
                          <w:t>Available Collections</w:t>
                        </w:r>
                      </w:p>
                    </w:txbxContent>
                  </v:textbox>
                </v:rect>
                <v:shape id="Straight Arrow Connector 43" o:spid="_x0000_s1074" type="#_x0000_t32" style="position:absolute;left:32145;top:22540;width:0;height:39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9xQAAANsAAAAPAAAAZHJzL2Rvd25yZXYueG1sRI9BSwMx&#10;FITvQv9DeIXebLZaRN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y+Sn9xQAAANsAAAAP&#10;AAAAAAAAAAAAAAAAAAcCAABkcnMvZG93bnJldi54bWxQSwUGAAAAAAMAAwC3AAAA+QIAAAAA&#10;" strokecolor="black [3213]">
                  <v:stroke endarrow="block"/>
                </v:shape>
                <v:line id="Straight Connector 44" o:spid="_x0000_s1075" style="position:absolute;visibility:visible;mso-wrap-style:square" from="6005,24860" to="57115,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" strokecolor="black [3213]"/>
                <v:line id="Straight Connector 45" o:spid="_x0000_s1076" style="position:absolute;visibility:visible;mso-wrap-style:square" from="6073,13286" to="6073,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" strokecolor="#005484 [3044]"/>
                <v:line id="Straight Connector 46" o:spid="_x0000_s1077" style="position:absolute;visibility:visible;mso-wrap-style:square" from="18610,22362" to="18610,2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" strokecolor="black [3213]"/>
                <v:line id="Straight Connector 47" o:spid="_x0000_s1078" style="position:absolute;visibility:visible;mso-wrap-style:square" from="44768,22294" to="44768,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" strokecolor="black [3213]"/>
                <v:line id="Straight Connector 48" o:spid="_x0000_s1079" style="position:absolute;visibility:visible;mso-wrap-style:square" from="56983,22294" to="56983,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" strokecolor="black [3213]"/>
                <w10:anchorlock/>
              </v:group>
            </w:pict>
          </mc:Fallback>
        </mc:AlternateContent>
      </w:r>
    </w:p>
    <w:p w14:paraId="04501FD5" w14:textId="07A7CC1F" w:rsidR="009F6E91" w:rsidRPr="00D427D8" w:rsidRDefault="009F6E91" w:rsidP="00BB24BD">
      <w:pPr>
        <w:pStyle w:val="Body1"/>
      </w:pPr>
      <w:r w:rsidRPr="00D427D8">
        <w:t xml:space="preserve">Payments on the Notes will be made from the Available Interest Distribution Amount and the Available Principal Distribution Amount, which together for any Distribution Date generally will be equal to collections on the Receivables and the Vehicle Realisation Proceeds for the corresponding Monthly Period, the Liquidity Reserve (if applicable) </w:t>
      </w:r>
      <w:r w:rsidRPr="00D427D8">
        <w:rPr>
          <w:rStyle w:val="BoldText"/>
        </w:rPr>
        <w:t>less</w:t>
      </w:r>
      <w:r w:rsidRPr="00D427D8">
        <w:t xml:space="preserve"> (i) an amount equal to any tax credits to be paid to the Counterparty pursuant to Section 2(d)(iii) of the Hedging Arrangement; (ii) any remainder of the Liquidity Reserve following the application on the Priority of Payments, and (iii) the amount (if any) by which the Deposit Reserve Amount credited by the Seller to the Reserve Account, and then credited to the Distribution Account, exceeds the Total Deposit Exposure Amount as at such Distribution Date, to be repaid to the Seller (unless (1) the Seller has failed to punctually comply with its obligation to repurchase Purchased Lease Receivables and Purchased Expectancy Rights in accordance with clause 10.1 of the Asset Purchase Agreements or (2) an Insolvency Event has occurred in respect of the Seller)  </w:t>
      </w:r>
      <w:r w:rsidRPr="00D427D8">
        <w:rPr>
          <w:rStyle w:val="BoldText"/>
        </w:rPr>
        <w:t>plus</w:t>
      </w:r>
      <w:r w:rsidRPr="00D427D8">
        <w:t xml:space="preserve"> (i) amounts paid to the Issuer by the Seller for a repurchase of certain Receivables and Expectancy Rights pursuant to the relevant provisions of the relevant Asset Purchase Agreement, (ii) amounts paid to the Issuer by the Servicer to purchase Receivables due to breach of certain covenants, (iii) Interest Earnings (if any) on the Reserve Account, (iv) payments received under the Hedging Arrangement (to the extent not payable to the CSA Account of the Issuer), (v) Recover</w:t>
      </w:r>
      <w:r w:rsidR="00CF68B0">
        <w:t>y Proceeds</w:t>
      </w:r>
      <w:r w:rsidRPr="00D427D8">
        <w:t xml:space="preserve"> from the sale of Defaulted Receivables by the Servicer and (vi) Interest Earnings (if any) on the Distribution Account. For a more detailed description please refer to </w:t>
      </w:r>
      <w:r w:rsidR="00EF7333" w:rsidRPr="00D427D8">
        <w:t>"</w:t>
      </w:r>
      <w:r w:rsidRPr="00D427D8">
        <w:rPr>
          <w:rStyle w:val="BoldText"/>
        </w:rPr>
        <w:t>Terms and Conditions of the Notes – Priority of Payments Schedule</w:t>
      </w:r>
      <w:r w:rsidR="00EF7333" w:rsidRPr="00D427D8">
        <w:t>"</w:t>
      </w:r>
      <w:r w:rsidRPr="00D427D8">
        <w:t>.</w:t>
      </w:r>
    </w:p>
    <w:p w14:paraId="10E1D259" w14:textId="77777777" w:rsidR="009F6E91" w:rsidRPr="00D427D8" w:rsidRDefault="009F6E91" w:rsidP="00F557EC">
      <w:pPr>
        <w:rPr>
          <w:rFonts w:asciiTheme="minorHAnsi" w:hAnsiTheme="minorHAnsi" w:cstheme="minorHAnsi"/>
        </w:rPr>
        <w:sectPr w:rsidR="009F6E91" w:rsidRPr="00D427D8" w:rsidSect="008D071E">
          <w:pgSz w:w="11907" w:h="16840" w:code="9"/>
          <w:pgMar w:top="851" w:right="1418" w:bottom="992" w:left="1418" w:header="720" w:footer="720" w:gutter="0"/>
          <w:cols w:space="708"/>
          <w:docGrid w:linePitch="360"/>
        </w:sectPr>
      </w:pPr>
    </w:p>
    <w:p w14:paraId="424F5B00" w14:textId="77777777" w:rsidR="009F6E91" w:rsidRPr="00D427D8" w:rsidRDefault="009F6E91" w:rsidP="009F6E91">
      <w:pPr>
        <w:pStyle w:val="Body1"/>
        <w:rPr>
          <w:rStyle w:val="Heading1Text"/>
        </w:rPr>
      </w:pPr>
      <w:r w:rsidRPr="00D427D8">
        <w:rPr>
          <w:rStyle w:val="Heading1Text"/>
        </w:rPr>
        <w:lastRenderedPageBreak/>
        <w:t>Priority of Payments</w:t>
      </w:r>
    </w:p>
    <w:p w14:paraId="7962F174" w14:textId="690A69B9" w:rsidR="009F6E91" w:rsidRPr="00D427D8" w:rsidRDefault="009F6E91" w:rsidP="009F6E91">
      <w:pPr>
        <w:pStyle w:val="Body1"/>
      </w:pPr>
      <w:r w:rsidRPr="00D427D8">
        <w:t xml:space="preserve">The following chart shows how the Available Distribution Amount is applied on each Distribution Date. For a more detailed description of the Priority of Payments please refer to </w:t>
      </w:r>
      <w:r w:rsidR="00EF7333" w:rsidRPr="00D427D8">
        <w:t>"</w:t>
      </w:r>
      <w:r w:rsidRPr="00D427D8">
        <w:rPr>
          <w:rStyle w:val="BoldText"/>
        </w:rPr>
        <w:t>Terms and Conditions of the Notes – Priority of Payments Schedule</w:t>
      </w:r>
      <w:r w:rsidR="00EF7333" w:rsidRPr="00D427D8">
        <w:t>"</w:t>
      </w:r>
      <w:r w:rsidRPr="00D427D8">
        <w:t>.</w:t>
      </w:r>
    </w:p>
    <w:tbl>
      <w:tblPr>
        <w:tblW w:w="5000" w:type="pct"/>
        <w:jc w:val="right"/>
        <w:tblCellMar>
          <w:left w:w="10" w:type="dxa"/>
          <w:right w:w="10" w:type="dxa"/>
        </w:tblCellMar>
        <w:tblLook w:val="04A0" w:firstRow="1" w:lastRow="0" w:firstColumn="1" w:lastColumn="0" w:noHBand="0" w:noVBand="1"/>
      </w:tblPr>
      <w:tblGrid>
        <w:gridCol w:w="883"/>
        <w:gridCol w:w="4373"/>
        <w:gridCol w:w="4373"/>
        <w:gridCol w:w="4375"/>
      </w:tblGrid>
      <w:tr w:rsidR="009F6E91" w:rsidRPr="00D427D8" w14:paraId="4349C691" w14:textId="77777777" w:rsidTr="006A0492">
        <w:trPr>
          <w:tblHeader/>
          <w:jc w:val="right"/>
        </w:trPr>
        <w:tc>
          <w:tcPr>
            <w:tcW w:w="315" w:type="pct"/>
            <w:tcBorders>
              <w:top w:val="nil"/>
              <w:bottom w:val="single" w:sz="18" w:space="0" w:color="FFFFFF"/>
            </w:tcBorders>
            <w:shd w:val="clear" w:color="000000" w:fill="C6D9F1" w:themeFill="text2" w:themeFillTint="33"/>
            <w:vAlign w:val="center"/>
          </w:tcPr>
          <w:p w14:paraId="63D5E2E7" w14:textId="77777777" w:rsidR="009F6E91" w:rsidRPr="00D427D8" w:rsidRDefault="009F6E91">
            <w:pPr>
              <w:spacing w:before="60" w:after="60"/>
              <w:jc w:val="center"/>
              <w:rPr>
                <w:rFonts w:asciiTheme="minorHAnsi" w:hAnsiTheme="minorHAnsi" w:cstheme="minorHAnsi"/>
                <w:sz w:val="24"/>
                <w:szCs w:val="16"/>
              </w:rPr>
            </w:pPr>
            <w:bookmarkStart w:id="49" w:name="_Hlk195725917"/>
          </w:p>
        </w:tc>
        <w:tc>
          <w:tcPr>
            <w:tcW w:w="1561" w:type="pct"/>
            <w:tcBorders>
              <w:top w:val="nil"/>
              <w:bottom w:val="single" w:sz="18" w:space="0" w:color="FFFFFF"/>
            </w:tcBorders>
            <w:shd w:val="clear" w:color="000000" w:fill="C6D9F1" w:themeFill="text2" w:themeFillTint="33"/>
            <w:vAlign w:val="center"/>
          </w:tcPr>
          <w:p w14:paraId="1F6EAA30" w14:textId="77777777" w:rsidR="009F6E91" w:rsidRPr="00D427D8" w:rsidRDefault="009F6E91" w:rsidP="00631DA1">
            <w:pPr>
              <w:pStyle w:val="cent12"/>
            </w:pPr>
            <w:r w:rsidRPr="00D427D8">
              <w:t>Interest Priority of Payments</w:t>
            </w:r>
          </w:p>
        </w:tc>
        <w:tc>
          <w:tcPr>
            <w:tcW w:w="1561" w:type="pct"/>
            <w:tcBorders>
              <w:top w:val="nil"/>
              <w:bottom w:val="single" w:sz="18" w:space="0" w:color="FFFFFF"/>
            </w:tcBorders>
            <w:shd w:val="clear" w:color="000000" w:fill="C6D9F1" w:themeFill="text2" w:themeFillTint="33"/>
            <w:vAlign w:val="center"/>
          </w:tcPr>
          <w:p w14:paraId="7383A6FC" w14:textId="77777777" w:rsidR="009F6E91" w:rsidRPr="00D427D8" w:rsidRDefault="009F6E91" w:rsidP="00631DA1">
            <w:pPr>
              <w:pStyle w:val="cent12"/>
            </w:pPr>
            <w:r w:rsidRPr="00D427D8">
              <w:t>Principal Priority of Payments</w:t>
            </w:r>
          </w:p>
        </w:tc>
        <w:tc>
          <w:tcPr>
            <w:tcW w:w="1562" w:type="pct"/>
            <w:tcBorders>
              <w:top w:val="nil"/>
              <w:bottom w:val="single" w:sz="18" w:space="0" w:color="FFFFFF"/>
            </w:tcBorders>
            <w:shd w:val="clear" w:color="000000" w:fill="C6D9F1" w:themeFill="text2" w:themeFillTint="33"/>
            <w:vAlign w:val="center"/>
          </w:tcPr>
          <w:p w14:paraId="1CAA108E" w14:textId="77777777" w:rsidR="009F6E91" w:rsidRPr="00D427D8" w:rsidRDefault="009F6E91" w:rsidP="00631DA1">
            <w:pPr>
              <w:pStyle w:val="cent12"/>
            </w:pPr>
            <w:r w:rsidRPr="00D427D8">
              <w:t>Accelerated Priority of Payments</w:t>
            </w:r>
          </w:p>
        </w:tc>
      </w:tr>
      <w:tr w:rsidR="009F6E91" w:rsidRPr="00D427D8" w14:paraId="78DCEB99"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00537E40" w14:textId="77777777" w:rsidR="009F6E91" w:rsidRPr="00D427D8" w:rsidRDefault="009F6E91" w:rsidP="009F6E91">
            <w:pPr>
              <w:spacing w:before="60" w:after="60"/>
              <w:jc w:val="center"/>
              <w:rPr>
                <w:rFonts w:asciiTheme="minorHAnsi" w:hAnsiTheme="minorHAnsi" w:cstheme="minorHAnsi"/>
                <w:noProof/>
                <w:sz w:val="14"/>
                <w:szCs w:val="16"/>
              </w:rPr>
            </w:pPr>
            <w:r w:rsidRPr="00D427D8">
              <w:rPr>
                <w:rFonts w:asciiTheme="minorHAnsi" w:hAnsiTheme="minorHAnsi" w:cstheme="minorHAnsi"/>
                <w:b/>
                <w:noProof/>
                <w:color w:val="FFFFFF" w:themeColor="background1"/>
                <w:sz w:val="28"/>
                <w:szCs w:val="16"/>
              </w:rPr>
              <w:t>1</w:t>
            </w:r>
          </w:p>
        </w:tc>
        <w:tc>
          <w:tcPr>
            <w:tcW w:w="1561" w:type="pct"/>
            <w:tcBorders>
              <w:top w:val="single" w:sz="18" w:space="0" w:color="FFFFFF"/>
            </w:tcBorders>
            <w:vAlign w:val="center"/>
          </w:tcPr>
          <w:p w14:paraId="1E1EFB00" w14:textId="77777777" w:rsidR="009F6E91" w:rsidRPr="00D427D8" w:rsidRDefault="009F6E91" w:rsidP="00162C78">
            <w:pPr>
              <w:pStyle w:val="6pt"/>
            </w:pPr>
            <w:bookmarkStart w:id="50" w:name="_Hlk141964795"/>
            <w:r w:rsidRPr="00D427D8">
              <w:t>in or towards payment of amounts due and payable in respect of taxes (if any) by the Issuer</w:t>
            </w:r>
            <w:bookmarkEnd w:id="50"/>
            <w:r w:rsidRPr="00D427D8">
              <w:t>, other than VAT payable in connection with the purchase of Expectancy Rights or the realisation of Leased Vehicles;</w:t>
            </w:r>
          </w:p>
        </w:tc>
        <w:tc>
          <w:tcPr>
            <w:tcW w:w="1561" w:type="pct"/>
            <w:tcBorders>
              <w:top w:val="single" w:sz="18" w:space="0" w:color="FFFFFF"/>
            </w:tcBorders>
          </w:tcPr>
          <w:p w14:paraId="258FE6C0" w14:textId="77777777" w:rsidR="009F6E91" w:rsidRPr="00D427D8" w:rsidRDefault="009F6E91" w:rsidP="00162C78">
            <w:pPr>
              <w:pStyle w:val="6pt"/>
            </w:pPr>
            <w:r w:rsidRPr="00D427D8">
              <w:t>To withhold on the Distribution Account an amount equal to the Principal Additional Amounts to be applied to meet any Interest Deficiency up to the available Principal Additional Amounts (for application in accordance with the Interest Priority of Payments)</w:t>
            </w:r>
          </w:p>
        </w:tc>
        <w:tc>
          <w:tcPr>
            <w:tcW w:w="1562" w:type="pct"/>
            <w:tcBorders>
              <w:top w:val="single" w:sz="18" w:space="0" w:color="FFFFFF"/>
            </w:tcBorders>
            <w:vAlign w:val="center"/>
          </w:tcPr>
          <w:p w14:paraId="1C941B02" w14:textId="77777777" w:rsidR="009F6E91" w:rsidRPr="00D427D8" w:rsidRDefault="009F6E91" w:rsidP="00162C78">
            <w:pPr>
              <w:pStyle w:val="6pt"/>
            </w:pPr>
            <w:r w:rsidRPr="00D427D8">
              <w:rPr>
                <w:noProof/>
              </w:rPr>
              <w:t>in or towards payment of amounts due and payable in respect of taxes (if any) by the Issuer, other than VAT payable in connection with the purchase of Expectancy Rights or the realisation of Leased Vehicles;</w:t>
            </w:r>
          </w:p>
        </w:tc>
      </w:tr>
      <w:tr w:rsidR="009F6E91" w:rsidRPr="00D427D8" w14:paraId="68E7A359"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4E473E8C" w14:textId="77777777" w:rsidR="009F6E91" w:rsidRPr="00D427D8" w:rsidRDefault="009F6E91" w:rsidP="009F6E91">
            <w:pPr>
              <w:spacing w:before="60" w:after="60"/>
              <w:jc w:val="center"/>
              <w:rPr>
                <w:rFonts w:asciiTheme="minorHAnsi" w:hAnsiTheme="minorHAnsi" w:cstheme="minorHAnsi"/>
                <w:noProof/>
                <w:sz w:val="14"/>
                <w:szCs w:val="16"/>
              </w:rPr>
            </w:pPr>
            <w:r w:rsidRPr="00D427D8">
              <w:rPr>
                <w:rFonts w:asciiTheme="minorHAnsi" w:hAnsiTheme="minorHAnsi" w:cstheme="minorHAnsi"/>
                <w:b/>
                <w:noProof/>
                <w:color w:val="FFFFFF" w:themeColor="background1"/>
                <w:sz w:val="28"/>
                <w:szCs w:val="16"/>
              </w:rPr>
              <w:t>2</w:t>
            </w:r>
          </w:p>
        </w:tc>
        <w:tc>
          <w:tcPr>
            <w:tcW w:w="1561" w:type="pct"/>
            <w:tcBorders>
              <w:top w:val="single" w:sz="18" w:space="0" w:color="FFFFFF"/>
            </w:tcBorders>
            <w:vAlign w:val="center"/>
          </w:tcPr>
          <w:p w14:paraId="1E376557" w14:textId="77777777" w:rsidR="009F6E91" w:rsidRPr="00D427D8" w:rsidRDefault="009F6E91" w:rsidP="00162C78">
            <w:pPr>
              <w:pStyle w:val="6pt"/>
              <w:rPr>
                <w:noProof/>
              </w:rPr>
            </w:pPr>
            <w:r w:rsidRPr="00D427D8">
              <w:rPr>
                <w:noProof/>
              </w:rPr>
              <w:t xml:space="preserve">On a </w:t>
            </w:r>
            <w:r w:rsidRPr="00D427D8">
              <w:rPr>
                <w:i/>
                <w:noProof/>
              </w:rPr>
              <w:t>pro rata</w:t>
            </w:r>
            <w:r w:rsidRPr="00D427D8">
              <w:rPr>
                <w:noProof/>
              </w:rPr>
              <w:t xml:space="preserve"> and </w:t>
            </w:r>
            <w:r w:rsidRPr="00D427D8">
              <w:rPr>
                <w:i/>
                <w:noProof/>
              </w:rPr>
              <w:t>pari passu</w:t>
            </w:r>
            <w:r w:rsidRPr="00D427D8">
              <w:rPr>
                <w:noProof/>
              </w:rPr>
              <w:t xml:space="preserve"> basis according to the respective amounts thereof:</w:t>
            </w:r>
          </w:p>
          <w:p w14:paraId="4E378456" w14:textId="77777777" w:rsidR="009F6E91" w:rsidRPr="00D427D8" w:rsidRDefault="009F6E91" w:rsidP="00631DA1">
            <w:pPr>
              <w:pStyle w:val="6pt"/>
              <w:ind w:left="357" w:hanging="357"/>
              <w:rPr>
                <w:noProof/>
              </w:rPr>
            </w:pPr>
            <w:r w:rsidRPr="00D427D8">
              <w:rPr>
                <w:noProof/>
              </w:rPr>
              <w:t>(1)</w:t>
            </w:r>
            <w:r w:rsidRPr="00D427D8">
              <w:rPr>
                <w:rFonts w:asciiTheme="minorHAnsi" w:hAnsiTheme="minorHAnsi" w:cstheme="minorHAnsi"/>
                <w:noProof/>
              </w:rPr>
              <w:tab/>
            </w:r>
            <w:bookmarkStart w:id="51" w:name="_Hlk141965202"/>
            <w:r w:rsidRPr="00D427D8">
              <w:rPr>
                <w:noProof/>
              </w:rPr>
              <w:t>Fees or other remuneration and any costs, charges, liabilities and expenses incurred by and any indemnity payments due to the Collateral Agent and the ER Collateral Agent;</w:t>
            </w:r>
            <w:bookmarkEnd w:id="51"/>
          </w:p>
          <w:p w14:paraId="42DCA6E4" w14:textId="77777777" w:rsidR="009F6E91" w:rsidRPr="00D427D8" w:rsidRDefault="009F6E91" w:rsidP="00162C78">
            <w:pPr>
              <w:pStyle w:val="6pt"/>
              <w:rPr>
                <w:lang w:val="en-US"/>
              </w:rPr>
            </w:pPr>
            <w:r w:rsidRPr="00D427D8">
              <w:rPr>
                <w:noProof/>
              </w:rPr>
              <w:t>(</w:t>
            </w:r>
            <w:r w:rsidRPr="00D427D8">
              <w:rPr>
                <w:lang w:val="en-US"/>
              </w:rPr>
              <w:t>1)</w:t>
            </w:r>
            <w:r w:rsidRPr="00D427D8">
              <w:rPr>
                <w:lang w:val="en-US"/>
              </w:rPr>
              <w:tab/>
              <w:t>all amounts due to the Account Bank under the Account Bank Agreement;</w:t>
            </w:r>
          </w:p>
          <w:p w14:paraId="25FB55E4" w14:textId="77777777" w:rsidR="009F6E91" w:rsidRPr="00D427D8" w:rsidRDefault="009F6E91" w:rsidP="00631DA1">
            <w:pPr>
              <w:pStyle w:val="6pt"/>
              <w:ind w:left="357" w:hanging="357"/>
              <w:rPr>
                <w:lang w:val="en-US"/>
              </w:rPr>
            </w:pPr>
            <w:r w:rsidRPr="00D427D8">
              <w:rPr>
                <w:lang w:val="en-US"/>
              </w:rPr>
              <w:t>(2)</w:t>
            </w:r>
            <w:r w:rsidRPr="00D427D8">
              <w:rPr>
                <w:lang w:val="en-US"/>
              </w:rPr>
              <w:tab/>
              <w:t xml:space="preserve">all amounts due to the Paying Agent, Reporting Agent and the Calculation Agent under the Agency </w:t>
            </w:r>
            <w:r w:rsidRPr="00D427D8">
              <w:rPr>
                <w:noProof/>
              </w:rPr>
              <w:t>Agreement</w:t>
            </w:r>
            <w:r w:rsidRPr="00D427D8">
              <w:rPr>
                <w:lang w:val="en-US"/>
              </w:rPr>
              <w:t>;</w:t>
            </w:r>
          </w:p>
          <w:p w14:paraId="361AD63C" w14:textId="77777777" w:rsidR="009F6E91" w:rsidRPr="00D427D8" w:rsidRDefault="009F6E91" w:rsidP="00162C78">
            <w:pPr>
              <w:pStyle w:val="6pt"/>
              <w:rPr>
                <w:rFonts w:asciiTheme="minorHAnsi" w:hAnsiTheme="minorHAnsi" w:cstheme="minorHAnsi"/>
              </w:rPr>
            </w:pPr>
          </w:p>
        </w:tc>
        <w:tc>
          <w:tcPr>
            <w:tcW w:w="1561" w:type="pct"/>
          </w:tcPr>
          <w:p w14:paraId="3E997D6F" w14:textId="77777777" w:rsidR="009F6E91" w:rsidRPr="00D427D8" w:rsidRDefault="009F6E91" w:rsidP="00162C78">
            <w:pPr>
              <w:pStyle w:val="6pt"/>
            </w:pPr>
            <w:r w:rsidRPr="00D427D8">
              <w:rPr>
                <w:bCs/>
              </w:rPr>
              <w:t>During the Revolving Period only, towards payment of the Further Purchase Price of the relevant Further Lease Receivables and Further Expectancy Rights purchased on such Distribution Date</w:t>
            </w:r>
          </w:p>
        </w:tc>
        <w:tc>
          <w:tcPr>
            <w:tcW w:w="1562" w:type="pct"/>
            <w:tcBorders>
              <w:top w:val="single" w:sz="18" w:space="0" w:color="FFFFFF"/>
            </w:tcBorders>
          </w:tcPr>
          <w:p w14:paraId="216DE9A9" w14:textId="77777777" w:rsidR="009F6E91" w:rsidRPr="00D427D8" w:rsidRDefault="009F6E91" w:rsidP="00162C78">
            <w:pPr>
              <w:pStyle w:val="6pt"/>
            </w:pPr>
            <w:r w:rsidRPr="00D427D8">
              <w:t xml:space="preserve">On a </w:t>
            </w:r>
            <w:r w:rsidRPr="00D427D8">
              <w:rPr>
                <w:i/>
                <w:iCs/>
              </w:rPr>
              <w:t xml:space="preserve">pro rata </w:t>
            </w:r>
            <w:r w:rsidRPr="00D427D8">
              <w:t xml:space="preserve">and </w:t>
            </w:r>
            <w:r w:rsidRPr="00D427D8">
              <w:rPr>
                <w:i/>
                <w:iCs/>
              </w:rPr>
              <w:t xml:space="preserve">pari passu </w:t>
            </w:r>
            <w:r w:rsidRPr="00D427D8">
              <w:t>basis according to the respective amounts thereof:</w:t>
            </w:r>
          </w:p>
          <w:p w14:paraId="10A9C62C" w14:textId="77777777" w:rsidR="009F6E91" w:rsidRPr="00D427D8" w:rsidRDefault="009F6E91" w:rsidP="00631DA1">
            <w:pPr>
              <w:pStyle w:val="6pt"/>
              <w:ind w:left="357" w:hanging="357"/>
              <w:rPr>
                <w:noProof/>
              </w:rPr>
            </w:pPr>
            <w:r w:rsidRPr="00D427D8">
              <w:t>(1)</w:t>
            </w:r>
            <w:r w:rsidRPr="00D427D8">
              <w:rPr>
                <w:rFonts w:asciiTheme="minorHAnsi" w:hAnsiTheme="minorHAnsi" w:cstheme="minorHAnsi"/>
              </w:rPr>
              <w:tab/>
            </w:r>
            <w:r w:rsidRPr="00D427D8">
              <w:rPr>
                <w:noProof/>
              </w:rPr>
              <w:t>Fees or other remuneration and any costs, charges, liabilities and expenses incurred by and any indemnity payments due to the Collateral Agent and the ER Collateral Agent;</w:t>
            </w:r>
          </w:p>
          <w:p w14:paraId="5C244E4A" w14:textId="77777777" w:rsidR="009F6E91" w:rsidRPr="00D427D8" w:rsidRDefault="009F6E91" w:rsidP="00162C78">
            <w:pPr>
              <w:pStyle w:val="6pt"/>
              <w:rPr>
                <w:lang w:val="en-US"/>
              </w:rPr>
            </w:pPr>
            <w:r w:rsidRPr="00D427D8">
              <w:rPr>
                <w:lang w:val="en-US"/>
              </w:rPr>
              <w:t>(1)</w:t>
            </w:r>
            <w:r w:rsidRPr="00D427D8">
              <w:rPr>
                <w:lang w:val="en-US"/>
              </w:rPr>
              <w:tab/>
              <w:t>all amounts due to the Account Bank under the Account Bank Agreement;</w:t>
            </w:r>
          </w:p>
          <w:p w14:paraId="77DC5195" w14:textId="77777777" w:rsidR="009F6E91" w:rsidRPr="00D427D8" w:rsidRDefault="009F6E91" w:rsidP="00631DA1">
            <w:pPr>
              <w:pStyle w:val="6pt"/>
              <w:ind w:left="357" w:hanging="357"/>
              <w:rPr>
                <w:lang w:val="en-US"/>
              </w:rPr>
            </w:pPr>
            <w:r w:rsidRPr="00D427D8">
              <w:rPr>
                <w:lang w:val="en-US"/>
              </w:rPr>
              <w:t>(2)</w:t>
            </w:r>
            <w:r w:rsidRPr="00D427D8">
              <w:rPr>
                <w:rFonts w:asciiTheme="minorHAnsi" w:hAnsiTheme="minorHAnsi" w:cstheme="minorHAnsi"/>
                <w:lang w:val="en-US"/>
              </w:rPr>
              <w:tab/>
            </w:r>
            <w:r w:rsidRPr="00D427D8">
              <w:t>all</w:t>
            </w:r>
            <w:r w:rsidRPr="00D427D8">
              <w:rPr>
                <w:lang w:val="en-US"/>
              </w:rPr>
              <w:t xml:space="preserve"> amounts due to the Paying Agent, the Reporting Agent and the Calculation Agent under the Agency </w:t>
            </w:r>
            <w:r w:rsidRPr="00D427D8">
              <w:rPr>
                <w:noProof/>
              </w:rPr>
              <w:t>Agreement</w:t>
            </w:r>
            <w:r w:rsidRPr="00D427D8">
              <w:rPr>
                <w:lang w:val="en-US"/>
              </w:rPr>
              <w:t>;</w:t>
            </w:r>
          </w:p>
          <w:p w14:paraId="5A32C620" w14:textId="77777777" w:rsidR="009F6E91" w:rsidRPr="00D427D8" w:rsidRDefault="009F6E91" w:rsidP="00162C78">
            <w:pPr>
              <w:pStyle w:val="6pt"/>
              <w:rPr>
                <w:rFonts w:asciiTheme="minorHAnsi" w:hAnsiTheme="minorHAnsi" w:cstheme="minorHAnsi"/>
              </w:rPr>
            </w:pPr>
          </w:p>
        </w:tc>
      </w:tr>
      <w:tr w:rsidR="009F6E91" w:rsidRPr="00D427D8" w14:paraId="5E8BF1C3"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1972727D" w14:textId="77777777" w:rsidR="009F6E91" w:rsidRPr="00D427D8" w:rsidRDefault="009F6E91" w:rsidP="009F6E91">
            <w:pPr>
              <w:spacing w:before="60" w:after="60"/>
              <w:jc w:val="center"/>
              <w:rPr>
                <w:rFonts w:asciiTheme="minorHAnsi" w:hAnsiTheme="minorHAnsi" w:cstheme="minorHAnsi"/>
                <w:noProof/>
                <w:sz w:val="14"/>
                <w:szCs w:val="16"/>
              </w:rPr>
            </w:pPr>
            <w:r w:rsidRPr="00D427D8">
              <w:rPr>
                <w:rFonts w:asciiTheme="minorHAnsi" w:hAnsiTheme="minorHAnsi" w:cstheme="minorHAnsi"/>
                <w:b/>
                <w:noProof/>
                <w:color w:val="FFFFFF" w:themeColor="background1"/>
                <w:sz w:val="28"/>
                <w:szCs w:val="16"/>
              </w:rPr>
              <w:t>3</w:t>
            </w:r>
          </w:p>
        </w:tc>
        <w:tc>
          <w:tcPr>
            <w:tcW w:w="1561" w:type="pct"/>
            <w:vAlign w:val="center"/>
          </w:tcPr>
          <w:p w14:paraId="569EE121" w14:textId="77777777" w:rsidR="009F6E91" w:rsidRPr="00D427D8" w:rsidRDefault="009F6E91" w:rsidP="00162C78">
            <w:pPr>
              <w:pStyle w:val="6pt"/>
              <w:rPr>
                <w:lang w:val="en-US"/>
              </w:rPr>
            </w:pPr>
            <w:r w:rsidRPr="00D427D8">
              <w:rPr>
                <w:lang w:val="en-US"/>
              </w:rPr>
              <w:t xml:space="preserve">On a </w:t>
            </w:r>
            <w:r w:rsidRPr="00D427D8">
              <w:rPr>
                <w:i/>
                <w:lang w:val="en-US"/>
              </w:rPr>
              <w:t>pro rata</w:t>
            </w:r>
            <w:r w:rsidRPr="00D427D8">
              <w:rPr>
                <w:lang w:val="en-US"/>
              </w:rPr>
              <w:t xml:space="preserve"> and </w:t>
            </w:r>
            <w:r w:rsidRPr="00D427D8">
              <w:rPr>
                <w:i/>
                <w:lang w:val="en-US"/>
              </w:rPr>
              <w:t>pari passu</w:t>
            </w:r>
            <w:r w:rsidRPr="00D427D8">
              <w:rPr>
                <w:lang w:val="en-US"/>
              </w:rPr>
              <w:t xml:space="preserve"> basis according to the respective amounts thereof:</w:t>
            </w:r>
          </w:p>
          <w:p w14:paraId="282F7FEA" w14:textId="77777777" w:rsidR="009F6E91" w:rsidRPr="00D427D8" w:rsidRDefault="009F6E91" w:rsidP="00631DA1">
            <w:pPr>
              <w:pStyle w:val="6pt"/>
              <w:ind w:left="357" w:hanging="357"/>
              <w:rPr>
                <w:noProof/>
              </w:rPr>
            </w:pPr>
            <w:r w:rsidRPr="00D427D8">
              <w:t>(1</w:t>
            </w:r>
            <w:r w:rsidRPr="00D427D8">
              <w:rPr>
                <w:noProof/>
              </w:rPr>
              <w:t>)</w:t>
            </w:r>
            <w:r w:rsidRPr="00D427D8">
              <w:rPr>
                <w:rFonts w:asciiTheme="minorHAnsi" w:hAnsiTheme="minorHAnsi" w:cstheme="minorHAnsi"/>
                <w:noProof/>
              </w:rPr>
              <w:tab/>
            </w:r>
            <w:r w:rsidRPr="00D427D8">
              <w:rPr>
                <w:noProof/>
              </w:rPr>
              <w:t>any exceptional expenses which may be incurred by the Issuer and the Counterparty (including any costs in connection with taking measures in accordance with the EMIR Consent, subject to, with respect to the Issuer only, a maximum amount of such costs of EUR 1,500 per annum);</w:t>
            </w:r>
          </w:p>
          <w:p w14:paraId="414AEE14" w14:textId="77777777" w:rsidR="009F6E91" w:rsidRPr="00D427D8" w:rsidRDefault="009F6E91" w:rsidP="00631DA1">
            <w:pPr>
              <w:pStyle w:val="6pt"/>
              <w:ind w:left="357" w:hanging="357"/>
              <w:rPr>
                <w:noProof/>
              </w:rPr>
            </w:pPr>
            <w:r w:rsidRPr="00D427D8">
              <w:rPr>
                <w:noProof/>
              </w:rPr>
              <w:t>(2)</w:t>
            </w:r>
            <w:r w:rsidRPr="00D427D8">
              <w:rPr>
                <w:noProof/>
              </w:rPr>
              <w:tab/>
              <w:t>all amounts due to the Corporate Services Provider and the Back-up Servicer Facilitator</w:t>
            </w:r>
          </w:p>
          <w:p w14:paraId="729C4656" w14:textId="77777777" w:rsidR="009F6E91" w:rsidRPr="00D427D8" w:rsidRDefault="009F6E91" w:rsidP="00631DA1">
            <w:pPr>
              <w:pStyle w:val="6pt"/>
              <w:ind w:left="357" w:hanging="357"/>
            </w:pPr>
            <w:r w:rsidRPr="00D427D8">
              <w:rPr>
                <w:noProof/>
              </w:rPr>
              <w:t>(</w:t>
            </w:r>
            <w:r w:rsidRPr="00D427D8">
              <w:t>3)</w:t>
            </w:r>
            <w:r w:rsidRPr="00D427D8">
              <w:rPr>
                <w:rFonts w:asciiTheme="minorHAnsi" w:hAnsiTheme="minorHAnsi" w:cstheme="minorHAnsi"/>
              </w:rPr>
              <w:tab/>
            </w:r>
            <w:r w:rsidRPr="00D427D8">
              <w:rPr>
                <w:noProof/>
              </w:rPr>
              <w:t>all</w:t>
            </w:r>
            <w:r w:rsidRPr="00D427D8">
              <w:t xml:space="preserve"> amounts due to the Data Protection Trustee under the Data Protection Agreement.</w:t>
            </w:r>
          </w:p>
        </w:tc>
        <w:tc>
          <w:tcPr>
            <w:tcW w:w="1561" w:type="pct"/>
          </w:tcPr>
          <w:p w14:paraId="70433F9C" w14:textId="77777777" w:rsidR="009F6E91" w:rsidRPr="00D427D8" w:rsidRDefault="009F6E91" w:rsidP="00162C78">
            <w:pPr>
              <w:pStyle w:val="6pt"/>
            </w:pPr>
            <w:r w:rsidRPr="00D427D8">
              <w:rPr>
                <w:bCs/>
              </w:rPr>
              <w:t>During the Revolving Period only, towards the Reinvestment Principal Ledger</w:t>
            </w:r>
          </w:p>
        </w:tc>
        <w:tc>
          <w:tcPr>
            <w:tcW w:w="1562" w:type="pct"/>
          </w:tcPr>
          <w:p w14:paraId="5EEC32F0" w14:textId="77777777" w:rsidR="009F6E91" w:rsidRPr="00D427D8" w:rsidRDefault="009F6E91" w:rsidP="00162C78">
            <w:pPr>
              <w:pStyle w:val="6pt"/>
              <w:rPr>
                <w:lang w:val="en-US"/>
              </w:rPr>
            </w:pPr>
            <w:r w:rsidRPr="00D427D8">
              <w:rPr>
                <w:lang w:val="en-US"/>
              </w:rPr>
              <w:t xml:space="preserve">On a </w:t>
            </w:r>
            <w:r w:rsidRPr="00D427D8">
              <w:rPr>
                <w:i/>
                <w:lang w:val="en-US"/>
              </w:rPr>
              <w:t>pro rata</w:t>
            </w:r>
            <w:r w:rsidRPr="00D427D8">
              <w:rPr>
                <w:lang w:val="en-US"/>
              </w:rPr>
              <w:t xml:space="preserve"> and </w:t>
            </w:r>
            <w:r w:rsidRPr="00D427D8">
              <w:rPr>
                <w:i/>
                <w:lang w:val="en-US"/>
              </w:rPr>
              <w:t>pari passu</w:t>
            </w:r>
            <w:r w:rsidRPr="00D427D8">
              <w:rPr>
                <w:lang w:val="en-US"/>
              </w:rPr>
              <w:t xml:space="preserve"> basis according to the respective amounts thereof:</w:t>
            </w:r>
          </w:p>
          <w:p w14:paraId="266B175A" w14:textId="77777777" w:rsidR="009F6E91" w:rsidRPr="00D427D8" w:rsidRDefault="009F6E91" w:rsidP="00631DA1">
            <w:pPr>
              <w:pStyle w:val="6pt"/>
              <w:ind w:left="357" w:hanging="357"/>
            </w:pPr>
            <w:r w:rsidRPr="00D427D8">
              <w:t>(1)</w:t>
            </w:r>
            <w:r w:rsidRPr="00D427D8">
              <w:tab/>
              <w:t xml:space="preserve">exceptional expenses which may be incurred by the Issuer </w:t>
            </w:r>
            <w:r w:rsidRPr="00D427D8">
              <w:rPr>
                <w:noProof/>
              </w:rPr>
              <w:t>and the Counterparty</w:t>
            </w:r>
            <w:r w:rsidRPr="00D427D8">
              <w:t xml:space="preserve"> (including any costs in connection with taking measures in accordance with the EMIR Consent, subject to, </w:t>
            </w:r>
            <w:r w:rsidRPr="00D427D8">
              <w:rPr>
                <w:noProof/>
              </w:rPr>
              <w:t>with respect to the Issuer only,</w:t>
            </w:r>
            <w:r w:rsidRPr="00D427D8">
              <w:t xml:space="preserve"> a maximum amount of such costs of EUR 1,500 per annum); and</w:t>
            </w:r>
          </w:p>
          <w:p w14:paraId="756B9C54" w14:textId="77777777" w:rsidR="009F6E91" w:rsidRPr="00D427D8" w:rsidRDefault="009F6E91" w:rsidP="00631DA1">
            <w:pPr>
              <w:pStyle w:val="6pt"/>
              <w:ind w:left="357" w:hanging="357"/>
            </w:pPr>
            <w:r w:rsidRPr="00D427D8">
              <w:rPr>
                <w:noProof/>
              </w:rPr>
              <w:t>(2)</w:t>
            </w:r>
            <w:r w:rsidRPr="00D427D8">
              <w:rPr>
                <w:rFonts w:asciiTheme="minorHAnsi" w:hAnsiTheme="minorHAnsi" w:cstheme="minorHAnsi"/>
                <w:noProof/>
              </w:rPr>
              <w:tab/>
            </w:r>
            <w:r w:rsidRPr="00D427D8">
              <w:t>all amounts due to the Corporate Services Provider and the Back-up Servicer Facilitator</w:t>
            </w:r>
          </w:p>
          <w:p w14:paraId="3C592B0B" w14:textId="77777777" w:rsidR="009F6E91" w:rsidRPr="00D427D8" w:rsidRDefault="009F6E91" w:rsidP="00631DA1">
            <w:pPr>
              <w:pStyle w:val="6pt"/>
              <w:ind w:left="357" w:hanging="357"/>
            </w:pPr>
            <w:r w:rsidRPr="00D427D8">
              <w:t>(3)</w:t>
            </w:r>
            <w:r w:rsidRPr="00D427D8">
              <w:rPr>
                <w:rFonts w:asciiTheme="minorHAnsi" w:hAnsiTheme="minorHAnsi" w:cstheme="minorHAnsi"/>
              </w:rPr>
              <w:tab/>
            </w:r>
            <w:r w:rsidRPr="00D427D8">
              <w:rPr>
                <w:noProof/>
              </w:rPr>
              <w:t>all</w:t>
            </w:r>
            <w:r w:rsidRPr="00D427D8">
              <w:t xml:space="preserve"> amounts due to the Data Protection Trustee under the Data Protection Agreement.</w:t>
            </w:r>
          </w:p>
          <w:p w14:paraId="43D50775" w14:textId="77777777" w:rsidR="009F6E91" w:rsidRPr="00D427D8" w:rsidRDefault="009F6E91" w:rsidP="00631DA1">
            <w:pPr>
              <w:pStyle w:val="6pt"/>
              <w:ind w:left="357" w:hanging="357"/>
            </w:pPr>
            <w:r w:rsidRPr="00D427D8">
              <w:t>(4)</w:t>
            </w:r>
            <w:r w:rsidRPr="00D427D8">
              <w:rPr>
                <w:rFonts w:asciiTheme="minorHAnsi" w:hAnsiTheme="minorHAnsi" w:cstheme="minorHAnsi"/>
              </w:rPr>
              <w:tab/>
            </w:r>
            <w:r w:rsidRPr="00D427D8">
              <w:t>all amounts due to a Receiver appointed under the Security Assignment Deed.</w:t>
            </w:r>
          </w:p>
        </w:tc>
      </w:tr>
      <w:tr w:rsidR="009F6E91" w:rsidRPr="00D427D8" w14:paraId="74099327"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39C6B303" w14:textId="77777777" w:rsidR="009F6E91" w:rsidRPr="00D427D8" w:rsidRDefault="009F6E91" w:rsidP="009F6E91">
            <w:pPr>
              <w:spacing w:before="60" w:after="60"/>
              <w:jc w:val="center"/>
              <w:rPr>
                <w:rFonts w:asciiTheme="minorHAnsi" w:hAnsiTheme="minorHAnsi" w:cstheme="minorHAnsi"/>
                <w:noProof/>
                <w:sz w:val="14"/>
                <w:szCs w:val="16"/>
              </w:rPr>
            </w:pPr>
            <w:r w:rsidRPr="00D427D8">
              <w:rPr>
                <w:rFonts w:asciiTheme="minorHAnsi" w:hAnsiTheme="minorHAnsi" w:cstheme="minorHAnsi"/>
                <w:b/>
                <w:noProof/>
                <w:color w:val="FFFFFF" w:themeColor="background1"/>
                <w:sz w:val="28"/>
                <w:szCs w:val="16"/>
              </w:rPr>
              <w:t>4</w:t>
            </w:r>
          </w:p>
        </w:tc>
        <w:tc>
          <w:tcPr>
            <w:tcW w:w="1561" w:type="pct"/>
            <w:vAlign w:val="center"/>
          </w:tcPr>
          <w:p w14:paraId="16CE4685" w14:textId="77777777" w:rsidR="009F6E91" w:rsidRPr="00D427D8" w:rsidRDefault="009F6E91" w:rsidP="00162C78">
            <w:pPr>
              <w:pStyle w:val="6pt"/>
              <w:rPr>
                <w:lang w:val="en-US"/>
              </w:rPr>
            </w:pPr>
            <w:r w:rsidRPr="00D427D8">
              <w:rPr>
                <w:lang w:val="en-US"/>
              </w:rPr>
              <w:t xml:space="preserve">On a </w:t>
            </w:r>
            <w:r w:rsidRPr="00D427D8">
              <w:rPr>
                <w:i/>
                <w:lang w:val="en-US"/>
              </w:rPr>
              <w:t>pro rata</w:t>
            </w:r>
            <w:r w:rsidRPr="00D427D8">
              <w:rPr>
                <w:lang w:val="en-US"/>
              </w:rPr>
              <w:t xml:space="preserve"> and </w:t>
            </w:r>
            <w:r w:rsidRPr="00D427D8">
              <w:rPr>
                <w:i/>
                <w:lang w:val="en-US"/>
              </w:rPr>
              <w:t>pari passu</w:t>
            </w:r>
            <w:r w:rsidRPr="00D427D8">
              <w:rPr>
                <w:lang w:val="en-US"/>
              </w:rPr>
              <w:t xml:space="preserve"> basis according to the respective amounts thereof:</w:t>
            </w:r>
          </w:p>
          <w:p w14:paraId="02741A49" w14:textId="77777777" w:rsidR="009F6E91" w:rsidRPr="00D427D8" w:rsidRDefault="009F6E91" w:rsidP="00631DA1">
            <w:pPr>
              <w:pStyle w:val="6pt"/>
              <w:ind w:left="357" w:hanging="357"/>
              <w:rPr>
                <w:lang w:val="en-US"/>
              </w:rPr>
            </w:pPr>
            <w:r w:rsidRPr="00D427D8">
              <w:rPr>
                <w:lang w:val="en-US"/>
              </w:rPr>
              <w:t>(1)</w:t>
            </w:r>
            <w:r w:rsidRPr="00D427D8">
              <w:rPr>
                <w:lang w:val="en-US"/>
              </w:rPr>
              <w:tab/>
              <w:t>all amounts due to the Servicer under the Servicing Agreement and a Back-up Servicer under a back-up servicing agreement;</w:t>
            </w:r>
          </w:p>
          <w:p w14:paraId="3B211E50" w14:textId="77777777" w:rsidR="009F6E91" w:rsidRPr="00D427D8" w:rsidRDefault="009F6E91" w:rsidP="00631DA1">
            <w:pPr>
              <w:pStyle w:val="6pt"/>
              <w:ind w:left="357" w:hanging="357"/>
            </w:pPr>
            <w:r w:rsidRPr="00D427D8">
              <w:rPr>
                <w:lang w:val="en-US"/>
              </w:rPr>
              <w:t>(2)</w:t>
            </w:r>
            <w:r w:rsidRPr="00D427D8">
              <w:rPr>
                <w:lang w:val="en-US"/>
              </w:rPr>
              <w:tab/>
              <w:t>all amounts due and payable to the Rating Agencies for their services in connection with the Transaction Documents and surveillance of the credit ratings</w:t>
            </w:r>
          </w:p>
        </w:tc>
        <w:tc>
          <w:tcPr>
            <w:tcW w:w="1561" w:type="pct"/>
          </w:tcPr>
          <w:p w14:paraId="0094BAF6"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A Notes Redemption Amount to the Class A Noteholders</w:t>
            </w:r>
          </w:p>
        </w:tc>
        <w:tc>
          <w:tcPr>
            <w:tcW w:w="1562" w:type="pct"/>
          </w:tcPr>
          <w:p w14:paraId="64D515F4" w14:textId="77777777" w:rsidR="009F6E91" w:rsidRPr="00D427D8" w:rsidRDefault="009F6E91" w:rsidP="00162C78">
            <w:pPr>
              <w:pStyle w:val="6pt"/>
            </w:pPr>
            <w:r w:rsidRPr="00D427D8">
              <w:t xml:space="preserve">On a </w:t>
            </w:r>
            <w:r w:rsidRPr="00D427D8">
              <w:rPr>
                <w:i/>
                <w:iCs/>
              </w:rPr>
              <w:t xml:space="preserve">pro rata and pari passu </w:t>
            </w:r>
            <w:r w:rsidRPr="00D427D8">
              <w:t>basis according to the respective amounts thereof:</w:t>
            </w:r>
          </w:p>
          <w:p w14:paraId="5DB82062" w14:textId="77777777" w:rsidR="009F6E91" w:rsidRPr="00D427D8" w:rsidRDefault="009F6E91" w:rsidP="00631DA1">
            <w:pPr>
              <w:pStyle w:val="6pt"/>
              <w:ind w:left="357" w:hanging="357"/>
              <w:rPr>
                <w:lang w:val="en-US"/>
              </w:rPr>
            </w:pPr>
            <w:r w:rsidRPr="00D427D8">
              <w:rPr>
                <w:lang w:val="en-US"/>
              </w:rPr>
              <w:t>(1)</w:t>
            </w:r>
            <w:r w:rsidRPr="00D427D8">
              <w:rPr>
                <w:lang w:val="en-US"/>
              </w:rPr>
              <w:tab/>
              <w:t>all amounts due to the Servicer under the Servicing Agreement and a Back-up Servicer under a back-up servicing agreement;</w:t>
            </w:r>
          </w:p>
          <w:p w14:paraId="7BBF46BC" w14:textId="77777777" w:rsidR="009F6E91" w:rsidRPr="00D427D8" w:rsidRDefault="009F6E91" w:rsidP="00631DA1">
            <w:pPr>
              <w:pStyle w:val="6pt"/>
              <w:ind w:left="357" w:hanging="357"/>
            </w:pPr>
            <w:r w:rsidRPr="00D427D8">
              <w:rPr>
                <w:lang w:val="en-US"/>
              </w:rPr>
              <w:t>(2)</w:t>
            </w:r>
            <w:r w:rsidRPr="00D427D8">
              <w:rPr>
                <w:lang w:val="en-US"/>
              </w:rPr>
              <w:tab/>
              <w:t>all amounts due and payable to the Rating Agencies for their services in connection with the Transaction Documents and surveillance of the credit ratings</w:t>
            </w:r>
          </w:p>
        </w:tc>
      </w:tr>
      <w:tr w:rsidR="009F6E91" w:rsidRPr="00D427D8" w14:paraId="3753114F"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2E5F3EEC" w14:textId="77777777" w:rsidR="009F6E91" w:rsidRPr="00D427D8" w:rsidRDefault="009F6E91" w:rsidP="009F6E91">
            <w:pPr>
              <w:spacing w:before="60" w:after="60"/>
              <w:jc w:val="center"/>
              <w:rPr>
                <w:rFonts w:asciiTheme="minorHAnsi" w:hAnsiTheme="minorHAnsi" w:cstheme="minorHAnsi"/>
                <w:noProof/>
                <w:sz w:val="14"/>
                <w:szCs w:val="16"/>
              </w:rPr>
            </w:pPr>
            <w:r w:rsidRPr="00D427D8">
              <w:rPr>
                <w:rFonts w:asciiTheme="minorHAnsi" w:hAnsiTheme="minorHAnsi" w:cstheme="minorHAnsi"/>
                <w:b/>
                <w:noProof/>
                <w:color w:val="FFFFFF" w:themeColor="background1"/>
                <w:sz w:val="28"/>
                <w:szCs w:val="16"/>
              </w:rPr>
              <w:t>5</w:t>
            </w:r>
          </w:p>
        </w:tc>
        <w:tc>
          <w:tcPr>
            <w:tcW w:w="1561" w:type="pct"/>
            <w:vAlign w:val="center"/>
          </w:tcPr>
          <w:p w14:paraId="16FDB20A" w14:textId="77777777" w:rsidR="009F6E91" w:rsidRPr="00D427D8" w:rsidRDefault="009F6E91" w:rsidP="00162C78">
            <w:pPr>
              <w:pStyle w:val="6pt"/>
            </w:pPr>
            <w:r w:rsidRPr="00D427D8">
              <w:t>To pay amounts due and payable to the Counterparty (except for tax credits, returns of collateral, premiums and related interest on collateral in accordance with the Hedging Arrangement, each of which are payable outside the applicable Interest Priority of Payments, Principal Priority of Payments or Accelerated Priority of Payments) in respect of the Hedging Arrangemen</w:t>
            </w:r>
            <w:r w:rsidRPr="00D427D8">
              <w:rPr>
                <w:szCs w:val="12"/>
              </w:rPr>
              <w:t>t</w:t>
            </w:r>
            <w:r w:rsidRPr="00D427D8">
              <w:t xml:space="preserve"> and other than early termination amounts payable to the Counterparty under the Hedging Arrangement where such early termination has been caused by:</w:t>
            </w:r>
          </w:p>
          <w:p w14:paraId="1DA3D5FE" w14:textId="6BF7E141" w:rsidR="009F6E91" w:rsidRPr="00D427D8" w:rsidRDefault="009F6E91" w:rsidP="00631DA1">
            <w:pPr>
              <w:pStyle w:val="6pt"/>
              <w:ind w:left="357" w:hanging="357"/>
            </w:pPr>
            <w:r w:rsidRPr="00D427D8">
              <w:t>(i)</w:t>
            </w:r>
            <w:r w:rsidRPr="00D427D8">
              <w:rPr>
                <w:rFonts w:asciiTheme="minorHAnsi" w:hAnsiTheme="minorHAnsi" w:cstheme="minorHAnsi"/>
              </w:rPr>
              <w:tab/>
            </w:r>
            <w:r w:rsidRPr="00D427D8">
              <w:t xml:space="preserve">an Additional Termination Event (as defined in the Hedging Arrangement) which occurs as a result of the failure of the Counterparty to comply with the requirements of a rating downgrade provision set out under the </w:t>
            </w:r>
            <w:r w:rsidR="00906C28" w:rsidRPr="00906C28">
              <w:t>Hedging Arrangement</w:t>
            </w:r>
            <w:r w:rsidRPr="00D427D8">
              <w:t>; or</w:t>
            </w:r>
          </w:p>
          <w:p w14:paraId="31553922" w14:textId="77777777" w:rsidR="009F6E91" w:rsidRPr="00D427D8" w:rsidRDefault="009F6E91" w:rsidP="00631DA1">
            <w:pPr>
              <w:pStyle w:val="6pt"/>
              <w:ind w:left="357" w:hanging="357"/>
            </w:pPr>
            <w:r w:rsidRPr="00D427D8">
              <w:t>(ii)</w:t>
            </w:r>
            <w:r w:rsidRPr="00D427D8">
              <w:tab/>
              <w:t>an Event of Default (as defined in the</w:t>
            </w:r>
            <w:r w:rsidRPr="00D427D8" w:rsidDel="00CA6DAD">
              <w:t xml:space="preserve"> </w:t>
            </w:r>
            <w:r w:rsidRPr="00D427D8">
              <w:t>Hedging Arrangement) (where the Counterparty is the defaulting party)</w:t>
            </w:r>
          </w:p>
        </w:tc>
        <w:tc>
          <w:tcPr>
            <w:tcW w:w="1561" w:type="pct"/>
          </w:tcPr>
          <w:p w14:paraId="2D7D883F"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B Notes Redemption Amount to the Class B Noteholders</w:t>
            </w:r>
          </w:p>
        </w:tc>
        <w:tc>
          <w:tcPr>
            <w:tcW w:w="1562" w:type="pct"/>
          </w:tcPr>
          <w:p w14:paraId="43E0A9E2" w14:textId="77777777" w:rsidR="009F6E91" w:rsidRPr="00D427D8" w:rsidRDefault="009F6E91" w:rsidP="00162C78">
            <w:pPr>
              <w:pStyle w:val="6pt"/>
              <w:rPr>
                <w:szCs w:val="12"/>
              </w:rPr>
            </w:pPr>
            <w:r w:rsidRPr="00D427D8">
              <w:t xml:space="preserve">To pay amounts due and payable to </w:t>
            </w:r>
            <w:r w:rsidRPr="00D427D8">
              <w:rPr>
                <w:szCs w:val="12"/>
              </w:rPr>
              <w:t xml:space="preserve">the Counterparty (except for </w:t>
            </w:r>
            <w:r w:rsidRPr="00D427D8">
              <w:t xml:space="preserve">tax credits, returns of </w:t>
            </w:r>
            <w:r w:rsidRPr="00D427D8">
              <w:rPr>
                <w:szCs w:val="12"/>
              </w:rPr>
              <w:t>collateral, premiums and related interest on collateral in accordance with the Hedging Arrangement</w:t>
            </w:r>
            <w:r w:rsidRPr="00D427D8">
              <w:t>, each of</w:t>
            </w:r>
            <w:r w:rsidRPr="00D427D8">
              <w:rPr>
                <w:szCs w:val="12"/>
              </w:rPr>
              <w:t xml:space="preserve"> which are payable outside the applicable Interest Priority of Payments, Principal Priority of Payments or Accelerated Priority of Payments) in respect of the Hedging Arrangement and other than early termination amounts </w:t>
            </w:r>
            <w:r w:rsidRPr="00D427D8">
              <w:t>payable</w:t>
            </w:r>
            <w:r w:rsidRPr="00D427D8">
              <w:rPr>
                <w:szCs w:val="12"/>
              </w:rPr>
              <w:t xml:space="preserve"> to the Counterparty under the Hedging Arrangement where such early termination has been caused by:</w:t>
            </w:r>
          </w:p>
          <w:p w14:paraId="1CE22A81" w14:textId="685D7323" w:rsidR="009F6E91" w:rsidRPr="00D427D8" w:rsidRDefault="009F6E91" w:rsidP="00631DA1">
            <w:pPr>
              <w:pStyle w:val="6pt"/>
              <w:ind w:left="357" w:hanging="357"/>
            </w:pPr>
            <w:r w:rsidRPr="00D427D8">
              <w:t>(i)</w:t>
            </w:r>
            <w:r w:rsidRPr="00D427D8">
              <w:rPr>
                <w:rFonts w:asciiTheme="minorHAnsi" w:hAnsiTheme="minorHAnsi" w:cstheme="minorHAnsi"/>
              </w:rPr>
              <w:tab/>
            </w:r>
            <w:r w:rsidRPr="00D427D8">
              <w:t xml:space="preserve">an </w:t>
            </w:r>
            <w:bookmarkStart w:id="52" w:name="_Hlk198121121"/>
            <w:r w:rsidRPr="00D427D8">
              <w:t xml:space="preserve">Additional Termination Event (as defined in the Hedging Arrangement) which occurs as a result of the failure of the Counterparty to comply with the requirements of a rating downgrade provision set out under the </w:t>
            </w:r>
            <w:r w:rsidR="00906C28" w:rsidRPr="00906C28">
              <w:t>Hedging Arrangement</w:t>
            </w:r>
            <w:r w:rsidRPr="00D427D8">
              <w:t>; or</w:t>
            </w:r>
            <w:bookmarkEnd w:id="52"/>
          </w:p>
          <w:p w14:paraId="2B8563D1" w14:textId="77777777" w:rsidR="009F6E91" w:rsidRPr="00D427D8" w:rsidRDefault="009F6E91" w:rsidP="00631DA1">
            <w:pPr>
              <w:pStyle w:val="6pt"/>
              <w:ind w:left="357" w:hanging="357"/>
            </w:pPr>
            <w:r w:rsidRPr="00D427D8">
              <w:t>(ii)</w:t>
            </w:r>
            <w:r w:rsidRPr="00D427D8">
              <w:tab/>
              <w:t>an Event of Default (as defined in the Hedging Arrangement) (where the Counterparty is the defaulting party)</w:t>
            </w:r>
          </w:p>
        </w:tc>
      </w:tr>
      <w:tr w:rsidR="009F6E91" w:rsidRPr="00D427D8" w14:paraId="23002F42"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08CBC903"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6</w:t>
            </w:r>
          </w:p>
        </w:tc>
        <w:tc>
          <w:tcPr>
            <w:tcW w:w="1561" w:type="pct"/>
            <w:vAlign w:val="center"/>
          </w:tcPr>
          <w:p w14:paraId="0CEB2C3E" w14:textId="77777777" w:rsidR="009F6E91" w:rsidRPr="00D427D8" w:rsidRDefault="009F6E91" w:rsidP="00162C78">
            <w:pPr>
              <w:pStyle w:val="6pt"/>
            </w:pPr>
            <w:r w:rsidRPr="00D427D8">
              <w:t>To the extent the Liquidity Reserve is not used in full to cover any shortfalls under the Liquidity Reserve Items to pay to the Reserve Account the amount, if any, required to replenish the Liquidity Reserve up to the Liquidity Reserve Target Amount</w:t>
            </w:r>
          </w:p>
        </w:tc>
        <w:tc>
          <w:tcPr>
            <w:tcW w:w="1561" w:type="pct"/>
          </w:tcPr>
          <w:p w14:paraId="350D0A2F"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C Notes Redemption Amount to the Class C Noteholders</w:t>
            </w:r>
          </w:p>
        </w:tc>
        <w:tc>
          <w:tcPr>
            <w:tcW w:w="1562" w:type="pct"/>
          </w:tcPr>
          <w:p w14:paraId="504C87BD"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A Notes Interest Amounts payable in respect of the Interest Period ending on such Distribution Date to the Class A Noteholders</w:t>
            </w:r>
          </w:p>
        </w:tc>
      </w:tr>
      <w:tr w:rsidR="009F6E91" w:rsidRPr="00D427D8" w14:paraId="0A60A52C"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5921C965" w14:textId="77777777" w:rsidR="009F6E91" w:rsidRPr="00D427D8" w:rsidRDefault="009F6E91" w:rsidP="009F6E91">
            <w:pPr>
              <w:keepNext/>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lastRenderedPageBreak/>
              <w:t>7</w:t>
            </w:r>
          </w:p>
        </w:tc>
        <w:tc>
          <w:tcPr>
            <w:tcW w:w="1561" w:type="pct"/>
            <w:vAlign w:val="center"/>
          </w:tcPr>
          <w:p w14:paraId="00382068"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A Notes Interest Amounts payable in respect of the Interest Period ending on such Distribution Date to the Class A Noteholders</w:t>
            </w:r>
          </w:p>
        </w:tc>
        <w:tc>
          <w:tcPr>
            <w:tcW w:w="1561" w:type="pct"/>
          </w:tcPr>
          <w:p w14:paraId="043FDACD"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D Notes Redemption Amount to the Class D Noteholders</w:t>
            </w:r>
          </w:p>
        </w:tc>
        <w:tc>
          <w:tcPr>
            <w:tcW w:w="1562" w:type="pct"/>
          </w:tcPr>
          <w:p w14:paraId="20B9939D"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A Notes Redemption Amount to the Class A Noteholders until the Class A Notes are amortised in full</w:t>
            </w:r>
          </w:p>
        </w:tc>
      </w:tr>
      <w:tr w:rsidR="009F6E91" w:rsidRPr="00D427D8" w14:paraId="5E3078A3"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38AD3FF2"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8</w:t>
            </w:r>
          </w:p>
        </w:tc>
        <w:tc>
          <w:tcPr>
            <w:tcW w:w="1561" w:type="pct"/>
            <w:vAlign w:val="center"/>
          </w:tcPr>
          <w:p w14:paraId="697AF686" w14:textId="77777777" w:rsidR="009F6E91" w:rsidRPr="00D427D8" w:rsidRDefault="009F6E91" w:rsidP="00162C78">
            <w:pPr>
              <w:pStyle w:val="6pt"/>
            </w:pPr>
            <w:r w:rsidRPr="00D427D8">
              <w:t>Credit (while any Class A Notes will remain outstanding following such Distribution Date) of the Class A Principal Deficiency Sub-Ledger in an amount sufficient to eliminate any debit on the Class A Principal Deficiency Sub-Ledger (any such amounts to be applied as Available Principal Distribution Amount pursuant to the Principal Priority of Payments)</w:t>
            </w:r>
          </w:p>
        </w:tc>
        <w:tc>
          <w:tcPr>
            <w:tcW w:w="1561" w:type="pct"/>
          </w:tcPr>
          <w:p w14:paraId="2D505F7A"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E Notes Redemption Amount to the Class E Noteholders</w:t>
            </w:r>
          </w:p>
        </w:tc>
        <w:tc>
          <w:tcPr>
            <w:tcW w:w="1562" w:type="pct"/>
          </w:tcPr>
          <w:p w14:paraId="7F6B9B44" w14:textId="77777777" w:rsidR="009F6E91" w:rsidRPr="00D427D8" w:rsidRDefault="009F6E91" w:rsidP="00162C78">
            <w:pPr>
              <w:pStyle w:val="6pt"/>
            </w:pPr>
            <w:r w:rsidRPr="00D427D8">
              <w:rPr>
                <w:bCs/>
              </w:rPr>
              <w:t>(to the</w:t>
            </w:r>
            <w:r w:rsidRPr="00D427D8">
              <w:t xml:space="preserve"> extent that the Class B Notes are the Most Senior Class of Notes) to pay on a </w:t>
            </w:r>
            <w:r w:rsidRPr="00D427D8">
              <w:rPr>
                <w:i/>
              </w:rPr>
              <w:t>pro rata</w:t>
            </w:r>
            <w:r w:rsidRPr="00D427D8">
              <w:t xml:space="preserve"> and </w:t>
            </w:r>
            <w:r w:rsidRPr="00D427D8">
              <w:rPr>
                <w:i/>
              </w:rPr>
              <w:t>pari passu</w:t>
            </w:r>
            <w:r w:rsidRPr="00D427D8">
              <w:t xml:space="preserve"> basis the Class B Notes Interest Amounts payable in respect of the Interest Period ending on such Distribution Date to the Class B Noteholders</w:t>
            </w:r>
          </w:p>
        </w:tc>
      </w:tr>
      <w:tr w:rsidR="009F6E91" w:rsidRPr="00D427D8" w14:paraId="2463139A"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0490E5A7" w14:textId="77777777" w:rsidR="009F6E91" w:rsidRPr="00D427D8" w:rsidRDefault="009F6E91" w:rsidP="009F6E91">
            <w:pPr>
              <w:spacing w:before="60" w:after="60"/>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9</w:t>
            </w:r>
          </w:p>
        </w:tc>
        <w:tc>
          <w:tcPr>
            <w:tcW w:w="1561" w:type="pct"/>
            <w:vAlign w:val="center"/>
          </w:tcPr>
          <w:p w14:paraId="45C6E261" w14:textId="77777777" w:rsidR="009F6E91" w:rsidRPr="00D427D8" w:rsidRDefault="009F6E91" w:rsidP="00162C78">
            <w:pPr>
              <w:pStyle w:val="6pt"/>
            </w:pPr>
            <w:r w:rsidRPr="00D427D8">
              <w:rPr>
                <w:bCs/>
              </w:rPr>
              <w:t>(to the</w:t>
            </w:r>
            <w:r w:rsidRPr="00D427D8">
              <w:t xml:space="preserve"> extent that (i) the Class B Notes are the Most Senior Class of Notes or (ii) the amount debited on the Class B Principal Deficiency Sub-Ledger is less than 25 per cent. of the Principal Outstanding Notes Balance of the Class B Notes) to pay on a </w:t>
            </w:r>
            <w:r w:rsidRPr="00D427D8">
              <w:rPr>
                <w:i/>
              </w:rPr>
              <w:t>pro rata</w:t>
            </w:r>
            <w:r w:rsidRPr="00D427D8">
              <w:t xml:space="preserve"> and </w:t>
            </w:r>
            <w:r w:rsidRPr="00D427D8">
              <w:rPr>
                <w:i/>
              </w:rPr>
              <w:t>pari passu</w:t>
            </w:r>
            <w:r w:rsidRPr="00D427D8">
              <w:t xml:space="preserve"> basis the Class B Notes Interest Amounts payable in respect of the Interest Period ending on such Distribution Date to the Class B Noteholders</w:t>
            </w:r>
          </w:p>
        </w:tc>
        <w:tc>
          <w:tcPr>
            <w:tcW w:w="1561" w:type="pct"/>
          </w:tcPr>
          <w:p w14:paraId="79E76B3E"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F Notes Redemption Amount to the Class F Noteholders</w:t>
            </w:r>
          </w:p>
        </w:tc>
        <w:tc>
          <w:tcPr>
            <w:tcW w:w="1562" w:type="pct"/>
          </w:tcPr>
          <w:p w14:paraId="3E0A18B8"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B Notes Redemption Amount to the Class B Noteholders until the Class B Notes are amortised in full</w:t>
            </w:r>
          </w:p>
        </w:tc>
      </w:tr>
      <w:tr w:rsidR="009F6E91" w:rsidRPr="00D427D8" w14:paraId="3EF3D859"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07F3BCBC"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10</w:t>
            </w:r>
          </w:p>
        </w:tc>
        <w:tc>
          <w:tcPr>
            <w:tcW w:w="1561" w:type="pct"/>
            <w:vAlign w:val="center"/>
          </w:tcPr>
          <w:p w14:paraId="2C9C3E35" w14:textId="77777777" w:rsidR="009F6E91" w:rsidRPr="00D427D8" w:rsidRDefault="009F6E91" w:rsidP="00162C78">
            <w:pPr>
              <w:pStyle w:val="6pt"/>
            </w:pPr>
            <w:r w:rsidRPr="00D427D8">
              <w:t>Credit (while any Class B Notes will remain outstanding following such Distribution Date) of the Class B Principal Deficiency Sub-Ledger in an amount sufficient to eliminate any debit on the Class B Principal Deficiency Sub-Ledger (any such amounts to be applied as Available Principal Distribution Amount pursuant to the Principal Priority of Payments</w:t>
            </w:r>
            <w:r w:rsidRPr="00D427D8">
              <w:rPr>
                <w:bCs/>
              </w:rPr>
              <w:t>)</w:t>
            </w:r>
          </w:p>
        </w:tc>
        <w:tc>
          <w:tcPr>
            <w:tcW w:w="1561" w:type="pct"/>
          </w:tcPr>
          <w:p w14:paraId="010B3CCB"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G Notes Redemption Amount to the Class G Noteholders</w:t>
            </w:r>
          </w:p>
        </w:tc>
        <w:tc>
          <w:tcPr>
            <w:tcW w:w="1562" w:type="pct"/>
          </w:tcPr>
          <w:p w14:paraId="2727DA71" w14:textId="77777777" w:rsidR="009F6E91" w:rsidRPr="00D427D8" w:rsidRDefault="009F6E91" w:rsidP="00162C78">
            <w:pPr>
              <w:pStyle w:val="6pt"/>
            </w:pPr>
            <w:r w:rsidRPr="00D427D8">
              <w:rPr>
                <w:bCs/>
              </w:rPr>
              <w:t>(to the</w:t>
            </w:r>
            <w:r w:rsidRPr="00D427D8">
              <w:t xml:space="preserve"> extent that the Class C Notes are the Most Senior Class of Notes) to pay on a </w:t>
            </w:r>
            <w:r w:rsidRPr="00D427D8">
              <w:rPr>
                <w:i/>
              </w:rPr>
              <w:t>pro rata</w:t>
            </w:r>
            <w:r w:rsidRPr="00D427D8">
              <w:t xml:space="preserve"> and </w:t>
            </w:r>
            <w:r w:rsidRPr="00D427D8">
              <w:rPr>
                <w:i/>
              </w:rPr>
              <w:t>pari passu</w:t>
            </w:r>
            <w:r w:rsidRPr="00D427D8">
              <w:t xml:space="preserve"> basis the Class C Notes Interest Amounts payable in respect of the Interest Period ending on such Distribution Date to the Class C Noteholders</w:t>
            </w:r>
          </w:p>
        </w:tc>
      </w:tr>
      <w:tr w:rsidR="009F6E91" w:rsidRPr="00D427D8" w14:paraId="17665954"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2BBFB59F" w14:textId="77777777" w:rsidR="009F6E91" w:rsidRPr="00D427D8" w:rsidRDefault="009F6E91" w:rsidP="009F6E91">
            <w:pPr>
              <w:spacing w:before="60" w:after="60"/>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11</w:t>
            </w:r>
          </w:p>
        </w:tc>
        <w:tc>
          <w:tcPr>
            <w:tcW w:w="1561" w:type="pct"/>
            <w:vAlign w:val="center"/>
          </w:tcPr>
          <w:p w14:paraId="74A76A7A" w14:textId="77777777" w:rsidR="009F6E91" w:rsidRPr="00D427D8" w:rsidRDefault="009F6E91" w:rsidP="00162C78">
            <w:pPr>
              <w:pStyle w:val="6pt"/>
            </w:pPr>
            <w:r w:rsidRPr="00D427D8">
              <w:rPr>
                <w:bCs/>
              </w:rPr>
              <w:t>(to the</w:t>
            </w:r>
            <w:r w:rsidRPr="00D427D8">
              <w:t xml:space="preserve"> extent that (i) the Class C Notes are the Most Senior Class of Notes or (ii) the amount debited on the Class C Principal Deficiency Sub-Ledger is less than 25 per cent. of the Principal Outstanding Notes Balance of the Class C Notes) to pay on a </w:t>
            </w:r>
            <w:r w:rsidRPr="00D427D8">
              <w:rPr>
                <w:i/>
              </w:rPr>
              <w:t>pro rata</w:t>
            </w:r>
            <w:r w:rsidRPr="00D427D8">
              <w:t xml:space="preserve"> and </w:t>
            </w:r>
            <w:r w:rsidRPr="00D427D8">
              <w:rPr>
                <w:i/>
              </w:rPr>
              <w:t>pari passu</w:t>
            </w:r>
            <w:r w:rsidRPr="00D427D8">
              <w:t xml:space="preserve"> basis the Class C Notes Interest Amounts payable in respect of the Interest Period ending on such Distribution Date to the Class C Noteholders</w:t>
            </w:r>
          </w:p>
        </w:tc>
        <w:tc>
          <w:tcPr>
            <w:tcW w:w="1561" w:type="pct"/>
          </w:tcPr>
          <w:p w14:paraId="55ACC2BB" w14:textId="77777777" w:rsidR="009F6E91" w:rsidRPr="00D427D8" w:rsidRDefault="009F6E91" w:rsidP="00162C78">
            <w:pPr>
              <w:pStyle w:val="6pt"/>
              <w:rPr>
                <w:rFonts w:asciiTheme="minorHAnsi" w:hAnsiTheme="minorHAnsi" w:cstheme="minorHAnsi"/>
              </w:rPr>
            </w:pPr>
          </w:p>
        </w:tc>
        <w:tc>
          <w:tcPr>
            <w:tcW w:w="1562" w:type="pct"/>
          </w:tcPr>
          <w:p w14:paraId="5FB755E0"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C Notes Redemption Amount to the Class C Noteholders until the Class C Notes are amortised in full</w:t>
            </w:r>
          </w:p>
        </w:tc>
      </w:tr>
      <w:tr w:rsidR="009F6E91" w:rsidRPr="00D427D8" w14:paraId="6952A48C"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4C7DB505"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12</w:t>
            </w:r>
          </w:p>
        </w:tc>
        <w:tc>
          <w:tcPr>
            <w:tcW w:w="1561" w:type="pct"/>
            <w:vAlign w:val="center"/>
          </w:tcPr>
          <w:p w14:paraId="0D9661ED" w14:textId="77777777" w:rsidR="009F6E91" w:rsidRPr="00D427D8" w:rsidRDefault="009F6E91" w:rsidP="00162C78">
            <w:pPr>
              <w:pStyle w:val="6pt"/>
            </w:pPr>
            <w:r w:rsidRPr="00D427D8">
              <w:t>Credit (while any Class C Notes will remain outstanding following such Distribution Date) of the Class C Principal Deficiency Sub-Ledger in an amount sufficient to eliminate any debit on the Class C Principal Deficiency Sub-Ledger (any such amounts to be applied as Available Principal Distribution Amount pursuant to the Principal Priority of Payments)</w:t>
            </w:r>
          </w:p>
        </w:tc>
        <w:tc>
          <w:tcPr>
            <w:tcW w:w="1561" w:type="pct"/>
          </w:tcPr>
          <w:p w14:paraId="5D378428" w14:textId="77777777" w:rsidR="009F6E91" w:rsidRPr="00D427D8" w:rsidRDefault="009F6E91" w:rsidP="00162C78">
            <w:pPr>
              <w:pStyle w:val="6pt"/>
              <w:rPr>
                <w:rFonts w:asciiTheme="minorHAnsi" w:hAnsiTheme="minorHAnsi" w:cstheme="minorHAnsi"/>
              </w:rPr>
            </w:pPr>
          </w:p>
        </w:tc>
        <w:tc>
          <w:tcPr>
            <w:tcW w:w="1562" w:type="pct"/>
          </w:tcPr>
          <w:p w14:paraId="35D5E22D" w14:textId="77777777" w:rsidR="009F6E91" w:rsidRPr="00D427D8" w:rsidRDefault="009F6E91" w:rsidP="00162C78">
            <w:pPr>
              <w:pStyle w:val="6pt"/>
            </w:pPr>
            <w:r w:rsidRPr="00D427D8">
              <w:rPr>
                <w:bCs/>
              </w:rPr>
              <w:t>(to the</w:t>
            </w:r>
            <w:r w:rsidRPr="00D427D8">
              <w:t xml:space="preserve"> extent that the Class D Notes are the Most Senior Class of Notes) to pay on a </w:t>
            </w:r>
            <w:r w:rsidRPr="00D427D8">
              <w:rPr>
                <w:i/>
              </w:rPr>
              <w:t>pro rata</w:t>
            </w:r>
            <w:r w:rsidRPr="00D427D8">
              <w:t xml:space="preserve"> and </w:t>
            </w:r>
            <w:r w:rsidRPr="00D427D8">
              <w:rPr>
                <w:i/>
              </w:rPr>
              <w:t>pari passu</w:t>
            </w:r>
            <w:r w:rsidRPr="00D427D8">
              <w:t xml:space="preserve"> basis the Class D Notes Interest Amounts payable in respect of the Interest Period ending on such Distribution Date to the Class D Noteholders</w:t>
            </w:r>
          </w:p>
        </w:tc>
      </w:tr>
      <w:tr w:rsidR="009F6E91" w:rsidRPr="00D427D8" w14:paraId="6DB29A78"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227F84A6" w14:textId="77777777" w:rsidR="009F6E91" w:rsidRPr="00D427D8" w:rsidRDefault="009F6E91" w:rsidP="009F6E91">
            <w:pPr>
              <w:spacing w:before="60" w:after="60"/>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13</w:t>
            </w:r>
          </w:p>
        </w:tc>
        <w:tc>
          <w:tcPr>
            <w:tcW w:w="1561" w:type="pct"/>
            <w:vAlign w:val="center"/>
          </w:tcPr>
          <w:p w14:paraId="11109C77" w14:textId="77777777" w:rsidR="009F6E91" w:rsidRPr="00D427D8" w:rsidRDefault="009F6E91" w:rsidP="00162C78">
            <w:pPr>
              <w:pStyle w:val="6pt"/>
            </w:pPr>
            <w:r w:rsidRPr="00D427D8">
              <w:rPr>
                <w:bCs/>
              </w:rPr>
              <w:t>(to the</w:t>
            </w:r>
            <w:r w:rsidRPr="00D427D8">
              <w:t xml:space="preserve"> extent (i) that the Class D Notes are the Most Senior Class of Notes or (ii) the amount debited on the Class D Principal Deficiency Sub-Ledger is less than 25 per cent. of the Principal Outstanding Notes Balance of the Class D Notes) to pay on a </w:t>
            </w:r>
            <w:r w:rsidRPr="00D427D8">
              <w:rPr>
                <w:i/>
              </w:rPr>
              <w:t>pro rata</w:t>
            </w:r>
            <w:r w:rsidRPr="00D427D8">
              <w:t xml:space="preserve"> and </w:t>
            </w:r>
            <w:r w:rsidRPr="00D427D8">
              <w:rPr>
                <w:i/>
              </w:rPr>
              <w:t>pari passu</w:t>
            </w:r>
            <w:r w:rsidRPr="00D427D8">
              <w:t xml:space="preserve"> basis the Class D Notes Interest Amounts payable in respect of the Interest Period ending on such Distribution Date to the Class D Noteholders</w:t>
            </w:r>
          </w:p>
        </w:tc>
        <w:tc>
          <w:tcPr>
            <w:tcW w:w="1561" w:type="pct"/>
          </w:tcPr>
          <w:p w14:paraId="454F31A2" w14:textId="77777777" w:rsidR="009F6E91" w:rsidRPr="00D427D8" w:rsidRDefault="009F6E91" w:rsidP="00162C78">
            <w:pPr>
              <w:pStyle w:val="6pt"/>
              <w:rPr>
                <w:rFonts w:asciiTheme="minorHAnsi" w:hAnsiTheme="minorHAnsi" w:cstheme="minorHAnsi"/>
              </w:rPr>
            </w:pPr>
          </w:p>
        </w:tc>
        <w:tc>
          <w:tcPr>
            <w:tcW w:w="1562" w:type="pct"/>
          </w:tcPr>
          <w:p w14:paraId="0A2FFABB"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D Notes Redemption Amount to the Class D Noteholders until the Class D Notes are amortised in full</w:t>
            </w:r>
          </w:p>
        </w:tc>
      </w:tr>
      <w:tr w:rsidR="009F6E91" w:rsidRPr="00D427D8" w14:paraId="3E46435F"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77DCD2D2"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14</w:t>
            </w:r>
          </w:p>
        </w:tc>
        <w:tc>
          <w:tcPr>
            <w:tcW w:w="1561" w:type="pct"/>
            <w:vAlign w:val="center"/>
          </w:tcPr>
          <w:p w14:paraId="6D90AB69" w14:textId="77777777" w:rsidR="009F6E91" w:rsidRPr="00D427D8" w:rsidRDefault="009F6E91" w:rsidP="00162C78">
            <w:pPr>
              <w:pStyle w:val="6pt"/>
            </w:pPr>
            <w:r w:rsidRPr="00D427D8">
              <w:t>Credit (while any Class D Notes will remain outstanding following such Distribution Date) of the Class D Principal Deficiency Sub-Ledger in an amount sufficient to eliminate any debit on the Class D Principal Deficiency Sub-Ledger (any such amounts to be applied as Available Principal Distribution Amount pursuant to the Principal Priority of Payments</w:t>
            </w:r>
            <w:r w:rsidRPr="00D427D8">
              <w:rPr>
                <w:bCs/>
              </w:rPr>
              <w:t>)</w:t>
            </w:r>
          </w:p>
        </w:tc>
        <w:tc>
          <w:tcPr>
            <w:tcW w:w="1561" w:type="pct"/>
          </w:tcPr>
          <w:p w14:paraId="620CD55A" w14:textId="77777777" w:rsidR="009F6E91" w:rsidRPr="00D427D8" w:rsidRDefault="009F6E91" w:rsidP="00162C78">
            <w:pPr>
              <w:pStyle w:val="6pt"/>
              <w:rPr>
                <w:rFonts w:asciiTheme="minorHAnsi" w:hAnsiTheme="minorHAnsi" w:cstheme="minorHAnsi"/>
              </w:rPr>
            </w:pPr>
          </w:p>
        </w:tc>
        <w:tc>
          <w:tcPr>
            <w:tcW w:w="1562" w:type="pct"/>
          </w:tcPr>
          <w:p w14:paraId="2161C16D" w14:textId="77777777" w:rsidR="009F6E91" w:rsidRPr="00D427D8" w:rsidRDefault="009F6E91" w:rsidP="00162C78">
            <w:pPr>
              <w:pStyle w:val="6pt"/>
            </w:pPr>
            <w:r w:rsidRPr="00D427D8">
              <w:rPr>
                <w:bCs/>
              </w:rPr>
              <w:t>(to the</w:t>
            </w:r>
            <w:r w:rsidRPr="00D427D8">
              <w:t xml:space="preserve"> extent that the Class E Notes are the Most Senior Class of Notes) to pay on a </w:t>
            </w:r>
            <w:r w:rsidRPr="00D427D8">
              <w:rPr>
                <w:i/>
              </w:rPr>
              <w:t>pro rata</w:t>
            </w:r>
            <w:r w:rsidRPr="00D427D8">
              <w:t xml:space="preserve"> and </w:t>
            </w:r>
            <w:r w:rsidRPr="00D427D8">
              <w:rPr>
                <w:i/>
              </w:rPr>
              <w:t>pari passu</w:t>
            </w:r>
            <w:r w:rsidRPr="00D427D8">
              <w:t xml:space="preserve"> basis the Class E Notes Interest Amounts payable in respect of the Interest Period ending on such Distribution Date to the Class E Noteholders</w:t>
            </w:r>
          </w:p>
        </w:tc>
      </w:tr>
      <w:tr w:rsidR="009F6E91" w:rsidRPr="00D427D8" w14:paraId="505D5903"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28936602" w14:textId="77777777" w:rsidR="009F6E91" w:rsidRPr="00D427D8" w:rsidRDefault="009F6E91" w:rsidP="009F6E91">
            <w:pPr>
              <w:spacing w:before="60" w:after="60"/>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15</w:t>
            </w:r>
          </w:p>
        </w:tc>
        <w:tc>
          <w:tcPr>
            <w:tcW w:w="1561" w:type="pct"/>
            <w:vAlign w:val="center"/>
          </w:tcPr>
          <w:p w14:paraId="39BD340B" w14:textId="77777777" w:rsidR="009F6E91" w:rsidRPr="00D427D8" w:rsidRDefault="009F6E91" w:rsidP="00162C78">
            <w:pPr>
              <w:pStyle w:val="6pt"/>
            </w:pPr>
            <w:r w:rsidRPr="00D427D8">
              <w:rPr>
                <w:bCs/>
              </w:rPr>
              <w:t>(to the</w:t>
            </w:r>
            <w:r w:rsidRPr="00D427D8">
              <w:t xml:space="preserve"> extent that (i) the Class E Notes are the Most Senior Class of Notes or (ii) the amount debited on the Class E Principal Deficiency Sub-Ledger is less than 25 per cent. of the Principal Outstanding Notes Balance of the Class E Notes) to pay on a </w:t>
            </w:r>
            <w:r w:rsidRPr="00D427D8">
              <w:rPr>
                <w:i/>
              </w:rPr>
              <w:t>pro rata</w:t>
            </w:r>
            <w:r w:rsidRPr="00D427D8">
              <w:t xml:space="preserve"> and </w:t>
            </w:r>
            <w:r w:rsidRPr="00D427D8">
              <w:rPr>
                <w:i/>
              </w:rPr>
              <w:t>pari passu</w:t>
            </w:r>
            <w:r w:rsidRPr="00D427D8">
              <w:t xml:space="preserve"> basis the Class E Notes Interest Amounts payable in respect of the Interest Period ending on such Distribution Date to the Class E Noteholders</w:t>
            </w:r>
          </w:p>
        </w:tc>
        <w:tc>
          <w:tcPr>
            <w:tcW w:w="1561" w:type="pct"/>
          </w:tcPr>
          <w:p w14:paraId="2A825141" w14:textId="77777777" w:rsidR="009F6E91" w:rsidRPr="00D427D8" w:rsidRDefault="009F6E91" w:rsidP="00162C78">
            <w:pPr>
              <w:pStyle w:val="6pt"/>
              <w:rPr>
                <w:rFonts w:asciiTheme="minorHAnsi" w:hAnsiTheme="minorHAnsi" w:cstheme="minorHAnsi"/>
              </w:rPr>
            </w:pPr>
          </w:p>
        </w:tc>
        <w:tc>
          <w:tcPr>
            <w:tcW w:w="1562" w:type="pct"/>
          </w:tcPr>
          <w:p w14:paraId="6473FA7C"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E Notes Redemption Amount to the Class E Noteholders until the Class E Notes are amortised in full</w:t>
            </w:r>
          </w:p>
        </w:tc>
      </w:tr>
      <w:tr w:rsidR="009F6E91" w:rsidRPr="00D427D8" w14:paraId="0D41E309"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282CAC7F" w14:textId="77777777" w:rsidR="009F6E91" w:rsidRPr="00D427D8" w:rsidRDefault="009F6E91" w:rsidP="009F6E91">
            <w:pPr>
              <w:keepNext/>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16</w:t>
            </w:r>
          </w:p>
        </w:tc>
        <w:tc>
          <w:tcPr>
            <w:tcW w:w="1561" w:type="pct"/>
            <w:vAlign w:val="center"/>
          </w:tcPr>
          <w:p w14:paraId="54E246E6" w14:textId="77777777" w:rsidR="009F6E91" w:rsidRPr="00D427D8" w:rsidRDefault="009F6E91" w:rsidP="00162C78">
            <w:pPr>
              <w:pStyle w:val="6pt"/>
            </w:pPr>
            <w:r w:rsidRPr="00D427D8">
              <w:t>Credit (while any Class E Notes will remain outstanding following such Distribution Date) of the Class E Principal Deficiency Sub-Ledger in an amount sufficient to eliminate any debit on the Class E Principal Deficiency Sub-Ledger (any such amounts to be applied as Available Principal Distribution Amount pursuant to the Principal Priority of Payments)</w:t>
            </w:r>
          </w:p>
        </w:tc>
        <w:tc>
          <w:tcPr>
            <w:tcW w:w="1561" w:type="pct"/>
          </w:tcPr>
          <w:p w14:paraId="07C6B954" w14:textId="77777777" w:rsidR="009F6E91" w:rsidRPr="00D427D8" w:rsidRDefault="009F6E91" w:rsidP="00162C78">
            <w:pPr>
              <w:pStyle w:val="6pt"/>
              <w:rPr>
                <w:rFonts w:asciiTheme="minorHAnsi" w:hAnsiTheme="minorHAnsi" w:cstheme="minorHAnsi"/>
              </w:rPr>
            </w:pPr>
          </w:p>
        </w:tc>
        <w:tc>
          <w:tcPr>
            <w:tcW w:w="1562" w:type="pct"/>
          </w:tcPr>
          <w:p w14:paraId="6DC081D6" w14:textId="77777777" w:rsidR="009F6E91" w:rsidRPr="00D427D8" w:rsidRDefault="009F6E91" w:rsidP="00162C78">
            <w:pPr>
              <w:pStyle w:val="6pt"/>
            </w:pPr>
            <w:r w:rsidRPr="00D427D8">
              <w:rPr>
                <w:bCs/>
              </w:rPr>
              <w:t>(to the</w:t>
            </w:r>
            <w:r w:rsidRPr="00D427D8">
              <w:t xml:space="preserve"> extent that the Class F Notes are the Most Senior Class of Notes) to pay on a </w:t>
            </w:r>
            <w:r w:rsidRPr="00D427D8">
              <w:rPr>
                <w:i/>
              </w:rPr>
              <w:t>pro rata</w:t>
            </w:r>
            <w:r w:rsidRPr="00D427D8">
              <w:t xml:space="preserve"> and </w:t>
            </w:r>
            <w:r w:rsidRPr="00D427D8">
              <w:rPr>
                <w:i/>
              </w:rPr>
              <w:t>pari passu</w:t>
            </w:r>
            <w:r w:rsidRPr="00D427D8">
              <w:t xml:space="preserve"> basis the Class F Notes Interest Amounts payable in respect of the Interest Period ending on such Distribution Date to the Class F Noteholders</w:t>
            </w:r>
          </w:p>
        </w:tc>
      </w:tr>
      <w:tr w:rsidR="009F6E91" w:rsidRPr="00D427D8" w14:paraId="71DB34CA"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33AF8026" w14:textId="77777777" w:rsidR="009F6E91" w:rsidRPr="00D427D8" w:rsidRDefault="009F6E91" w:rsidP="009F6E91">
            <w:pPr>
              <w:spacing w:before="60" w:after="60"/>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17</w:t>
            </w:r>
          </w:p>
        </w:tc>
        <w:tc>
          <w:tcPr>
            <w:tcW w:w="1561" w:type="pct"/>
            <w:vAlign w:val="center"/>
          </w:tcPr>
          <w:p w14:paraId="6ED40E43" w14:textId="77777777" w:rsidR="009F6E91" w:rsidRPr="00D427D8" w:rsidRDefault="009F6E91" w:rsidP="00162C78">
            <w:pPr>
              <w:pStyle w:val="6pt"/>
            </w:pPr>
            <w:r w:rsidRPr="00D427D8">
              <w:rPr>
                <w:bCs/>
              </w:rPr>
              <w:t>(to the</w:t>
            </w:r>
            <w:r w:rsidRPr="00D427D8">
              <w:t xml:space="preserve"> extent that (i) the Class F Notes are the Most Senior Class of Notes or (ii) the amount debited on the Class F Principal Deficiency Sub-Ledger is less than 25 per cent. of the Principal Outstanding Notes Balance of the Class F Notes) to pay on a </w:t>
            </w:r>
            <w:r w:rsidRPr="00D427D8">
              <w:rPr>
                <w:i/>
              </w:rPr>
              <w:t>pro rata</w:t>
            </w:r>
            <w:r w:rsidRPr="00D427D8">
              <w:t xml:space="preserve"> and </w:t>
            </w:r>
            <w:r w:rsidRPr="00D427D8">
              <w:rPr>
                <w:i/>
              </w:rPr>
              <w:t>pari passu</w:t>
            </w:r>
            <w:r w:rsidRPr="00D427D8">
              <w:t xml:space="preserve"> basis the Class F Notes Interest Amounts payable in </w:t>
            </w:r>
            <w:r w:rsidRPr="00D427D8">
              <w:lastRenderedPageBreak/>
              <w:t>respect of the Interest Period ending on such Distribution Date to the Class F Noteholders</w:t>
            </w:r>
          </w:p>
        </w:tc>
        <w:tc>
          <w:tcPr>
            <w:tcW w:w="1561" w:type="pct"/>
          </w:tcPr>
          <w:p w14:paraId="58342616" w14:textId="77777777" w:rsidR="009F6E91" w:rsidRPr="00D427D8" w:rsidRDefault="009F6E91" w:rsidP="00162C78">
            <w:pPr>
              <w:pStyle w:val="6pt"/>
              <w:rPr>
                <w:rFonts w:asciiTheme="minorHAnsi" w:hAnsiTheme="minorHAnsi" w:cstheme="minorHAnsi"/>
              </w:rPr>
            </w:pPr>
          </w:p>
        </w:tc>
        <w:tc>
          <w:tcPr>
            <w:tcW w:w="1562" w:type="pct"/>
          </w:tcPr>
          <w:p w14:paraId="63A5FCAC"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F Notes Redemption Amount to the Class F Noteholders until the Class F Notes are amortised in full</w:t>
            </w:r>
          </w:p>
        </w:tc>
      </w:tr>
      <w:tr w:rsidR="009F6E91" w:rsidRPr="00D427D8" w14:paraId="676296B0"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01850F37"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18</w:t>
            </w:r>
          </w:p>
        </w:tc>
        <w:tc>
          <w:tcPr>
            <w:tcW w:w="1561" w:type="pct"/>
            <w:vAlign w:val="center"/>
          </w:tcPr>
          <w:p w14:paraId="68A55EC2" w14:textId="77777777" w:rsidR="009F6E91" w:rsidRPr="00D427D8" w:rsidRDefault="009F6E91" w:rsidP="00162C78">
            <w:pPr>
              <w:pStyle w:val="6pt"/>
            </w:pPr>
            <w:r w:rsidRPr="00D427D8">
              <w:t>Credit (while any Class F Notes will remain outstanding following such Distribution Date) of the Class F Principal Deficiency Sub-Ledger in an amount sufficient to eliminate any debit on the Class F Principal Deficiency Sub-Ledger (any such amounts to be applied as Available Principal Distribution Amount pursuant to the Principal Priority of Payments)</w:t>
            </w:r>
          </w:p>
        </w:tc>
        <w:tc>
          <w:tcPr>
            <w:tcW w:w="1561" w:type="pct"/>
          </w:tcPr>
          <w:p w14:paraId="2B313802" w14:textId="77777777" w:rsidR="009F6E91" w:rsidRPr="00D427D8" w:rsidRDefault="009F6E91" w:rsidP="00162C78">
            <w:pPr>
              <w:pStyle w:val="6pt"/>
              <w:rPr>
                <w:rFonts w:asciiTheme="minorHAnsi" w:hAnsiTheme="minorHAnsi" w:cstheme="minorHAnsi"/>
              </w:rPr>
            </w:pPr>
          </w:p>
        </w:tc>
        <w:tc>
          <w:tcPr>
            <w:tcW w:w="1562" w:type="pct"/>
          </w:tcPr>
          <w:p w14:paraId="1A3E6983" w14:textId="77777777" w:rsidR="009F6E91" w:rsidRPr="00D427D8" w:rsidRDefault="009F6E91" w:rsidP="00162C78">
            <w:pPr>
              <w:pStyle w:val="6pt"/>
            </w:pPr>
            <w:r w:rsidRPr="00D427D8">
              <w:rPr>
                <w:bCs/>
              </w:rPr>
              <w:t>(to the</w:t>
            </w:r>
            <w:r w:rsidRPr="00D427D8">
              <w:t xml:space="preserve"> extent that the Class G Notes are the Most Senior Class of Notes) to pay on a </w:t>
            </w:r>
            <w:r w:rsidRPr="00D427D8">
              <w:rPr>
                <w:i/>
              </w:rPr>
              <w:t>pro rata</w:t>
            </w:r>
            <w:r w:rsidRPr="00D427D8">
              <w:t xml:space="preserve"> and </w:t>
            </w:r>
            <w:r w:rsidRPr="00D427D8">
              <w:rPr>
                <w:i/>
              </w:rPr>
              <w:t>pari passu</w:t>
            </w:r>
            <w:r w:rsidRPr="00D427D8">
              <w:t xml:space="preserve"> basis the Class G Notes Interest Amounts payable in respect of the Interest Period ending on such Distribution Date to the Class G Noteholders</w:t>
            </w:r>
          </w:p>
        </w:tc>
      </w:tr>
      <w:tr w:rsidR="009F6E91" w:rsidRPr="00D427D8" w14:paraId="36514901"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4C3BBE72" w14:textId="77777777" w:rsidR="009F6E91" w:rsidRPr="00D427D8" w:rsidRDefault="009F6E91" w:rsidP="009F6E91">
            <w:pPr>
              <w:spacing w:before="60" w:after="60"/>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19</w:t>
            </w:r>
          </w:p>
        </w:tc>
        <w:tc>
          <w:tcPr>
            <w:tcW w:w="1561" w:type="pct"/>
            <w:vAlign w:val="center"/>
          </w:tcPr>
          <w:p w14:paraId="2B05F375" w14:textId="77777777" w:rsidR="009F6E91" w:rsidRPr="00D427D8" w:rsidRDefault="009F6E91" w:rsidP="00162C78">
            <w:pPr>
              <w:pStyle w:val="6pt"/>
            </w:pPr>
            <w:r w:rsidRPr="00D427D8">
              <w:rPr>
                <w:szCs w:val="12"/>
              </w:rPr>
              <w:t>(so long as the Class G Principal Deficiency Sub-Ledger is not in debit)</w:t>
            </w:r>
            <w:r w:rsidRPr="00D427D8">
              <w:rPr>
                <w:bCs/>
              </w:rPr>
              <w:t xml:space="preserve"> to pay on a </w:t>
            </w:r>
            <w:r w:rsidRPr="00D427D8">
              <w:rPr>
                <w:bCs/>
                <w:i/>
              </w:rPr>
              <w:t>pro rata</w:t>
            </w:r>
            <w:r w:rsidRPr="00D427D8">
              <w:rPr>
                <w:bCs/>
              </w:rPr>
              <w:t xml:space="preserve"> and </w:t>
            </w:r>
            <w:r w:rsidRPr="00D427D8">
              <w:rPr>
                <w:bCs/>
                <w:i/>
              </w:rPr>
              <w:t xml:space="preserve">pari passu </w:t>
            </w:r>
            <w:r w:rsidRPr="00D427D8">
              <w:rPr>
                <w:bCs/>
              </w:rPr>
              <w:t>basis the Class G Notes Interest Amounts payable in respect of the Interest Period ending on such Distribution Date to the Class G Noteholders</w:t>
            </w:r>
          </w:p>
        </w:tc>
        <w:tc>
          <w:tcPr>
            <w:tcW w:w="1561" w:type="pct"/>
          </w:tcPr>
          <w:p w14:paraId="1E599364" w14:textId="77777777" w:rsidR="009F6E91" w:rsidRPr="00D427D8" w:rsidRDefault="009F6E91" w:rsidP="00162C78">
            <w:pPr>
              <w:pStyle w:val="6pt"/>
              <w:rPr>
                <w:rFonts w:asciiTheme="minorHAnsi" w:hAnsiTheme="minorHAnsi" w:cstheme="minorHAnsi"/>
              </w:rPr>
            </w:pPr>
          </w:p>
        </w:tc>
        <w:tc>
          <w:tcPr>
            <w:tcW w:w="1562" w:type="pct"/>
          </w:tcPr>
          <w:p w14:paraId="6D782C88" w14:textId="77777777" w:rsidR="009F6E91" w:rsidRPr="00D427D8" w:rsidRDefault="009F6E91" w:rsidP="00162C78">
            <w:pPr>
              <w:pStyle w:val="6pt"/>
            </w:pPr>
            <w:r w:rsidRPr="00D427D8">
              <w:t xml:space="preserve">To pay on a </w:t>
            </w:r>
            <w:r w:rsidRPr="00D427D8">
              <w:rPr>
                <w:i/>
              </w:rPr>
              <w:t>pro rata</w:t>
            </w:r>
            <w:r w:rsidRPr="00D427D8">
              <w:t xml:space="preserve"> and </w:t>
            </w:r>
            <w:r w:rsidRPr="00D427D8">
              <w:rPr>
                <w:i/>
              </w:rPr>
              <w:t>pari passu</w:t>
            </w:r>
            <w:r w:rsidRPr="00D427D8">
              <w:t xml:space="preserve"> basis the Class G Notes Redemption Amount to the Class G Noteholders until the Class G Notes are amortised in full</w:t>
            </w:r>
          </w:p>
        </w:tc>
      </w:tr>
      <w:tr w:rsidR="009F6E91" w:rsidRPr="00D427D8" w14:paraId="5D9F2F06"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676A7EE8" w14:textId="77777777" w:rsidR="009F6E91" w:rsidRPr="00D427D8" w:rsidRDefault="009F6E91" w:rsidP="009F6E91">
            <w:pPr>
              <w:spacing w:before="60" w:after="60" w:line="240" w:lineRule="auto"/>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20</w:t>
            </w:r>
          </w:p>
        </w:tc>
        <w:tc>
          <w:tcPr>
            <w:tcW w:w="1561" w:type="pct"/>
            <w:vAlign w:val="center"/>
          </w:tcPr>
          <w:p w14:paraId="7B93786C" w14:textId="77777777" w:rsidR="009F6E91" w:rsidRPr="00D427D8" w:rsidRDefault="009F6E91" w:rsidP="00162C78">
            <w:pPr>
              <w:pStyle w:val="6pt"/>
            </w:pPr>
            <w:r w:rsidRPr="00D427D8">
              <w:t>Credit (while any Class G Notes will remain outstanding following such Distribution Date) of the Class G Principal Deficiency Sub-Ledger in an amount sufficient to eliminate any debit on the Class G Principal Deficiency Sub-Ledger (any such amounts to be applied as Available Principal Distribution Amount pursuant to the Principal Priority of Payments)</w:t>
            </w:r>
          </w:p>
        </w:tc>
        <w:tc>
          <w:tcPr>
            <w:tcW w:w="1561" w:type="pct"/>
          </w:tcPr>
          <w:p w14:paraId="637FC7E2" w14:textId="77777777" w:rsidR="009F6E91" w:rsidRPr="00D427D8" w:rsidRDefault="009F6E91" w:rsidP="00162C78">
            <w:pPr>
              <w:pStyle w:val="6pt"/>
              <w:rPr>
                <w:rFonts w:asciiTheme="minorHAnsi" w:hAnsiTheme="minorHAnsi" w:cstheme="minorHAnsi"/>
              </w:rPr>
            </w:pPr>
          </w:p>
        </w:tc>
        <w:tc>
          <w:tcPr>
            <w:tcW w:w="1562" w:type="pct"/>
          </w:tcPr>
          <w:p w14:paraId="382424A9" w14:textId="77777777" w:rsidR="009F6E91" w:rsidRPr="00D427D8" w:rsidRDefault="009F6E91" w:rsidP="00162C78">
            <w:pPr>
              <w:pStyle w:val="6pt"/>
            </w:pPr>
            <w:r w:rsidRPr="00D427D8">
              <w:t>To pay any other amount due and payable to the Counterparty under the Hedging Arrangement (including the early termination amounts referred to at the end of item (5</w:t>
            </w:r>
            <w:r w:rsidRPr="00D427D8">
              <w:rPr>
                <w:vertAlign w:val="superscript"/>
              </w:rPr>
              <w:t>th</w:t>
            </w:r>
            <w:r w:rsidRPr="00D427D8">
              <w:t>)) and any amounts not al</w:t>
            </w:r>
            <w:r w:rsidRPr="00D427D8">
              <w:rPr>
                <w:szCs w:val="12"/>
              </w:rPr>
              <w:t>ready paid in accordance with the Senior Expenses</w:t>
            </w:r>
          </w:p>
        </w:tc>
      </w:tr>
      <w:tr w:rsidR="009F6E91" w:rsidRPr="00D427D8" w14:paraId="5769E749"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3EDBEBE5" w14:textId="77777777" w:rsidR="009F6E91" w:rsidRPr="00D427D8" w:rsidRDefault="009F6E91" w:rsidP="009F6E91">
            <w:pPr>
              <w:spacing w:before="60" w:after="60" w:line="240" w:lineRule="auto"/>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21</w:t>
            </w:r>
          </w:p>
        </w:tc>
        <w:tc>
          <w:tcPr>
            <w:tcW w:w="1561" w:type="pct"/>
          </w:tcPr>
          <w:p w14:paraId="15F58D8E" w14:textId="77777777" w:rsidR="009F6E91" w:rsidRPr="00D427D8" w:rsidRDefault="009F6E91" w:rsidP="00162C78">
            <w:pPr>
              <w:pStyle w:val="6pt"/>
            </w:pPr>
            <w:r w:rsidRPr="00D427D8">
              <w:t xml:space="preserve">Payment on a </w:t>
            </w:r>
            <w:r w:rsidRPr="00D427D8">
              <w:rPr>
                <w:i/>
              </w:rPr>
              <w:t>pari passu</w:t>
            </w:r>
            <w:r w:rsidRPr="00D427D8">
              <w:t xml:space="preserve"> and </w:t>
            </w:r>
            <w:r w:rsidRPr="00D427D8">
              <w:rPr>
                <w:i/>
              </w:rPr>
              <w:t>pro rata</w:t>
            </w:r>
            <w:r w:rsidRPr="00D427D8">
              <w:t xml:space="preserve"> basis of the Class B Notes Interest Amounts payable in respect of the Class B Notes (to the extent not already paid in accordance with item (9) above)</w:t>
            </w:r>
          </w:p>
        </w:tc>
        <w:tc>
          <w:tcPr>
            <w:tcW w:w="1561" w:type="pct"/>
          </w:tcPr>
          <w:p w14:paraId="08444081" w14:textId="77777777" w:rsidR="009F6E91" w:rsidRPr="00D427D8" w:rsidRDefault="009F6E91" w:rsidP="00162C78">
            <w:pPr>
              <w:pStyle w:val="6pt"/>
              <w:rPr>
                <w:rFonts w:asciiTheme="minorHAnsi" w:hAnsiTheme="minorHAnsi" w:cstheme="minorHAnsi"/>
              </w:rPr>
            </w:pPr>
          </w:p>
        </w:tc>
        <w:tc>
          <w:tcPr>
            <w:tcW w:w="1562" w:type="pct"/>
          </w:tcPr>
          <w:p w14:paraId="3D6B4604" w14:textId="77777777" w:rsidR="009F6E91" w:rsidRPr="00D427D8" w:rsidRDefault="009F6E91" w:rsidP="00162C78">
            <w:pPr>
              <w:pStyle w:val="6pt"/>
            </w:pPr>
            <w:r w:rsidRPr="00D427D8">
              <w:t>To pay to the Subordinated Lender in the following order of priority any accrued but unpaid interest on the Subordinated Loan and principal in respect of the Subordinated Loan until amortised in full</w:t>
            </w:r>
          </w:p>
        </w:tc>
      </w:tr>
      <w:tr w:rsidR="009F6E91" w:rsidRPr="00D427D8" w14:paraId="57C38407"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14DAC193" w14:textId="77777777" w:rsidR="009F6E91" w:rsidRPr="00D427D8" w:rsidRDefault="009F6E91" w:rsidP="009F6E91">
            <w:pPr>
              <w:spacing w:before="60" w:after="60" w:line="240" w:lineRule="auto"/>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22</w:t>
            </w:r>
          </w:p>
        </w:tc>
        <w:tc>
          <w:tcPr>
            <w:tcW w:w="1561" w:type="pct"/>
            <w:vAlign w:val="center"/>
          </w:tcPr>
          <w:p w14:paraId="2740E704" w14:textId="77777777" w:rsidR="009F6E91" w:rsidRPr="00D427D8" w:rsidRDefault="009F6E91" w:rsidP="00162C78">
            <w:pPr>
              <w:pStyle w:val="6pt"/>
            </w:pPr>
            <w:r w:rsidRPr="00D427D8">
              <w:t xml:space="preserve">Payment on a </w:t>
            </w:r>
            <w:r w:rsidRPr="00D427D8">
              <w:rPr>
                <w:i/>
              </w:rPr>
              <w:t>pari passu</w:t>
            </w:r>
            <w:r w:rsidRPr="00D427D8">
              <w:t xml:space="preserve"> and </w:t>
            </w:r>
            <w:r w:rsidRPr="00D427D8">
              <w:rPr>
                <w:i/>
              </w:rPr>
              <w:t>pro rata</w:t>
            </w:r>
            <w:r w:rsidRPr="00D427D8">
              <w:t xml:space="preserve"> basis of the Class C Notes Interest Amounts payable in respect of the Class C Notes (to the extent not already paid in accordance with item (11) above)</w:t>
            </w:r>
          </w:p>
        </w:tc>
        <w:tc>
          <w:tcPr>
            <w:tcW w:w="1561" w:type="pct"/>
          </w:tcPr>
          <w:p w14:paraId="7FEB4A48" w14:textId="77777777" w:rsidR="009F6E91" w:rsidRPr="00D427D8" w:rsidRDefault="009F6E91" w:rsidP="00162C78">
            <w:pPr>
              <w:pStyle w:val="6pt"/>
              <w:rPr>
                <w:rFonts w:asciiTheme="minorHAnsi" w:hAnsiTheme="minorHAnsi" w:cstheme="minorHAnsi"/>
              </w:rPr>
            </w:pPr>
          </w:p>
        </w:tc>
        <w:tc>
          <w:tcPr>
            <w:tcW w:w="1562" w:type="pct"/>
          </w:tcPr>
          <w:p w14:paraId="008DB774" w14:textId="77777777" w:rsidR="009F6E91" w:rsidRPr="00D427D8" w:rsidRDefault="009F6E91" w:rsidP="00162C78">
            <w:pPr>
              <w:pStyle w:val="6pt"/>
              <w:rPr>
                <w:rFonts w:asciiTheme="minorHAnsi" w:hAnsiTheme="minorHAnsi" w:cstheme="minorHAnsi"/>
                <w:bCs/>
              </w:rPr>
            </w:pPr>
          </w:p>
        </w:tc>
      </w:tr>
      <w:tr w:rsidR="009F6E91" w:rsidRPr="00D427D8" w14:paraId="1DF35E52"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02ACE4CD" w14:textId="77777777" w:rsidR="009F6E91" w:rsidRPr="00D427D8" w:rsidRDefault="009F6E91" w:rsidP="009F6E91">
            <w:pPr>
              <w:spacing w:before="60" w:after="60" w:line="240" w:lineRule="auto"/>
              <w:jc w:val="center"/>
              <w:rPr>
                <w:rFonts w:asciiTheme="minorHAnsi" w:hAnsiTheme="minorHAnsi" w:cstheme="minorHAnsi"/>
                <w:sz w:val="14"/>
                <w:szCs w:val="16"/>
                <w:lang w:val="en-US"/>
              </w:rPr>
            </w:pPr>
            <w:r w:rsidRPr="00D427D8">
              <w:rPr>
                <w:rFonts w:asciiTheme="minorHAnsi" w:hAnsiTheme="minorHAnsi" w:cstheme="minorHAnsi"/>
                <w:b/>
                <w:color w:val="FFFFFF" w:themeColor="background1"/>
                <w:sz w:val="28"/>
                <w:szCs w:val="16"/>
                <w:lang w:val="en-US"/>
              </w:rPr>
              <w:t>23</w:t>
            </w:r>
          </w:p>
        </w:tc>
        <w:tc>
          <w:tcPr>
            <w:tcW w:w="1561" w:type="pct"/>
          </w:tcPr>
          <w:p w14:paraId="3DD24CC3" w14:textId="77777777" w:rsidR="009F6E91" w:rsidRPr="00D427D8" w:rsidRDefault="009F6E91" w:rsidP="00162C78">
            <w:pPr>
              <w:pStyle w:val="6pt"/>
            </w:pPr>
            <w:r w:rsidRPr="00D427D8">
              <w:t xml:space="preserve">Payment on a </w:t>
            </w:r>
            <w:r w:rsidRPr="00D427D8">
              <w:rPr>
                <w:i/>
              </w:rPr>
              <w:t>pari passu</w:t>
            </w:r>
            <w:r w:rsidRPr="00D427D8">
              <w:t xml:space="preserve"> and </w:t>
            </w:r>
            <w:r w:rsidRPr="00D427D8">
              <w:rPr>
                <w:i/>
              </w:rPr>
              <w:t>pro rata</w:t>
            </w:r>
            <w:r w:rsidRPr="00D427D8">
              <w:t xml:space="preserve"> basis of the Class D Notes Interest Amounts payable in respect of the Class D Notes (to the extent not already paid in accordance with item (13) above)</w:t>
            </w:r>
          </w:p>
        </w:tc>
        <w:tc>
          <w:tcPr>
            <w:tcW w:w="1561" w:type="pct"/>
          </w:tcPr>
          <w:p w14:paraId="47D7A8D6" w14:textId="77777777" w:rsidR="009F6E91" w:rsidRPr="00D427D8" w:rsidRDefault="009F6E91" w:rsidP="00162C78">
            <w:pPr>
              <w:pStyle w:val="6pt"/>
              <w:rPr>
                <w:rFonts w:asciiTheme="minorHAnsi" w:hAnsiTheme="minorHAnsi" w:cstheme="minorHAnsi"/>
              </w:rPr>
            </w:pPr>
          </w:p>
        </w:tc>
        <w:tc>
          <w:tcPr>
            <w:tcW w:w="1562" w:type="pct"/>
          </w:tcPr>
          <w:p w14:paraId="3774FBF9" w14:textId="77777777" w:rsidR="009F6E91" w:rsidRPr="00D427D8" w:rsidRDefault="009F6E91" w:rsidP="00162C78">
            <w:pPr>
              <w:pStyle w:val="6pt"/>
              <w:rPr>
                <w:rFonts w:asciiTheme="minorHAnsi" w:hAnsiTheme="minorHAnsi" w:cstheme="minorHAnsi"/>
                <w:bCs/>
              </w:rPr>
            </w:pPr>
          </w:p>
        </w:tc>
      </w:tr>
      <w:tr w:rsidR="009F6E91" w:rsidRPr="00D427D8" w14:paraId="3DA7D2F7"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1C76219E"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24</w:t>
            </w:r>
          </w:p>
        </w:tc>
        <w:tc>
          <w:tcPr>
            <w:tcW w:w="1561" w:type="pct"/>
            <w:vAlign w:val="center"/>
          </w:tcPr>
          <w:p w14:paraId="7AF47C38" w14:textId="77777777" w:rsidR="009F6E91" w:rsidRPr="00D427D8" w:rsidRDefault="009F6E91" w:rsidP="00162C78">
            <w:pPr>
              <w:pStyle w:val="6pt"/>
            </w:pPr>
            <w:r w:rsidRPr="00D427D8">
              <w:t xml:space="preserve">Payment on a </w:t>
            </w:r>
            <w:r w:rsidRPr="00D427D8">
              <w:rPr>
                <w:i/>
              </w:rPr>
              <w:t>pari passu</w:t>
            </w:r>
            <w:r w:rsidRPr="00D427D8">
              <w:t xml:space="preserve"> and </w:t>
            </w:r>
            <w:r w:rsidRPr="00D427D8">
              <w:rPr>
                <w:i/>
              </w:rPr>
              <w:t>pro rata</w:t>
            </w:r>
            <w:r w:rsidRPr="00D427D8">
              <w:t xml:space="preserve"> basis of the Class E Notes Interest Amounts payable in respect of the Class E Notes (to the extent not already paid in accordance with item (15) above)</w:t>
            </w:r>
          </w:p>
        </w:tc>
        <w:tc>
          <w:tcPr>
            <w:tcW w:w="1561" w:type="pct"/>
          </w:tcPr>
          <w:p w14:paraId="104E57AC" w14:textId="77777777" w:rsidR="009F6E91" w:rsidRPr="00D427D8" w:rsidRDefault="009F6E91" w:rsidP="00162C78">
            <w:pPr>
              <w:pStyle w:val="6pt"/>
              <w:rPr>
                <w:rFonts w:asciiTheme="minorHAnsi" w:hAnsiTheme="minorHAnsi" w:cstheme="minorHAnsi"/>
              </w:rPr>
            </w:pPr>
          </w:p>
        </w:tc>
        <w:tc>
          <w:tcPr>
            <w:tcW w:w="1562" w:type="pct"/>
          </w:tcPr>
          <w:p w14:paraId="2886278B" w14:textId="77777777" w:rsidR="009F6E91" w:rsidRPr="00D427D8" w:rsidRDefault="009F6E91" w:rsidP="00162C78">
            <w:pPr>
              <w:pStyle w:val="6pt"/>
              <w:rPr>
                <w:rFonts w:asciiTheme="minorHAnsi" w:hAnsiTheme="minorHAnsi" w:cstheme="minorHAnsi"/>
              </w:rPr>
            </w:pPr>
          </w:p>
        </w:tc>
      </w:tr>
      <w:tr w:rsidR="009F6E91" w:rsidRPr="00D427D8" w14:paraId="39DB1A93"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6A5534E8"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25</w:t>
            </w:r>
          </w:p>
        </w:tc>
        <w:tc>
          <w:tcPr>
            <w:tcW w:w="1561" w:type="pct"/>
            <w:vAlign w:val="center"/>
          </w:tcPr>
          <w:p w14:paraId="61DB86B0" w14:textId="77777777" w:rsidR="009F6E91" w:rsidRPr="00D427D8" w:rsidRDefault="009F6E91" w:rsidP="00162C78">
            <w:pPr>
              <w:pStyle w:val="6pt"/>
            </w:pPr>
            <w:r w:rsidRPr="00D427D8">
              <w:t xml:space="preserve">Payment on a </w:t>
            </w:r>
            <w:r w:rsidRPr="00D427D8">
              <w:rPr>
                <w:i/>
              </w:rPr>
              <w:t>pari passu</w:t>
            </w:r>
            <w:r w:rsidRPr="00D427D8">
              <w:t xml:space="preserve"> and </w:t>
            </w:r>
            <w:r w:rsidRPr="00D427D8">
              <w:rPr>
                <w:i/>
              </w:rPr>
              <w:t>pro rata</w:t>
            </w:r>
            <w:r w:rsidRPr="00D427D8">
              <w:t xml:space="preserve"> basis of the Class F Notes Interest Amounts payable in respect of the Class F Notes (to the extent not already paid in accordance with item (17) above)</w:t>
            </w:r>
          </w:p>
        </w:tc>
        <w:tc>
          <w:tcPr>
            <w:tcW w:w="1561" w:type="pct"/>
          </w:tcPr>
          <w:p w14:paraId="3DCB090C" w14:textId="77777777" w:rsidR="009F6E91" w:rsidRPr="00D427D8" w:rsidRDefault="009F6E91" w:rsidP="00162C78">
            <w:pPr>
              <w:pStyle w:val="6pt"/>
              <w:rPr>
                <w:rFonts w:asciiTheme="minorHAnsi" w:hAnsiTheme="minorHAnsi" w:cstheme="minorHAnsi"/>
              </w:rPr>
            </w:pPr>
          </w:p>
        </w:tc>
        <w:tc>
          <w:tcPr>
            <w:tcW w:w="1562" w:type="pct"/>
          </w:tcPr>
          <w:p w14:paraId="3126D58C" w14:textId="77777777" w:rsidR="009F6E91" w:rsidRPr="00D427D8" w:rsidRDefault="009F6E91" w:rsidP="00162C78">
            <w:pPr>
              <w:pStyle w:val="6pt"/>
              <w:rPr>
                <w:rFonts w:asciiTheme="minorHAnsi" w:hAnsiTheme="minorHAnsi" w:cstheme="minorHAnsi"/>
              </w:rPr>
            </w:pPr>
          </w:p>
        </w:tc>
      </w:tr>
      <w:tr w:rsidR="009F6E91" w:rsidRPr="00D427D8" w14:paraId="7ACB8396"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25975484"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26</w:t>
            </w:r>
          </w:p>
        </w:tc>
        <w:tc>
          <w:tcPr>
            <w:tcW w:w="1561" w:type="pct"/>
            <w:vAlign w:val="center"/>
          </w:tcPr>
          <w:p w14:paraId="399220FF" w14:textId="77777777" w:rsidR="009F6E91" w:rsidRPr="00D427D8" w:rsidRDefault="009F6E91" w:rsidP="00162C78">
            <w:pPr>
              <w:pStyle w:val="6pt"/>
            </w:pPr>
            <w:r w:rsidRPr="00D427D8">
              <w:t xml:space="preserve">Payment on a </w:t>
            </w:r>
            <w:r w:rsidRPr="00D427D8">
              <w:rPr>
                <w:i/>
              </w:rPr>
              <w:t>pari passu</w:t>
            </w:r>
            <w:r w:rsidRPr="00D427D8">
              <w:t xml:space="preserve"> and </w:t>
            </w:r>
            <w:r w:rsidRPr="00D427D8">
              <w:rPr>
                <w:i/>
              </w:rPr>
              <w:t>pro rata</w:t>
            </w:r>
            <w:r w:rsidRPr="00D427D8">
              <w:t xml:space="preserve"> basis of the Class G Notes Interest Amounts payable in respect of the Class G Notes (to the extent not already paid in accordance with item (19) above)</w:t>
            </w:r>
          </w:p>
        </w:tc>
        <w:tc>
          <w:tcPr>
            <w:tcW w:w="1561" w:type="pct"/>
          </w:tcPr>
          <w:p w14:paraId="3608B6B2" w14:textId="77777777" w:rsidR="009F6E91" w:rsidRPr="00D427D8" w:rsidRDefault="009F6E91" w:rsidP="00162C78">
            <w:pPr>
              <w:pStyle w:val="6pt"/>
              <w:rPr>
                <w:rFonts w:asciiTheme="minorHAnsi" w:hAnsiTheme="minorHAnsi" w:cstheme="minorHAnsi"/>
              </w:rPr>
            </w:pPr>
          </w:p>
        </w:tc>
        <w:tc>
          <w:tcPr>
            <w:tcW w:w="1562" w:type="pct"/>
          </w:tcPr>
          <w:p w14:paraId="07559F43" w14:textId="77777777" w:rsidR="009F6E91" w:rsidRPr="00D427D8" w:rsidRDefault="009F6E91" w:rsidP="00162C78">
            <w:pPr>
              <w:pStyle w:val="6pt"/>
              <w:rPr>
                <w:rFonts w:asciiTheme="minorHAnsi" w:hAnsiTheme="minorHAnsi" w:cstheme="minorHAnsi"/>
              </w:rPr>
            </w:pPr>
          </w:p>
        </w:tc>
      </w:tr>
      <w:tr w:rsidR="009F6E91" w:rsidRPr="00D427D8" w14:paraId="05C41821"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6C83FECF"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27</w:t>
            </w:r>
          </w:p>
        </w:tc>
        <w:tc>
          <w:tcPr>
            <w:tcW w:w="1561" w:type="pct"/>
            <w:vAlign w:val="center"/>
          </w:tcPr>
          <w:p w14:paraId="1ED34C01" w14:textId="6D0D2444" w:rsidR="009F6E91" w:rsidRPr="00D427D8" w:rsidRDefault="009F6E91" w:rsidP="00162C78">
            <w:pPr>
              <w:pStyle w:val="6pt"/>
            </w:pPr>
            <w:r w:rsidRPr="00D427D8">
              <w:t>To pay any other amount due and payable to the Counterparty under the Hedging Arrangement (including the early termination amounts referred to at the end of item (</w:t>
            </w:r>
            <w:r w:rsidR="00EA063E">
              <w:t>5</w:t>
            </w:r>
            <w:r w:rsidRPr="00D427D8">
              <w:rPr>
                <w:vertAlign w:val="superscript"/>
              </w:rPr>
              <w:t>th</w:t>
            </w:r>
            <w:r w:rsidRPr="00D427D8">
              <w:t>)), and any amounts not already paid including costs in connection with taking measures in accordance with the EMIR Consent, not already paid in accordance with the Senior Expenses, except for collateral, premiums, and related interest on collateral in accordance with the Hedging Arrangement which are payable outside the applicable Interest Priority of Payment</w:t>
            </w:r>
            <w:r w:rsidRPr="00D427D8">
              <w:rPr>
                <w:szCs w:val="12"/>
              </w:rPr>
              <w:t>s, Principal Priority of Payments or Accelerated Priority of Payments</w:t>
            </w:r>
          </w:p>
        </w:tc>
        <w:tc>
          <w:tcPr>
            <w:tcW w:w="1561" w:type="pct"/>
            <w:vAlign w:val="center"/>
          </w:tcPr>
          <w:p w14:paraId="2B177F22" w14:textId="77777777" w:rsidR="009F6E91" w:rsidRPr="00D427D8" w:rsidRDefault="009F6E91" w:rsidP="00162C78">
            <w:pPr>
              <w:pStyle w:val="6pt"/>
              <w:rPr>
                <w:rFonts w:asciiTheme="minorHAnsi" w:hAnsiTheme="minorHAnsi" w:cstheme="minorHAnsi"/>
              </w:rPr>
            </w:pPr>
          </w:p>
        </w:tc>
        <w:tc>
          <w:tcPr>
            <w:tcW w:w="1562" w:type="pct"/>
          </w:tcPr>
          <w:p w14:paraId="3F74FABE" w14:textId="77777777" w:rsidR="009F6E91" w:rsidRPr="00D427D8" w:rsidRDefault="009F6E91" w:rsidP="00162C78">
            <w:pPr>
              <w:pStyle w:val="6pt"/>
              <w:rPr>
                <w:rFonts w:asciiTheme="minorHAnsi" w:hAnsiTheme="minorHAnsi" w:cstheme="minorHAnsi"/>
              </w:rPr>
            </w:pPr>
          </w:p>
        </w:tc>
      </w:tr>
      <w:tr w:rsidR="009F6E91" w:rsidRPr="00D427D8" w14:paraId="5651F382"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4EDE59F1"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28</w:t>
            </w:r>
          </w:p>
        </w:tc>
        <w:tc>
          <w:tcPr>
            <w:tcW w:w="1561" w:type="pct"/>
            <w:vAlign w:val="center"/>
          </w:tcPr>
          <w:p w14:paraId="432D55FB" w14:textId="77777777" w:rsidR="009F6E91" w:rsidRPr="00D427D8" w:rsidRDefault="009F6E91" w:rsidP="00162C78">
            <w:pPr>
              <w:pStyle w:val="6pt"/>
            </w:pPr>
            <w:r w:rsidRPr="00D427D8">
              <w:t>Other amounts owed by the Issuer under the Transaction Documents</w:t>
            </w:r>
          </w:p>
        </w:tc>
        <w:tc>
          <w:tcPr>
            <w:tcW w:w="1561" w:type="pct"/>
            <w:vAlign w:val="center"/>
          </w:tcPr>
          <w:p w14:paraId="3D485972" w14:textId="77777777" w:rsidR="009F6E91" w:rsidRPr="00D427D8" w:rsidRDefault="009F6E91" w:rsidP="00162C78">
            <w:pPr>
              <w:pStyle w:val="6pt"/>
              <w:rPr>
                <w:rFonts w:asciiTheme="minorHAnsi" w:hAnsiTheme="minorHAnsi" w:cstheme="minorHAnsi"/>
              </w:rPr>
            </w:pPr>
          </w:p>
        </w:tc>
        <w:tc>
          <w:tcPr>
            <w:tcW w:w="1562" w:type="pct"/>
          </w:tcPr>
          <w:p w14:paraId="1B9C4D66" w14:textId="77777777" w:rsidR="009F6E91" w:rsidRPr="00D427D8" w:rsidRDefault="009F6E91" w:rsidP="00162C78">
            <w:pPr>
              <w:pStyle w:val="6pt"/>
              <w:rPr>
                <w:rFonts w:asciiTheme="minorHAnsi" w:hAnsiTheme="minorHAnsi" w:cstheme="minorHAnsi"/>
              </w:rPr>
            </w:pPr>
          </w:p>
        </w:tc>
      </w:tr>
      <w:tr w:rsidR="009F6E91" w:rsidRPr="00D427D8" w14:paraId="3F331570"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20F79792"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29</w:t>
            </w:r>
          </w:p>
        </w:tc>
        <w:tc>
          <w:tcPr>
            <w:tcW w:w="1561" w:type="pct"/>
            <w:vAlign w:val="center"/>
          </w:tcPr>
          <w:p w14:paraId="557E919B" w14:textId="77777777" w:rsidR="009F6E91" w:rsidRPr="00D427D8" w:rsidRDefault="009F6E91" w:rsidP="00162C78">
            <w:pPr>
              <w:pStyle w:val="6pt"/>
            </w:pPr>
            <w:r w:rsidRPr="00D427D8">
              <w:t>To repay to the Subordinated Lender whole or part of the principal of the Subordinated Loan</w:t>
            </w:r>
          </w:p>
        </w:tc>
        <w:tc>
          <w:tcPr>
            <w:tcW w:w="1561" w:type="pct"/>
            <w:vAlign w:val="center"/>
          </w:tcPr>
          <w:p w14:paraId="73A4D1C7" w14:textId="77777777" w:rsidR="009F6E91" w:rsidRPr="00D427D8" w:rsidRDefault="009F6E91" w:rsidP="00162C78">
            <w:pPr>
              <w:pStyle w:val="6pt"/>
              <w:rPr>
                <w:rFonts w:asciiTheme="minorHAnsi" w:hAnsiTheme="minorHAnsi" w:cstheme="minorHAnsi"/>
              </w:rPr>
            </w:pPr>
          </w:p>
        </w:tc>
        <w:tc>
          <w:tcPr>
            <w:tcW w:w="1562" w:type="pct"/>
            <w:vAlign w:val="center"/>
          </w:tcPr>
          <w:p w14:paraId="1510C3C5" w14:textId="77777777" w:rsidR="009F6E91" w:rsidRPr="00D427D8" w:rsidRDefault="009F6E91" w:rsidP="00162C78">
            <w:pPr>
              <w:pStyle w:val="6pt"/>
              <w:rPr>
                <w:rFonts w:asciiTheme="minorHAnsi" w:hAnsiTheme="minorHAnsi" w:cstheme="minorHAnsi"/>
              </w:rPr>
            </w:pPr>
          </w:p>
        </w:tc>
      </w:tr>
      <w:tr w:rsidR="009F6E91" w:rsidRPr="00D427D8" w14:paraId="6EA6B473"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25CA3E5C"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30</w:t>
            </w:r>
          </w:p>
        </w:tc>
        <w:tc>
          <w:tcPr>
            <w:tcW w:w="1561" w:type="pct"/>
            <w:vAlign w:val="center"/>
          </w:tcPr>
          <w:p w14:paraId="5AC70CA3" w14:textId="77777777" w:rsidR="009F6E91" w:rsidRPr="00D427D8" w:rsidRDefault="009F6E91" w:rsidP="00162C78">
            <w:pPr>
              <w:pStyle w:val="6pt"/>
            </w:pPr>
            <w:r w:rsidRPr="00D427D8">
              <w:t>To pay to the Subordinated Lender accrued but unpaid interest in respect of the Subordinated Loan</w:t>
            </w:r>
          </w:p>
        </w:tc>
        <w:tc>
          <w:tcPr>
            <w:tcW w:w="1561" w:type="pct"/>
            <w:vAlign w:val="center"/>
          </w:tcPr>
          <w:p w14:paraId="213CB26B" w14:textId="77777777" w:rsidR="009F6E91" w:rsidRPr="00D427D8" w:rsidRDefault="009F6E91" w:rsidP="00162C78">
            <w:pPr>
              <w:pStyle w:val="6pt"/>
              <w:rPr>
                <w:rFonts w:asciiTheme="minorHAnsi" w:hAnsiTheme="minorHAnsi" w:cstheme="minorHAnsi"/>
              </w:rPr>
            </w:pPr>
          </w:p>
        </w:tc>
        <w:tc>
          <w:tcPr>
            <w:tcW w:w="1562" w:type="pct"/>
            <w:vAlign w:val="center"/>
          </w:tcPr>
          <w:p w14:paraId="3095673F" w14:textId="77777777" w:rsidR="009F6E91" w:rsidRPr="00D427D8" w:rsidRDefault="009F6E91" w:rsidP="00162C78">
            <w:pPr>
              <w:pStyle w:val="6pt"/>
              <w:rPr>
                <w:rFonts w:asciiTheme="minorHAnsi" w:hAnsiTheme="minorHAnsi" w:cstheme="minorHAnsi"/>
              </w:rPr>
            </w:pPr>
          </w:p>
        </w:tc>
      </w:tr>
      <w:tr w:rsidR="009F6E91" w:rsidRPr="00D427D8" w14:paraId="2E14A8FF"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0C659472"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t>31</w:t>
            </w:r>
          </w:p>
        </w:tc>
        <w:tc>
          <w:tcPr>
            <w:tcW w:w="1561" w:type="pct"/>
            <w:vAlign w:val="center"/>
          </w:tcPr>
          <w:p w14:paraId="2FFC85D9" w14:textId="77777777" w:rsidR="009F6E91" w:rsidRPr="00D427D8" w:rsidRDefault="009F6E91" w:rsidP="00162C78">
            <w:pPr>
              <w:pStyle w:val="6pt"/>
            </w:pPr>
            <w:r w:rsidRPr="00D427D8">
              <w:t>To pay any Excess Spread to the Seller under the Lease Receivables Purchase Agreement,</w:t>
            </w:r>
          </w:p>
        </w:tc>
        <w:tc>
          <w:tcPr>
            <w:tcW w:w="1561" w:type="pct"/>
            <w:vAlign w:val="center"/>
          </w:tcPr>
          <w:p w14:paraId="05A7A4A9" w14:textId="77777777" w:rsidR="009F6E91" w:rsidRPr="00D427D8" w:rsidRDefault="009F6E91" w:rsidP="00162C78">
            <w:pPr>
              <w:pStyle w:val="6pt"/>
              <w:rPr>
                <w:rFonts w:asciiTheme="minorHAnsi" w:hAnsiTheme="minorHAnsi" w:cstheme="minorHAnsi"/>
              </w:rPr>
            </w:pPr>
          </w:p>
        </w:tc>
        <w:tc>
          <w:tcPr>
            <w:tcW w:w="1562" w:type="pct"/>
            <w:vAlign w:val="center"/>
          </w:tcPr>
          <w:p w14:paraId="0B649E2C" w14:textId="77777777" w:rsidR="009F6E91" w:rsidRPr="00D427D8" w:rsidRDefault="009F6E91" w:rsidP="00162C78">
            <w:pPr>
              <w:pStyle w:val="6pt"/>
              <w:rPr>
                <w:rFonts w:asciiTheme="minorHAnsi" w:hAnsiTheme="minorHAnsi" w:cstheme="minorHAnsi"/>
              </w:rPr>
            </w:pPr>
          </w:p>
        </w:tc>
      </w:tr>
      <w:tr w:rsidR="009F6E91" w:rsidRPr="00D427D8" w14:paraId="57E75ED1"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69A3FC27" w14:textId="77777777" w:rsidR="009F6E91" w:rsidRPr="00D427D8" w:rsidRDefault="009F6E91" w:rsidP="009F6E91">
            <w:pPr>
              <w:spacing w:before="60" w:after="60"/>
              <w:jc w:val="center"/>
              <w:rPr>
                <w:rFonts w:asciiTheme="minorHAnsi" w:hAnsiTheme="minorHAnsi" w:cstheme="minorHAnsi"/>
                <w:sz w:val="14"/>
                <w:szCs w:val="16"/>
              </w:rPr>
            </w:pPr>
            <w:r w:rsidRPr="00D427D8">
              <w:rPr>
                <w:rFonts w:asciiTheme="minorHAnsi" w:hAnsiTheme="minorHAnsi" w:cstheme="minorHAnsi"/>
                <w:b/>
                <w:color w:val="FFFFFF" w:themeColor="background1"/>
                <w:sz w:val="28"/>
                <w:szCs w:val="16"/>
              </w:rPr>
              <w:lastRenderedPageBreak/>
              <w:t>32</w:t>
            </w:r>
          </w:p>
        </w:tc>
        <w:tc>
          <w:tcPr>
            <w:tcW w:w="1561" w:type="pct"/>
            <w:vAlign w:val="center"/>
          </w:tcPr>
          <w:p w14:paraId="530D42E0" w14:textId="77777777" w:rsidR="009F6E91" w:rsidRPr="00D427D8" w:rsidRDefault="009F6E91" w:rsidP="00162C78">
            <w:pPr>
              <w:pStyle w:val="6pt"/>
            </w:pPr>
            <w:r w:rsidRPr="00D427D8">
              <w:rPr>
                <w:bCs/>
                <w:i/>
                <w:szCs w:val="12"/>
              </w:rPr>
              <w:t>provided that</w:t>
            </w:r>
            <w:r w:rsidRPr="00D427D8">
              <w:rPr>
                <w:bCs/>
                <w:szCs w:val="12"/>
              </w:rPr>
              <w:t xml:space="preserve"> the Principal </w:t>
            </w:r>
            <w:r w:rsidRPr="00D427D8">
              <w:rPr>
                <w:szCs w:val="12"/>
              </w:rPr>
              <w:t>Additional</w:t>
            </w:r>
            <w:r w:rsidRPr="00D427D8">
              <w:rPr>
                <w:bCs/>
                <w:szCs w:val="12"/>
              </w:rPr>
              <w:t xml:space="preserve"> Amounts </w:t>
            </w:r>
            <w:bookmarkStart w:id="53" w:name="_Hlk198121173"/>
            <w:r w:rsidRPr="00D427D8">
              <w:rPr>
                <w:bCs/>
                <w:szCs w:val="12"/>
              </w:rPr>
              <w:t>shall be applied towards the Principal Deficiency Items.</w:t>
            </w:r>
            <w:bookmarkEnd w:id="53"/>
          </w:p>
        </w:tc>
        <w:tc>
          <w:tcPr>
            <w:tcW w:w="1561" w:type="pct"/>
            <w:vAlign w:val="center"/>
          </w:tcPr>
          <w:p w14:paraId="3ECB7BFE" w14:textId="77777777" w:rsidR="009F6E91" w:rsidRPr="00D427D8" w:rsidRDefault="009F6E91" w:rsidP="00162C78">
            <w:pPr>
              <w:pStyle w:val="6pt"/>
              <w:rPr>
                <w:rFonts w:asciiTheme="minorHAnsi" w:hAnsiTheme="minorHAnsi" w:cstheme="minorHAnsi"/>
              </w:rPr>
            </w:pPr>
          </w:p>
        </w:tc>
        <w:tc>
          <w:tcPr>
            <w:tcW w:w="1562" w:type="pct"/>
            <w:vAlign w:val="center"/>
          </w:tcPr>
          <w:p w14:paraId="1F609957" w14:textId="77777777" w:rsidR="009F6E91" w:rsidRPr="00D427D8" w:rsidRDefault="009F6E91" w:rsidP="00162C78">
            <w:pPr>
              <w:pStyle w:val="6pt"/>
              <w:rPr>
                <w:rFonts w:asciiTheme="minorHAnsi" w:hAnsiTheme="minorHAnsi" w:cstheme="minorHAnsi"/>
              </w:rPr>
            </w:pPr>
          </w:p>
        </w:tc>
      </w:tr>
      <w:tr w:rsidR="009F6E91" w:rsidRPr="00D427D8" w14:paraId="51F8CC8A" w14:textId="77777777" w:rsidTr="006A0492">
        <w:trPr>
          <w:jc w:val="right"/>
        </w:trPr>
        <w:tc>
          <w:tcPr>
            <w:tcW w:w="315" w:type="pct"/>
            <w:tcBorders>
              <w:top w:val="single" w:sz="18" w:space="0" w:color="FFFFFF"/>
              <w:bottom w:val="single" w:sz="18" w:space="0" w:color="FFFFFF"/>
            </w:tcBorders>
            <w:shd w:val="clear" w:color="auto" w:fill="C6D9F1" w:themeFill="text2" w:themeFillTint="33"/>
          </w:tcPr>
          <w:p w14:paraId="622D6B50" w14:textId="77777777" w:rsidR="009F6E91" w:rsidRPr="00D427D8" w:rsidRDefault="009F6E91" w:rsidP="004C41B8">
            <w:pPr>
              <w:spacing w:before="60" w:after="60"/>
              <w:jc w:val="center"/>
              <w:rPr>
                <w:rFonts w:asciiTheme="minorHAnsi" w:hAnsiTheme="minorHAnsi" w:cstheme="minorHAnsi"/>
                <w:sz w:val="14"/>
                <w:szCs w:val="16"/>
              </w:rPr>
            </w:pPr>
          </w:p>
        </w:tc>
        <w:tc>
          <w:tcPr>
            <w:tcW w:w="1561" w:type="pct"/>
            <w:vAlign w:val="center"/>
          </w:tcPr>
          <w:p w14:paraId="037AD1C7" w14:textId="77777777" w:rsidR="009F6E91" w:rsidRPr="00D427D8" w:rsidRDefault="009F6E91" w:rsidP="004C41B8">
            <w:pPr>
              <w:spacing w:before="60" w:after="60"/>
              <w:jc w:val="left"/>
              <w:rPr>
                <w:rFonts w:asciiTheme="minorHAnsi" w:hAnsiTheme="minorHAnsi" w:cstheme="minorHAnsi"/>
                <w:sz w:val="12"/>
                <w:szCs w:val="16"/>
              </w:rPr>
            </w:pPr>
          </w:p>
        </w:tc>
        <w:tc>
          <w:tcPr>
            <w:tcW w:w="1561" w:type="pct"/>
            <w:vAlign w:val="center"/>
          </w:tcPr>
          <w:p w14:paraId="19CE807C" w14:textId="77777777" w:rsidR="009F6E91" w:rsidRPr="00D427D8" w:rsidRDefault="009F6E91" w:rsidP="004C41B8">
            <w:pPr>
              <w:spacing w:before="60" w:after="60"/>
              <w:jc w:val="left"/>
              <w:rPr>
                <w:rFonts w:asciiTheme="minorHAnsi" w:hAnsiTheme="minorHAnsi" w:cstheme="minorHAnsi"/>
                <w:sz w:val="12"/>
                <w:szCs w:val="16"/>
              </w:rPr>
            </w:pPr>
          </w:p>
        </w:tc>
        <w:tc>
          <w:tcPr>
            <w:tcW w:w="1562" w:type="pct"/>
            <w:vAlign w:val="center"/>
          </w:tcPr>
          <w:p w14:paraId="2223C993" w14:textId="77777777" w:rsidR="009F6E91" w:rsidRPr="00D427D8" w:rsidRDefault="009F6E91" w:rsidP="004C41B8">
            <w:pPr>
              <w:spacing w:before="60" w:after="60"/>
              <w:jc w:val="left"/>
              <w:rPr>
                <w:rFonts w:asciiTheme="minorHAnsi" w:hAnsiTheme="minorHAnsi" w:cstheme="minorHAnsi"/>
                <w:sz w:val="12"/>
                <w:szCs w:val="16"/>
              </w:rPr>
            </w:pPr>
          </w:p>
        </w:tc>
      </w:tr>
      <w:bookmarkEnd w:id="49"/>
    </w:tbl>
    <w:p w14:paraId="50CBB68E" w14:textId="77777777" w:rsidR="009F6E91" w:rsidRPr="00D427D8" w:rsidRDefault="009F6E91">
      <w:pPr>
        <w:rPr>
          <w:rFonts w:asciiTheme="minorHAnsi" w:hAnsiTheme="minorHAnsi" w:cstheme="minorHAnsi"/>
        </w:rPr>
        <w:sectPr w:rsidR="009F6E91" w:rsidRPr="00D427D8" w:rsidSect="008D071E">
          <w:footerReference w:type="first" r:id="rId21"/>
          <w:pgSz w:w="16840" w:h="11907" w:orient="landscape" w:code="9"/>
          <w:pgMar w:top="851" w:right="1418" w:bottom="992" w:left="1418" w:header="720" w:footer="720" w:gutter="0"/>
          <w:cols w:space="708"/>
          <w:docGrid w:linePitch="360"/>
        </w:sectPr>
      </w:pPr>
    </w:p>
    <w:p w14:paraId="3227390F" w14:textId="77777777" w:rsidR="009F6E91" w:rsidRPr="00D427D8" w:rsidRDefault="009F6E91" w:rsidP="00EF7333">
      <w:pPr>
        <w:pStyle w:val="Body1"/>
        <w:rPr>
          <w:rStyle w:val="Heading1Text"/>
        </w:rPr>
      </w:pPr>
      <w:r w:rsidRPr="00D427D8">
        <w:rPr>
          <w:rStyle w:val="Heading1Text"/>
        </w:rPr>
        <w:lastRenderedPageBreak/>
        <w:t>Overview</w:t>
      </w:r>
    </w:p>
    <w:p w14:paraId="25C4B544" w14:textId="77777777" w:rsidR="009F6E91" w:rsidRPr="00D427D8" w:rsidRDefault="009F6E91" w:rsidP="009F6E91">
      <w:pPr>
        <w:pStyle w:val="Body1"/>
      </w:pPr>
      <w:r w:rsidRPr="00D427D8">
        <w:t>The information set out below is an overview of the principal features of the Securitisation and the issue of the Notes. This overview should be read in conjunction with, and is qualified in its entirety by reference to, the detailed information presented elsewhere in this Prospectus.</w:t>
      </w:r>
    </w:p>
    <w:p w14:paraId="066AA9C1" w14:textId="69B28286" w:rsidR="009F6E91" w:rsidRPr="00D427D8" w:rsidRDefault="009F6E91" w:rsidP="009F6E91">
      <w:pPr>
        <w:pStyle w:val="Body1"/>
      </w:pPr>
      <w:r w:rsidRPr="00D427D8">
        <w:t xml:space="preserve">The information in this section describes the main features of the Notes, but does not contain all of the information that potential investors should consider in making an investment decision. To understand fully the terms of the Notes, this entire Prospectus should be read, especially the section </w:t>
      </w:r>
      <w:r w:rsidR="00EF7333" w:rsidRPr="00D427D8">
        <w:t>"</w:t>
      </w:r>
      <w:r w:rsidRPr="00D427D8">
        <w:rPr>
          <w:rStyle w:val="BoldText"/>
        </w:rPr>
        <w:t>Risk Factors</w:t>
      </w:r>
      <w:r w:rsidR="00EF7333" w:rsidRPr="00D427D8">
        <w:t>"</w:t>
      </w:r>
      <w:r w:rsidRPr="00D427D8">
        <w:t>.</w:t>
      </w:r>
    </w:p>
    <w:p w14:paraId="44FEFF7E" w14:textId="55ADCC11" w:rsidR="009F6E91" w:rsidRPr="00D427D8" w:rsidRDefault="009F6E91" w:rsidP="009F6E91">
      <w:pPr>
        <w:pStyle w:val="Body1"/>
      </w:pPr>
      <w:r w:rsidRPr="00D427D8">
        <w:t xml:space="preserve">Certain terms used in this overview are defined elsewhere in this document, in particular in the section entitled </w:t>
      </w:r>
      <w:r w:rsidR="00EF7333" w:rsidRPr="00D427D8">
        <w:t>"</w:t>
      </w:r>
      <w:r w:rsidRPr="00D427D8">
        <w:rPr>
          <w:b/>
          <w:bCs/>
          <w:i/>
        </w:rPr>
        <w:t>Annex A Master Agreement Definitions Schedule</w:t>
      </w:r>
      <w:r w:rsidR="00EF7333" w:rsidRPr="00D427D8">
        <w:t>"</w:t>
      </w:r>
      <w:r w:rsidRPr="00D427D8">
        <w:t xml:space="preserve"> below.</w:t>
      </w:r>
    </w:p>
    <w:p w14:paraId="059C6F53" w14:textId="77777777" w:rsidR="009F6E91" w:rsidRPr="00D427D8" w:rsidRDefault="009F6E91" w:rsidP="00EF7333">
      <w:pPr>
        <w:pStyle w:val="Body1"/>
        <w:rPr>
          <w:rStyle w:val="Heading1Text"/>
        </w:rPr>
      </w:pPr>
      <w:r w:rsidRPr="00D427D8">
        <w:rPr>
          <w:rStyle w:val="Heading1Text"/>
        </w:rPr>
        <w:t>Securitisation overview</w:t>
      </w:r>
    </w:p>
    <w:p w14:paraId="5D6781DE" w14:textId="77777777" w:rsidR="009F6E91" w:rsidRPr="00D427D8" w:rsidRDefault="009F6E91" w:rsidP="009F6E91">
      <w:pPr>
        <w:pStyle w:val="Body1"/>
      </w:pPr>
      <w:r w:rsidRPr="00D427D8">
        <w:t>The Issuer will use the net proceeds from the sale of the Notes to purchase from the Seller a pool of auto lease receivables and corresponding expectancy rights (</w:t>
      </w:r>
      <w:r w:rsidRPr="00D427D8">
        <w:rPr>
          <w:i/>
          <w:iCs/>
        </w:rPr>
        <w:t xml:space="preserve">i.e. </w:t>
      </w:r>
      <w:r w:rsidRPr="00D427D8">
        <w:t>the Purchased Lease Receivables and the Purchased Expectancy Rights) that were originated by Stellantis Bank. The Issuer will issue the Notes on the Closing Date.</w:t>
      </w:r>
    </w:p>
    <w:p w14:paraId="66EDFCC2" w14:textId="77777777" w:rsidR="009F6E91" w:rsidRPr="00D427D8" w:rsidRDefault="009F6E91" w:rsidP="00EF7333">
      <w:pPr>
        <w:pStyle w:val="Body1"/>
        <w:rPr>
          <w:rStyle w:val="Heading1Text"/>
        </w:rPr>
      </w:pPr>
      <w:r w:rsidRPr="00D427D8">
        <w:rPr>
          <w:rStyle w:val="Heading1Text"/>
        </w:rPr>
        <w:t>The Parties</w:t>
      </w:r>
    </w:p>
    <w:tbl>
      <w:tblPr>
        <w:tblW w:w="0" w:type="auto"/>
        <w:tblCellMar>
          <w:left w:w="10" w:type="dxa"/>
          <w:right w:w="10" w:type="dxa"/>
        </w:tblCellMar>
        <w:tblLook w:val="04A0" w:firstRow="1" w:lastRow="0" w:firstColumn="1" w:lastColumn="0" w:noHBand="0" w:noVBand="1"/>
      </w:tblPr>
      <w:tblGrid>
        <w:gridCol w:w="4511"/>
        <w:gridCol w:w="4560"/>
      </w:tblGrid>
      <w:tr w:rsidR="009F6E91" w:rsidRPr="00D427D8" w14:paraId="2165207E" w14:textId="77777777" w:rsidTr="00594AC0">
        <w:tc>
          <w:tcPr>
            <w:tcW w:w="4511" w:type="dxa"/>
          </w:tcPr>
          <w:p w14:paraId="530699E2" w14:textId="77777777" w:rsidR="009F6E91" w:rsidRPr="00D427D8" w:rsidRDefault="009F6E91" w:rsidP="00B46E44">
            <w:pPr>
              <w:rPr>
                <w:i/>
                <w:szCs w:val="19"/>
              </w:rPr>
            </w:pPr>
            <w:r w:rsidRPr="00D427D8">
              <w:rPr>
                <w:i/>
                <w:szCs w:val="19"/>
              </w:rPr>
              <w:t>Issuer</w:t>
            </w:r>
          </w:p>
        </w:tc>
        <w:tc>
          <w:tcPr>
            <w:tcW w:w="4560" w:type="dxa"/>
          </w:tcPr>
          <w:p w14:paraId="3F4A5329" w14:textId="77777777" w:rsidR="009F6E91" w:rsidRPr="00D427D8" w:rsidRDefault="009F6E91" w:rsidP="00333162">
            <w:pPr>
              <w:pStyle w:val="Body1"/>
            </w:pPr>
            <w:bookmarkStart w:id="54" w:name="_Hlk146637985"/>
            <w:r w:rsidRPr="00D427D8">
              <w:t>ECARAT DE S.A. acting on behalf and for the account of its Compartment Lease 2025-1</w:t>
            </w:r>
            <w:bookmarkEnd w:id="54"/>
            <w:r w:rsidRPr="00D427D8">
              <w:t xml:space="preserve">, </w:t>
            </w:r>
            <w:bookmarkStart w:id="55" w:name="_Hlk154660213"/>
            <w:r w:rsidRPr="00D427D8">
              <w:t>12C rue Guillaume Kroll</w:t>
            </w:r>
            <w:bookmarkEnd w:id="55"/>
            <w:r w:rsidRPr="00D427D8">
              <w:t>, L-1882 Luxembourg, Grand Duchy of Luxembourg.</w:t>
            </w:r>
          </w:p>
        </w:tc>
      </w:tr>
      <w:tr w:rsidR="009F6E91" w:rsidRPr="00D427D8" w14:paraId="05B7EA15" w14:textId="77777777" w:rsidTr="00594AC0">
        <w:tc>
          <w:tcPr>
            <w:tcW w:w="4511" w:type="dxa"/>
          </w:tcPr>
          <w:p w14:paraId="3F9C3806" w14:textId="77777777" w:rsidR="009F6E91" w:rsidRPr="00D427D8" w:rsidRDefault="009F6E91" w:rsidP="00B46E44">
            <w:pPr>
              <w:rPr>
                <w:i/>
                <w:szCs w:val="19"/>
              </w:rPr>
            </w:pPr>
            <w:r w:rsidRPr="00D427D8">
              <w:rPr>
                <w:i/>
                <w:szCs w:val="19"/>
              </w:rPr>
              <w:t>Corporate Services Provider</w:t>
            </w:r>
          </w:p>
        </w:tc>
        <w:tc>
          <w:tcPr>
            <w:tcW w:w="4560" w:type="dxa"/>
          </w:tcPr>
          <w:p w14:paraId="671E0522" w14:textId="7981DFC0" w:rsidR="009F6E91" w:rsidRPr="00D427D8" w:rsidRDefault="009C2F1E" w:rsidP="00333162">
            <w:pPr>
              <w:pStyle w:val="Body1"/>
            </w:pPr>
            <w:r w:rsidRPr="00D427D8">
              <w:t>CSC Global Solutions (Luxembourg) S.à r.l.,</w:t>
            </w:r>
            <w:r w:rsidR="009F6E91" w:rsidRPr="00D427D8">
              <w:t xml:space="preserve"> 28 Boulevard F.W. Raiffeisen, L-2411 Luxembourg, Grand Duchy of Luxembourg.</w:t>
            </w:r>
          </w:p>
        </w:tc>
      </w:tr>
      <w:tr w:rsidR="009F6E91" w:rsidRPr="00D427D8" w14:paraId="605BECCB" w14:textId="77777777" w:rsidTr="00594AC0">
        <w:tc>
          <w:tcPr>
            <w:tcW w:w="4511" w:type="dxa"/>
          </w:tcPr>
          <w:p w14:paraId="7B9BDD59" w14:textId="77777777" w:rsidR="009F6E91" w:rsidRPr="00D427D8" w:rsidRDefault="009F6E91" w:rsidP="00B46E44">
            <w:pPr>
              <w:rPr>
                <w:i/>
                <w:szCs w:val="19"/>
              </w:rPr>
            </w:pPr>
            <w:r w:rsidRPr="00D427D8">
              <w:rPr>
                <w:i/>
                <w:szCs w:val="19"/>
              </w:rPr>
              <w:t>Back-up Servicer Facilitator</w:t>
            </w:r>
          </w:p>
        </w:tc>
        <w:tc>
          <w:tcPr>
            <w:tcW w:w="4560" w:type="dxa"/>
          </w:tcPr>
          <w:p w14:paraId="2587A89A" w14:textId="77777777" w:rsidR="009F6E91" w:rsidRPr="00D427D8" w:rsidRDefault="009F6E91" w:rsidP="00333162">
            <w:pPr>
              <w:pStyle w:val="Body1"/>
            </w:pPr>
            <w:r w:rsidRPr="00D427D8">
              <w:t>CSC Administrative Services (Netherlands) B.V., Basisweg 10, 1043AP Amsterdam, Netherlands.</w:t>
            </w:r>
          </w:p>
        </w:tc>
      </w:tr>
      <w:tr w:rsidR="009F6E91" w:rsidRPr="00D427D8" w14:paraId="04E37833" w14:textId="77777777" w:rsidTr="00594AC0">
        <w:tc>
          <w:tcPr>
            <w:tcW w:w="4511" w:type="dxa"/>
          </w:tcPr>
          <w:p w14:paraId="41980136" w14:textId="77777777" w:rsidR="009F6E91" w:rsidRPr="00D427D8" w:rsidRDefault="009F6E91" w:rsidP="00FE225B">
            <w:pPr>
              <w:rPr>
                <w:i/>
                <w:szCs w:val="19"/>
              </w:rPr>
            </w:pPr>
            <w:r w:rsidRPr="00D427D8">
              <w:rPr>
                <w:i/>
                <w:szCs w:val="19"/>
              </w:rPr>
              <w:t>Seller</w:t>
            </w:r>
          </w:p>
        </w:tc>
        <w:tc>
          <w:tcPr>
            <w:tcW w:w="4560" w:type="dxa"/>
          </w:tcPr>
          <w:p w14:paraId="7F7349CF" w14:textId="77777777" w:rsidR="009F6E91" w:rsidRPr="00D427D8" w:rsidRDefault="009F6E91" w:rsidP="00333162">
            <w:pPr>
              <w:pStyle w:val="Body1"/>
              <w:rPr>
                <w:lang w:val="de-DE"/>
              </w:rPr>
            </w:pPr>
            <w:r w:rsidRPr="00D427D8">
              <w:rPr>
                <w:lang w:val="de-DE"/>
              </w:rPr>
              <w:t>Stellantis Bank S.A., German branch with</w:t>
            </w:r>
            <w:r w:rsidRPr="00D427D8" w:rsidDel="00305555">
              <w:rPr>
                <w:b/>
                <w:lang w:val="de-DE"/>
              </w:rPr>
              <w:t xml:space="preserve"> </w:t>
            </w:r>
            <w:r w:rsidRPr="00D427D8">
              <w:rPr>
                <w:lang w:val="de-DE"/>
              </w:rPr>
              <w:t>its office at Siemensstraße 10, 63263 Neu-Isenburg, Germany.</w:t>
            </w:r>
          </w:p>
        </w:tc>
      </w:tr>
      <w:tr w:rsidR="009F6E91" w:rsidRPr="00D427D8" w14:paraId="78344656" w14:textId="77777777" w:rsidTr="00594AC0">
        <w:tc>
          <w:tcPr>
            <w:tcW w:w="4511" w:type="dxa"/>
          </w:tcPr>
          <w:p w14:paraId="2586E285" w14:textId="77777777" w:rsidR="009F6E91" w:rsidRPr="00D427D8" w:rsidRDefault="009F6E91" w:rsidP="00FE225B">
            <w:pPr>
              <w:rPr>
                <w:i/>
                <w:szCs w:val="19"/>
                <w:lang w:val="de-DE"/>
              </w:rPr>
            </w:pPr>
            <w:r w:rsidRPr="00D427D8">
              <w:rPr>
                <w:i/>
                <w:szCs w:val="19"/>
                <w:lang w:val="de-DE"/>
              </w:rPr>
              <w:t>Servicer</w:t>
            </w:r>
          </w:p>
        </w:tc>
        <w:tc>
          <w:tcPr>
            <w:tcW w:w="4560" w:type="dxa"/>
          </w:tcPr>
          <w:p w14:paraId="42ACBF50" w14:textId="77777777" w:rsidR="009F6E91" w:rsidRPr="00D427D8" w:rsidRDefault="009F6E91" w:rsidP="00333162">
            <w:pPr>
              <w:pStyle w:val="Body1"/>
              <w:rPr>
                <w:lang w:val="de-DE"/>
              </w:rPr>
            </w:pPr>
            <w:r w:rsidRPr="00D427D8">
              <w:rPr>
                <w:lang w:val="de-DE"/>
              </w:rPr>
              <w:t>Stellantis Bank S.A., German branch with</w:t>
            </w:r>
            <w:r w:rsidRPr="00D427D8" w:rsidDel="00305555">
              <w:rPr>
                <w:b/>
                <w:lang w:val="de-DE"/>
              </w:rPr>
              <w:t xml:space="preserve"> </w:t>
            </w:r>
            <w:r w:rsidRPr="00D427D8">
              <w:rPr>
                <w:lang w:val="de-DE"/>
              </w:rPr>
              <w:t>its office at Siemensstraße 10, 63263 Neu-Isenburg, Germany.</w:t>
            </w:r>
          </w:p>
        </w:tc>
      </w:tr>
      <w:tr w:rsidR="009F6E91" w:rsidRPr="00D427D8" w14:paraId="2D4FD6C6" w14:textId="77777777" w:rsidTr="00594AC0">
        <w:tc>
          <w:tcPr>
            <w:tcW w:w="4511" w:type="dxa"/>
          </w:tcPr>
          <w:p w14:paraId="087B4F20" w14:textId="77777777" w:rsidR="009F6E91" w:rsidRPr="00D427D8" w:rsidRDefault="009F6E91" w:rsidP="00FE225B">
            <w:pPr>
              <w:rPr>
                <w:i/>
                <w:szCs w:val="19"/>
                <w:lang w:val="de-DE"/>
              </w:rPr>
            </w:pPr>
            <w:r w:rsidRPr="00D427D8">
              <w:rPr>
                <w:i/>
                <w:szCs w:val="19"/>
                <w:lang w:val="de-DE"/>
              </w:rPr>
              <w:t>Subordinated Lender</w:t>
            </w:r>
          </w:p>
        </w:tc>
        <w:tc>
          <w:tcPr>
            <w:tcW w:w="4560" w:type="dxa"/>
          </w:tcPr>
          <w:p w14:paraId="7D973817" w14:textId="77777777" w:rsidR="009F6E91" w:rsidRPr="00D427D8" w:rsidRDefault="009F6E91" w:rsidP="00333162">
            <w:pPr>
              <w:pStyle w:val="Body1"/>
              <w:rPr>
                <w:lang w:val="de-DE"/>
              </w:rPr>
            </w:pPr>
            <w:r w:rsidRPr="00D427D8">
              <w:rPr>
                <w:lang w:val="de-DE"/>
              </w:rPr>
              <w:t>Stellantis Bank S.A., German branch with</w:t>
            </w:r>
            <w:r w:rsidRPr="00D427D8" w:rsidDel="00305555">
              <w:rPr>
                <w:b/>
                <w:lang w:val="de-DE"/>
              </w:rPr>
              <w:t xml:space="preserve"> </w:t>
            </w:r>
            <w:r w:rsidRPr="00D427D8">
              <w:rPr>
                <w:lang w:val="de-DE"/>
              </w:rPr>
              <w:t>its office at Siemensstraße 10, 63263 Neu-Isenburg, Germany.</w:t>
            </w:r>
          </w:p>
        </w:tc>
      </w:tr>
      <w:tr w:rsidR="009F6E91" w:rsidRPr="00D427D8" w14:paraId="2CFCCD60" w14:textId="77777777" w:rsidTr="00594AC0">
        <w:tc>
          <w:tcPr>
            <w:tcW w:w="4511" w:type="dxa"/>
          </w:tcPr>
          <w:p w14:paraId="6AEF2CB0" w14:textId="77777777" w:rsidR="009F6E91" w:rsidRPr="00D427D8" w:rsidRDefault="009F6E91" w:rsidP="0034184C">
            <w:pPr>
              <w:rPr>
                <w:i/>
                <w:szCs w:val="19"/>
                <w:lang w:val="de-DE"/>
              </w:rPr>
            </w:pPr>
            <w:r w:rsidRPr="00D427D8">
              <w:rPr>
                <w:i/>
                <w:szCs w:val="19"/>
                <w:lang w:val="de-DE"/>
              </w:rPr>
              <w:t>Lender</w:t>
            </w:r>
          </w:p>
        </w:tc>
        <w:tc>
          <w:tcPr>
            <w:tcW w:w="4560" w:type="dxa"/>
          </w:tcPr>
          <w:p w14:paraId="74925611" w14:textId="77777777" w:rsidR="009F6E91" w:rsidRPr="00D427D8" w:rsidRDefault="009F6E91" w:rsidP="00333162">
            <w:pPr>
              <w:pStyle w:val="Body1"/>
              <w:rPr>
                <w:lang w:val="de-DE"/>
              </w:rPr>
            </w:pPr>
            <w:r w:rsidRPr="00D427D8">
              <w:rPr>
                <w:lang w:val="de-DE"/>
              </w:rPr>
              <w:t>Stellantis Bank S.A., German branch with</w:t>
            </w:r>
            <w:r w:rsidRPr="00D427D8" w:rsidDel="00305555">
              <w:rPr>
                <w:b/>
                <w:lang w:val="de-DE"/>
              </w:rPr>
              <w:t xml:space="preserve"> </w:t>
            </w:r>
            <w:r w:rsidRPr="00D427D8">
              <w:rPr>
                <w:lang w:val="de-DE"/>
              </w:rPr>
              <w:t>its office at Siemensstraße 10, 63263 Neu-Isenburg, Germany.</w:t>
            </w:r>
          </w:p>
        </w:tc>
      </w:tr>
      <w:tr w:rsidR="009F6E91" w:rsidRPr="001C3D25" w14:paraId="31364598" w14:textId="77777777" w:rsidTr="00594AC0">
        <w:tc>
          <w:tcPr>
            <w:tcW w:w="4511" w:type="dxa"/>
          </w:tcPr>
          <w:p w14:paraId="795FB7CF" w14:textId="77777777" w:rsidR="009F6E91" w:rsidRPr="00D427D8" w:rsidRDefault="009F6E91" w:rsidP="004C41B8">
            <w:pPr>
              <w:rPr>
                <w:i/>
                <w:szCs w:val="19"/>
              </w:rPr>
            </w:pPr>
            <w:r w:rsidRPr="00D427D8">
              <w:rPr>
                <w:i/>
                <w:szCs w:val="19"/>
              </w:rPr>
              <w:t>Collateral Agent</w:t>
            </w:r>
          </w:p>
        </w:tc>
        <w:tc>
          <w:tcPr>
            <w:tcW w:w="4560" w:type="dxa"/>
          </w:tcPr>
          <w:p w14:paraId="015EE9A6" w14:textId="2E23986D" w:rsidR="009F6E91" w:rsidRPr="00D427D8" w:rsidRDefault="009F6E91" w:rsidP="00333162">
            <w:pPr>
              <w:pStyle w:val="Body1"/>
              <w:rPr>
                <w:lang w:val="de-DE"/>
              </w:rPr>
            </w:pPr>
            <w:r w:rsidRPr="00D427D8">
              <w:rPr>
                <w:lang w:val="de-DE"/>
              </w:rPr>
              <w:t>CSC Trustees GmbH, Eschersheimer Landstraße 14, 60322 Frankfurt am Main, Germany.</w:t>
            </w:r>
          </w:p>
        </w:tc>
      </w:tr>
      <w:tr w:rsidR="009F6E91" w:rsidRPr="00D427D8" w14:paraId="68197C68" w14:textId="77777777" w:rsidTr="00594AC0">
        <w:tc>
          <w:tcPr>
            <w:tcW w:w="4511" w:type="dxa"/>
          </w:tcPr>
          <w:p w14:paraId="0A18AC38" w14:textId="77777777" w:rsidR="009F6E91" w:rsidRPr="00D427D8" w:rsidRDefault="009F6E91" w:rsidP="004C41B8">
            <w:pPr>
              <w:rPr>
                <w:i/>
                <w:szCs w:val="19"/>
              </w:rPr>
            </w:pPr>
            <w:r w:rsidRPr="00D427D8">
              <w:rPr>
                <w:i/>
                <w:szCs w:val="19"/>
              </w:rPr>
              <w:t>ER Collateral Agent</w:t>
            </w:r>
          </w:p>
        </w:tc>
        <w:tc>
          <w:tcPr>
            <w:tcW w:w="4560" w:type="dxa"/>
          </w:tcPr>
          <w:p w14:paraId="0B236655" w14:textId="269B6A10" w:rsidR="009F6E91" w:rsidRPr="00D427D8" w:rsidRDefault="009F6E91" w:rsidP="00333162">
            <w:pPr>
              <w:pStyle w:val="Body1"/>
            </w:pPr>
            <w:r w:rsidRPr="00D427D8">
              <w:t>CSC Trustees Limited, 10th Floor, 5 Churchill Place,</w:t>
            </w:r>
            <w:r w:rsidRPr="00D427D8" w:rsidDel="00E94D59">
              <w:t xml:space="preserve"> </w:t>
            </w:r>
            <w:r w:rsidRPr="00D427D8">
              <w:t>London E14 5HU, United Kingdom.</w:t>
            </w:r>
          </w:p>
        </w:tc>
      </w:tr>
      <w:tr w:rsidR="009F6E91" w:rsidRPr="00D427D8" w14:paraId="33853466" w14:textId="77777777" w:rsidTr="00594AC0">
        <w:tc>
          <w:tcPr>
            <w:tcW w:w="4511" w:type="dxa"/>
          </w:tcPr>
          <w:p w14:paraId="34C67E18" w14:textId="77777777" w:rsidR="009F6E91" w:rsidRPr="00D427D8" w:rsidRDefault="009F6E91" w:rsidP="004C41B8">
            <w:pPr>
              <w:rPr>
                <w:i/>
                <w:szCs w:val="19"/>
              </w:rPr>
            </w:pPr>
            <w:r w:rsidRPr="00D427D8">
              <w:rPr>
                <w:i/>
                <w:szCs w:val="19"/>
              </w:rPr>
              <w:t>Account Bank</w:t>
            </w:r>
          </w:p>
        </w:tc>
        <w:tc>
          <w:tcPr>
            <w:tcW w:w="4560" w:type="dxa"/>
          </w:tcPr>
          <w:p w14:paraId="5CA4A61B" w14:textId="3340A0D6" w:rsidR="009F6E91" w:rsidRPr="00D427D8" w:rsidRDefault="009F6E91" w:rsidP="00333162">
            <w:pPr>
              <w:pStyle w:val="Body1"/>
            </w:pPr>
            <w:r w:rsidRPr="00D427D8">
              <w:t>BNP Paribas, Germany Branch acting through its Germany branch whose office is located at Senckenberganlage 19, D-60325 Frankfurt.</w:t>
            </w:r>
          </w:p>
        </w:tc>
      </w:tr>
      <w:tr w:rsidR="009F6E91" w:rsidRPr="00D427D8" w14:paraId="61E3ACE9" w14:textId="77777777" w:rsidTr="00594AC0">
        <w:tc>
          <w:tcPr>
            <w:tcW w:w="4511" w:type="dxa"/>
          </w:tcPr>
          <w:p w14:paraId="1837F7B0" w14:textId="77777777" w:rsidR="009F6E91" w:rsidRPr="00D427D8" w:rsidRDefault="009F6E91" w:rsidP="004C41B8">
            <w:pPr>
              <w:rPr>
                <w:i/>
                <w:szCs w:val="19"/>
              </w:rPr>
            </w:pPr>
            <w:r w:rsidRPr="00D427D8">
              <w:rPr>
                <w:i/>
                <w:szCs w:val="19"/>
              </w:rPr>
              <w:t>Paying Agent</w:t>
            </w:r>
          </w:p>
        </w:tc>
        <w:tc>
          <w:tcPr>
            <w:tcW w:w="4560" w:type="dxa"/>
          </w:tcPr>
          <w:p w14:paraId="62EE0FDE" w14:textId="5166EDFC" w:rsidR="009F6E91" w:rsidRPr="00D427D8" w:rsidRDefault="009F6E91" w:rsidP="00333162">
            <w:pPr>
              <w:pStyle w:val="Body1"/>
            </w:pPr>
            <w:bookmarkStart w:id="56" w:name="_Hlk185358491"/>
            <w:r w:rsidRPr="00D427D8">
              <w:t xml:space="preserve">BNP Paribas, 16 boulevard des Italiens, 75009 Paris, France, acting through its Luxembourg Branch, 60, </w:t>
            </w:r>
            <w:r w:rsidRPr="00D427D8">
              <w:lastRenderedPageBreak/>
              <w:t>avenue J. F. Kennedy, L-1855 Luxembourg, Grand Duchy of Luxembourg.</w:t>
            </w:r>
            <w:bookmarkEnd w:id="56"/>
          </w:p>
        </w:tc>
      </w:tr>
      <w:tr w:rsidR="009F6E91" w:rsidRPr="001C3D25" w14:paraId="3ABE29AC" w14:textId="77777777" w:rsidTr="00594AC0">
        <w:tc>
          <w:tcPr>
            <w:tcW w:w="4511" w:type="dxa"/>
          </w:tcPr>
          <w:p w14:paraId="766D4ABF" w14:textId="77777777" w:rsidR="009F6E91" w:rsidRPr="00D427D8" w:rsidRDefault="009F6E91" w:rsidP="004C41B8">
            <w:pPr>
              <w:rPr>
                <w:i/>
                <w:szCs w:val="19"/>
              </w:rPr>
            </w:pPr>
            <w:r w:rsidRPr="00D427D8">
              <w:rPr>
                <w:i/>
                <w:szCs w:val="19"/>
              </w:rPr>
              <w:lastRenderedPageBreak/>
              <w:t>Calculation Agent</w:t>
            </w:r>
          </w:p>
        </w:tc>
        <w:tc>
          <w:tcPr>
            <w:tcW w:w="4560" w:type="dxa"/>
          </w:tcPr>
          <w:p w14:paraId="066A6555" w14:textId="5F4C1D91" w:rsidR="009F6E91" w:rsidRPr="00D427D8" w:rsidRDefault="009F6E91" w:rsidP="00333162">
            <w:pPr>
              <w:pStyle w:val="Body1"/>
              <w:rPr>
                <w:lang w:val="fr-FR"/>
              </w:rPr>
            </w:pPr>
            <w:r w:rsidRPr="00D427D8">
              <w:rPr>
                <w:lang w:val="fr-FR"/>
              </w:rPr>
              <w:t>France Titrisation, 1, boulevard Haussmann, 75009 Paris, France (business address : 9 rue du Débarcadère, 93500 Paris).</w:t>
            </w:r>
          </w:p>
        </w:tc>
      </w:tr>
      <w:tr w:rsidR="009F6E91" w:rsidRPr="001C3D25" w14:paraId="559688F3" w14:textId="77777777" w:rsidTr="00594AC0">
        <w:tc>
          <w:tcPr>
            <w:tcW w:w="4511" w:type="dxa"/>
          </w:tcPr>
          <w:p w14:paraId="2C518360" w14:textId="77777777" w:rsidR="009F6E91" w:rsidRPr="00D427D8" w:rsidRDefault="009F6E91" w:rsidP="004C41B8">
            <w:pPr>
              <w:rPr>
                <w:i/>
                <w:szCs w:val="19"/>
              </w:rPr>
            </w:pPr>
            <w:r w:rsidRPr="00D427D8">
              <w:rPr>
                <w:i/>
                <w:szCs w:val="19"/>
              </w:rPr>
              <w:t>Reporting Agent</w:t>
            </w:r>
          </w:p>
        </w:tc>
        <w:tc>
          <w:tcPr>
            <w:tcW w:w="4560" w:type="dxa"/>
          </w:tcPr>
          <w:p w14:paraId="360AC0E3" w14:textId="06172756" w:rsidR="009F6E91" w:rsidRPr="00D427D8" w:rsidRDefault="009F6E91" w:rsidP="00333162">
            <w:pPr>
              <w:pStyle w:val="Body1"/>
              <w:rPr>
                <w:lang w:val="fr-FR"/>
              </w:rPr>
            </w:pPr>
            <w:r w:rsidRPr="00D427D8">
              <w:rPr>
                <w:lang w:val="fr-FR"/>
              </w:rPr>
              <w:t>France Titrisation, 1, boulevard Haussmann, 75009 Paris, France</w:t>
            </w:r>
            <w:r w:rsidRPr="00D427D8" w:rsidDel="0036552C">
              <w:rPr>
                <w:lang w:val="fr-FR"/>
              </w:rPr>
              <w:t xml:space="preserve"> </w:t>
            </w:r>
            <w:r w:rsidRPr="00D427D8">
              <w:rPr>
                <w:lang w:val="fr-FR"/>
              </w:rPr>
              <w:t>(business address : 9 rue du Débarcadère, 93500 Paris).</w:t>
            </w:r>
          </w:p>
        </w:tc>
      </w:tr>
      <w:tr w:rsidR="009F6E91" w:rsidRPr="001C3D25" w14:paraId="79AD2A36" w14:textId="77777777" w:rsidTr="00594AC0">
        <w:tc>
          <w:tcPr>
            <w:tcW w:w="4511" w:type="dxa"/>
          </w:tcPr>
          <w:p w14:paraId="0B10ACDF" w14:textId="77777777" w:rsidR="009F6E91" w:rsidRPr="00D427D8" w:rsidRDefault="009F6E91" w:rsidP="004C41B8">
            <w:pPr>
              <w:rPr>
                <w:i/>
                <w:szCs w:val="19"/>
              </w:rPr>
            </w:pPr>
            <w:r w:rsidRPr="00D427D8">
              <w:rPr>
                <w:i/>
                <w:szCs w:val="19"/>
              </w:rPr>
              <w:t>Data Protection Trustee</w:t>
            </w:r>
          </w:p>
        </w:tc>
        <w:tc>
          <w:tcPr>
            <w:tcW w:w="4560" w:type="dxa"/>
          </w:tcPr>
          <w:p w14:paraId="241FF956" w14:textId="291BBC16" w:rsidR="009F6E91" w:rsidRPr="00D427D8" w:rsidRDefault="00DB564D" w:rsidP="00333162">
            <w:pPr>
              <w:pStyle w:val="Body1"/>
              <w:rPr>
                <w:lang w:val="fr-FR"/>
              </w:rPr>
            </w:pPr>
            <w:r w:rsidRPr="00DB564D">
              <w:rPr>
                <w:lang w:val="fr-FR"/>
              </w:rPr>
              <w:t>BNP Paribas, 16 boulevard des Italiens, 75009 Paris, France, acting through its Securities Services business, located at Les Grands Moulins de Pantin, 9, rue du Débarcadère, 93500 Pantin (France)</w:t>
            </w:r>
            <w:r>
              <w:rPr>
                <w:lang w:val="fr-FR"/>
              </w:rPr>
              <w:t>.</w:t>
            </w:r>
          </w:p>
        </w:tc>
      </w:tr>
      <w:tr w:rsidR="009F6E91" w:rsidRPr="001C3D25" w14:paraId="214ECFFE" w14:textId="77777777" w:rsidTr="00594AC0">
        <w:tc>
          <w:tcPr>
            <w:tcW w:w="4511" w:type="dxa"/>
          </w:tcPr>
          <w:p w14:paraId="03394EE2" w14:textId="77777777" w:rsidR="009F6E91" w:rsidRPr="00D427D8" w:rsidRDefault="009F6E91" w:rsidP="00DC0BE4">
            <w:pPr>
              <w:rPr>
                <w:i/>
                <w:szCs w:val="19"/>
              </w:rPr>
            </w:pPr>
            <w:r w:rsidRPr="00D427D8">
              <w:rPr>
                <w:i/>
                <w:szCs w:val="19"/>
              </w:rPr>
              <w:t>Counterparty</w:t>
            </w:r>
          </w:p>
        </w:tc>
        <w:tc>
          <w:tcPr>
            <w:tcW w:w="4560" w:type="dxa"/>
          </w:tcPr>
          <w:p w14:paraId="6EB49897" w14:textId="36495D31" w:rsidR="009F6E91" w:rsidRPr="00D427D8" w:rsidRDefault="009F6E91" w:rsidP="00333162">
            <w:pPr>
              <w:pStyle w:val="Body1"/>
              <w:rPr>
                <w:lang w:val="fr-FR"/>
              </w:rPr>
            </w:pPr>
            <w:r w:rsidRPr="00D427D8">
              <w:rPr>
                <w:lang w:val="fr-FR"/>
              </w:rPr>
              <w:t>BNP Paribas, 16 boulevard des Italiens, 75009 Paris, France.</w:t>
            </w:r>
          </w:p>
        </w:tc>
      </w:tr>
      <w:tr w:rsidR="009F6E91" w:rsidRPr="001C3D25" w14:paraId="7F231C23" w14:textId="77777777" w:rsidTr="00594AC0">
        <w:tc>
          <w:tcPr>
            <w:tcW w:w="4511" w:type="dxa"/>
          </w:tcPr>
          <w:p w14:paraId="678E15EB" w14:textId="56749415" w:rsidR="009F6E91" w:rsidRPr="00D427D8" w:rsidRDefault="009F6E91" w:rsidP="00B46E44">
            <w:pPr>
              <w:rPr>
                <w:i/>
                <w:szCs w:val="19"/>
              </w:rPr>
            </w:pPr>
            <w:r w:rsidRPr="00D427D8">
              <w:rPr>
                <w:i/>
                <w:szCs w:val="19"/>
              </w:rPr>
              <w:t>Lead Manager</w:t>
            </w:r>
          </w:p>
        </w:tc>
        <w:tc>
          <w:tcPr>
            <w:tcW w:w="4560" w:type="dxa"/>
          </w:tcPr>
          <w:p w14:paraId="50EBBF9F" w14:textId="69D061E8" w:rsidR="009F6E91" w:rsidRPr="00D427D8" w:rsidRDefault="009F6E91" w:rsidP="00333162">
            <w:pPr>
              <w:pStyle w:val="Body1"/>
              <w:rPr>
                <w:lang w:val="fr-FR"/>
              </w:rPr>
            </w:pPr>
            <w:r w:rsidRPr="00D427D8">
              <w:rPr>
                <w:lang w:val="fr-FR"/>
              </w:rPr>
              <w:t xml:space="preserve">BNP Paribas, 16 boulevard des Italiens, 75009 Paris, </w:t>
            </w:r>
            <w:r w:rsidR="003A5952">
              <w:rPr>
                <w:lang w:val="fr-FR"/>
              </w:rPr>
              <w:t>France.</w:t>
            </w:r>
          </w:p>
        </w:tc>
      </w:tr>
      <w:tr w:rsidR="009F6E91" w:rsidRPr="001C3D25" w14:paraId="19AB1DD6" w14:textId="77777777" w:rsidTr="00594AC0">
        <w:trPr>
          <w:trHeight w:val="70"/>
        </w:trPr>
        <w:tc>
          <w:tcPr>
            <w:tcW w:w="4511" w:type="dxa"/>
          </w:tcPr>
          <w:p w14:paraId="00FB61B5" w14:textId="77777777" w:rsidR="009F6E91" w:rsidRPr="00D427D8" w:rsidRDefault="009F6E91" w:rsidP="00B46E44">
            <w:pPr>
              <w:rPr>
                <w:i/>
                <w:szCs w:val="19"/>
              </w:rPr>
            </w:pPr>
            <w:r w:rsidRPr="00D427D8">
              <w:rPr>
                <w:i/>
                <w:szCs w:val="19"/>
              </w:rPr>
              <w:t>Arranger</w:t>
            </w:r>
          </w:p>
        </w:tc>
        <w:tc>
          <w:tcPr>
            <w:tcW w:w="4560" w:type="dxa"/>
          </w:tcPr>
          <w:p w14:paraId="46DFFAF3" w14:textId="77777777" w:rsidR="009F6E91" w:rsidRPr="00D427D8" w:rsidRDefault="009F6E91" w:rsidP="00333162">
            <w:pPr>
              <w:pStyle w:val="Body1"/>
              <w:rPr>
                <w:lang w:val="fr-FR"/>
              </w:rPr>
            </w:pPr>
            <w:r w:rsidRPr="00D427D8">
              <w:rPr>
                <w:lang w:val="fr-FR"/>
              </w:rPr>
              <w:t>BNP Paribas, 16 boulevard des Italiens, 75009 Paris, France.</w:t>
            </w:r>
          </w:p>
        </w:tc>
      </w:tr>
      <w:tr w:rsidR="009F6E91" w:rsidRPr="001C3D25" w14:paraId="5E4FA857" w14:textId="77777777" w:rsidTr="00594AC0">
        <w:tc>
          <w:tcPr>
            <w:tcW w:w="4511" w:type="dxa"/>
          </w:tcPr>
          <w:p w14:paraId="54A46CB6" w14:textId="77777777" w:rsidR="009F6E91" w:rsidRPr="00D427D8" w:rsidRDefault="009F6E91" w:rsidP="00B46E44">
            <w:pPr>
              <w:rPr>
                <w:rFonts w:asciiTheme="minorHAnsi" w:hAnsiTheme="minorHAnsi" w:cstheme="minorHAnsi"/>
                <w:i/>
                <w:szCs w:val="19"/>
                <w:lang w:val="fr-FR"/>
              </w:rPr>
            </w:pPr>
          </w:p>
        </w:tc>
        <w:tc>
          <w:tcPr>
            <w:tcW w:w="4560" w:type="dxa"/>
          </w:tcPr>
          <w:p w14:paraId="42EB7761" w14:textId="77777777" w:rsidR="009F6E91" w:rsidRPr="00D427D8" w:rsidRDefault="009F6E91" w:rsidP="00333162">
            <w:pPr>
              <w:pStyle w:val="Body1"/>
              <w:rPr>
                <w:rFonts w:asciiTheme="minorHAnsi" w:hAnsiTheme="minorHAnsi" w:cstheme="minorHAnsi"/>
                <w:lang w:val="fr-FR"/>
              </w:rPr>
            </w:pPr>
          </w:p>
        </w:tc>
      </w:tr>
    </w:tbl>
    <w:p w14:paraId="30FA0539" w14:textId="77777777" w:rsidR="009F6E91" w:rsidRPr="00D427D8" w:rsidRDefault="009F6E91" w:rsidP="00EF7333">
      <w:pPr>
        <w:pStyle w:val="Body1"/>
        <w:rPr>
          <w:rStyle w:val="Heading1Text"/>
        </w:rPr>
      </w:pPr>
      <w:r w:rsidRPr="00D427D8">
        <w:rPr>
          <w:rStyle w:val="Heading1Text"/>
        </w:rPr>
        <w:t>The Notes</w:t>
      </w:r>
    </w:p>
    <w:p w14:paraId="02A7199A" w14:textId="77777777" w:rsidR="009F6E91" w:rsidRPr="00D427D8" w:rsidRDefault="009F6E91" w:rsidP="009F6E91">
      <w:pPr>
        <w:pStyle w:val="Body1"/>
      </w:pPr>
      <w:r w:rsidRPr="00D427D8">
        <w:t>The Issuer will issue the following Classes of Notes:</w:t>
      </w:r>
    </w:p>
    <w:tbl>
      <w:tblPr>
        <w:tblW w:w="8930" w:type="dxa"/>
        <w:tblCellMar>
          <w:left w:w="57" w:type="dxa"/>
          <w:right w:w="57" w:type="dxa"/>
        </w:tblCellMar>
        <w:tblLook w:val="04A0" w:firstRow="1" w:lastRow="0" w:firstColumn="1" w:lastColumn="0" w:noHBand="0" w:noVBand="1"/>
      </w:tblPr>
      <w:tblGrid>
        <w:gridCol w:w="2872"/>
        <w:gridCol w:w="686"/>
        <w:gridCol w:w="2342"/>
        <w:gridCol w:w="2747"/>
        <w:gridCol w:w="142"/>
        <w:gridCol w:w="141"/>
      </w:tblGrid>
      <w:tr w:rsidR="009F6E91" w:rsidRPr="00D427D8" w14:paraId="03FB05A9" w14:textId="77777777" w:rsidTr="00333162">
        <w:tc>
          <w:tcPr>
            <w:tcW w:w="2872" w:type="dxa"/>
          </w:tcPr>
          <w:p w14:paraId="5F8DDDC5" w14:textId="77777777" w:rsidR="009F6E91" w:rsidRPr="00D427D8" w:rsidRDefault="009F6E91" w:rsidP="00266CB1">
            <w:pPr>
              <w:spacing w:after="120"/>
              <w:rPr>
                <w:b/>
                <w:szCs w:val="19"/>
              </w:rPr>
            </w:pPr>
            <w:r w:rsidRPr="00D427D8">
              <w:rPr>
                <w:b/>
                <w:szCs w:val="19"/>
              </w:rPr>
              <w:t>Class</w:t>
            </w:r>
          </w:p>
        </w:tc>
        <w:tc>
          <w:tcPr>
            <w:tcW w:w="3028" w:type="dxa"/>
            <w:gridSpan w:val="2"/>
          </w:tcPr>
          <w:p w14:paraId="6081AA94" w14:textId="77777777" w:rsidR="009F6E91" w:rsidRPr="00D427D8" w:rsidRDefault="009F6E91" w:rsidP="00266CB1">
            <w:pPr>
              <w:spacing w:after="120"/>
              <w:rPr>
                <w:b/>
                <w:szCs w:val="19"/>
              </w:rPr>
            </w:pPr>
            <w:r w:rsidRPr="00D427D8">
              <w:rPr>
                <w:b/>
                <w:szCs w:val="19"/>
              </w:rPr>
              <w:t>Principal Amount</w:t>
            </w:r>
          </w:p>
        </w:tc>
        <w:tc>
          <w:tcPr>
            <w:tcW w:w="3030" w:type="dxa"/>
            <w:gridSpan w:val="3"/>
          </w:tcPr>
          <w:p w14:paraId="6979E2B4" w14:textId="77777777" w:rsidR="009F6E91" w:rsidRPr="00D427D8" w:rsidRDefault="009F6E91" w:rsidP="00266CB1">
            <w:pPr>
              <w:spacing w:after="120"/>
              <w:rPr>
                <w:b/>
                <w:szCs w:val="19"/>
              </w:rPr>
            </w:pPr>
            <w:r w:rsidRPr="00D427D8">
              <w:rPr>
                <w:b/>
                <w:szCs w:val="19"/>
              </w:rPr>
              <w:t>Interest Rate</w:t>
            </w:r>
          </w:p>
        </w:tc>
      </w:tr>
      <w:tr w:rsidR="009F6E91" w:rsidRPr="00D427D8" w14:paraId="1354FB29" w14:textId="77777777" w:rsidTr="00333162">
        <w:tc>
          <w:tcPr>
            <w:tcW w:w="2872" w:type="dxa"/>
          </w:tcPr>
          <w:p w14:paraId="5014D7F2" w14:textId="77777777" w:rsidR="009F6E91" w:rsidRPr="00D427D8" w:rsidRDefault="009F6E91" w:rsidP="00266CB1">
            <w:pPr>
              <w:spacing w:after="120"/>
              <w:rPr>
                <w:b/>
                <w:szCs w:val="19"/>
              </w:rPr>
            </w:pPr>
            <w:r w:rsidRPr="00D427D8">
              <w:rPr>
                <w:b/>
                <w:szCs w:val="19"/>
              </w:rPr>
              <w:t>Class A Notes</w:t>
            </w:r>
          </w:p>
        </w:tc>
        <w:tc>
          <w:tcPr>
            <w:tcW w:w="3028" w:type="dxa"/>
            <w:gridSpan w:val="2"/>
          </w:tcPr>
          <w:p w14:paraId="4AAD378E" w14:textId="620FC9F9" w:rsidR="009F6E91" w:rsidRPr="00D427D8" w:rsidRDefault="009F6E91" w:rsidP="001B6C80">
            <w:pPr>
              <w:spacing w:after="120"/>
              <w:rPr>
                <w:szCs w:val="19"/>
              </w:rPr>
            </w:pPr>
            <w:r w:rsidRPr="00D427D8">
              <w:rPr>
                <w:szCs w:val="19"/>
              </w:rPr>
              <w:t xml:space="preserve">EUR </w:t>
            </w:r>
            <w:r w:rsidR="00526BA1">
              <w:rPr>
                <w:szCs w:val="19"/>
              </w:rPr>
              <w:t>717,500,000</w:t>
            </w:r>
          </w:p>
        </w:tc>
        <w:tc>
          <w:tcPr>
            <w:tcW w:w="3030" w:type="dxa"/>
            <w:gridSpan w:val="3"/>
          </w:tcPr>
          <w:p w14:paraId="723917DA" w14:textId="72C19146" w:rsidR="009F6E91" w:rsidRPr="00D427D8" w:rsidRDefault="009F6E91" w:rsidP="00266CB1">
            <w:pPr>
              <w:spacing w:after="120"/>
              <w:rPr>
                <w:szCs w:val="19"/>
              </w:rPr>
            </w:pPr>
            <w:r w:rsidRPr="00D427D8">
              <w:rPr>
                <w:szCs w:val="19"/>
              </w:rPr>
              <w:t xml:space="preserve">1-Month EURIBOR + </w:t>
            </w:r>
            <w:r w:rsidR="00526BA1">
              <w:rPr>
                <w:szCs w:val="19"/>
              </w:rPr>
              <w:t>0.64</w:t>
            </w:r>
            <w:r w:rsidR="00526BA1" w:rsidRPr="00D427D8">
              <w:rPr>
                <w:szCs w:val="19"/>
              </w:rPr>
              <w:t xml:space="preserve"> </w:t>
            </w:r>
            <w:r w:rsidRPr="00D427D8">
              <w:rPr>
                <w:szCs w:val="19"/>
              </w:rPr>
              <w:t>per cent. (or zero if 1-Month EURIBOR plus the margin for the Class A Notes is less than zero)</w:t>
            </w:r>
          </w:p>
        </w:tc>
      </w:tr>
      <w:tr w:rsidR="009F6E91" w:rsidRPr="00D427D8" w14:paraId="4F1FB0E6" w14:textId="77777777" w:rsidTr="00333162">
        <w:tc>
          <w:tcPr>
            <w:tcW w:w="2872" w:type="dxa"/>
          </w:tcPr>
          <w:p w14:paraId="3E341C33" w14:textId="77777777" w:rsidR="009F6E91" w:rsidRPr="00D427D8" w:rsidRDefault="009F6E91" w:rsidP="004C41B8">
            <w:pPr>
              <w:spacing w:after="120"/>
              <w:rPr>
                <w:b/>
                <w:szCs w:val="19"/>
              </w:rPr>
            </w:pPr>
            <w:r w:rsidRPr="00D427D8">
              <w:rPr>
                <w:b/>
                <w:szCs w:val="19"/>
              </w:rPr>
              <w:t>Class B Notes</w:t>
            </w:r>
          </w:p>
        </w:tc>
        <w:tc>
          <w:tcPr>
            <w:tcW w:w="3028" w:type="dxa"/>
            <w:gridSpan w:val="2"/>
          </w:tcPr>
          <w:p w14:paraId="702AB53A" w14:textId="3D34C75C" w:rsidR="009F6E91" w:rsidRPr="00D427D8" w:rsidRDefault="009F6E91" w:rsidP="004C41B8">
            <w:pPr>
              <w:spacing w:after="120"/>
              <w:rPr>
                <w:szCs w:val="19"/>
              </w:rPr>
            </w:pPr>
            <w:r w:rsidRPr="00D427D8">
              <w:rPr>
                <w:szCs w:val="19"/>
              </w:rPr>
              <w:t xml:space="preserve">EUR </w:t>
            </w:r>
            <w:r w:rsidR="00526BA1">
              <w:rPr>
                <w:szCs w:val="19"/>
              </w:rPr>
              <w:t>57,500,000</w:t>
            </w:r>
          </w:p>
        </w:tc>
        <w:tc>
          <w:tcPr>
            <w:tcW w:w="3030" w:type="dxa"/>
            <w:gridSpan w:val="3"/>
          </w:tcPr>
          <w:p w14:paraId="31777712" w14:textId="5890A0FE" w:rsidR="009F6E91" w:rsidRPr="00D427D8" w:rsidRDefault="009F6E91" w:rsidP="004C41B8">
            <w:pPr>
              <w:spacing w:after="120"/>
              <w:rPr>
                <w:szCs w:val="19"/>
              </w:rPr>
            </w:pPr>
            <w:r w:rsidRPr="00D427D8">
              <w:rPr>
                <w:szCs w:val="19"/>
              </w:rPr>
              <w:t xml:space="preserve">1-Month EURIBOR + </w:t>
            </w:r>
            <w:r w:rsidR="00526BA1">
              <w:rPr>
                <w:szCs w:val="19"/>
              </w:rPr>
              <w:t>1.00</w:t>
            </w:r>
            <w:r w:rsidR="00526BA1" w:rsidRPr="00D427D8">
              <w:rPr>
                <w:szCs w:val="19"/>
              </w:rPr>
              <w:t xml:space="preserve"> </w:t>
            </w:r>
            <w:r w:rsidRPr="00D427D8">
              <w:rPr>
                <w:szCs w:val="19"/>
              </w:rPr>
              <w:t>per cent. (or zero if 1-Month EURIBOR plus the margin for the Class B Notes is less than zero)</w:t>
            </w:r>
          </w:p>
        </w:tc>
      </w:tr>
      <w:tr w:rsidR="009F6E91" w:rsidRPr="00D427D8" w14:paraId="72A1B930" w14:textId="77777777" w:rsidTr="00333162">
        <w:tc>
          <w:tcPr>
            <w:tcW w:w="2872" w:type="dxa"/>
          </w:tcPr>
          <w:p w14:paraId="0DD24CB6" w14:textId="77777777" w:rsidR="009F6E91" w:rsidRPr="00D427D8" w:rsidRDefault="009F6E91" w:rsidP="004C41B8">
            <w:pPr>
              <w:spacing w:after="120"/>
              <w:rPr>
                <w:b/>
                <w:szCs w:val="19"/>
              </w:rPr>
            </w:pPr>
            <w:r w:rsidRPr="00D427D8">
              <w:rPr>
                <w:b/>
                <w:szCs w:val="19"/>
              </w:rPr>
              <w:t>Class C Notes</w:t>
            </w:r>
          </w:p>
        </w:tc>
        <w:tc>
          <w:tcPr>
            <w:tcW w:w="3028" w:type="dxa"/>
            <w:gridSpan w:val="2"/>
          </w:tcPr>
          <w:p w14:paraId="57D59DD5" w14:textId="670E416C" w:rsidR="009F6E91" w:rsidRPr="00D427D8" w:rsidRDefault="009F6E91" w:rsidP="004C41B8">
            <w:pPr>
              <w:spacing w:after="120"/>
              <w:rPr>
                <w:szCs w:val="19"/>
              </w:rPr>
            </w:pPr>
            <w:r w:rsidRPr="00D427D8">
              <w:rPr>
                <w:szCs w:val="19"/>
              </w:rPr>
              <w:t xml:space="preserve">EUR </w:t>
            </w:r>
            <w:r w:rsidR="00526BA1">
              <w:rPr>
                <w:szCs w:val="19"/>
              </w:rPr>
              <w:t>55,</w:t>
            </w:r>
            <w:r w:rsidR="00C9516B">
              <w:rPr>
                <w:szCs w:val="19"/>
              </w:rPr>
              <w:t>0</w:t>
            </w:r>
            <w:r w:rsidR="00526BA1">
              <w:rPr>
                <w:szCs w:val="19"/>
              </w:rPr>
              <w:t>00,000</w:t>
            </w:r>
          </w:p>
        </w:tc>
        <w:tc>
          <w:tcPr>
            <w:tcW w:w="3030" w:type="dxa"/>
            <w:gridSpan w:val="3"/>
          </w:tcPr>
          <w:p w14:paraId="3914EBAA" w14:textId="2B7D69A8" w:rsidR="009F6E91" w:rsidRPr="00D427D8" w:rsidRDefault="009F6E91" w:rsidP="004C41B8">
            <w:pPr>
              <w:spacing w:after="120"/>
              <w:rPr>
                <w:szCs w:val="19"/>
              </w:rPr>
            </w:pPr>
            <w:r w:rsidRPr="00D427D8">
              <w:rPr>
                <w:szCs w:val="19"/>
              </w:rPr>
              <w:t xml:space="preserve">1-Month EURIBOR + </w:t>
            </w:r>
            <w:r w:rsidR="00526BA1">
              <w:rPr>
                <w:szCs w:val="19"/>
              </w:rPr>
              <w:t>1.25</w:t>
            </w:r>
            <w:r w:rsidR="00526BA1" w:rsidRPr="00D427D8">
              <w:rPr>
                <w:szCs w:val="19"/>
              </w:rPr>
              <w:t xml:space="preserve"> </w:t>
            </w:r>
            <w:r w:rsidRPr="00D427D8">
              <w:rPr>
                <w:szCs w:val="19"/>
              </w:rPr>
              <w:t>per cent. (or zero if 1-Month EURIBOR plus the margin for the Class C Notes is less than zero)</w:t>
            </w:r>
          </w:p>
        </w:tc>
      </w:tr>
      <w:tr w:rsidR="009F6E91" w:rsidRPr="00D427D8" w14:paraId="60A988DC" w14:textId="77777777" w:rsidTr="00333162">
        <w:tc>
          <w:tcPr>
            <w:tcW w:w="2872" w:type="dxa"/>
          </w:tcPr>
          <w:p w14:paraId="414A5DE0" w14:textId="77777777" w:rsidR="009F6E91" w:rsidRPr="00D427D8" w:rsidRDefault="009F6E91" w:rsidP="004C41B8">
            <w:pPr>
              <w:spacing w:after="120"/>
              <w:rPr>
                <w:b/>
                <w:szCs w:val="19"/>
              </w:rPr>
            </w:pPr>
            <w:r w:rsidRPr="00D427D8">
              <w:rPr>
                <w:b/>
                <w:szCs w:val="19"/>
              </w:rPr>
              <w:t>Class D Notes</w:t>
            </w:r>
          </w:p>
        </w:tc>
        <w:tc>
          <w:tcPr>
            <w:tcW w:w="3028" w:type="dxa"/>
            <w:gridSpan w:val="2"/>
          </w:tcPr>
          <w:p w14:paraId="5D002288" w14:textId="7CCBF132" w:rsidR="009F6E91" w:rsidRPr="00D427D8" w:rsidRDefault="009F6E91" w:rsidP="004C41B8">
            <w:pPr>
              <w:spacing w:after="120"/>
              <w:rPr>
                <w:szCs w:val="19"/>
              </w:rPr>
            </w:pPr>
            <w:r w:rsidRPr="00D427D8">
              <w:rPr>
                <w:szCs w:val="19"/>
              </w:rPr>
              <w:t xml:space="preserve">EUR </w:t>
            </w:r>
            <w:r w:rsidR="00526BA1">
              <w:rPr>
                <w:szCs w:val="19"/>
              </w:rPr>
              <w:t>45,</w:t>
            </w:r>
            <w:r w:rsidR="00C9516B">
              <w:rPr>
                <w:szCs w:val="19"/>
              </w:rPr>
              <w:t>0</w:t>
            </w:r>
            <w:r w:rsidR="00526BA1">
              <w:rPr>
                <w:szCs w:val="19"/>
              </w:rPr>
              <w:t>00,000</w:t>
            </w:r>
          </w:p>
        </w:tc>
        <w:tc>
          <w:tcPr>
            <w:tcW w:w="3030" w:type="dxa"/>
            <w:gridSpan w:val="3"/>
          </w:tcPr>
          <w:p w14:paraId="6939922C" w14:textId="3C2C6EDF" w:rsidR="009F6E91" w:rsidRPr="00D427D8" w:rsidRDefault="009F6E91" w:rsidP="004C41B8">
            <w:pPr>
              <w:spacing w:after="120"/>
              <w:rPr>
                <w:szCs w:val="19"/>
              </w:rPr>
            </w:pPr>
            <w:r w:rsidRPr="00D427D8">
              <w:rPr>
                <w:szCs w:val="19"/>
              </w:rPr>
              <w:t xml:space="preserve">1-Month EURIBOR + </w:t>
            </w:r>
            <w:r w:rsidR="00526BA1">
              <w:rPr>
                <w:szCs w:val="19"/>
              </w:rPr>
              <w:t>1.50</w:t>
            </w:r>
            <w:r w:rsidR="00526BA1" w:rsidRPr="00D427D8">
              <w:rPr>
                <w:szCs w:val="19"/>
              </w:rPr>
              <w:t xml:space="preserve"> </w:t>
            </w:r>
            <w:r w:rsidRPr="00D427D8">
              <w:rPr>
                <w:szCs w:val="19"/>
              </w:rPr>
              <w:t>per cent. (or zero if 1-Month EURIBOR plus the margin for the Class D Notes is less than zero)</w:t>
            </w:r>
          </w:p>
        </w:tc>
      </w:tr>
      <w:tr w:rsidR="009F6E91" w:rsidRPr="00D427D8" w14:paraId="68B6AD2A" w14:textId="77777777" w:rsidTr="00333162">
        <w:tc>
          <w:tcPr>
            <w:tcW w:w="2872" w:type="dxa"/>
          </w:tcPr>
          <w:p w14:paraId="62F448D2" w14:textId="77777777" w:rsidR="009F6E91" w:rsidRPr="00D427D8" w:rsidRDefault="009F6E91" w:rsidP="004C41B8">
            <w:pPr>
              <w:spacing w:after="120"/>
              <w:rPr>
                <w:b/>
                <w:szCs w:val="19"/>
              </w:rPr>
            </w:pPr>
            <w:r w:rsidRPr="00D427D8">
              <w:rPr>
                <w:b/>
                <w:szCs w:val="19"/>
              </w:rPr>
              <w:t>Class E Notes</w:t>
            </w:r>
          </w:p>
        </w:tc>
        <w:tc>
          <w:tcPr>
            <w:tcW w:w="3028" w:type="dxa"/>
            <w:gridSpan w:val="2"/>
          </w:tcPr>
          <w:p w14:paraId="509A8584" w14:textId="5418BB02" w:rsidR="009F6E91" w:rsidRPr="00D427D8" w:rsidRDefault="009F6E91" w:rsidP="004C41B8">
            <w:pPr>
              <w:spacing w:after="120"/>
              <w:rPr>
                <w:szCs w:val="19"/>
              </w:rPr>
            </w:pPr>
            <w:r w:rsidRPr="00D427D8">
              <w:rPr>
                <w:szCs w:val="19"/>
              </w:rPr>
              <w:t xml:space="preserve">EUR </w:t>
            </w:r>
            <w:r w:rsidR="00526BA1">
              <w:rPr>
                <w:szCs w:val="19"/>
              </w:rPr>
              <w:t>85,000,000</w:t>
            </w:r>
          </w:p>
        </w:tc>
        <w:tc>
          <w:tcPr>
            <w:tcW w:w="3030" w:type="dxa"/>
            <w:gridSpan w:val="3"/>
          </w:tcPr>
          <w:p w14:paraId="53010200" w14:textId="384AF86A" w:rsidR="009F6E91" w:rsidRPr="00D427D8" w:rsidRDefault="009F6E91" w:rsidP="004C41B8">
            <w:pPr>
              <w:spacing w:after="120"/>
              <w:rPr>
                <w:szCs w:val="19"/>
              </w:rPr>
            </w:pPr>
            <w:r w:rsidRPr="00D427D8">
              <w:rPr>
                <w:szCs w:val="19"/>
              </w:rPr>
              <w:t xml:space="preserve">1-Month EURIBOR + </w:t>
            </w:r>
            <w:r w:rsidR="00526BA1">
              <w:rPr>
                <w:szCs w:val="19"/>
              </w:rPr>
              <w:t xml:space="preserve">3.20 </w:t>
            </w:r>
            <w:r w:rsidRPr="00D427D8">
              <w:rPr>
                <w:szCs w:val="19"/>
              </w:rPr>
              <w:t>per cent.</w:t>
            </w:r>
            <w:r w:rsidRPr="00D427D8" w:rsidDel="005B0430">
              <w:rPr>
                <w:szCs w:val="19"/>
              </w:rPr>
              <w:t xml:space="preserve"> </w:t>
            </w:r>
            <w:r w:rsidRPr="00D427D8">
              <w:rPr>
                <w:szCs w:val="19"/>
              </w:rPr>
              <w:t>(or zero if 1-Month EURIBOR plus the margin for the Class E Notes is less than zero)</w:t>
            </w:r>
          </w:p>
        </w:tc>
      </w:tr>
      <w:tr w:rsidR="009F6E91" w:rsidRPr="00D427D8" w14:paraId="619ADD18" w14:textId="77777777" w:rsidTr="00333162">
        <w:trPr>
          <w:trHeight w:val="1066"/>
        </w:trPr>
        <w:tc>
          <w:tcPr>
            <w:tcW w:w="2872" w:type="dxa"/>
          </w:tcPr>
          <w:p w14:paraId="431E0511" w14:textId="77777777" w:rsidR="009F6E91" w:rsidRPr="00D427D8" w:rsidRDefault="009F6E91" w:rsidP="004C41B8">
            <w:pPr>
              <w:spacing w:after="120"/>
              <w:rPr>
                <w:b/>
                <w:szCs w:val="19"/>
              </w:rPr>
            </w:pPr>
            <w:r w:rsidRPr="00D427D8">
              <w:rPr>
                <w:b/>
                <w:szCs w:val="19"/>
              </w:rPr>
              <w:t>Class F Notes</w:t>
            </w:r>
          </w:p>
        </w:tc>
        <w:tc>
          <w:tcPr>
            <w:tcW w:w="3028" w:type="dxa"/>
            <w:gridSpan w:val="2"/>
          </w:tcPr>
          <w:p w14:paraId="71B52AB9" w14:textId="0C1F4523" w:rsidR="009F6E91" w:rsidRPr="00D427D8" w:rsidRDefault="009F6E91" w:rsidP="004C41B8">
            <w:pPr>
              <w:spacing w:after="120"/>
              <w:rPr>
                <w:szCs w:val="19"/>
              </w:rPr>
            </w:pPr>
            <w:r w:rsidRPr="00D427D8">
              <w:rPr>
                <w:szCs w:val="19"/>
              </w:rPr>
              <w:t xml:space="preserve">EUR </w:t>
            </w:r>
            <w:r w:rsidR="00526BA1">
              <w:rPr>
                <w:szCs w:val="19"/>
              </w:rPr>
              <w:t>30,000,000</w:t>
            </w:r>
          </w:p>
        </w:tc>
        <w:tc>
          <w:tcPr>
            <w:tcW w:w="3030" w:type="dxa"/>
            <w:gridSpan w:val="3"/>
          </w:tcPr>
          <w:p w14:paraId="4E34FB55" w14:textId="44F2E540" w:rsidR="009F6E91" w:rsidRPr="00D427D8" w:rsidRDefault="009F6E91" w:rsidP="004C41B8">
            <w:pPr>
              <w:spacing w:after="120"/>
              <w:rPr>
                <w:szCs w:val="19"/>
              </w:rPr>
            </w:pPr>
            <w:r w:rsidRPr="00D427D8">
              <w:rPr>
                <w:szCs w:val="19"/>
              </w:rPr>
              <w:t xml:space="preserve">1-Month EURIBOR + </w:t>
            </w:r>
            <w:r w:rsidR="00526BA1">
              <w:rPr>
                <w:szCs w:val="19"/>
              </w:rPr>
              <w:t>4.50</w:t>
            </w:r>
            <w:r w:rsidR="00526BA1" w:rsidRPr="00D427D8">
              <w:rPr>
                <w:szCs w:val="19"/>
              </w:rPr>
              <w:t xml:space="preserve"> </w:t>
            </w:r>
            <w:r w:rsidRPr="00D427D8">
              <w:rPr>
                <w:szCs w:val="19"/>
              </w:rPr>
              <w:t>per cent. (or zero if 1-Month EURIBOR plus the margin for the Class F Notes is less than zero)</w:t>
            </w:r>
          </w:p>
        </w:tc>
      </w:tr>
      <w:tr w:rsidR="009F6E91" w:rsidRPr="00D427D8" w14:paraId="7C433D0A" w14:textId="77777777" w:rsidTr="00333162">
        <w:tc>
          <w:tcPr>
            <w:tcW w:w="2872" w:type="dxa"/>
          </w:tcPr>
          <w:p w14:paraId="0D20CD2B" w14:textId="77777777" w:rsidR="009F6E91" w:rsidRPr="00D427D8" w:rsidRDefault="009F6E91" w:rsidP="004C41B8">
            <w:pPr>
              <w:spacing w:after="120"/>
              <w:rPr>
                <w:b/>
                <w:szCs w:val="19"/>
              </w:rPr>
            </w:pPr>
            <w:r w:rsidRPr="00D427D8">
              <w:rPr>
                <w:b/>
                <w:szCs w:val="19"/>
              </w:rPr>
              <w:t>Class G Notes</w:t>
            </w:r>
          </w:p>
        </w:tc>
        <w:tc>
          <w:tcPr>
            <w:tcW w:w="3028" w:type="dxa"/>
            <w:gridSpan w:val="2"/>
          </w:tcPr>
          <w:p w14:paraId="3E6BB03B" w14:textId="53AEC86B" w:rsidR="009F6E91" w:rsidRPr="00D427D8" w:rsidRDefault="009F6E91" w:rsidP="004C41B8">
            <w:pPr>
              <w:spacing w:after="120"/>
              <w:rPr>
                <w:szCs w:val="19"/>
              </w:rPr>
            </w:pPr>
            <w:r w:rsidRPr="00D427D8">
              <w:rPr>
                <w:szCs w:val="19"/>
              </w:rPr>
              <w:t xml:space="preserve">EUR </w:t>
            </w:r>
            <w:r w:rsidR="00526BA1">
              <w:rPr>
                <w:szCs w:val="19"/>
              </w:rPr>
              <w:t>10,000,000</w:t>
            </w:r>
          </w:p>
        </w:tc>
        <w:tc>
          <w:tcPr>
            <w:tcW w:w="3030" w:type="dxa"/>
            <w:gridSpan w:val="3"/>
          </w:tcPr>
          <w:p w14:paraId="44549775" w14:textId="4A5AA54F" w:rsidR="009F6E91" w:rsidRPr="00D427D8" w:rsidRDefault="009F6E91" w:rsidP="004C41B8">
            <w:pPr>
              <w:spacing w:after="200"/>
              <w:rPr>
                <w:szCs w:val="19"/>
              </w:rPr>
            </w:pPr>
            <w:r w:rsidRPr="00D427D8">
              <w:rPr>
                <w:szCs w:val="19"/>
              </w:rPr>
              <w:t xml:space="preserve">1-Month EURIBOR + </w:t>
            </w:r>
            <w:r w:rsidR="00526BA1">
              <w:rPr>
                <w:szCs w:val="19"/>
              </w:rPr>
              <w:t>5.34</w:t>
            </w:r>
            <w:r w:rsidR="00526BA1" w:rsidRPr="00D427D8">
              <w:rPr>
                <w:szCs w:val="19"/>
              </w:rPr>
              <w:t xml:space="preserve"> </w:t>
            </w:r>
            <w:r w:rsidRPr="00D427D8">
              <w:rPr>
                <w:szCs w:val="19"/>
              </w:rPr>
              <w:t xml:space="preserve">per cent. (or zero if 1-Month EURIBOR </w:t>
            </w:r>
            <w:r w:rsidRPr="00D427D8">
              <w:rPr>
                <w:szCs w:val="19"/>
              </w:rPr>
              <w:lastRenderedPageBreak/>
              <w:t>plus the margin for the Class G Notes is less than zero)</w:t>
            </w:r>
          </w:p>
        </w:tc>
      </w:tr>
      <w:tr w:rsidR="009F6E91" w:rsidRPr="00D427D8" w14:paraId="6DC6AD3F" w14:textId="77777777" w:rsidTr="00333162">
        <w:tc>
          <w:tcPr>
            <w:tcW w:w="3558" w:type="dxa"/>
            <w:gridSpan w:val="2"/>
          </w:tcPr>
          <w:p w14:paraId="3A89AB29" w14:textId="77777777" w:rsidR="009F6E91" w:rsidRPr="00D427D8" w:rsidRDefault="009F6E91" w:rsidP="00B46E44">
            <w:pPr>
              <w:rPr>
                <w:rFonts w:asciiTheme="minorHAnsi" w:hAnsiTheme="minorHAnsi" w:cstheme="minorHAnsi"/>
                <w:b/>
                <w:szCs w:val="19"/>
              </w:rPr>
            </w:pPr>
          </w:p>
        </w:tc>
        <w:tc>
          <w:tcPr>
            <w:tcW w:w="5372" w:type="dxa"/>
            <w:gridSpan w:val="4"/>
          </w:tcPr>
          <w:p w14:paraId="4E78078E" w14:textId="50D5F3E1" w:rsidR="009F6E91" w:rsidRPr="00D427D8" w:rsidRDefault="00333162" w:rsidP="00333162">
            <w:pPr>
              <w:pStyle w:val="Body1"/>
            </w:pPr>
            <w:r w:rsidRPr="00D427D8">
              <w:rPr>
                <w:szCs w:val="19"/>
              </w:rPr>
              <w:t>All Classes of Notes may have interpolated interest for the first interest period. For further information on rates of interest and calculation of interest on the Notes, please refer to Condition 6 (</w:t>
            </w:r>
            <w:r w:rsidRPr="00D427D8">
              <w:rPr>
                <w:i/>
                <w:iCs/>
                <w:szCs w:val="19"/>
              </w:rPr>
              <w:t>Interest</w:t>
            </w:r>
            <w:r w:rsidRPr="00D427D8">
              <w:rPr>
                <w:szCs w:val="19"/>
              </w:rPr>
              <w:t>). An investor will only receive interest under the Class A Notes, the Class B Notes, the Class C Notes, the Class D Notes, the Class E Notes, the Class F Notes or the Class G Notes, if the sum of the Relevant Margin and the 1- Month EURIBOR is positive, otherwise the relevant interest rate will be zero.</w:t>
            </w:r>
          </w:p>
        </w:tc>
      </w:tr>
      <w:tr w:rsidR="009F6E91" w:rsidRPr="00D427D8" w14:paraId="0FE513E9" w14:textId="77777777" w:rsidTr="00333162">
        <w:tc>
          <w:tcPr>
            <w:tcW w:w="3558" w:type="dxa"/>
            <w:gridSpan w:val="2"/>
          </w:tcPr>
          <w:p w14:paraId="79F141D8" w14:textId="77777777" w:rsidR="009F6E91" w:rsidRPr="00D427D8" w:rsidRDefault="009F6E91">
            <w:pPr>
              <w:rPr>
                <w:b/>
                <w:szCs w:val="19"/>
              </w:rPr>
            </w:pPr>
            <w:r w:rsidRPr="00D427D8">
              <w:rPr>
                <w:b/>
                <w:szCs w:val="19"/>
              </w:rPr>
              <w:t>Status of the Notes</w:t>
            </w:r>
          </w:p>
        </w:tc>
        <w:tc>
          <w:tcPr>
            <w:tcW w:w="5372" w:type="dxa"/>
            <w:gridSpan w:val="4"/>
          </w:tcPr>
          <w:p w14:paraId="3777F454" w14:textId="77777777" w:rsidR="009F6E91" w:rsidRPr="00D427D8" w:rsidRDefault="009F6E91" w:rsidP="00333162">
            <w:pPr>
              <w:pStyle w:val="Body1"/>
            </w:pPr>
            <w:r w:rsidRPr="00D427D8">
              <w:t>The Notes constitute limited recourse obligations of the Issuer.</w:t>
            </w:r>
          </w:p>
        </w:tc>
      </w:tr>
      <w:tr w:rsidR="009F6E91" w:rsidRPr="00D427D8" w14:paraId="14C4D82A" w14:textId="77777777" w:rsidTr="00333162">
        <w:tc>
          <w:tcPr>
            <w:tcW w:w="3558" w:type="dxa"/>
            <w:gridSpan w:val="2"/>
          </w:tcPr>
          <w:p w14:paraId="62397981" w14:textId="77777777" w:rsidR="009F6E91" w:rsidRPr="00D427D8" w:rsidRDefault="009F6E91" w:rsidP="00B46E44">
            <w:pPr>
              <w:rPr>
                <w:b/>
                <w:szCs w:val="19"/>
              </w:rPr>
            </w:pPr>
            <w:r w:rsidRPr="00D427D8">
              <w:rPr>
                <w:b/>
                <w:szCs w:val="19"/>
              </w:rPr>
              <w:t>Ranking of the Notes</w:t>
            </w:r>
          </w:p>
        </w:tc>
        <w:tc>
          <w:tcPr>
            <w:tcW w:w="5372" w:type="dxa"/>
            <w:gridSpan w:val="4"/>
          </w:tcPr>
          <w:p w14:paraId="51F73BFA" w14:textId="77777777" w:rsidR="009F6E91" w:rsidRPr="00D427D8" w:rsidRDefault="009F6E91" w:rsidP="00333162">
            <w:pPr>
              <w:pStyle w:val="Body1"/>
            </w:pPr>
            <w:r w:rsidRPr="00D427D8">
              <w:t xml:space="preserve">The Class A Notes will rank in priority (with respect to the payment of principal and interest) to the Class B Notes, the Class C Notes, the Class D Notes, the Class E Notes, the Class F Notes, the Class G Notes and the Subordinated Loan. The Class B Notes will rank in priority (with respect to the payment of principal and interest) to the Class C Notes, the Class D Notes, the Class E Notes, the Class F Notes, the Class G Notes and the Subordinated Loan. The Class C Notes will rank in priority (with respect to the payment of principal and interest) to the Class D Notes, the Class E Notes, the Class F Notes, the Class G Notes and the Subordinated Loan. The Class D Notes will rank in priority (with respect to the payment of principal and interest) to the Class E Notes, the Class F Notes, the Class G Notes and the Subordinated Loan. The Class E Notes will rank in priority (with respect to the payment of principal and interest) to the Class F Notes, the Class G Notes and the Subordinated Loan . The Class F Notes will rank in priority (with respect to the payment of principal and interest) to the Class G Notes and the Subordinated Loan. The Class G Notes will rank in priority (with respect to the payment of principal and interest) to the Subordinated Loan. All Notes within a Class rank </w:t>
            </w:r>
            <w:r w:rsidRPr="00D427D8">
              <w:rPr>
                <w:i/>
                <w:iCs/>
              </w:rPr>
              <w:t xml:space="preserve">pari passu </w:t>
            </w:r>
            <w:r w:rsidRPr="00D427D8">
              <w:t xml:space="preserve">to all other Notes within that Class and all payments on the Notes within a Class shall be allocated </w:t>
            </w:r>
            <w:r w:rsidRPr="00D427D8">
              <w:rPr>
                <w:i/>
                <w:iCs/>
              </w:rPr>
              <w:t xml:space="preserve">pro rata </w:t>
            </w:r>
            <w:r w:rsidRPr="00D427D8">
              <w:t>to those Notes. Only a payment default in relation to due interest under the Most Senior Class of Notes (other than where the Most Senior Class of Notes is the Class G Notes) will lead to an Issuer Event of Default. Payments of principal on the Notes will not be made until the termination of the Revolving Period.</w:t>
            </w:r>
          </w:p>
        </w:tc>
      </w:tr>
      <w:tr w:rsidR="009F6E91" w:rsidRPr="00D427D8" w14:paraId="05118243" w14:textId="77777777" w:rsidTr="00333162">
        <w:trPr>
          <w:trHeight w:val="3007"/>
        </w:trPr>
        <w:tc>
          <w:tcPr>
            <w:tcW w:w="3558" w:type="dxa"/>
            <w:gridSpan w:val="2"/>
          </w:tcPr>
          <w:p w14:paraId="5EA57DC6" w14:textId="77777777" w:rsidR="009F6E91" w:rsidRPr="00D427D8" w:rsidRDefault="009F6E91" w:rsidP="00B46E44">
            <w:pPr>
              <w:rPr>
                <w:b/>
                <w:szCs w:val="19"/>
              </w:rPr>
            </w:pPr>
            <w:r w:rsidRPr="00D427D8">
              <w:rPr>
                <w:b/>
                <w:szCs w:val="19"/>
              </w:rPr>
              <w:t>Distribution Dates</w:t>
            </w:r>
          </w:p>
        </w:tc>
        <w:tc>
          <w:tcPr>
            <w:tcW w:w="5372" w:type="dxa"/>
            <w:gridSpan w:val="4"/>
          </w:tcPr>
          <w:p w14:paraId="0DD70FD1" w14:textId="55C9B586" w:rsidR="009F6E91" w:rsidRPr="00D427D8" w:rsidRDefault="009F6E91" w:rsidP="00B5447E">
            <w:pPr>
              <w:rPr>
                <w:szCs w:val="19"/>
              </w:rPr>
            </w:pPr>
            <w:r w:rsidRPr="00D427D8">
              <w:rPr>
                <w:szCs w:val="19"/>
              </w:rPr>
              <w:t xml:space="preserve">The Issuer will pay interest and principal on the Notes on </w:t>
            </w:r>
            <w:r w:rsidRPr="00D427D8">
              <w:rPr>
                <w:b/>
                <w:bCs/>
                <w:szCs w:val="19"/>
              </w:rPr>
              <w:t>Distribution Dates</w:t>
            </w:r>
            <w:r w:rsidRPr="00D427D8">
              <w:rPr>
                <w:szCs w:val="19"/>
              </w:rPr>
              <w:t xml:space="preserve">, which will be the </w:t>
            </w:r>
            <w:r w:rsidR="00E54B23">
              <w:rPr>
                <w:rFonts w:cs="Arial"/>
                <w:szCs w:val="19"/>
              </w:rPr>
              <w:t>25</w:t>
            </w:r>
            <w:r w:rsidR="00E54B23" w:rsidRPr="002351FB">
              <w:rPr>
                <w:rFonts w:cs="Arial"/>
                <w:szCs w:val="19"/>
                <w:vertAlign w:val="superscript"/>
              </w:rPr>
              <w:t>th</w:t>
            </w:r>
            <w:r w:rsidRPr="002351FB">
              <w:rPr>
                <w:szCs w:val="19"/>
                <w:vertAlign w:val="superscript"/>
              </w:rPr>
              <w:t xml:space="preserve"> </w:t>
            </w:r>
            <w:r w:rsidRPr="00D427D8">
              <w:rPr>
                <w:szCs w:val="19"/>
              </w:rPr>
              <w:t>day of each month (subject to adjustment for non-business days).</w:t>
            </w:r>
          </w:p>
          <w:p w14:paraId="0E867435" w14:textId="04082A63" w:rsidR="009F6E91" w:rsidRPr="00D427D8" w:rsidRDefault="009F6E91" w:rsidP="00333162">
            <w:pPr>
              <w:pStyle w:val="Body1"/>
            </w:pPr>
            <w:r w:rsidRPr="00D427D8">
              <w:t xml:space="preserve">The first Distribution Date will be </w:t>
            </w:r>
            <w:r w:rsidR="00E54B23">
              <w:rPr>
                <w:rFonts w:cs="Arial"/>
              </w:rPr>
              <w:t>25 July 2025</w:t>
            </w:r>
            <w:r w:rsidRPr="00D427D8">
              <w:t>.</w:t>
            </w:r>
          </w:p>
          <w:p w14:paraId="5724E055" w14:textId="77777777" w:rsidR="009F6E91" w:rsidRPr="00D427D8" w:rsidRDefault="009F6E91" w:rsidP="00333162">
            <w:pPr>
              <w:pStyle w:val="Body1"/>
            </w:pPr>
            <w:r w:rsidRPr="00D427D8">
              <w:t>The Notes will accrue interest on an actual/360 basis during each Interest Period.</w:t>
            </w:r>
          </w:p>
          <w:p w14:paraId="3CBEF6DE" w14:textId="4F24CDA8" w:rsidR="009F6E91" w:rsidRPr="00D427D8" w:rsidRDefault="009F6E91" w:rsidP="00333162">
            <w:pPr>
              <w:pStyle w:val="Body1"/>
            </w:pPr>
            <w:r w:rsidRPr="00D427D8">
              <w:t xml:space="preserve">For a more detailed description of the payment of interest and principal on each Distribution Date, please refer to </w:t>
            </w:r>
            <w:r w:rsidR="00EF7333" w:rsidRPr="00D427D8">
              <w:t>"</w:t>
            </w:r>
            <w:r w:rsidRPr="00D427D8">
              <w:rPr>
                <w:i/>
              </w:rPr>
              <w:t>Terms and Conditions of the Notes</w:t>
            </w:r>
            <w:r w:rsidR="00EF7333" w:rsidRPr="00D427D8">
              <w:t>"</w:t>
            </w:r>
            <w:r w:rsidR="00D1648C">
              <w:t>.</w:t>
            </w:r>
          </w:p>
        </w:tc>
      </w:tr>
      <w:tr w:rsidR="009F6E91" w:rsidRPr="00D427D8" w14:paraId="51320329" w14:textId="77777777" w:rsidTr="00333162">
        <w:trPr>
          <w:trHeight w:val="1304"/>
        </w:trPr>
        <w:tc>
          <w:tcPr>
            <w:tcW w:w="3558" w:type="dxa"/>
            <w:gridSpan w:val="2"/>
          </w:tcPr>
          <w:p w14:paraId="0BBEEF21" w14:textId="77777777" w:rsidR="009F6E91" w:rsidRPr="00D427D8" w:rsidRDefault="009F6E91" w:rsidP="00B46E44">
            <w:pPr>
              <w:rPr>
                <w:b/>
                <w:szCs w:val="19"/>
              </w:rPr>
            </w:pPr>
            <w:r w:rsidRPr="00D427D8">
              <w:rPr>
                <w:b/>
                <w:szCs w:val="19"/>
              </w:rPr>
              <w:lastRenderedPageBreak/>
              <w:t>Final Legal Maturity Date of the Notes</w:t>
            </w:r>
          </w:p>
        </w:tc>
        <w:tc>
          <w:tcPr>
            <w:tcW w:w="5372" w:type="dxa"/>
            <w:gridSpan w:val="4"/>
          </w:tcPr>
          <w:p w14:paraId="36E86D9A" w14:textId="13694E02" w:rsidR="009F6E91" w:rsidRPr="00D427D8" w:rsidRDefault="009F6E91" w:rsidP="00333162">
            <w:pPr>
              <w:pStyle w:val="Body1"/>
            </w:pPr>
            <w:r w:rsidRPr="00D427D8">
              <w:t xml:space="preserve">The Distribution Date falling in </w:t>
            </w:r>
            <w:r w:rsidR="00D427D8" w:rsidRPr="00D427D8">
              <w:rPr>
                <w:rFonts w:cs="Arial"/>
              </w:rPr>
              <w:t>May 2034</w:t>
            </w:r>
            <w:r w:rsidRPr="00D427D8">
              <w:t>.</w:t>
            </w:r>
          </w:p>
          <w:p w14:paraId="0DC171A8" w14:textId="77777777" w:rsidR="009F6E91" w:rsidRPr="00D427D8" w:rsidRDefault="009F6E91" w:rsidP="00333162">
            <w:pPr>
              <w:pStyle w:val="Body1"/>
            </w:pPr>
            <w:r w:rsidRPr="00D427D8">
              <w:t xml:space="preserve">The </w:t>
            </w:r>
            <w:r w:rsidRPr="00D427D8">
              <w:rPr>
                <w:b/>
                <w:bCs/>
              </w:rPr>
              <w:t xml:space="preserve">Final Legal Maturity Date </w:t>
            </w:r>
            <w:r w:rsidRPr="00D427D8">
              <w:t>for each Class of Notes is listed below. It is expected that each Class of Notes will be paid in full earlier than its Final Legal Maturity Date, but this might (potentially) not occur.</w:t>
            </w:r>
          </w:p>
        </w:tc>
      </w:tr>
      <w:tr w:rsidR="009F6E91" w:rsidRPr="00D427D8" w14:paraId="1D79A579" w14:textId="77777777" w:rsidTr="00333162">
        <w:tc>
          <w:tcPr>
            <w:tcW w:w="3558" w:type="dxa"/>
            <w:gridSpan w:val="2"/>
          </w:tcPr>
          <w:p w14:paraId="06B02087" w14:textId="77777777" w:rsidR="009F6E91" w:rsidRPr="00D427D8" w:rsidRDefault="009F6E91" w:rsidP="002713AD">
            <w:pPr>
              <w:jc w:val="left"/>
              <w:rPr>
                <w:b/>
                <w:bCs/>
                <w:szCs w:val="19"/>
              </w:rPr>
            </w:pPr>
            <w:r w:rsidRPr="00D427D8">
              <w:rPr>
                <w:b/>
                <w:bCs/>
              </w:rPr>
              <w:t>Resolution of Noteholders</w:t>
            </w:r>
          </w:p>
        </w:tc>
        <w:tc>
          <w:tcPr>
            <w:tcW w:w="5372" w:type="dxa"/>
            <w:gridSpan w:val="4"/>
          </w:tcPr>
          <w:p w14:paraId="2DDC8C59" w14:textId="77777777" w:rsidR="009F6E91" w:rsidRPr="00D427D8" w:rsidRDefault="009F6E91" w:rsidP="00333162">
            <w:pPr>
              <w:pStyle w:val="Body1"/>
            </w:pPr>
            <w:r w:rsidRPr="00D427D8">
              <w:t>In accordance with the German Debenture Act (</w:t>
            </w:r>
            <w:r w:rsidRPr="00D427D8">
              <w:rPr>
                <w:i/>
                <w:iCs/>
              </w:rPr>
              <w:t>Schuldverschreibungsgesetz</w:t>
            </w:r>
            <w:r w:rsidRPr="00D427D8">
              <w:t>), which came into effect on 5 August 2009 and as amended from time to time, the Notes contain provisions pursuant to which the Noteholders of each Class of Notes may agree with the Issuer by resolution to amend the Terms and Conditions relating to that Class of Notes and to decide upon certain other matters regarding the Notes relating to that Class of Notes including, without limitation, the appointment or removal of a common representative for the Noteholders of that Class of Notes.</w:t>
            </w:r>
          </w:p>
          <w:p w14:paraId="0100F9BE" w14:textId="77777777" w:rsidR="009F6E91" w:rsidRPr="00D427D8" w:rsidRDefault="009F6E91" w:rsidP="00333162">
            <w:pPr>
              <w:pStyle w:val="Body1"/>
            </w:pPr>
            <w:r w:rsidRPr="00D427D8">
              <w:t>Resolutions providing for certain material amendments thereto require a qualified majority of not less than 75 per cent. of the rights to vote participating in the vote.</w:t>
            </w:r>
          </w:p>
        </w:tc>
      </w:tr>
      <w:tr w:rsidR="009F6E91" w:rsidRPr="00D427D8" w14:paraId="3CBF39F5" w14:textId="77777777" w:rsidTr="00333162">
        <w:tc>
          <w:tcPr>
            <w:tcW w:w="3558" w:type="dxa"/>
            <w:gridSpan w:val="2"/>
          </w:tcPr>
          <w:p w14:paraId="5ECDD651" w14:textId="77777777" w:rsidR="009F6E91" w:rsidRPr="00D427D8" w:rsidRDefault="009F6E91" w:rsidP="00A350CA">
            <w:pPr>
              <w:jc w:val="left"/>
              <w:rPr>
                <w:b/>
                <w:szCs w:val="19"/>
              </w:rPr>
            </w:pPr>
            <w:r w:rsidRPr="00D427D8">
              <w:rPr>
                <w:b/>
                <w:szCs w:val="19"/>
              </w:rPr>
              <w:t>Luxembourg Securitisation Law</w:t>
            </w:r>
          </w:p>
        </w:tc>
        <w:tc>
          <w:tcPr>
            <w:tcW w:w="5372" w:type="dxa"/>
            <w:gridSpan w:val="4"/>
          </w:tcPr>
          <w:p w14:paraId="19A3D215" w14:textId="77777777" w:rsidR="009F6E91" w:rsidRPr="00D427D8" w:rsidRDefault="009F6E91" w:rsidP="00333162">
            <w:pPr>
              <w:pStyle w:val="Body1"/>
            </w:pPr>
            <w:r w:rsidRPr="00D427D8">
              <w:t>The claims under the Notes will be enforceable in Luxembourg within the framework of the Luxembourg Securitisation Law.</w:t>
            </w:r>
          </w:p>
        </w:tc>
      </w:tr>
      <w:tr w:rsidR="009F6E91" w:rsidRPr="00D427D8" w14:paraId="7E006C48" w14:textId="77777777" w:rsidTr="00333162">
        <w:tc>
          <w:tcPr>
            <w:tcW w:w="3558" w:type="dxa"/>
            <w:gridSpan w:val="2"/>
          </w:tcPr>
          <w:p w14:paraId="0F1F4D0A" w14:textId="77777777" w:rsidR="009F6E91" w:rsidRPr="00D427D8" w:rsidRDefault="009F6E91" w:rsidP="00A350CA">
            <w:pPr>
              <w:jc w:val="left"/>
              <w:rPr>
                <w:b/>
                <w:szCs w:val="19"/>
              </w:rPr>
            </w:pPr>
            <w:r w:rsidRPr="00D427D8">
              <w:rPr>
                <w:b/>
                <w:szCs w:val="19"/>
              </w:rPr>
              <w:t>Withholding Taxes/No Additional Amounts</w:t>
            </w:r>
          </w:p>
        </w:tc>
        <w:tc>
          <w:tcPr>
            <w:tcW w:w="5372" w:type="dxa"/>
            <w:gridSpan w:val="4"/>
          </w:tcPr>
          <w:p w14:paraId="3EDB34BA" w14:textId="77777777" w:rsidR="009F6E91" w:rsidRPr="00D427D8" w:rsidRDefault="009F6E91" w:rsidP="00333162">
            <w:pPr>
              <w:pStyle w:val="Body1"/>
            </w:pPr>
            <w:r w:rsidRPr="00D427D8">
              <w:t>All payments in respect of the Notes will be made without withholding or deduction for taxes, duties, assessments or other governmental charges of whatever nature, unless required by law.</w:t>
            </w:r>
          </w:p>
          <w:p w14:paraId="7A8290F8" w14:textId="77777777" w:rsidR="009F6E91" w:rsidRPr="00D427D8" w:rsidRDefault="009F6E91" w:rsidP="00333162">
            <w:pPr>
              <w:pStyle w:val="Body1"/>
            </w:pPr>
            <w:r w:rsidRPr="00D427D8">
              <w:t>If such withholding or deduction is required by law, the Issuer will not be obliged to make additional payments.</w:t>
            </w:r>
          </w:p>
        </w:tc>
      </w:tr>
      <w:tr w:rsidR="009F6E91" w:rsidRPr="00D427D8" w14:paraId="5638B281" w14:textId="77777777" w:rsidTr="00333162">
        <w:trPr>
          <w:trHeight w:val="3028"/>
        </w:trPr>
        <w:tc>
          <w:tcPr>
            <w:tcW w:w="3558" w:type="dxa"/>
            <w:gridSpan w:val="2"/>
          </w:tcPr>
          <w:p w14:paraId="7146FF76" w14:textId="77777777" w:rsidR="009F6E91" w:rsidRPr="00D427D8" w:rsidRDefault="009F6E91" w:rsidP="005D4F24">
            <w:pPr>
              <w:rPr>
                <w:b/>
                <w:szCs w:val="19"/>
              </w:rPr>
            </w:pPr>
            <w:r w:rsidRPr="00D427D8">
              <w:rPr>
                <w:b/>
                <w:szCs w:val="19"/>
              </w:rPr>
              <w:t>Clean-Up Call Option</w:t>
            </w:r>
          </w:p>
        </w:tc>
        <w:tc>
          <w:tcPr>
            <w:tcW w:w="5372" w:type="dxa"/>
            <w:gridSpan w:val="4"/>
          </w:tcPr>
          <w:p w14:paraId="4BC35511" w14:textId="77777777" w:rsidR="009F6E91" w:rsidRPr="00D427D8" w:rsidRDefault="009F6E91" w:rsidP="0055031E">
            <w:pPr>
              <w:rPr>
                <w:szCs w:val="19"/>
              </w:rPr>
            </w:pPr>
            <w:r w:rsidRPr="00D427D8">
              <w:t xml:space="preserve">If </w:t>
            </w:r>
            <w:r w:rsidRPr="00D427D8">
              <w:rPr>
                <w:szCs w:val="19"/>
              </w:rPr>
              <w:t>the Aggregate Discounted Asset Balance falls below ten per cent. (10%) of the Aggregate Discounted Asset Balance as of the Closing Date, t</w:t>
            </w:r>
            <w:r w:rsidRPr="00D427D8">
              <w:t xml:space="preserve">he Seller will have the option to exercise a Clean-Up Call and to repurchase the outstanding Purchased Lease Receivables (as well as all Collateral relating thereto) and Expectancy Rights originated by it in whole, but not in part, within a single transaction, </w:t>
            </w:r>
            <w:r w:rsidRPr="00D427D8">
              <w:rPr>
                <w:szCs w:val="19"/>
              </w:rPr>
              <w:t>provided that all payment obligations under the Notes will thereby be fulfilled.</w:t>
            </w:r>
          </w:p>
          <w:p w14:paraId="1FA3491D" w14:textId="3D940F6E" w:rsidR="009F6E91" w:rsidRPr="00D427D8" w:rsidRDefault="009F6E91" w:rsidP="00333162">
            <w:pPr>
              <w:pStyle w:val="Body1"/>
            </w:pPr>
            <w:r w:rsidRPr="00D427D8">
              <w:t xml:space="preserve">The repurchase price shall be paid into the Distribution Account and it shall be equal to sum of the Final Repurchase Price and an amount equal to the Aggregate Discounted Expectancy Rights Balance (the </w:t>
            </w:r>
            <w:r w:rsidR="00EF7333" w:rsidRPr="00D427D8">
              <w:t>"</w:t>
            </w:r>
            <w:r w:rsidRPr="00D427D8">
              <w:rPr>
                <w:b/>
                <w:bCs/>
              </w:rPr>
              <w:t>Clean-Up Call Repurchase Price</w:t>
            </w:r>
            <w:r w:rsidR="00EF7333" w:rsidRPr="00D427D8">
              <w:t>"</w:t>
            </w:r>
            <w:r w:rsidRPr="00D427D8">
              <w:t>). The Clean-Up Call Repurchase Price shall be due on the Distribution Date immediately following the exercise of the Clean-Up Call by the Seller.</w:t>
            </w:r>
          </w:p>
        </w:tc>
      </w:tr>
      <w:tr w:rsidR="009F6E91" w:rsidRPr="00D427D8" w14:paraId="30F62695" w14:textId="77777777" w:rsidTr="00333162">
        <w:trPr>
          <w:trHeight w:val="3416"/>
        </w:trPr>
        <w:tc>
          <w:tcPr>
            <w:tcW w:w="3558" w:type="dxa"/>
            <w:gridSpan w:val="2"/>
          </w:tcPr>
          <w:p w14:paraId="5824D7F4" w14:textId="77777777" w:rsidR="009F6E91" w:rsidRPr="00D427D8" w:rsidRDefault="009F6E91" w:rsidP="00266CB1">
            <w:pPr>
              <w:widowControl w:val="0"/>
              <w:rPr>
                <w:b/>
                <w:szCs w:val="19"/>
              </w:rPr>
            </w:pPr>
            <w:r w:rsidRPr="00D427D8">
              <w:rPr>
                <w:b/>
                <w:szCs w:val="19"/>
              </w:rPr>
              <w:lastRenderedPageBreak/>
              <w:t>Issuer Event of Default</w:t>
            </w:r>
          </w:p>
        </w:tc>
        <w:tc>
          <w:tcPr>
            <w:tcW w:w="5372" w:type="dxa"/>
            <w:gridSpan w:val="4"/>
          </w:tcPr>
          <w:p w14:paraId="187D845C" w14:textId="77777777" w:rsidR="009F6E91" w:rsidRPr="00D427D8" w:rsidRDefault="009F6E91" w:rsidP="00266CB1">
            <w:pPr>
              <w:widowControl w:val="0"/>
              <w:tabs>
                <w:tab w:val="left" w:pos="742"/>
              </w:tabs>
              <w:ind w:left="742" w:hanging="742"/>
              <w:rPr>
                <w:szCs w:val="19"/>
              </w:rPr>
            </w:pPr>
            <w:r w:rsidRPr="00D427D8">
              <w:rPr>
                <w:szCs w:val="19"/>
              </w:rPr>
              <w:t>means:</w:t>
            </w:r>
          </w:p>
          <w:p w14:paraId="224B734C" w14:textId="77777777" w:rsidR="009F6E91" w:rsidRPr="00D427D8" w:rsidRDefault="009F6E91" w:rsidP="001A16A5">
            <w:pPr>
              <w:ind w:left="742" w:hanging="742"/>
              <w:rPr>
                <w:szCs w:val="19"/>
              </w:rPr>
            </w:pPr>
            <w:r w:rsidRPr="00D427D8">
              <w:rPr>
                <w:szCs w:val="19"/>
              </w:rPr>
              <w:t>(a)</w:t>
            </w:r>
            <w:r w:rsidRPr="00D427D8">
              <w:rPr>
                <w:rFonts w:asciiTheme="minorHAnsi" w:hAnsiTheme="minorHAnsi" w:cstheme="minorHAnsi"/>
                <w:szCs w:val="19"/>
              </w:rPr>
              <w:tab/>
            </w:r>
            <w:r w:rsidRPr="00D427D8">
              <w:rPr>
                <w:szCs w:val="19"/>
              </w:rPr>
              <w:t>the occurrence of an Insolvency Event with respect to the Issuer;</w:t>
            </w:r>
          </w:p>
          <w:p w14:paraId="4392F517" w14:textId="77777777" w:rsidR="009F6E91" w:rsidRPr="00D427D8" w:rsidRDefault="009F6E91" w:rsidP="001A16A5">
            <w:pPr>
              <w:ind w:left="742" w:hanging="742"/>
              <w:rPr>
                <w:szCs w:val="19"/>
              </w:rPr>
            </w:pPr>
            <w:r w:rsidRPr="00D427D8">
              <w:rPr>
                <w:szCs w:val="19"/>
              </w:rPr>
              <w:t>(b)</w:t>
            </w:r>
            <w:r w:rsidRPr="00D427D8">
              <w:rPr>
                <w:szCs w:val="19"/>
              </w:rPr>
              <w:tab/>
              <w:t xml:space="preserve">the default by the Issuer in the payment of any interest amounts on the Most Senior Class of Notes (other than where the Most Senior Class of Notes is the Class G Notes) when the same becomes due and payable and such default continues unremedied for a period of five Business Days, provided that no change in the designation of the Most Senior Class of Notes has occurred following the application of the sum of the Available Principal Distribution Amount in accordance with the Principal Priority of Payments on the immediately preceding Distribution Date and provided further that a default by the Issuer in the payment of any interest amounts deferred in accordance with Condition </w:t>
            </w:r>
            <w:r w:rsidRPr="00D427D8">
              <w:rPr>
                <w:rFonts w:cs="Arial"/>
                <w:szCs w:val="19"/>
              </w:rPr>
              <w:t>13</w:t>
            </w:r>
            <w:r w:rsidRPr="00D427D8">
              <w:rPr>
                <w:szCs w:val="19"/>
              </w:rPr>
              <w:t xml:space="preserve"> (</w:t>
            </w:r>
            <w:r w:rsidRPr="00D427D8">
              <w:rPr>
                <w:i/>
                <w:szCs w:val="19"/>
              </w:rPr>
              <w:t>Subordination by Deferral of Interest</w:t>
            </w:r>
            <w:r w:rsidRPr="00D427D8">
              <w:rPr>
                <w:szCs w:val="19"/>
              </w:rPr>
              <w:t>) prior to the Final Legal Maturity Date shall not constitute an Issuer Event of Default; or</w:t>
            </w:r>
          </w:p>
          <w:p w14:paraId="77D13BF5" w14:textId="77777777" w:rsidR="009F6E91" w:rsidRPr="00D427D8" w:rsidRDefault="009F6E91" w:rsidP="009D465B">
            <w:pPr>
              <w:ind w:left="742" w:hanging="742"/>
              <w:rPr>
                <w:szCs w:val="19"/>
              </w:rPr>
            </w:pPr>
            <w:r w:rsidRPr="00D427D8">
              <w:rPr>
                <w:szCs w:val="19"/>
              </w:rPr>
              <w:t>(c)</w:t>
            </w:r>
            <w:r w:rsidRPr="00D427D8">
              <w:rPr>
                <w:szCs w:val="19"/>
              </w:rPr>
              <w:tab/>
              <w:t>the default by the Issuer in the payment of principal on any Note on the Final Legal Maturity Date.</w:t>
            </w:r>
          </w:p>
        </w:tc>
      </w:tr>
      <w:tr w:rsidR="009F6E91" w:rsidRPr="00D427D8" w14:paraId="2301F3CD" w14:textId="77777777" w:rsidTr="00333162">
        <w:tc>
          <w:tcPr>
            <w:tcW w:w="3558" w:type="dxa"/>
            <w:gridSpan w:val="2"/>
          </w:tcPr>
          <w:p w14:paraId="6E32F047" w14:textId="77777777" w:rsidR="009F6E91" w:rsidRPr="00D427D8" w:rsidRDefault="009F6E91" w:rsidP="00B46E44">
            <w:pPr>
              <w:rPr>
                <w:b/>
                <w:szCs w:val="19"/>
              </w:rPr>
            </w:pPr>
            <w:r w:rsidRPr="00D427D8">
              <w:rPr>
                <w:b/>
                <w:szCs w:val="19"/>
              </w:rPr>
              <w:t>Form and Denomination</w:t>
            </w:r>
          </w:p>
        </w:tc>
        <w:tc>
          <w:tcPr>
            <w:tcW w:w="5372" w:type="dxa"/>
            <w:gridSpan w:val="4"/>
          </w:tcPr>
          <w:p w14:paraId="3338BEF1" w14:textId="77777777" w:rsidR="009F6E91" w:rsidRPr="00D427D8" w:rsidRDefault="009F6E91" w:rsidP="00333162">
            <w:pPr>
              <w:pStyle w:val="Body1"/>
            </w:pPr>
            <w:r w:rsidRPr="00D427D8">
              <w:t>Each of the Classes of Notes will initially be represented by a Temporary Global Note of the relevant class in bearer form, without interest coupons attached. The Global Notes of the Class A Notes will be deposited with a common safekeeper for Clearstream Luxembourg and Euroclear. The Global Notes of the Class B Notes, the Class C Notes, the Class D Notes, the Class E Notes, the Class F Notes and the Class G Notes will be deposited with a common depositary for Clearstream Luxembourg and Euroclear. The Notes will be transferred in book-entry form only. The Notes will be issued in denominations of EUR 100,000. The Global Notes will not be exchangeable for definitive securities.</w:t>
            </w:r>
          </w:p>
        </w:tc>
      </w:tr>
      <w:tr w:rsidR="009F6E91" w:rsidRPr="00D427D8" w14:paraId="76713499" w14:textId="77777777" w:rsidTr="00333162">
        <w:tc>
          <w:tcPr>
            <w:tcW w:w="3558" w:type="dxa"/>
            <w:gridSpan w:val="2"/>
          </w:tcPr>
          <w:p w14:paraId="1CF2C78E" w14:textId="77777777" w:rsidR="009F6E91" w:rsidRPr="00D427D8" w:rsidRDefault="009F6E91" w:rsidP="00B46E44">
            <w:pPr>
              <w:rPr>
                <w:b/>
                <w:szCs w:val="19"/>
              </w:rPr>
            </w:pPr>
            <w:r w:rsidRPr="00D427D8">
              <w:rPr>
                <w:b/>
                <w:szCs w:val="19"/>
              </w:rPr>
              <w:t>Limited Recourse</w:t>
            </w:r>
          </w:p>
        </w:tc>
        <w:tc>
          <w:tcPr>
            <w:tcW w:w="5372" w:type="dxa"/>
            <w:gridSpan w:val="4"/>
          </w:tcPr>
          <w:p w14:paraId="28DE6263" w14:textId="77777777" w:rsidR="009F6E91" w:rsidRPr="00D427D8" w:rsidRDefault="009F6E91" w:rsidP="00333162">
            <w:pPr>
              <w:pStyle w:val="Body1"/>
            </w:pPr>
            <w:r w:rsidRPr="00D427D8">
              <w:t>The Notes will be limited recourse obligations of the Issuer. If the net proceeds of the assets backing the Notes, after such proceeds have been enforced and liquidated and applied in accordance with the Accelerated Priority of Payments, along with any other Issuer Assets, are not sufficient, after payment of all other claims ranking in priority to the Notes, to cover all payments due in respect of the Notes, no other assets will be available for payment of any shortfall. After the distribution of all Available Distribution Amounts, claims in respect of any remaining shortfall will be extinguished in accordance with the Conditions.</w:t>
            </w:r>
          </w:p>
        </w:tc>
      </w:tr>
      <w:tr w:rsidR="009F6E91" w:rsidRPr="00D427D8" w14:paraId="7F7CD32F" w14:textId="77777777" w:rsidTr="00333162">
        <w:tc>
          <w:tcPr>
            <w:tcW w:w="3558" w:type="dxa"/>
            <w:gridSpan w:val="2"/>
          </w:tcPr>
          <w:p w14:paraId="6FFBBA1B" w14:textId="77777777" w:rsidR="009F6E91" w:rsidRPr="00D427D8" w:rsidRDefault="009F6E91" w:rsidP="00B46E44">
            <w:pPr>
              <w:rPr>
                <w:b/>
                <w:szCs w:val="19"/>
              </w:rPr>
            </w:pPr>
            <w:r w:rsidRPr="00D427D8">
              <w:rPr>
                <w:b/>
                <w:szCs w:val="19"/>
              </w:rPr>
              <w:t>Selling Restrictions</w:t>
            </w:r>
          </w:p>
        </w:tc>
        <w:tc>
          <w:tcPr>
            <w:tcW w:w="5372" w:type="dxa"/>
            <w:gridSpan w:val="4"/>
          </w:tcPr>
          <w:p w14:paraId="271F86A3" w14:textId="1F550DC8" w:rsidR="009F6E91" w:rsidRPr="00D427D8" w:rsidRDefault="009F6E91" w:rsidP="00333162">
            <w:pPr>
              <w:pStyle w:val="Body1"/>
            </w:pPr>
            <w:r w:rsidRPr="00D427D8">
              <w:t xml:space="preserve">Please refer to </w:t>
            </w:r>
            <w:r w:rsidR="00EF7333" w:rsidRPr="00D427D8">
              <w:t>"</w:t>
            </w:r>
            <w:r w:rsidRPr="00D427D8">
              <w:t>Selling Restrictions</w:t>
            </w:r>
            <w:r w:rsidRPr="00D427D8">
              <w:rPr>
                <w:iCs/>
              </w:rPr>
              <w:t xml:space="preserve"> under the Notes Subscription Agreement</w:t>
            </w:r>
            <w:r w:rsidRPr="00D427D8">
              <w:t>.</w:t>
            </w:r>
            <w:r w:rsidR="00EF7333" w:rsidRPr="00D427D8">
              <w:t>"</w:t>
            </w:r>
          </w:p>
        </w:tc>
      </w:tr>
      <w:tr w:rsidR="009F6E91" w:rsidRPr="00D427D8" w14:paraId="42E3190A" w14:textId="77777777" w:rsidTr="00333162">
        <w:tc>
          <w:tcPr>
            <w:tcW w:w="3558" w:type="dxa"/>
            <w:gridSpan w:val="2"/>
          </w:tcPr>
          <w:p w14:paraId="72BEA636" w14:textId="77777777" w:rsidR="009F6E91" w:rsidRPr="00D427D8" w:rsidRDefault="009F6E91" w:rsidP="00B46E44">
            <w:pPr>
              <w:rPr>
                <w:b/>
                <w:szCs w:val="19"/>
              </w:rPr>
            </w:pPr>
            <w:r w:rsidRPr="00D427D8">
              <w:rPr>
                <w:b/>
                <w:szCs w:val="19"/>
              </w:rPr>
              <w:t>Clearing Systems</w:t>
            </w:r>
          </w:p>
        </w:tc>
        <w:tc>
          <w:tcPr>
            <w:tcW w:w="5372" w:type="dxa"/>
            <w:gridSpan w:val="4"/>
          </w:tcPr>
          <w:p w14:paraId="16FB5470" w14:textId="52F20F96" w:rsidR="009F6E91" w:rsidRPr="00D427D8" w:rsidRDefault="009F6E91" w:rsidP="00333162">
            <w:pPr>
              <w:pStyle w:val="Body1"/>
              <w:rPr>
                <w:szCs w:val="19"/>
              </w:rPr>
            </w:pPr>
            <w:r w:rsidRPr="00D427D8">
              <w:rPr>
                <w:lang w:val="en-US"/>
              </w:rPr>
              <w:t xml:space="preserve">Euroclear 1 Boulevard du Roi Albert II, B-1210 Brussels, Belgium and Clearstream, 42 Avenue J.F. Kennedy, L-1855 Luxembourg (together, </w:t>
            </w:r>
            <w:r w:rsidR="00EF7333" w:rsidRPr="00D427D8">
              <w:rPr>
                <w:lang w:val="en-US"/>
              </w:rPr>
              <w:t>"</w:t>
            </w:r>
            <w:r w:rsidRPr="00D427D8">
              <w:rPr>
                <w:b/>
                <w:bCs/>
                <w:lang w:val="en-US"/>
              </w:rPr>
              <w:t>Clearing Systems</w:t>
            </w:r>
            <w:r w:rsidR="00EF7333" w:rsidRPr="00D427D8">
              <w:rPr>
                <w:lang w:val="en-US"/>
              </w:rPr>
              <w:t>"</w:t>
            </w:r>
            <w:r w:rsidRPr="00D427D8">
              <w:rPr>
                <w:lang w:val="en-US"/>
              </w:rPr>
              <w:t xml:space="preserve">, </w:t>
            </w:r>
            <w:r w:rsidR="00EF7333" w:rsidRPr="00D427D8">
              <w:rPr>
                <w:lang w:val="en-US"/>
              </w:rPr>
              <w:t>"</w:t>
            </w:r>
            <w:r w:rsidRPr="00D427D8">
              <w:rPr>
                <w:b/>
                <w:bCs/>
                <w:lang w:val="en-US"/>
              </w:rPr>
              <w:t>International Central Securities Depositaries</w:t>
            </w:r>
            <w:r w:rsidR="00EF7333" w:rsidRPr="00D427D8">
              <w:rPr>
                <w:lang w:val="en-US"/>
              </w:rPr>
              <w:t>"</w:t>
            </w:r>
            <w:r w:rsidRPr="00D427D8">
              <w:rPr>
                <w:lang w:val="en-US"/>
              </w:rPr>
              <w:t xml:space="preserve"> or </w:t>
            </w:r>
            <w:r w:rsidR="00EF7333" w:rsidRPr="00D427D8">
              <w:rPr>
                <w:lang w:val="en-US"/>
              </w:rPr>
              <w:t>"</w:t>
            </w:r>
            <w:r w:rsidRPr="00D427D8">
              <w:rPr>
                <w:b/>
                <w:bCs/>
                <w:lang w:val="en-US"/>
              </w:rPr>
              <w:t>ICSDs</w:t>
            </w:r>
            <w:r w:rsidR="00EF7333" w:rsidRPr="00D427D8">
              <w:rPr>
                <w:lang w:val="en-US"/>
              </w:rPr>
              <w:t>"</w:t>
            </w:r>
            <w:r w:rsidRPr="00D427D8">
              <w:rPr>
                <w:lang w:val="en-US"/>
              </w:rPr>
              <w:t>).</w:t>
            </w:r>
          </w:p>
        </w:tc>
      </w:tr>
      <w:tr w:rsidR="009F6E91" w:rsidRPr="00D427D8" w14:paraId="338FA57F" w14:textId="77777777" w:rsidTr="00333162">
        <w:tc>
          <w:tcPr>
            <w:tcW w:w="3558" w:type="dxa"/>
            <w:gridSpan w:val="2"/>
          </w:tcPr>
          <w:p w14:paraId="1D4471FF" w14:textId="77777777" w:rsidR="009F6E91" w:rsidRPr="00D427D8" w:rsidRDefault="009F6E91" w:rsidP="00B46E44">
            <w:pPr>
              <w:rPr>
                <w:b/>
                <w:szCs w:val="19"/>
              </w:rPr>
            </w:pPr>
            <w:r w:rsidRPr="00D427D8">
              <w:rPr>
                <w:b/>
                <w:szCs w:val="19"/>
              </w:rPr>
              <w:t>Clearing Codes</w:t>
            </w:r>
          </w:p>
        </w:tc>
        <w:tc>
          <w:tcPr>
            <w:tcW w:w="5372" w:type="dxa"/>
            <w:gridSpan w:val="4"/>
          </w:tcPr>
          <w:p w14:paraId="65D6038C" w14:textId="5204D710" w:rsidR="009F6E91" w:rsidRPr="00D427D8" w:rsidRDefault="009F6E91" w:rsidP="004D3052">
            <w:pPr>
              <w:jc w:val="left"/>
              <w:rPr>
                <w:szCs w:val="19"/>
              </w:rPr>
            </w:pPr>
            <w:r w:rsidRPr="00D427D8">
              <w:rPr>
                <w:szCs w:val="19"/>
              </w:rPr>
              <w:t>Class A Notes</w:t>
            </w:r>
            <w:r w:rsidRPr="00D427D8">
              <w:rPr>
                <w:rFonts w:asciiTheme="minorHAnsi" w:hAnsiTheme="minorHAnsi" w:cstheme="minorHAnsi"/>
                <w:szCs w:val="19"/>
              </w:rPr>
              <w:tab/>
            </w:r>
            <w:r w:rsidRPr="00D427D8">
              <w:rPr>
                <w:szCs w:val="19"/>
              </w:rPr>
              <w:tab/>
              <w:t>ISIN:</w:t>
            </w:r>
            <w:r w:rsidRPr="00D427D8">
              <w:rPr>
                <w:rFonts w:asciiTheme="minorHAnsi" w:hAnsiTheme="minorHAnsi" w:cstheme="minorHAnsi"/>
                <w:szCs w:val="19"/>
              </w:rPr>
              <w:tab/>
            </w:r>
            <w:r w:rsidRPr="00D427D8">
              <w:rPr>
                <w:rFonts w:asciiTheme="minorHAnsi" w:hAnsiTheme="minorHAnsi" w:cstheme="minorHAnsi"/>
                <w:szCs w:val="19"/>
              </w:rPr>
              <w:tab/>
            </w:r>
            <w:r w:rsidR="006930C7" w:rsidRPr="006930C7">
              <w:rPr>
                <w:szCs w:val="19"/>
              </w:rPr>
              <w:t>XS3077174921</w:t>
            </w:r>
            <w:r w:rsidRPr="00D427D8">
              <w:rPr>
                <w:rFonts w:asciiTheme="minorHAnsi" w:hAnsiTheme="minorHAnsi" w:cstheme="minorHAnsi"/>
                <w:szCs w:val="19"/>
              </w:rPr>
              <w:br/>
            </w:r>
            <w:r w:rsidRPr="00D427D8">
              <w:rPr>
                <w:rFonts w:asciiTheme="minorHAnsi" w:hAnsiTheme="minorHAnsi" w:cstheme="minorHAnsi"/>
                <w:szCs w:val="19"/>
              </w:rPr>
              <w:tab/>
            </w:r>
            <w:r w:rsidRPr="00D427D8">
              <w:rPr>
                <w:rFonts w:asciiTheme="minorHAnsi" w:hAnsiTheme="minorHAnsi" w:cstheme="minorHAnsi"/>
                <w:szCs w:val="19"/>
              </w:rPr>
              <w:tab/>
            </w:r>
            <w:r w:rsidRPr="00D427D8">
              <w:rPr>
                <w:szCs w:val="19"/>
              </w:rPr>
              <w:tab/>
              <w:t>Common Code:</w:t>
            </w:r>
            <w:r w:rsidRPr="00D427D8">
              <w:rPr>
                <w:rFonts w:asciiTheme="minorHAnsi" w:hAnsiTheme="minorHAnsi" w:cstheme="minorHAnsi"/>
                <w:szCs w:val="19"/>
              </w:rPr>
              <w:tab/>
            </w:r>
            <w:r w:rsidR="006930C7" w:rsidRPr="006930C7">
              <w:rPr>
                <w:szCs w:val="19"/>
              </w:rPr>
              <w:t>307717492</w:t>
            </w:r>
            <w:r w:rsidRPr="00D427D8">
              <w:rPr>
                <w:rFonts w:cs="Arial"/>
                <w:szCs w:val="19"/>
              </w:rPr>
              <w:br/>
            </w:r>
            <w:r w:rsidRPr="00D427D8">
              <w:rPr>
                <w:rFonts w:asciiTheme="minorHAnsi" w:hAnsiTheme="minorHAnsi" w:cstheme="minorHAnsi"/>
                <w:szCs w:val="19"/>
              </w:rPr>
              <w:tab/>
            </w:r>
            <w:r w:rsidRPr="00D427D8">
              <w:rPr>
                <w:rFonts w:asciiTheme="minorHAnsi" w:hAnsiTheme="minorHAnsi" w:cstheme="minorHAnsi"/>
                <w:szCs w:val="19"/>
              </w:rPr>
              <w:tab/>
            </w:r>
            <w:r w:rsidRPr="00D427D8">
              <w:rPr>
                <w:rFonts w:asciiTheme="minorHAnsi" w:hAnsiTheme="minorHAnsi" w:cstheme="minorHAnsi"/>
                <w:szCs w:val="19"/>
              </w:rPr>
              <w:tab/>
            </w:r>
            <w:r w:rsidRPr="00D427D8">
              <w:rPr>
                <w:szCs w:val="19"/>
              </w:rPr>
              <w:t>CFI:</w:t>
            </w:r>
            <w:r w:rsidRPr="00D427D8">
              <w:rPr>
                <w:rFonts w:asciiTheme="minorHAnsi" w:hAnsiTheme="minorHAnsi" w:cstheme="minorHAnsi"/>
                <w:szCs w:val="19"/>
              </w:rPr>
              <w:tab/>
            </w:r>
            <w:r w:rsidRPr="00D427D8">
              <w:rPr>
                <w:rFonts w:asciiTheme="minorHAnsi" w:hAnsiTheme="minorHAnsi" w:cstheme="minorHAnsi"/>
                <w:szCs w:val="19"/>
              </w:rPr>
              <w:tab/>
            </w:r>
            <w:r w:rsidR="00C9376B" w:rsidRPr="00C9376B">
              <w:rPr>
                <w:szCs w:val="19"/>
              </w:rPr>
              <w:t>DAVNFB</w:t>
            </w:r>
            <w:r w:rsidRPr="00D427D8">
              <w:rPr>
                <w:rFonts w:cs="Arial"/>
                <w:szCs w:val="19"/>
              </w:rPr>
              <w:br/>
            </w:r>
            <w:r w:rsidRPr="00D427D8">
              <w:rPr>
                <w:rFonts w:asciiTheme="minorHAnsi" w:hAnsiTheme="minorHAnsi" w:cstheme="minorHAnsi"/>
                <w:szCs w:val="19"/>
              </w:rPr>
              <w:tab/>
            </w:r>
            <w:r w:rsidRPr="00D427D8">
              <w:rPr>
                <w:rFonts w:asciiTheme="minorHAnsi" w:hAnsiTheme="minorHAnsi" w:cstheme="minorHAnsi"/>
                <w:szCs w:val="19"/>
              </w:rPr>
              <w:tab/>
            </w:r>
            <w:r w:rsidRPr="00D427D8">
              <w:rPr>
                <w:rFonts w:asciiTheme="minorHAnsi" w:hAnsiTheme="minorHAnsi" w:cstheme="minorHAnsi"/>
                <w:szCs w:val="19"/>
              </w:rPr>
              <w:tab/>
            </w:r>
            <w:r w:rsidRPr="00D427D8">
              <w:rPr>
                <w:szCs w:val="19"/>
              </w:rPr>
              <w:t>FISN:</w:t>
            </w:r>
            <w:r w:rsidRPr="00D427D8">
              <w:rPr>
                <w:rFonts w:asciiTheme="minorHAnsi" w:hAnsiTheme="minorHAnsi" w:cstheme="minorHAnsi"/>
                <w:szCs w:val="19"/>
              </w:rPr>
              <w:tab/>
            </w:r>
            <w:r w:rsidRPr="00D427D8">
              <w:rPr>
                <w:rFonts w:asciiTheme="minorHAnsi" w:hAnsiTheme="minorHAnsi" w:cstheme="minorHAnsi"/>
                <w:szCs w:val="19"/>
              </w:rPr>
              <w:tab/>
            </w:r>
            <w:r w:rsidR="00C9376B" w:rsidRPr="00C9376B">
              <w:rPr>
                <w:szCs w:val="19"/>
              </w:rPr>
              <w:t>COMPARTMENT LEA/VARASST BKD 2034052</w:t>
            </w:r>
          </w:p>
          <w:p w14:paraId="5E530FBD" w14:textId="77777777" w:rsidR="009F6E91" w:rsidRPr="00D427D8" w:rsidRDefault="009F6E91" w:rsidP="004D3052">
            <w:pPr>
              <w:jc w:val="left"/>
              <w:rPr>
                <w:rFonts w:asciiTheme="minorHAnsi" w:hAnsiTheme="minorHAnsi" w:cstheme="minorHAnsi"/>
                <w:szCs w:val="19"/>
              </w:rPr>
            </w:pPr>
          </w:p>
        </w:tc>
      </w:tr>
      <w:tr w:rsidR="009F6E91" w:rsidRPr="00C9376B" w14:paraId="440553B8" w14:textId="77777777" w:rsidTr="00333162">
        <w:tc>
          <w:tcPr>
            <w:tcW w:w="3558" w:type="dxa"/>
            <w:gridSpan w:val="2"/>
          </w:tcPr>
          <w:p w14:paraId="28CCB8D4" w14:textId="77777777" w:rsidR="009F6E91" w:rsidRPr="00D427D8" w:rsidRDefault="009F6E91" w:rsidP="00B46E44">
            <w:pPr>
              <w:rPr>
                <w:rFonts w:asciiTheme="minorHAnsi" w:hAnsiTheme="minorHAnsi" w:cstheme="minorHAnsi"/>
                <w:b/>
                <w:szCs w:val="19"/>
              </w:rPr>
            </w:pPr>
          </w:p>
        </w:tc>
        <w:tc>
          <w:tcPr>
            <w:tcW w:w="5372" w:type="dxa"/>
            <w:gridSpan w:val="4"/>
          </w:tcPr>
          <w:p w14:paraId="50DB5FA0" w14:textId="70F3CE98" w:rsidR="009F6E91" w:rsidRPr="00C9376B" w:rsidRDefault="009F6E91" w:rsidP="004D3052">
            <w:pPr>
              <w:jc w:val="left"/>
              <w:rPr>
                <w:szCs w:val="19"/>
              </w:rPr>
            </w:pPr>
            <w:r w:rsidRPr="00C9376B">
              <w:rPr>
                <w:szCs w:val="19"/>
              </w:rPr>
              <w:t>Class B Notes</w:t>
            </w:r>
            <w:r w:rsidRPr="00C9376B">
              <w:rPr>
                <w:rFonts w:asciiTheme="minorHAnsi" w:hAnsiTheme="minorHAnsi" w:cstheme="minorHAnsi"/>
                <w:szCs w:val="19"/>
              </w:rPr>
              <w:tab/>
            </w:r>
            <w:r w:rsidRPr="00C9376B">
              <w:rPr>
                <w:szCs w:val="19"/>
              </w:rPr>
              <w:tab/>
              <w:t>ISIN:</w:t>
            </w:r>
            <w:r w:rsidRPr="00C9376B">
              <w:rPr>
                <w:rFonts w:asciiTheme="minorHAnsi" w:hAnsiTheme="minorHAnsi" w:cstheme="minorHAnsi"/>
                <w:szCs w:val="19"/>
              </w:rPr>
              <w:tab/>
            </w:r>
            <w:r w:rsidRPr="00C9376B">
              <w:rPr>
                <w:rFonts w:asciiTheme="minorHAnsi" w:hAnsiTheme="minorHAnsi" w:cstheme="minorHAnsi"/>
                <w:szCs w:val="19"/>
              </w:rPr>
              <w:tab/>
            </w:r>
            <w:r w:rsidR="006930C7" w:rsidRPr="00C9376B">
              <w:rPr>
                <w:szCs w:val="19"/>
              </w:rPr>
              <w:t>XS3077175225</w:t>
            </w:r>
            <w:r w:rsidRPr="00C9376B">
              <w:rPr>
                <w:rFonts w:asciiTheme="minorHAnsi" w:hAnsiTheme="minorHAnsi" w:cstheme="minorHAnsi"/>
                <w:szCs w:val="19"/>
              </w:rPr>
              <w:br/>
            </w:r>
            <w:r w:rsidRPr="00C9376B">
              <w:rPr>
                <w:rFonts w:asciiTheme="minorHAnsi" w:hAnsiTheme="minorHAnsi" w:cstheme="minorHAnsi"/>
                <w:szCs w:val="19"/>
              </w:rPr>
              <w:tab/>
            </w:r>
            <w:r w:rsidRPr="00C9376B">
              <w:rPr>
                <w:rFonts w:asciiTheme="minorHAnsi" w:hAnsiTheme="minorHAnsi" w:cstheme="minorHAnsi"/>
                <w:szCs w:val="19"/>
              </w:rPr>
              <w:tab/>
            </w:r>
            <w:r w:rsidRPr="00C9376B">
              <w:rPr>
                <w:szCs w:val="19"/>
              </w:rPr>
              <w:tab/>
              <w:t>Common Code:</w:t>
            </w:r>
            <w:r w:rsidRPr="00C9376B">
              <w:rPr>
                <w:rFonts w:asciiTheme="minorHAnsi" w:hAnsiTheme="minorHAnsi" w:cstheme="minorHAnsi"/>
                <w:szCs w:val="19"/>
              </w:rPr>
              <w:tab/>
            </w:r>
            <w:r w:rsidR="006930C7" w:rsidRPr="00C9376B">
              <w:rPr>
                <w:szCs w:val="19"/>
              </w:rPr>
              <w:t>307717522</w:t>
            </w:r>
            <w:r w:rsidRPr="00C9376B">
              <w:rPr>
                <w:rFonts w:cs="Arial"/>
                <w:szCs w:val="19"/>
              </w:rPr>
              <w:br/>
            </w:r>
            <w:r w:rsidRPr="00C9376B">
              <w:rPr>
                <w:rFonts w:asciiTheme="minorHAnsi" w:hAnsiTheme="minorHAnsi" w:cstheme="minorHAnsi"/>
                <w:szCs w:val="19"/>
              </w:rPr>
              <w:tab/>
            </w:r>
            <w:r w:rsidRPr="00C9376B">
              <w:rPr>
                <w:rFonts w:asciiTheme="minorHAnsi" w:hAnsiTheme="minorHAnsi" w:cstheme="minorHAnsi"/>
                <w:szCs w:val="19"/>
              </w:rPr>
              <w:tab/>
            </w:r>
            <w:r w:rsidRPr="00C9376B">
              <w:rPr>
                <w:rFonts w:asciiTheme="minorHAnsi" w:hAnsiTheme="minorHAnsi" w:cstheme="minorHAnsi"/>
                <w:szCs w:val="19"/>
              </w:rPr>
              <w:tab/>
            </w:r>
            <w:r w:rsidRPr="00C9376B">
              <w:rPr>
                <w:szCs w:val="19"/>
              </w:rPr>
              <w:t>CFI:</w:t>
            </w:r>
            <w:r w:rsidRPr="00C9376B">
              <w:rPr>
                <w:rFonts w:asciiTheme="minorHAnsi" w:hAnsiTheme="minorHAnsi" w:cstheme="minorHAnsi"/>
                <w:szCs w:val="19"/>
              </w:rPr>
              <w:tab/>
            </w:r>
            <w:r w:rsidRPr="00C9376B">
              <w:rPr>
                <w:rFonts w:asciiTheme="minorHAnsi" w:hAnsiTheme="minorHAnsi" w:cstheme="minorHAnsi"/>
                <w:szCs w:val="19"/>
              </w:rPr>
              <w:tab/>
            </w:r>
            <w:r w:rsidR="00C9376B" w:rsidRPr="00C9376B">
              <w:rPr>
                <w:szCs w:val="19"/>
              </w:rPr>
              <w:t>DAVNFB</w:t>
            </w:r>
            <w:r w:rsidRPr="00C9376B">
              <w:rPr>
                <w:rFonts w:cs="Arial"/>
                <w:szCs w:val="19"/>
              </w:rPr>
              <w:br/>
            </w:r>
            <w:r w:rsidRPr="00C9376B">
              <w:rPr>
                <w:rFonts w:asciiTheme="minorHAnsi" w:hAnsiTheme="minorHAnsi" w:cstheme="minorHAnsi"/>
                <w:szCs w:val="19"/>
              </w:rPr>
              <w:tab/>
            </w:r>
            <w:r w:rsidRPr="00C9376B">
              <w:rPr>
                <w:rFonts w:asciiTheme="minorHAnsi" w:hAnsiTheme="minorHAnsi" w:cstheme="minorHAnsi"/>
                <w:szCs w:val="19"/>
              </w:rPr>
              <w:tab/>
            </w:r>
            <w:r w:rsidRPr="00C9376B">
              <w:rPr>
                <w:rFonts w:asciiTheme="minorHAnsi" w:hAnsiTheme="minorHAnsi" w:cstheme="minorHAnsi"/>
                <w:szCs w:val="19"/>
              </w:rPr>
              <w:tab/>
            </w:r>
            <w:r w:rsidRPr="00C9376B">
              <w:rPr>
                <w:szCs w:val="19"/>
              </w:rPr>
              <w:t>FISN:</w:t>
            </w:r>
            <w:r w:rsidRPr="00C9376B">
              <w:rPr>
                <w:rFonts w:asciiTheme="minorHAnsi" w:hAnsiTheme="minorHAnsi" w:cstheme="minorHAnsi"/>
                <w:szCs w:val="19"/>
              </w:rPr>
              <w:tab/>
            </w:r>
            <w:r w:rsidRPr="00C9376B">
              <w:rPr>
                <w:rFonts w:asciiTheme="minorHAnsi" w:hAnsiTheme="minorHAnsi" w:cstheme="minorHAnsi"/>
                <w:szCs w:val="19"/>
              </w:rPr>
              <w:tab/>
            </w:r>
            <w:r w:rsidR="00C9376B" w:rsidRPr="00C9376B">
              <w:rPr>
                <w:rFonts w:asciiTheme="minorHAnsi" w:hAnsiTheme="minorHAnsi" w:cstheme="minorHAnsi"/>
                <w:szCs w:val="19"/>
              </w:rPr>
              <w:t>COMPARTMENT LEA/VARASST BKD 2034052</w:t>
            </w:r>
          </w:p>
          <w:p w14:paraId="0AF06953" w14:textId="77777777" w:rsidR="009F6E91" w:rsidRPr="00C9376B" w:rsidRDefault="009F6E91" w:rsidP="004D3052">
            <w:pPr>
              <w:jc w:val="left"/>
              <w:rPr>
                <w:rFonts w:asciiTheme="minorHAnsi" w:hAnsiTheme="minorHAnsi" w:cstheme="minorHAnsi"/>
                <w:szCs w:val="19"/>
              </w:rPr>
            </w:pPr>
          </w:p>
        </w:tc>
      </w:tr>
      <w:tr w:rsidR="009F6E91" w:rsidRPr="00C9376B" w14:paraId="1A79E3C1" w14:textId="77777777" w:rsidTr="00333162">
        <w:tc>
          <w:tcPr>
            <w:tcW w:w="3558" w:type="dxa"/>
            <w:gridSpan w:val="2"/>
            <w:vMerge w:val="restart"/>
          </w:tcPr>
          <w:p w14:paraId="1B698706" w14:textId="77777777" w:rsidR="009F6E91" w:rsidRPr="00C9376B" w:rsidRDefault="009F6E91" w:rsidP="00E945A3">
            <w:pPr>
              <w:rPr>
                <w:rFonts w:asciiTheme="minorHAnsi" w:hAnsiTheme="minorHAnsi" w:cstheme="minorHAnsi"/>
                <w:b/>
                <w:szCs w:val="19"/>
              </w:rPr>
            </w:pPr>
          </w:p>
        </w:tc>
        <w:tc>
          <w:tcPr>
            <w:tcW w:w="5372" w:type="dxa"/>
            <w:gridSpan w:val="4"/>
          </w:tcPr>
          <w:p w14:paraId="1BD6CCC2" w14:textId="5644FE46" w:rsidR="009F6E91" w:rsidRPr="003B6A20" w:rsidRDefault="009F6E91" w:rsidP="0061785A">
            <w:pPr>
              <w:jc w:val="left"/>
              <w:rPr>
                <w:rFonts w:asciiTheme="minorHAnsi" w:hAnsiTheme="minorHAnsi" w:cstheme="minorHAnsi"/>
                <w:szCs w:val="19"/>
                <w:lang w:val="fr-FR"/>
              </w:rPr>
            </w:pPr>
            <w:r w:rsidRPr="003B6A20">
              <w:rPr>
                <w:szCs w:val="19"/>
                <w:lang w:val="fr-FR"/>
              </w:rPr>
              <w:t>Class C Notes</w:t>
            </w:r>
            <w:r w:rsidRPr="003B6A20">
              <w:rPr>
                <w:rFonts w:asciiTheme="minorHAnsi" w:hAnsiTheme="minorHAnsi" w:cstheme="minorHAnsi"/>
                <w:szCs w:val="19"/>
                <w:lang w:val="fr-FR"/>
              </w:rPr>
              <w:tab/>
            </w:r>
            <w:r w:rsidRPr="003B6A20">
              <w:rPr>
                <w:szCs w:val="19"/>
                <w:lang w:val="fr-FR"/>
              </w:rPr>
              <w:tab/>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6930C7" w:rsidRPr="003B6A20">
              <w:rPr>
                <w:szCs w:val="19"/>
                <w:lang w:val="fr-FR"/>
              </w:rPr>
              <w:t>XS3077176207</w:t>
            </w:r>
            <w:r w:rsidRPr="003B6A20">
              <w:rPr>
                <w:rFonts w:asciiTheme="minorHAnsi" w:hAnsiTheme="minorHAnsi" w:cstheme="minorHAnsi"/>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ab/>
              <w:t>Common Code:</w:t>
            </w:r>
            <w:r w:rsidRPr="003B6A20">
              <w:rPr>
                <w:rFonts w:asciiTheme="minorHAnsi" w:hAnsiTheme="minorHAnsi" w:cstheme="minorHAnsi"/>
                <w:szCs w:val="19"/>
                <w:lang w:val="fr-FR"/>
              </w:rPr>
              <w:tab/>
            </w:r>
            <w:r w:rsidR="006930C7" w:rsidRPr="003B6A20">
              <w:rPr>
                <w:szCs w:val="19"/>
                <w:lang w:val="fr-FR"/>
              </w:rPr>
              <w:t>307717620</w:t>
            </w:r>
            <w:r w:rsidRPr="003B6A20">
              <w:rPr>
                <w:rFonts w:cs="Arial"/>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rFonts w:cs="Arial"/>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rFonts w:asciiTheme="minorHAnsi" w:hAnsiTheme="minorHAnsi" w:cstheme="minorHAnsi"/>
                <w:szCs w:val="19"/>
              </w:rPr>
              <w:t>COMPARTMENT LEA/VARASST BKD 2034052</w:t>
            </w:r>
            <w:r w:rsidR="00C9376B" w:rsidRPr="00C9376B" w:rsidDel="00C9376B">
              <w:rPr>
                <w:rFonts w:asciiTheme="minorHAnsi" w:hAnsiTheme="minorHAnsi" w:cstheme="minorHAnsi"/>
                <w:szCs w:val="19"/>
                <w:lang w:val="fr-FR"/>
              </w:rPr>
              <w:t xml:space="preserve"> </w:t>
            </w:r>
          </w:p>
        </w:tc>
      </w:tr>
      <w:tr w:rsidR="009F6E91" w:rsidRPr="00C9376B" w14:paraId="7F5323C1" w14:textId="77777777" w:rsidTr="00333162">
        <w:tc>
          <w:tcPr>
            <w:tcW w:w="3558" w:type="dxa"/>
            <w:gridSpan w:val="2"/>
            <w:vMerge/>
          </w:tcPr>
          <w:p w14:paraId="51231C35" w14:textId="77777777" w:rsidR="009F6E91" w:rsidRPr="003B6A20" w:rsidRDefault="009F6E91" w:rsidP="00E945A3">
            <w:pPr>
              <w:rPr>
                <w:rFonts w:asciiTheme="minorHAnsi" w:hAnsiTheme="minorHAnsi" w:cstheme="minorHAnsi"/>
                <w:b/>
                <w:szCs w:val="19"/>
                <w:lang w:val="fr-FR"/>
              </w:rPr>
            </w:pPr>
          </w:p>
        </w:tc>
        <w:tc>
          <w:tcPr>
            <w:tcW w:w="5372" w:type="dxa"/>
            <w:gridSpan w:val="4"/>
          </w:tcPr>
          <w:p w14:paraId="4AFE06D4" w14:textId="69B1F818" w:rsidR="009F6E91" w:rsidRPr="003B6A20" w:rsidRDefault="009F6E91" w:rsidP="0061785A">
            <w:pPr>
              <w:jc w:val="left"/>
              <w:rPr>
                <w:szCs w:val="19"/>
                <w:lang w:val="fr-FR"/>
              </w:rPr>
            </w:pPr>
            <w:r w:rsidRPr="003B6A20">
              <w:rPr>
                <w:szCs w:val="19"/>
                <w:lang w:val="fr-FR"/>
              </w:rPr>
              <w:t>Class D Notes</w:t>
            </w:r>
            <w:r w:rsidRPr="003B6A20">
              <w:rPr>
                <w:rFonts w:asciiTheme="minorHAnsi" w:hAnsiTheme="minorHAnsi" w:cstheme="minorHAnsi"/>
                <w:szCs w:val="19"/>
                <w:lang w:val="fr-FR"/>
              </w:rPr>
              <w:tab/>
            </w:r>
            <w:r w:rsidRPr="003B6A20">
              <w:rPr>
                <w:szCs w:val="19"/>
                <w:lang w:val="fr-FR"/>
              </w:rPr>
              <w:tab/>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6930C7" w:rsidRPr="003B6A20">
              <w:rPr>
                <w:szCs w:val="19"/>
                <w:lang w:val="fr-FR"/>
              </w:rPr>
              <w:t>XS3077176892</w:t>
            </w:r>
            <w:r w:rsidRPr="003B6A20">
              <w:rPr>
                <w:rFonts w:asciiTheme="minorHAnsi" w:hAnsiTheme="minorHAnsi" w:cstheme="minorHAnsi"/>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ab/>
              <w:t>Common Code:</w:t>
            </w:r>
            <w:r w:rsidRPr="003B6A20">
              <w:rPr>
                <w:rFonts w:asciiTheme="minorHAnsi" w:hAnsiTheme="minorHAnsi" w:cstheme="minorHAnsi"/>
                <w:szCs w:val="19"/>
                <w:lang w:val="fr-FR"/>
              </w:rPr>
              <w:tab/>
            </w:r>
            <w:r w:rsidR="006930C7" w:rsidRPr="003B6A20">
              <w:rPr>
                <w:szCs w:val="19"/>
                <w:lang w:val="fr-FR"/>
              </w:rPr>
              <w:t>307717689</w:t>
            </w:r>
            <w:r w:rsidRPr="003B6A20">
              <w:rPr>
                <w:rFonts w:cs="Arial"/>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rFonts w:cs="Arial"/>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rFonts w:asciiTheme="minorHAnsi" w:hAnsiTheme="minorHAnsi" w:cstheme="minorHAnsi"/>
                <w:szCs w:val="19"/>
              </w:rPr>
              <w:t>COMPARTMENT LEA/VARASST BKD 2034052</w:t>
            </w:r>
          </w:p>
          <w:p w14:paraId="0E58CA3C" w14:textId="77777777" w:rsidR="009F6E91" w:rsidRPr="003B6A20" w:rsidRDefault="009F6E91" w:rsidP="0061785A">
            <w:pPr>
              <w:jc w:val="left"/>
              <w:rPr>
                <w:rFonts w:asciiTheme="minorHAnsi" w:hAnsiTheme="minorHAnsi" w:cstheme="minorHAnsi"/>
                <w:szCs w:val="19"/>
                <w:lang w:val="fr-FR"/>
              </w:rPr>
            </w:pPr>
          </w:p>
        </w:tc>
      </w:tr>
      <w:tr w:rsidR="009F6E91" w:rsidRPr="00C9376B" w14:paraId="2A6E1DCF" w14:textId="77777777" w:rsidTr="00333162">
        <w:tc>
          <w:tcPr>
            <w:tcW w:w="3558" w:type="dxa"/>
            <w:gridSpan w:val="2"/>
            <w:vMerge/>
          </w:tcPr>
          <w:p w14:paraId="338F99A7" w14:textId="77777777" w:rsidR="009F6E91" w:rsidRPr="003B6A20" w:rsidRDefault="009F6E91" w:rsidP="00E945A3">
            <w:pPr>
              <w:rPr>
                <w:rFonts w:asciiTheme="minorHAnsi" w:hAnsiTheme="minorHAnsi" w:cstheme="minorHAnsi"/>
                <w:b/>
                <w:szCs w:val="19"/>
                <w:lang w:val="fr-FR"/>
              </w:rPr>
            </w:pPr>
          </w:p>
        </w:tc>
        <w:tc>
          <w:tcPr>
            <w:tcW w:w="5372" w:type="dxa"/>
            <w:gridSpan w:val="4"/>
          </w:tcPr>
          <w:p w14:paraId="27065CEF" w14:textId="41CBFFF2" w:rsidR="009F6E91" w:rsidRPr="003B6A20" w:rsidRDefault="009F6E91" w:rsidP="0061785A">
            <w:pPr>
              <w:jc w:val="left"/>
              <w:rPr>
                <w:szCs w:val="19"/>
                <w:lang w:val="fr-FR"/>
              </w:rPr>
            </w:pPr>
            <w:r w:rsidRPr="003B6A20">
              <w:rPr>
                <w:szCs w:val="19"/>
                <w:lang w:val="fr-FR"/>
              </w:rPr>
              <w:t>Class E Notes</w:t>
            </w:r>
            <w:r w:rsidRPr="003B6A20">
              <w:rPr>
                <w:rFonts w:asciiTheme="minorHAnsi" w:hAnsiTheme="minorHAnsi" w:cstheme="minorHAnsi"/>
                <w:szCs w:val="19"/>
                <w:lang w:val="fr-FR"/>
              </w:rPr>
              <w:tab/>
            </w:r>
            <w:r w:rsidRPr="003B6A20">
              <w:rPr>
                <w:szCs w:val="19"/>
                <w:lang w:val="fr-FR"/>
              </w:rPr>
              <w:tab/>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6930C7" w:rsidRPr="003B6A20">
              <w:rPr>
                <w:szCs w:val="19"/>
                <w:lang w:val="fr-FR"/>
              </w:rPr>
              <w:t>XS3077177353</w:t>
            </w:r>
            <w:r w:rsidRPr="003B6A20">
              <w:rPr>
                <w:rFonts w:asciiTheme="minorHAnsi" w:hAnsiTheme="minorHAnsi" w:cstheme="minorHAnsi"/>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ab/>
              <w:t>Common Code:</w:t>
            </w:r>
            <w:r w:rsidRPr="003B6A20">
              <w:rPr>
                <w:rFonts w:asciiTheme="minorHAnsi" w:hAnsiTheme="minorHAnsi" w:cstheme="minorHAnsi"/>
                <w:szCs w:val="19"/>
                <w:lang w:val="fr-FR"/>
              </w:rPr>
              <w:tab/>
            </w:r>
            <w:r w:rsidR="006930C7" w:rsidRPr="003B6A20">
              <w:rPr>
                <w:szCs w:val="19"/>
                <w:lang w:val="fr-FR"/>
              </w:rPr>
              <w:t>307717735</w:t>
            </w:r>
            <w:r w:rsidRPr="003B6A20">
              <w:rPr>
                <w:rFonts w:cs="Arial"/>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rFonts w:cs="Arial"/>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rFonts w:asciiTheme="minorHAnsi" w:hAnsiTheme="minorHAnsi" w:cstheme="minorHAnsi"/>
                <w:szCs w:val="19"/>
              </w:rPr>
              <w:t>COMPARTMENT LEA/VARASST BKD 2034052</w:t>
            </w:r>
          </w:p>
          <w:p w14:paraId="3A27F851" w14:textId="77777777" w:rsidR="009F6E91" w:rsidRPr="003B6A20" w:rsidRDefault="009F6E91" w:rsidP="0061785A">
            <w:pPr>
              <w:jc w:val="left"/>
              <w:rPr>
                <w:rFonts w:asciiTheme="minorHAnsi" w:hAnsiTheme="minorHAnsi" w:cstheme="minorHAnsi"/>
                <w:szCs w:val="19"/>
                <w:lang w:val="fr-FR"/>
              </w:rPr>
            </w:pPr>
          </w:p>
        </w:tc>
      </w:tr>
      <w:tr w:rsidR="009F6E91" w:rsidRPr="00C9376B" w14:paraId="2CE1EF48" w14:textId="77777777" w:rsidTr="00333162">
        <w:tc>
          <w:tcPr>
            <w:tcW w:w="3558" w:type="dxa"/>
            <w:gridSpan w:val="2"/>
            <w:vMerge/>
          </w:tcPr>
          <w:p w14:paraId="5D7A54A1" w14:textId="77777777" w:rsidR="009F6E91" w:rsidRPr="003B6A20" w:rsidRDefault="009F6E91" w:rsidP="00E945A3">
            <w:pPr>
              <w:rPr>
                <w:rFonts w:asciiTheme="minorHAnsi" w:hAnsiTheme="minorHAnsi" w:cstheme="minorHAnsi"/>
                <w:b/>
                <w:szCs w:val="19"/>
                <w:lang w:val="fr-FR"/>
              </w:rPr>
            </w:pPr>
          </w:p>
        </w:tc>
        <w:tc>
          <w:tcPr>
            <w:tcW w:w="5372" w:type="dxa"/>
            <w:gridSpan w:val="4"/>
          </w:tcPr>
          <w:p w14:paraId="390D9ACD" w14:textId="7E09A33D" w:rsidR="009F6E91" w:rsidRPr="003B6A20" w:rsidRDefault="009F6E91" w:rsidP="0061785A">
            <w:pPr>
              <w:jc w:val="left"/>
              <w:rPr>
                <w:szCs w:val="19"/>
                <w:lang w:val="en-US"/>
              </w:rPr>
            </w:pPr>
            <w:r w:rsidRPr="003B6A20">
              <w:rPr>
                <w:szCs w:val="19"/>
                <w:lang w:val="en-US"/>
              </w:rPr>
              <w:t>Class F Notes</w:t>
            </w:r>
            <w:r w:rsidRPr="003B6A20">
              <w:rPr>
                <w:rFonts w:asciiTheme="minorHAnsi" w:hAnsiTheme="minorHAnsi" w:cstheme="minorHAnsi"/>
                <w:szCs w:val="19"/>
                <w:lang w:val="en-US"/>
              </w:rPr>
              <w:tab/>
            </w:r>
            <w:r w:rsidRPr="003B6A20">
              <w:rPr>
                <w:szCs w:val="19"/>
                <w:lang w:val="en-US"/>
              </w:rPr>
              <w:tab/>
              <w:t>ISIN:</w:t>
            </w:r>
            <w:r w:rsidRPr="003B6A20">
              <w:rPr>
                <w:rFonts w:asciiTheme="minorHAnsi" w:hAnsiTheme="minorHAnsi" w:cstheme="minorHAnsi"/>
                <w:szCs w:val="19"/>
                <w:lang w:val="en-US"/>
              </w:rPr>
              <w:tab/>
            </w:r>
            <w:r w:rsidRPr="003B6A20">
              <w:rPr>
                <w:rFonts w:asciiTheme="minorHAnsi" w:hAnsiTheme="minorHAnsi" w:cstheme="minorHAnsi"/>
                <w:szCs w:val="19"/>
                <w:lang w:val="en-US"/>
              </w:rPr>
              <w:tab/>
            </w:r>
            <w:r w:rsidR="006930C7" w:rsidRPr="003B6A20">
              <w:rPr>
                <w:szCs w:val="19"/>
                <w:lang w:val="en-US"/>
              </w:rPr>
              <w:t>XS3077177601</w:t>
            </w:r>
            <w:r w:rsidRPr="003B6A20">
              <w:rPr>
                <w:rFonts w:asciiTheme="minorHAnsi" w:hAnsiTheme="minorHAnsi" w:cstheme="minorHAnsi"/>
                <w:szCs w:val="19"/>
                <w:lang w:val="en-US"/>
              </w:rPr>
              <w:br/>
            </w:r>
            <w:r w:rsidRPr="003B6A20">
              <w:rPr>
                <w:rFonts w:asciiTheme="minorHAnsi" w:hAnsiTheme="minorHAnsi" w:cstheme="minorHAnsi"/>
                <w:szCs w:val="19"/>
                <w:lang w:val="en-US"/>
              </w:rPr>
              <w:tab/>
            </w:r>
            <w:r w:rsidRPr="003B6A20">
              <w:rPr>
                <w:rFonts w:asciiTheme="minorHAnsi" w:hAnsiTheme="minorHAnsi" w:cstheme="minorHAnsi"/>
                <w:szCs w:val="19"/>
                <w:lang w:val="en-US"/>
              </w:rPr>
              <w:tab/>
            </w:r>
            <w:r w:rsidRPr="003B6A20">
              <w:rPr>
                <w:szCs w:val="19"/>
                <w:lang w:val="en-US"/>
              </w:rPr>
              <w:tab/>
              <w:t>Common Code:</w:t>
            </w:r>
            <w:r w:rsidRPr="003B6A20">
              <w:rPr>
                <w:rFonts w:asciiTheme="minorHAnsi" w:hAnsiTheme="minorHAnsi" w:cstheme="minorHAnsi"/>
                <w:szCs w:val="19"/>
                <w:lang w:val="en-US"/>
              </w:rPr>
              <w:tab/>
            </w:r>
            <w:r w:rsidR="006930C7" w:rsidRPr="003B6A20">
              <w:rPr>
                <w:szCs w:val="19"/>
                <w:lang w:val="en-US"/>
              </w:rPr>
              <w:t>307717760</w:t>
            </w:r>
            <w:r w:rsidRPr="003B6A20">
              <w:rPr>
                <w:rFonts w:cs="Arial"/>
                <w:szCs w:val="19"/>
                <w:lang w:val="en-US"/>
              </w:rPr>
              <w:br/>
            </w:r>
            <w:r w:rsidRPr="003B6A20">
              <w:rPr>
                <w:rFonts w:asciiTheme="minorHAnsi" w:hAnsiTheme="minorHAnsi" w:cstheme="minorHAnsi"/>
                <w:szCs w:val="19"/>
                <w:lang w:val="en-US"/>
              </w:rPr>
              <w:tab/>
            </w:r>
            <w:r w:rsidRPr="003B6A20">
              <w:rPr>
                <w:rFonts w:asciiTheme="minorHAnsi" w:hAnsiTheme="minorHAnsi" w:cstheme="minorHAnsi"/>
                <w:szCs w:val="19"/>
                <w:lang w:val="en-US"/>
              </w:rPr>
              <w:tab/>
            </w:r>
            <w:r w:rsidRPr="003B6A20">
              <w:rPr>
                <w:rFonts w:asciiTheme="minorHAnsi" w:hAnsiTheme="minorHAnsi" w:cstheme="minorHAnsi"/>
                <w:szCs w:val="19"/>
                <w:lang w:val="en-US"/>
              </w:rPr>
              <w:tab/>
            </w:r>
            <w:r w:rsidRPr="003B6A20">
              <w:rPr>
                <w:szCs w:val="19"/>
                <w:lang w:val="en-US"/>
              </w:rPr>
              <w:t>CFI:</w:t>
            </w:r>
            <w:r w:rsidRPr="003B6A20">
              <w:rPr>
                <w:rFonts w:asciiTheme="minorHAnsi" w:hAnsiTheme="minorHAnsi" w:cstheme="minorHAnsi"/>
                <w:szCs w:val="19"/>
                <w:lang w:val="en-US"/>
              </w:rPr>
              <w:tab/>
            </w:r>
            <w:r w:rsidRPr="003B6A20">
              <w:rPr>
                <w:rFonts w:asciiTheme="minorHAnsi" w:hAnsiTheme="minorHAnsi" w:cstheme="minorHAnsi"/>
                <w:szCs w:val="19"/>
                <w:lang w:val="en-US"/>
              </w:rPr>
              <w:tab/>
            </w:r>
            <w:r w:rsidR="00C9376B" w:rsidRPr="003B6A20">
              <w:rPr>
                <w:szCs w:val="19"/>
                <w:lang w:val="en-US"/>
              </w:rPr>
              <w:t>DAVNFB</w:t>
            </w:r>
            <w:r w:rsidRPr="003B6A20">
              <w:rPr>
                <w:rFonts w:cs="Arial"/>
                <w:szCs w:val="19"/>
                <w:lang w:val="en-US"/>
              </w:rPr>
              <w:br/>
            </w:r>
            <w:r w:rsidRPr="003B6A20">
              <w:rPr>
                <w:rFonts w:asciiTheme="minorHAnsi" w:hAnsiTheme="minorHAnsi" w:cstheme="minorHAnsi"/>
                <w:szCs w:val="19"/>
                <w:lang w:val="en-US"/>
              </w:rPr>
              <w:tab/>
            </w:r>
            <w:r w:rsidRPr="003B6A20">
              <w:rPr>
                <w:rFonts w:asciiTheme="minorHAnsi" w:hAnsiTheme="minorHAnsi" w:cstheme="minorHAnsi"/>
                <w:szCs w:val="19"/>
                <w:lang w:val="en-US"/>
              </w:rPr>
              <w:tab/>
            </w:r>
            <w:r w:rsidRPr="003B6A20">
              <w:rPr>
                <w:rFonts w:asciiTheme="minorHAnsi" w:hAnsiTheme="minorHAnsi" w:cstheme="minorHAnsi"/>
                <w:szCs w:val="19"/>
                <w:lang w:val="en-US"/>
              </w:rPr>
              <w:tab/>
            </w:r>
            <w:r w:rsidRPr="003B6A20">
              <w:rPr>
                <w:szCs w:val="19"/>
                <w:lang w:val="en-US"/>
              </w:rPr>
              <w:t>FISN:</w:t>
            </w:r>
            <w:r w:rsidRPr="003B6A20">
              <w:rPr>
                <w:rFonts w:asciiTheme="minorHAnsi" w:hAnsiTheme="minorHAnsi" w:cstheme="minorHAnsi"/>
                <w:szCs w:val="19"/>
                <w:lang w:val="en-US"/>
              </w:rPr>
              <w:tab/>
            </w:r>
            <w:r w:rsidRPr="003B6A20">
              <w:rPr>
                <w:rFonts w:asciiTheme="minorHAnsi" w:hAnsiTheme="minorHAnsi" w:cstheme="minorHAnsi"/>
                <w:szCs w:val="19"/>
                <w:lang w:val="en-US"/>
              </w:rPr>
              <w:tab/>
            </w:r>
            <w:r w:rsidR="00C9376B" w:rsidRPr="00C9376B">
              <w:rPr>
                <w:rFonts w:asciiTheme="minorHAnsi" w:hAnsiTheme="minorHAnsi" w:cstheme="minorHAnsi"/>
                <w:szCs w:val="19"/>
              </w:rPr>
              <w:t>COMPARTMENT LEA/VARASST BKD 2034052</w:t>
            </w:r>
          </w:p>
          <w:p w14:paraId="59F87D0B" w14:textId="77777777" w:rsidR="009F6E91" w:rsidRPr="003B6A20" w:rsidRDefault="009F6E91" w:rsidP="0061785A">
            <w:pPr>
              <w:jc w:val="left"/>
              <w:rPr>
                <w:rFonts w:asciiTheme="minorHAnsi" w:hAnsiTheme="minorHAnsi" w:cstheme="minorHAnsi"/>
                <w:szCs w:val="19"/>
                <w:lang w:val="en-US"/>
              </w:rPr>
            </w:pPr>
          </w:p>
        </w:tc>
      </w:tr>
      <w:tr w:rsidR="009F6E91" w:rsidRPr="00C9376B" w14:paraId="4082E94B" w14:textId="77777777" w:rsidTr="00333162">
        <w:trPr>
          <w:trHeight w:val="393"/>
        </w:trPr>
        <w:tc>
          <w:tcPr>
            <w:tcW w:w="3558" w:type="dxa"/>
            <w:gridSpan w:val="2"/>
            <w:vMerge/>
          </w:tcPr>
          <w:p w14:paraId="72A5604A" w14:textId="77777777" w:rsidR="009F6E91" w:rsidRPr="003B6A20" w:rsidRDefault="009F6E91" w:rsidP="00B46E44">
            <w:pPr>
              <w:rPr>
                <w:rFonts w:asciiTheme="minorHAnsi" w:hAnsiTheme="minorHAnsi" w:cstheme="minorHAnsi"/>
                <w:b/>
                <w:szCs w:val="19"/>
                <w:lang w:val="en-US"/>
              </w:rPr>
            </w:pPr>
          </w:p>
        </w:tc>
        <w:tc>
          <w:tcPr>
            <w:tcW w:w="5372" w:type="dxa"/>
            <w:gridSpan w:val="4"/>
          </w:tcPr>
          <w:p w14:paraId="4D6BED7E" w14:textId="449BB6E3" w:rsidR="009F6E91" w:rsidRPr="003B6A20" w:rsidRDefault="009F6E91" w:rsidP="0061785A">
            <w:pPr>
              <w:jc w:val="left"/>
              <w:rPr>
                <w:szCs w:val="19"/>
                <w:lang w:val="fr-FR"/>
              </w:rPr>
            </w:pPr>
            <w:r w:rsidRPr="003B6A20">
              <w:rPr>
                <w:szCs w:val="19"/>
                <w:lang w:val="fr-FR"/>
              </w:rPr>
              <w:t>Class G Notes</w:t>
            </w:r>
            <w:r w:rsidRPr="003B6A20">
              <w:rPr>
                <w:rFonts w:asciiTheme="minorHAnsi" w:hAnsiTheme="minorHAnsi" w:cstheme="minorHAnsi"/>
                <w:szCs w:val="19"/>
                <w:lang w:val="fr-FR"/>
              </w:rPr>
              <w:tab/>
            </w:r>
            <w:r w:rsidRPr="003B6A20">
              <w:rPr>
                <w:szCs w:val="19"/>
                <w:lang w:val="fr-FR"/>
              </w:rPr>
              <w:tab/>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6930C7" w:rsidRPr="003B6A20">
              <w:rPr>
                <w:szCs w:val="19"/>
                <w:lang w:val="fr-FR"/>
              </w:rPr>
              <w:t>XS3077177866</w:t>
            </w:r>
            <w:r w:rsidRPr="003B6A20">
              <w:rPr>
                <w:rFonts w:asciiTheme="minorHAnsi" w:hAnsiTheme="minorHAnsi" w:cstheme="minorHAnsi"/>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ab/>
              <w:t>Common Code:</w:t>
            </w:r>
            <w:r w:rsidRPr="003B6A20">
              <w:rPr>
                <w:rFonts w:asciiTheme="minorHAnsi" w:hAnsiTheme="minorHAnsi" w:cstheme="minorHAnsi"/>
                <w:szCs w:val="19"/>
                <w:lang w:val="fr-FR"/>
              </w:rPr>
              <w:tab/>
            </w:r>
            <w:r w:rsidR="006930C7" w:rsidRPr="003B6A20">
              <w:rPr>
                <w:szCs w:val="19"/>
                <w:lang w:val="fr-FR"/>
              </w:rPr>
              <w:t>307717786</w:t>
            </w:r>
            <w:r w:rsidRPr="003B6A20">
              <w:rPr>
                <w:rFonts w:cs="Arial"/>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rFonts w:cs="Arial"/>
                <w:szCs w:val="19"/>
                <w:lang w:val="fr-FR"/>
              </w:rPr>
              <w:br/>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Pr="003B6A20">
              <w:rPr>
                <w:szCs w:val="19"/>
                <w:lang w:val="fr-FR"/>
              </w:rP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rFonts w:asciiTheme="minorHAnsi" w:hAnsiTheme="minorHAnsi" w:cstheme="minorHAnsi"/>
                <w:szCs w:val="19"/>
              </w:rPr>
              <w:t>COMPARTMENT LEA/VARASST BKD 2034052</w:t>
            </w:r>
          </w:p>
        </w:tc>
      </w:tr>
      <w:tr w:rsidR="009F6E91" w:rsidRPr="00D427D8" w14:paraId="0B21CB00" w14:textId="77777777" w:rsidTr="00333162">
        <w:tc>
          <w:tcPr>
            <w:tcW w:w="3558" w:type="dxa"/>
            <w:gridSpan w:val="2"/>
          </w:tcPr>
          <w:p w14:paraId="793CB903" w14:textId="77777777" w:rsidR="009F6E91" w:rsidRPr="00D427D8" w:rsidRDefault="009F6E91" w:rsidP="00B46E44">
            <w:pPr>
              <w:rPr>
                <w:b/>
                <w:szCs w:val="19"/>
              </w:rPr>
            </w:pPr>
            <w:r w:rsidRPr="00D427D8">
              <w:rPr>
                <w:b/>
                <w:szCs w:val="19"/>
              </w:rPr>
              <w:t>Ratings</w:t>
            </w:r>
          </w:p>
        </w:tc>
        <w:tc>
          <w:tcPr>
            <w:tcW w:w="5372" w:type="dxa"/>
            <w:gridSpan w:val="4"/>
          </w:tcPr>
          <w:p w14:paraId="29928EF8" w14:textId="77777777" w:rsidR="009F6E91" w:rsidRPr="00D427D8" w:rsidRDefault="009F6E91" w:rsidP="00470F01">
            <w:pPr>
              <w:rPr>
                <w:szCs w:val="19"/>
              </w:rPr>
            </w:pPr>
            <w:r w:rsidRPr="00D427D8">
              <w:rPr>
                <w:szCs w:val="19"/>
              </w:rPr>
              <w:t>It is a condition to the issuance of the Notes that:</w:t>
            </w:r>
          </w:p>
          <w:p w14:paraId="768382B4" w14:textId="50131070" w:rsidR="009F6E91" w:rsidRPr="00D427D8" w:rsidRDefault="009F6E91" w:rsidP="0020354E">
            <w:pPr>
              <w:ind w:left="742" w:hanging="742"/>
              <w:rPr>
                <w:szCs w:val="19"/>
              </w:rPr>
            </w:pPr>
            <w:r w:rsidRPr="00D427D8">
              <w:rPr>
                <w:szCs w:val="19"/>
              </w:rPr>
              <w:t>(a)</w:t>
            </w:r>
            <w:r w:rsidRPr="00D427D8">
              <w:rPr>
                <w:szCs w:val="19"/>
              </w:rPr>
              <w:tab/>
              <w:t>the Class A Notes receive a rating of [</w:t>
            </w:r>
            <w:r w:rsidR="00D427D8" w:rsidRPr="00D427D8">
              <w:rPr>
                <w:rFonts w:cs="Arial"/>
                <w:szCs w:val="19"/>
              </w:rPr>
              <w:t>AAA</w:t>
            </w:r>
            <w:r w:rsidRPr="00D427D8">
              <w:rPr>
                <w:szCs w:val="19"/>
              </w:rPr>
              <w:t xml:space="preserve">] (sf) from DBRS and </w:t>
            </w:r>
            <w:r w:rsidR="00D427D8" w:rsidRPr="00D427D8">
              <w:rPr>
                <w:rFonts w:cs="Arial"/>
                <w:szCs w:val="19"/>
              </w:rPr>
              <w:t>Aa</w:t>
            </w:r>
            <w:r w:rsidR="00A42D68">
              <w:rPr>
                <w:szCs w:val="19"/>
              </w:rPr>
              <w:t>a</w:t>
            </w:r>
            <w:r w:rsidRPr="00D427D8" w:rsidDel="005B50F9">
              <w:rPr>
                <w:szCs w:val="19"/>
              </w:rPr>
              <w:t xml:space="preserve"> </w:t>
            </w:r>
            <w:r w:rsidRPr="00D427D8">
              <w:rPr>
                <w:szCs w:val="19"/>
              </w:rPr>
              <w:t>(sf) from Moody</w:t>
            </w:r>
            <w:r w:rsidR="00EF7333" w:rsidRPr="00D427D8">
              <w:rPr>
                <w:szCs w:val="19"/>
              </w:rPr>
              <w:t>'</w:t>
            </w:r>
            <w:r w:rsidRPr="00D427D8">
              <w:rPr>
                <w:szCs w:val="19"/>
              </w:rPr>
              <w:t>s;</w:t>
            </w:r>
          </w:p>
          <w:p w14:paraId="2E3A1F97" w14:textId="3C5F5AB9" w:rsidR="009F6E91" w:rsidRPr="00D427D8" w:rsidRDefault="009F6E91" w:rsidP="0020354E">
            <w:pPr>
              <w:ind w:left="742" w:hanging="742"/>
              <w:rPr>
                <w:szCs w:val="19"/>
              </w:rPr>
            </w:pPr>
            <w:r w:rsidRPr="00D427D8">
              <w:rPr>
                <w:szCs w:val="19"/>
              </w:rPr>
              <w:t>(b)</w:t>
            </w:r>
            <w:r w:rsidRPr="00D427D8">
              <w:rPr>
                <w:szCs w:val="19"/>
              </w:rPr>
              <w:tab/>
              <w:t>the Class B Notes receive a rating of [</w:t>
            </w:r>
            <w:r w:rsidR="00D427D8" w:rsidRPr="00D427D8">
              <w:rPr>
                <w:rFonts w:cs="Arial"/>
                <w:szCs w:val="19"/>
              </w:rPr>
              <w:t>AA</w:t>
            </w:r>
            <w:r w:rsidRPr="00D427D8">
              <w:rPr>
                <w:szCs w:val="19"/>
              </w:rPr>
              <w:t xml:space="preserve">] (sf) from DBRS and </w:t>
            </w:r>
            <w:r w:rsidR="00D427D8" w:rsidRPr="00D427D8">
              <w:rPr>
                <w:rFonts w:cs="Arial"/>
                <w:szCs w:val="19"/>
              </w:rPr>
              <w:t>Aa2</w:t>
            </w:r>
            <w:r w:rsidRPr="00D427D8" w:rsidDel="005B50F9">
              <w:rPr>
                <w:szCs w:val="19"/>
              </w:rPr>
              <w:t xml:space="preserve"> </w:t>
            </w:r>
            <w:r w:rsidRPr="00D427D8">
              <w:rPr>
                <w:szCs w:val="19"/>
              </w:rPr>
              <w:t>(sf) from Moody</w:t>
            </w:r>
            <w:r w:rsidR="00EF7333" w:rsidRPr="00D427D8">
              <w:rPr>
                <w:szCs w:val="19"/>
              </w:rPr>
              <w:t>'</w:t>
            </w:r>
            <w:r w:rsidRPr="00D427D8">
              <w:rPr>
                <w:szCs w:val="19"/>
              </w:rPr>
              <w:t>s;</w:t>
            </w:r>
          </w:p>
          <w:p w14:paraId="06DAA26D" w14:textId="20360B7A" w:rsidR="009F6E91" w:rsidRPr="00D427D8" w:rsidRDefault="009F6E91" w:rsidP="0020354E">
            <w:pPr>
              <w:ind w:left="742" w:hanging="742"/>
              <w:rPr>
                <w:szCs w:val="19"/>
              </w:rPr>
            </w:pPr>
            <w:r w:rsidRPr="00D427D8">
              <w:rPr>
                <w:szCs w:val="19"/>
              </w:rPr>
              <w:t>(c)</w:t>
            </w:r>
            <w:r w:rsidRPr="00D427D8">
              <w:rPr>
                <w:szCs w:val="19"/>
              </w:rPr>
              <w:tab/>
              <w:t>the Class C Notes receive a rating of [</w:t>
            </w:r>
            <w:r w:rsidR="00D427D8" w:rsidRPr="00D427D8">
              <w:rPr>
                <w:rFonts w:cs="Arial"/>
                <w:szCs w:val="19"/>
              </w:rPr>
              <w:t>A</w:t>
            </w:r>
            <w:r w:rsidRPr="00D427D8">
              <w:rPr>
                <w:szCs w:val="19"/>
              </w:rPr>
              <w:t xml:space="preserve">] (sf) from DBRS and </w:t>
            </w:r>
            <w:r w:rsidR="00D427D8" w:rsidRPr="00D427D8">
              <w:rPr>
                <w:rFonts w:cs="Arial"/>
                <w:szCs w:val="19"/>
              </w:rPr>
              <w:t>A</w:t>
            </w:r>
            <w:r w:rsidR="00A42D68">
              <w:rPr>
                <w:szCs w:val="19"/>
              </w:rPr>
              <w:t>1</w:t>
            </w:r>
            <w:r w:rsidRPr="00D427D8" w:rsidDel="005B50F9">
              <w:rPr>
                <w:szCs w:val="19"/>
              </w:rPr>
              <w:t xml:space="preserve"> </w:t>
            </w:r>
            <w:r w:rsidRPr="00D427D8">
              <w:rPr>
                <w:szCs w:val="19"/>
              </w:rPr>
              <w:t>(sf) from Moody</w:t>
            </w:r>
            <w:r w:rsidR="00EF7333" w:rsidRPr="00D427D8">
              <w:rPr>
                <w:szCs w:val="19"/>
              </w:rPr>
              <w:t>'</w:t>
            </w:r>
            <w:r w:rsidRPr="00D427D8">
              <w:rPr>
                <w:szCs w:val="19"/>
              </w:rPr>
              <w:t>s;</w:t>
            </w:r>
          </w:p>
          <w:p w14:paraId="0C95D66A" w14:textId="75E5A2A3" w:rsidR="009F6E91" w:rsidRPr="00D427D8" w:rsidRDefault="009F6E91" w:rsidP="0020354E">
            <w:pPr>
              <w:ind w:left="742" w:hanging="742"/>
              <w:rPr>
                <w:szCs w:val="19"/>
              </w:rPr>
            </w:pPr>
            <w:r w:rsidRPr="00D427D8">
              <w:rPr>
                <w:szCs w:val="19"/>
              </w:rPr>
              <w:t>(d)</w:t>
            </w:r>
            <w:r w:rsidRPr="00D427D8">
              <w:rPr>
                <w:szCs w:val="19"/>
              </w:rPr>
              <w:tab/>
              <w:t>the Class D Notes receive a rating of [</w:t>
            </w:r>
            <w:r w:rsidR="00D427D8" w:rsidRPr="00D427D8">
              <w:rPr>
                <w:rFonts w:cs="Arial"/>
                <w:szCs w:val="19"/>
              </w:rPr>
              <w:t>BBB(high)</w:t>
            </w:r>
            <w:r w:rsidRPr="00D427D8">
              <w:rPr>
                <w:szCs w:val="19"/>
              </w:rPr>
              <w:t xml:space="preserve">] (sf) from DBRS and </w:t>
            </w:r>
            <w:r w:rsidR="00D427D8" w:rsidRPr="00D427D8">
              <w:rPr>
                <w:rFonts w:cs="Arial"/>
                <w:szCs w:val="19"/>
              </w:rPr>
              <w:t>Ba</w:t>
            </w:r>
            <w:r w:rsidR="00A42D68">
              <w:rPr>
                <w:rFonts w:cs="Arial"/>
                <w:szCs w:val="19"/>
              </w:rPr>
              <w:t>a1</w:t>
            </w:r>
            <w:r w:rsidRPr="00D427D8">
              <w:rPr>
                <w:szCs w:val="19"/>
              </w:rPr>
              <w:t>]</w:t>
            </w:r>
            <w:r w:rsidRPr="00D427D8" w:rsidDel="005B50F9">
              <w:rPr>
                <w:szCs w:val="19"/>
              </w:rPr>
              <w:t xml:space="preserve"> </w:t>
            </w:r>
            <w:r w:rsidRPr="00D427D8">
              <w:rPr>
                <w:szCs w:val="19"/>
              </w:rPr>
              <w:t>(sf) from Moody</w:t>
            </w:r>
            <w:r w:rsidR="00EF7333" w:rsidRPr="00D427D8">
              <w:rPr>
                <w:szCs w:val="19"/>
              </w:rPr>
              <w:t>'</w:t>
            </w:r>
            <w:r w:rsidRPr="00D427D8">
              <w:rPr>
                <w:szCs w:val="19"/>
              </w:rPr>
              <w:t>s;</w:t>
            </w:r>
          </w:p>
          <w:p w14:paraId="6B4F576E" w14:textId="7E4DDFAA" w:rsidR="009F6E91" w:rsidRPr="00D427D8" w:rsidRDefault="009F6E91" w:rsidP="0020354E">
            <w:pPr>
              <w:ind w:left="742" w:hanging="742"/>
              <w:rPr>
                <w:szCs w:val="19"/>
              </w:rPr>
            </w:pPr>
            <w:r w:rsidRPr="00D427D8">
              <w:rPr>
                <w:szCs w:val="19"/>
              </w:rPr>
              <w:t>(e)</w:t>
            </w:r>
            <w:r w:rsidRPr="00D427D8">
              <w:rPr>
                <w:szCs w:val="19"/>
              </w:rPr>
              <w:tab/>
              <w:t xml:space="preserve">the Class E Notes receive a rating of </w:t>
            </w:r>
            <w:r w:rsidR="00D427D8" w:rsidRPr="00D427D8">
              <w:rPr>
                <w:szCs w:val="19"/>
              </w:rPr>
              <w:t>[</w:t>
            </w:r>
            <w:r w:rsidR="00D427D8" w:rsidRPr="00D427D8">
              <w:rPr>
                <w:rFonts w:cs="Arial"/>
                <w:szCs w:val="19"/>
              </w:rPr>
              <w:t>BB(high)</w:t>
            </w:r>
            <w:r w:rsidR="00D427D8" w:rsidRPr="00D427D8">
              <w:rPr>
                <w:szCs w:val="19"/>
              </w:rPr>
              <w:t xml:space="preserve">] </w:t>
            </w:r>
            <w:r w:rsidRPr="00D427D8">
              <w:rPr>
                <w:szCs w:val="19"/>
              </w:rPr>
              <w:t xml:space="preserve">(sf) from DBRS and </w:t>
            </w:r>
            <w:r w:rsidR="00C7143B" w:rsidRPr="00D427D8">
              <w:rPr>
                <w:szCs w:val="16"/>
              </w:rPr>
              <w:t>Ba1</w:t>
            </w:r>
            <w:r w:rsidR="00D427D8" w:rsidRPr="00D427D8" w:rsidDel="005B50F9">
              <w:rPr>
                <w:szCs w:val="19"/>
              </w:rPr>
              <w:t xml:space="preserve"> </w:t>
            </w:r>
            <w:r w:rsidRPr="00D427D8">
              <w:rPr>
                <w:szCs w:val="19"/>
              </w:rPr>
              <w:t>(sf) from Moody</w:t>
            </w:r>
            <w:r w:rsidR="00EF7333" w:rsidRPr="00D427D8">
              <w:rPr>
                <w:szCs w:val="19"/>
              </w:rPr>
              <w:t>'</w:t>
            </w:r>
            <w:r w:rsidRPr="00D427D8">
              <w:rPr>
                <w:szCs w:val="19"/>
              </w:rPr>
              <w:t>s;</w:t>
            </w:r>
          </w:p>
          <w:p w14:paraId="5DD9F645" w14:textId="39390BE9" w:rsidR="009F6E91" w:rsidRPr="00D427D8" w:rsidRDefault="009F6E91" w:rsidP="0020354E">
            <w:pPr>
              <w:ind w:left="742" w:hanging="742"/>
              <w:rPr>
                <w:szCs w:val="19"/>
              </w:rPr>
            </w:pPr>
            <w:r w:rsidRPr="00D427D8">
              <w:rPr>
                <w:szCs w:val="19"/>
              </w:rPr>
              <w:t>(f)</w:t>
            </w:r>
            <w:r w:rsidRPr="00D427D8">
              <w:rPr>
                <w:szCs w:val="19"/>
              </w:rPr>
              <w:tab/>
              <w:t xml:space="preserve">the Class F Notes receive a rating of </w:t>
            </w:r>
            <w:r w:rsidR="00D427D8" w:rsidRPr="00D427D8">
              <w:rPr>
                <w:szCs w:val="19"/>
              </w:rPr>
              <w:t>[</w:t>
            </w:r>
            <w:r w:rsidR="00D427D8" w:rsidRPr="00D427D8">
              <w:rPr>
                <w:rFonts w:cs="Arial"/>
                <w:szCs w:val="19"/>
              </w:rPr>
              <w:t>B(high)</w:t>
            </w:r>
            <w:r w:rsidR="00D427D8" w:rsidRPr="00D427D8">
              <w:rPr>
                <w:szCs w:val="19"/>
              </w:rPr>
              <w:t xml:space="preserve">] </w:t>
            </w:r>
            <w:r w:rsidRPr="00D427D8">
              <w:rPr>
                <w:szCs w:val="19"/>
              </w:rPr>
              <w:t xml:space="preserve">(sf) from DBRS and </w:t>
            </w:r>
            <w:r w:rsidR="00C7143B" w:rsidRPr="00D427D8">
              <w:rPr>
                <w:rFonts w:cs="Arial"/>
                <w:szCs w:val="19"/>
              </w:rPr>
              <w:t>Ba</w:t>
            </w:r>
            <w:r w:rsidR="00C7143B">
              <w:rPr>
                <w:rFonts w:cs="Arial"/>
                <w:szCs w:val="19"/>
              </w:rPr>
              <w:t>2</w:t>
            </w:r>
            <w:r w:rsidR="00D427D8" w:rsidRPr="00D427D8" w:rsidDel="005B50F9">
              <w:rPr>
                <w:szCs w:val="19"/>
              </w:rPr>
              <w:t xml:space="preserve"> </w:t>
            </w:r>
            <w:r w:rsidRPr="00D427D8">
              <w:rPr>
                <w:szCs w:val="19"/>
              </w:rPr>
              <w:t>(sf) from Moody</w:t>
            </w:r>
            <w:r w:rsidR="00EF7333" w:rsidRPr="00D427D8">
              <w:rPr>
                <w:szCs w:val="19"/>
              </w:rPr>
              <w:t>'</w:t>
            </w:r>
            <w:r w:rsidRPr="00D427D8">
              <w:rPr>
                <w:szCs w:val="19"/>
              </w:rPr>
              <w:t>s;</w:t>
            </w:r>
          </w:p>
          <w:p w14:paraId="0DC990B5" w14:textId="77777777" w:rsidR="009F6E91" w:rsidRPr="00D427D8" w:rsidRDefault="009F6E91" w:rsidP="00333162">
            <w:pPr>
              <w:pStyle w:val="Body1"/>
            </w:pPr>
            <w:bookmarkStart w:id="57" w:name="_Hlk165310332"/>
            <w:r w:rsidRPr="00D427D8">
              <w:t xml:space="preserve">The ratings assigned to the Notes </w:t>
            </w:r>
            <w:bookmarkEnd w:id="57"/>
            <w:r w:rsidRPr="00D427D8">
              <w:t>address (a) full and timely payment to the Noteholders of the then most senior class of Notes of any interest due on each Distribution Date and (b) full payment of principal by the Final Legal Maturity Date. The ratings assigned to the Class A Notes, the Class B Notes, the Class C Notes, the Class D Notes, the Class E Notes and the Class F Notes address the receipt by any Class A Noteholder, Class B Noteholder, Class C Noteholder, Class D Noteholder, Class E Noteholder and Class F Noteholder of principal by the Final Legal Maturity Date.</w:t>
            </w:r>
          </w:p>
          <w:p w14:paraId="08C128DA" w14:textId="08D2222B" w:rsidR="009F6E91" w:rsidRPr="00D427D8" w:rsidRDefault="009F6E91" w:rsidP="00333162">
            <w:pPr>
              <w:pStyle w:val="Body1"/>
            </w:pPr>
            <w:r w:rsidRPr="00D427D8">
              <w:t>In accordance with the UK CRA Regulation, the credit ratings assigned to the Notes by Moody</w:t>
            </w:r>
            <w:r w:rsidR="00EF7333" w:rsidRPr="00D427D8">
              <w:t>'</w:t>
            </w:r>
            <w:r w:rsidRPr="00D427D8">
              <w:t xml:space="preserve">s and DBRS will be endorsed by </w:t>
            </w:r>
            <w:r w:rsidRPr="00D427D8">
              <w:rPr>
                <w:bCs/>
                <w:color w:val="000000" w:themeColor="text1"/>
              </w:rPr>
              <w:t>Moody</w:t>
            </w:r>
            <w:r w:rsidR="00EF7333" w:rsidRPr="00D427D8">
              <w:rPr>
                <w:bCs/>
                <w:color w:val="000000" w:themeColor="text1"/>
              </w:rPr>
              <w:t>'</w:t>
            </w:r>
            <w:r w:rsidRPr="00D427D8">
              <w:rPr>
                <w:bCs/>
                <w:color w:val="000000" w:themeColor="text1"/>
              </w:rPr>
              <w:t>s Investor Services Limited</w:t>
            </w:r>
            <w:r w:rsidRPr="00D427D8">
              <w:t xml:space="preserve"> and DBRS Ratings </w:t>
            </w:r>
            <w:r w:rsidRPr="00D427D8">
              <w:lastRenderedPageBreak/>
              <w:t>Limited, as applicable, being rating agencies which are registered with the Financial Conduct Authority.</w:t>
            </w:r>
          </w:p>
          <w:p w14:paraId="7548F667" w14:textId="77777777" w:rsidR="009F6E91" w:rsidRPr="00D427D8" w:rsidRDefault="009F6E91" w:rsidP="00333162">
            <w:pPr>
              <w:pStyle w:val="Body1"/>
            </w:pPr>
            <w:r w:rsidRPr="00D427D8">
              <w:t>Ratings of securities are not recommendations to buy, sell or hold those securities and may be subject to revision, suspension or withdrawal at any time by the assigning rating agency.</w:t>
            </w:r>
          </w:p>
        </w:tc>
      </w:tr>
      <w:tr w:rsidR="009F6E91" w:rsidRPr="00D427D8" w14:paraId="540AB4AA" w14:textId="77777777" w:rsidTr="00333162">
        <w:tc>
          <w:tcPr>
            <w:tcW w:w="3558" w:type="dxa"/>
            <w:gridSpan w:val="2"/>
          </w:tcPr>
          <w:p w14:paraId="2A7582F6" w14:textId="77777777" w:rsidR="009F6E91" w:rsidRPr="00D427D8" w:rsidRDefault="009F6E91" w:rsidP="00B46E44">
            <w:pPr>
              <w:rPr>
                <w:b/>
                <w:szCs w:val="19"/>
              </w:rPr>
            </w:pPr>
            <w:r w:rsidRPr="00D427D8">
              <w:rPr>
                <w:b/>
                <w:szCs w:val="19"/>
              </w:rPr>
              <w:lastRenderedPageBreak/>
              <w:t>Listing and Admission to Trading</w:t>
            </w:r>
          </w:p>
        </w:tc>
        <w:tc>
          <w:tcPr>
            <w:tcW w:w="5372" w:type="dxa"/>
            <w:gridSpan w:val="4"/>
          </w:tcPr>
          <w:p w14:paraId="792DE78A" w14:textId="77777777" w:rsidR="009F6E91" w:rsidRPr="00D427D8" w:rsidRDefault="009F6E91" w:rsidP="00333162">
            <w:pPr>
              <w:pStyle w:val="Body1"/>
            </w:pPr>
            <w:r w:rsidRPr="00D427D8">
              <w:t>Application has been made to the Luxembourg Stock Exchange for the Notes to be admitted to the official list and to trading on the regulated market of the Luxembourg Stock Exchange.</w:t>
            </w:r>
          </w:p>
          <w:p w14:paraId="7118809B" w14:textId="1F02B332" w:rsidR="009F6E91" w:rsidRPr="00D427D8" w:rsidRDefault="009F6E91" w:rsidP="00333162">
            <w:pPr>
              <w:pStyle w:val="Body1"/>
            </w:pPr>
            <w:r w:rsidRPr="00D427D8">
              <w:t xml:space="preserve">For a more detailed description of the features of the Notes please refer to </w:t>
            </w:r>
            <w:r w:rsidR="00EF7333" w:rsidRPr="00D427D8">
              <w:t>"</w:t>
            </w:r>
            <w:r w:rsidRPr="00D427D8">
              <w:rPr>
                <w:i/>
              </w:rPr>
              <w:t>Terms and Conditions of the Notes.</w:t>
            </w:r>
            <w:r w:rsidR="00EF7333" w:rsidRPr="00D427D8">
              <w:t>"</w:t>
            </w:r>
          </w:p>
        </w:tc>
      </w:tr>
      <w:tr w:rsidR="009F6E91" w:rsidRPr="00D427D8" w14:paraId="672DF74D" w14:textId="77777777" w:rsidTr="00333162">
        <w:tc>
          <w:tcPr>
            <w:tcW w:w="3558" w:type="dxa"/>
            <w:gridSpan w:val="2"/>
          </w:tcPr>
          <w:p w14:paraId="39C1CF6D" w14:textId="77777777" w:rsidR="009F6E91" w:rsidRPr="00D427D8" w:rsidRDefault="009F6E91" w:rsidP="004C2D6C">
            <w:pPr>
              <w:rPr>
                <w:b/>
                <w:smallCaps/>
                <w:szCs w:val="19"/>
              </w:rPr>
            </w:pPr>
            <w:r w:rsidRPr="00D427D8">
              <w:rPr>
                <w:b/>
                <w:szCs w:val="19"/>
              </w:rPr>
              <w:t>I</w:t>
            </w:r>
            <w:r w:rsidRPr="00D427D8" w:rsidDel="0049100D">
              <w:rPr>
                <w:b/>
                <w:szCs w:val="19"/>
              </w:rPr>
              <w:t>nternal policies and procedures in relation to the granting of credit, administration of credit-risk bearing portfolios and risk mitigation</w:t>
            </w:r>
          </w:p>
        </w:tc>
        <w:tc>
          <w:tcPr>
            <w:tcW w:w="5372" w:type="dxa"/>
            <w:gridSpan w:val="4"/>
          </w:tcPr>
          <w:p w14:paraId="5B3F5120" w14:textId="77777777" w:rsidR="009F6E91" w:rsidRPr="00D427D8" w:rsidDel="0049100D" w:rsidRDefault="009F6E91" w:rsidP="00333162">
            <w:pPr>
              <w:pStyle w:val="Body1"/>
            </w:pPr>
            <w:r w:rsidRPr="00D427D8" w:rsidDel="0049100D">
              <w:t>The Seller has internal policies and procedures in relation to the granting of credit, administration of credit-risk bearing portfolios and risk mitigation. The policies and procedures of the Seller in this regard broadly include the following:</w:t>
            </w:r>
          </w:p>
          <w:p w14:paraId="2718323C" w14:textId="540F2338" w:rsidR="009F6E91" w:rsidRPr="00D427D8" w:rsidDel="0049100D" w:rsidRDefault="009F6E91" w:rsidP="004C2D6C">
            <w:pPr>
              <w:ind w:left="720" w:hanging="720"/>
              <w:rPr>
                <w:szCs w:val="19"/>
              </w:rPr>
            </w:pPr>
            <w:r w:rsidRPr="00D427D8" w:rsidDel="0049100D">
              <w:rPr>
                <w:szCs w:val="19"/>
              </w:rPr>
              <w:t>(a)</w:t>
            </w:r>
            <w:r w:rsidRPr="00D427D8" w:rsidDel="0049100D">
              <w:rPr>
                <w:szCs w:val="19"/>
              </w:rPr>
              <w:tab/>
              <w:t xml:space="preserve">criteria for the granting of credit and the process for approving, amending, renewing and re-financing credits, as to which please see further the section of this Prospectus headed </w:t>
            </w:r>
            <w:r w:rsidR="00EF7333" w:rsidRPr="00D427D8">
              <w:rPr>
                <w:szCs w:val="19"/>
              </w:rPr>
              <w:t>"</w:t>
            </w:r>
            <w:r w:rsidRPr="00D427D8">
              <w:rPr>
                <w:i/>
                <w:szCs w:val="19"/>
              </w:rPr>
              <w:t>The Seller</w:t>
            </w:r>
            <w:r w:rsidR="00B12D53" w:rsidRPr="00D427D8">
              <w:rPr>
                <w:i/>
                <w:szCs w:val="19"/>
              </w:rPr>
              <w:t xml:space="preserve"> and </w:t>
            </w:r>
            <w:r w:rsidRPr="00D427D8">
              <w:rPr>
                <w:i/>
                <w:szCs w:val="19"/>
              </w:rPr>
              <w:t xml:space="preserve"> the Servicer</w:t>
            </w:r>
            <w:r w:rsidR="00EF7333" w:rsidRPr="00D427D8">
              <w:rPr>
                <w:szCs w:val="19"/>
              </w:rPr>
              <w:t>"</w:t>
            </w:r>
            <w:r w:rsidRPr="00D427D8" w:rsidDel="0049100D">
              <w:rPr>
                <w:szCs w:val="19"/>
              </w:rPr>
              <w:t>;</w:t>
            </w:r>
          </w:p>
          <w:p w14:paraId="664BFA11" w14:textId="63C6ED50" w:rsidR="009F6E91" w:rsidRPr="00D427D8" w:rsidDel="0049100D" w:rsidRDefault="009F6E91" w:rsidP="004C2D6C">
            <w:pPr>
              <w:ind w:left="720" w:hanging="720"/>
              <w:rPr>
                <w:szCs w:val="19"/>
              </w:rPr>
            </w:pPr>
            <w:r w:rsidRPr="00D427D8" w:rsidDel="0049100D">
              <w:rPr>
                <w:szCs w:val="19"/>
              </w:rPr>
              <w:t>(b)</w:t>
            </w:r>
            <w:r w:rsidRPr="00D427D8" w:rsidDel="0049100D">
              <w:rPr>
                <w:szCs w:val="19"/>
              </w:rPr>
              <w:tab/>
              <w:t xml:space="preserve">systems in place to administer and monitor the various credit-risk bearing portfolios and exposures, as to which we note that the portfolio will be serviced in line with the usual servicing procedures of the Seller – please see further the section of this Prospectus headed </w:t>
            </w:r>
            <w:r w:rsidR="00EF7333" w:rsidRPr="00D427D8">
              <w:rPr>
                <w:szCs w:val="19"/>
              </w:rPr>
              <w:t>"</w:t>
            </w:r>
            <w:r w:rsidR="00B12D53" w:rsidRPr="00D427D8">
              <w:rPr>
                <w:i/>
                <w:szCs w:val="19"/>
              </w:rPr>
              <w:t>The Seller and  the Servicer</w:t>
            </w:r>
            <w:r w:rsidR="00EF7333" w:rsidRPr="00D427D8">
              <w:rPr>
                <w:szCs w:val="19"/>
              </w:rPr>
              <w:t>"</w:t>
            </w:r>
            <w:r w:rsidRPr="00D427D8" w:rsidDel="0049100D">
              <w:rPr>
                <w:szCs w:val="19"/>
              </w:rPr>
              <w:t>;</w:t>
            </w:r>
          </w:p>
          <w:p w14:paraId="0BC548F4" w14:textId="618B0B53" w:rsidR="009F6E91" w:rsidRPr="00D427D8" w:rsidDel="0049100D" w:rsidRDefault="009F6E91" w:rsidP="00D1716A">
            <w:pPr>
              <w:ind w:left="720" w:hanging="720"/>
              <w:rPr>
                <w:szCs w:val="19"/>
              </w:rPr>
            </w:pPr>
            <w:r w:rsidRPr="00D427D8" w:rsidDel="0049100D">
              <w:rPr>
                <w:szCs w:val="19"/>
              </w:rPr>
              <w:t>(c)</w:t>
            </w:r>
            <w:r w:rsidRPr="00D427D8" w:rsidDel="0049100D">
              <w:rPr>
                <w:szCs w:val="19"/>
              </w:rPr>
              <w:tab/>
              <w:t>diversification of credit portfolios given the Seller</w:t>
            </w:r>
            <w:r w:rsidR="00EF7333" w:rsidRPr="00D427D8">
              <w:rPr>
                <w:szCs w:val="19"/>
              </w:rPr>
              <w:t>'</w:t>
            </w:r>
            <w:r w:rsidRPr="00D427D8" w:rsidDel="0049100D">
              <w:rPr>
                <w:szCs w:val="19"/>
              </w:rPr>
              <w:t xml:space="preserve">s target market and overall credit strategy, as to which, in relation to the portfolio, please see the section of this Prospectus headed </w:t>
            </w:r>
            <w:r w:rsidR="00EF7333" w:rsidRPr="00D427D8">
              <w:rPr>
                <w:szCs w:val="19"/>
              </w:rPr>
              <w:t>"</w:t>
            </w:r>
            <w:r w:rsidR="00B12D53" w:rsidRPr="00D427D8">
              <w:rPr>
                <w:i/>
                <w:szCs w:val="19"/>
              </w:rPr>
              <w:t>The Seller and  the Servicer</w:t>
            </w:r>
            <w:r w:rsidR="00EF7333" w:rsidRPr="00D427D8">
              <w:rPr>
                <w:szCs w:val="19"/>
              </w:rPr>
              <w:t>"</w:t>
            </w:r>
            <w:r w:rsidRPr="00D427D8" w:rsidDel="0049100D">
              <w:rPr>
                <w:szCs w:val="19"/>
              </w:rPr>
              <w:t>;</w:t>
            </w:r>
          </w:p>
          <w:p w14:paraId="2A8C65E6" w14:textId="2E3E5342" w:rsidR="009F6E91" w:rsidRPr="00D427D8" w:rsidRDefault="009F6E91" w:rsidP="00B74C24">
            <w:pPr>
              <w:ind w:left="720" w:hanging="720"/>
              <w:rPr>
                <w:szCs w:val="19"/>
              </w:rPr>
            </w:pPr>
            <w:r w:rsidRPr="00D427D8" w:rsidDel="0049100D">
              <w:rPr>
                <w:szCs w:val="19"/>
              </w:rPr>
              <w:t>(d)</w:t>
            </w:r>
            <w:r w:rsidRPr="00D427D8" w:rsidDel="0049100D">
              <w:rPr>
                <w:szCs w:val="19"/>
              </w:rPr>
              <w:tab/>
              <w:t xml:space="preserve">policies and procedures in relation to risk mitigation techniques, as to which please see further the sections of this Prospectus headed </w:t>
            </w:r>
            <w:r w:rsidR="00EF7333" w:rsidRPr="00D427D8">
              <w:rPr>
                <w:szCs w:val="19"/>
              </w:rPr>
              <w:t>"</w:t>
            </w:r>
            <w:r w:rsidR="00B12D53" w:rsidRPr="00D427D8">
              <w:rPr>
                <w:i/>
                <w:szCs w:val="19"/>
              </w:rPr>
              <w:t>The Seller and  the Servicer</w:t>
            </w:r>
            <w:r w:rsidR="00EF7333" w:rsidRPr="00D427D8">
              <w:rPr>
                <w:szCs w:val="19"/>
              </w:rPr>
              <w:t>"</w:t>
            </w:r>
            <w:r w:rsidRPr="00D427D8" w:rsidDel="0049100D">
              <w:rPr>
                <w:szCs w:val="19"/>
              </w:rPr>
              <w:t>.</w:t>
            </w:r>
          </w:p>
        </w:tc>
      </w:tr>
      <w:tr w:rsidR="009F6E91" w:rsidRPr="00D427D8" w14:paraId="1912D191" w14:textId="77777777" w:rsidTr="00333162">
        <w:tc>
          <w:tcPr>
            <w:tcW w:w="3558" w:type="dxa"/>
            <w:gridSpan w:val="2"/>
          </w:tcPr>
          <w:p w14:paraId="69754180" w14:textId="77777777" w:rsidR="009F6E91" w:rsidRPr="00D427D8" w:rsidRDefault="009F6E91" w:rsidP="00B74C24">
            <w:r w:rsidRPr="00D427D8">
              <w:t>Securitisation</w:t>
            </w:r>
            <w:r w:rsidRPr="00D427D8" w:rsidDel="00FB7B73">
              <w:t xml:space="preserve"> </w:t>
            </w:r>
            <w:r w:rsidRPr="00D427D8">
              <w:t>Structure</w:t>
            </w:r>
          </w:p>
        </w:tc>
        <w:tc>
          <w:tcPr>
            <w:tcW w:w="5372" w:type="dxa"/>
            <w:gridSpan w:val="4"/>
          </w:tcPr>
          <w:p w14:paraId="525EC75B" w14:textId="77777777" w:rsidR="009F6E91" w:rsidRPr="00D427D8" w:rsidRDefault="009F6E91" w:rsidP="004A1F8C">
            <w:pPr>
              <w:rPr>
                <w:rFonts w:asciiTheme="minorHAnsi" w:hAnsiTheme="minorHAnsi" w:cstheme="minorHAnsi"/>
                <w:szCs w:val="19"/>
              </w:rPr>
            </w:pPr>
          </w:p>
        </w:tc>
      </w:tr>
      <w:tr w:rsidR="009F6E91" w:rsidRPr="00D427D8" w14:paraId="33BD3D41" w14:textId="77777777" w:rsidTr="00333162">
        <w:trPr>
          <w:gridAfter w:val="2"/>
          <w:wAfter w:w="283" w:type="dxa"/>
        </w:trPr>
        <w:tc>
          <w:tcPr>
            <w:tcW w:w="3558" w:type="dxa"/>
            <w:gridSpan w:val="2"/>
            <w:hideMark/>
          </w:tcPr>
          <w:p w14:paraId="01FE638C" w14:textId="77777777" w:rsidR="009F6E91" w:rsidRPr="00D427D8" w:rsidRDefault="009F6E91">
            <w:pPr>
              <w:spacing w:before="120" w:after="120"/>
              <w:jc w:val="left"/>
              <w:rPr>
                <w:b/>
                <w:bCs/>
                <w:szCs w:val="19"/>
              </w:rPr>
            </w:pPr>
            <w:r w:rsidRPr="00D427D8">
              <w:rPr>
                <w:b/>
                <w:bCs/>
                <w:szCs w:val="19"/>
              </w:rPr>
              <w:t>Purchased Lease Receivables</w:t>
            </w:r>
          </w:p>
        </w:tc>
        <w:tc>
          <w:tcPr>
            <w:tcW w:w="5089" w:type="dxa"/>
            <w:gridSpan w:val="2"/>
            <w:hideMark/>
          </w:tcPr>
          <w:p w14:paraId="173DAA5C" w14:textId="5C8AAD3A" w:rsidR="009F6E91" w:rsidRPr="00D427D8" w:rsidRDefault="009F6E91" w:rsidP="00333162">
            <w:pPr>
              <w:pStyle w:val="Body1"/>
              <w:rPr>
                <w:b/>
                <w:bCs/>
              </w:rPr>
            </w:pPr>
            <w:r w:rsidRPr="00D427D8">
              <w:t xml:space="preserve">The Portfolio underlying the Notes consists of receivables arising out of leases to retail and commercial customers, relating to new or used Stellantis Brands vehicles and originated by the Seller in its ordinary course of business under German law which comply with the Eligibility Criteria. The Aggregate Discounted Receivables Balance as of the beginning of business (in Neu-Isenburg) on </w:t>
            </w:r>
            <w:r w:rsidR="00CB16CF">
              <w:t>5 June</w:t>
            </w:r>
            <w:r w:rsidR="00CB16CF" w:rsidRPr="00CB16CF">
              <w:t xml:space="preserve"> 2025 was EUR </w:t>
            </w:r>
            <w:r w:rsidR="00A42D68" w:rsidRPr="00A42D68">
              <w:t>220,376,360.07</w:t>
            </w:r>
            <w:r w:rsidRPr="00D427D8">
              <w:t>. The Purchased Lease Receivables constitute lease instalment claims arising out of leases to retail and commercial customers under Kilometre Contracts and a RW Contracts (</w:t>
            </w:r>
            <w:r w:rsidR="00EF7333" w:rsidRPr="00D427D8">
              <w:t>"</w:t>
            </w:r>
            <w:r w:rsidRPr="00D427D8">
              <w:rPr>
                <w:b/>
                <w:bCs/>
              </w:rPr>
              <w:t>Lease Agreements</w:t>
            </w:r>
            <w:r w:rsidR="00EF7333" w:rsidRPr="00D427D8">
              <w:t>"</w:t>
            </w:r>
            <w:r w:rsidRPr="00D427D8">
              <w:t>) entered into between the Seller, as lessor, and certain lessees (</w:t>
            </w:r>
            <w:r w:rsidR="00EF7333" w:rsidRPr="00D427D8">
              <w:t>"</w:t>
            </w:r>
            <w:r w:rsidRPr="00D427D8">
              <w:rPr>
                <w:b/>
                <w:bCs/>
              </w:rPr>
              <w:t>Lessees</w:t>
            </w:r>
            <w:r w:rsidR="00EF7333" w:rsidRPr="00D427D8">
              <w:t>"</w:t>
            </w:r>
            <w:r w:rsidRPr="00D427D8">
              <w:t xml:space="preserve">). The Purchased Lease Receivables will be assigned and transferred to the Issuer on or before the </w:t>
            </w:r>
            <w:r w:rsidRPr="00D427D8">
              <w:rPr>
                <w:lang w:eastAsia="en-US"/>
              </w:rPr>
              <w:t>Closing Date any Further Purchase Date</w:t>
            </w:r>
            <w:r w:rsidRPr="00D427D8" w:rsidDel="00DD58E3">
              <w:t xml:space="preserve"> </w:t>
            </w:r>
            <w:r w:rsidRPr="00D427D8">
              <w:t xml:space="preserve">during the Revolving Period pursuant to the Lease Receivables Purchase Agreement. All of the Purchased Lease Receivables are secured by Lease Collateral. The Seller will sell and assign such Lease Collateral together with the Receivables pursuant to the Lease Receivables Purchase Agreement, but will not give any guarantee regarding the existence or the recoverability of such Lease </w:t>
            </w:r>
            <w:r w:rsidRPr="00D427D8">
              <w:lastRenderedPageBreak/>
              <w:t>Collateral. Furthermore, all of the Purchased Lease Receivables are secured through security title to the Leased Vehicles as additional collateral.</w:t>
            </w:r>
          </w:p>
        </w:tc>
      </w:tr>
      <w:tr w:rsidR="009F6E91" w:rsidRPr="00D427D8" w14:paraId="47773E37" w14:textId="77777777" w:rsidTr="00333162">
        <w:trPr>
          <w:gridAfter w:val="2"/>
          <w:wAfter w:w="283" w:type="dxa"/>
        </w:trPr>
        <w:tc>
          <w:tcPr>
            <w:tcW w:w="3558" w:type="dxa"/>
            <w:gridSpan w:val="2"/>
          </w:tcPr>
          <w:p w14:paraId="7DE3A912" w14:textId="77777777" w:rsidR="009F6E91" w:rsidRPr="00D427D8" w:rsidRDefault="009F6E91">
            <w:pPr>
              <w:spacing w:before="120" w:after="120"/>
              <w:jc w:val="left"/>
              <w:rPr>
                <w:b/>
                <w:bCs/>
                <w:szCs w:val="19"/>
              </w:rPr>
            </w:pPr>
          </w:p>
        </w:tc>
        <w:tc>
          <w:tcPr>
            <w:tcW w:w="5089" w:type="dxa"/>
            <w:gridSpan w:val="2"/>
          </w:tcPr>
          <w:p w14:paraId="21DA1C2A" w14:textId="280CD83B" w:rsidR="009F6E91" w:rsidRPr="00D427D8" w:rsidRDefault="009F6E91" w:rsidP="00333162">
            <w:pPr>
              <w:pStyle w:val="Body1"/>
            </w:pPr>
            <w:r w:rsidRPr="00D427D8">
              <w:t xml:space="preserve">For more detailed information about the characteristics of the Receivables, please refer to </w:t>
            </w:r>
            <w:r w:rsidR="00EF7333" w:rsidRPr="00D427D8">
              <w:t>"</w:t>
            </w:r>
            <w:r w:rsidR="00B12D53" w:rsidRPr="00D427D8">
              <w:rPr>
                <w:i/>
                <w:szCs w:val="19"/>
              </w:rPr>
              <w:t>The Seller and  the Servicer</w:t>
            </w:r>
            <w:r w:rsidRPr="00D427D8">
              <w:rPr>
                <w:i/>
              </w:rPr>
              <w:t>.</w:t>
            </w:r>
            <w:r w:rsidR="00EF7333" w:rsidRPr="00D427D8">
              <w:t>"</w:t>
            </w:r>
          </w:p>
        </w:tc>
      </w:tr>
      <w:tr w:rsidR="009F6E91" w:rsidRPr="00D427D8" w14:paraId="375965FE" w14:textId="77777777" w:rsidTr="00333162">
        <w:trPr>
          <w:gridAfter w:val="1"/>
          <w:wAfter w:w="141" w:type="dxa"/>
        </w:trPr>
        <w:tc>
          <w:tcPr>
            <w:tcW w:w="3558" w:type="dxa"/>
            <w:gridSpan w:val="2"/>
            <w:hideMark/>
          </w:tcPr>
          <w:p w14:paraId="449A9E58" w14:textId="77777777" w:rsidR="009F6E91" w:rsidRPr="00D427D8" w:rsidRDefault="009F6E91">
            <w:pPr>
              <w:spacing w:before="120" w:after="120"/>
              <w:jc w:val="left"/>
              <w:rPr>
                <w:b/>
                <w:bCs/>
                <w:szCs w:val="19"/>
              </w:rPr>
            </w:pPr>
            <w:r w:rsidRPr="00D427D8">
              <w:rPr>
                <w:b/>
                <w:bCs/>
                <w:szCs w:val="19"/>
              </w:rPr>
              <w:t>Purchased Expectancy Rights</w:t>
            </w:r>
          </w:p>
        </w:tc>
        <w:tc>
          <w:tcPr>
            <w:tcW w:w="5231" w:type="dxa"/>
            <w:gridSpan w:val="3"/>
            <w:hideMark/>
          </w:tcPr>
          <w:p w14:paraId="7AB9720D" w14:textId="1E1796A7" w:rsidR="009F6E91" w:rsidRPr="00D427D8" w:rsidRDefault="009F6E91" w:rsidP="00333162">
            <w:pPr>
              <w:pStyle w:val="Body1"/>
            </w:pPr>
            <w:r w:rsidRPr="00D427D8">
              <w:t xml:space="preserve">The Purchased </w:t>
            </w:r>
            <w:r w:rsidRPr="00D427D8">
              <w:rPr>
                <w:lang w:val="en-US"/>
              </w:rPr>
              <w:t xml:space="preserve">Expectancy Rights arise from the assignment of title to the Leased Vehicles relating to the Purchased Lease Receivables to the Issuer for security purposes </w:t>
            </w:r>
            <w:r w:rsidRPr="00D427D8">
              <w:t>(</w:t>
            </w:r>
            <w:r w:rsidRPr="00D427D8">
              <w:rPr>
                <w:i/>
              </w:rPr>
              <w:t>Sicherungseigentum</w:t>
            </w:r>
            <w:r w:rsidRPr="00D427D8">
              <w:t xml:space="preserve">) under the Lease Receivables Purchase Agreement </w:t>
            </w:r>
            <w:r w:rsidRPr="00D427D8">
              <w:rPr>
                <w:lang w:val="en-US"/>
              </w:rPr>
              <w:t xml:space="preserve">and the </w:t>
            </w:r>
            <w:r w:rsidRPr="00D427D8">
              <w:t xml:space="preserve">retransfer </w:t>
            </w:r>
            <w:r w:rsidRPr="00D427D8">
              <w:rPr>
                <w:lang w:val="en-US"/>
              </w:rPr>
              <w:t xml:space="preserve">of such title by the </w:t>
            </w:r>
            <w:r w:rsidRPr="00D427D8">
              <w:t>Issuer</w:t>
            </w:r>
            <w:r w:rsidRPr="00D427D8">
              <w:rPr>
                <w:lang w:val="en-US"/>
              </w:rPr>
              <w:t xml:space="preserve"> </w:t>
            </w:r>
            <w:r w:rsidRPr="00D427D8">
              <w:t>to the Seller under the resolutory condition (</w:t>
            </w:r>
            <w:r w:rsidRPr="00D427D8">
              <w:rPr>
                <w:i/>
                <w:iCs/>
              </w:rPr>
              <w:t>auflösende Bedingung</w:t>
            </w:r>
            <w:r w:rsidRPr="00D427D8">
              <w:t xml:space="preserve">) of the earlier of the (i) full and final satisfaction of the obligations secured pursuant to clause 5 of the Lease Receivables Purchase Agreement, (ii) full and final payment of the relevant Purchased Lease Receivables, or (iii) the (early or regular) termination with payment in full of all amounts owing to it under, or as a result of the early termination of, the relevant Lease Agreement (the </w:t>
            </w:r>
            <w:r w:rsidR="00EF7333" w:rsidRPr="00D427D8">
              <w:t>"</w:t>
            </w:r>
            <w:r w:rsidRPr="00D427D8">
              <w:rPr>
                <w:b/>
              </w:rPr>
              <w:t>Release Condition</w:t>
            </w:r>
            <w:r w:rsidR="00EF7333" w:rsidRPr="00D427D8">
              <w:t>"</w:t>
            </w:r>
            <w:r w:rsidRPr="00D427D8">
              <w:t xml:space="preserve">). The Purchased Expectancy Righs will be transferred to the Issuer on or before the </w:t>
            </w:r>
            <w:r w:rsidRPr="00D427D8">
              <w:rPr>
                <w:lang w:eastAsia="en-US"/>
              </w:rPr>
              <w:t>Closing Date and any Further Purchase Date</w:t>
            </w:r>
            <w:r w:rsidRPr="00D427D8" w:rsidDel="00DD58E3">
              <w:t xml:space="preserve"> </w:t>
            </w:r>
            <w:r w:rsidRPr="00D427D8">
              <w:t>during the Revolving Period pursuant to the ER Purchase Agreement.</w:t>
            </w:r>
          </w:p>
        </w:tc>
      </w:tr>
      <w:tr w:rsidR="009F6E91" w:rsidRPr="00D427D8" w14:paraId="7DEE1CE9" w14:textId="77777777" w:rsidTr="00333162">
        <w:tc>
          <w:tcPr>
            <w:tcW w:w="3558" w:type="dxa"/>
            <w:gridSpan w:val="2"/>
          </w:tcPr>
          <w:p w14:paraId="7BAA921E" w14:textId="77777777" w:rsidR="009F6E91" w:rsidRPr="00D427D8" w:rsidRDefault="009F6E91" w:rsidP="005A3FFA">
            <w:pPr>
              <w:jc w:val="left"/>
              <w:rPr>
                <w:b/>
                <w:szCs w:val="19"/>
              </w:rPr>
            </w:pPr>
            <w:r w:rsidRPr="00D427D8">
              <w:rPr>
                <w:b/>
                <w:szCs w:val="19"/>
              </w:rPr>
              <w:t>Revolving Period</w:t>
            </w:r>
          </w:p>
        </w:tc>
        <w:tc>
          <w:tcPr>
            <w:tcW w:w="5372" w:type="dxa"/>
            <w:gridSpan w:val="4"/>
          </w:tcPr>
          <w:p w14:paraId="59B488BA" w14:textId="77777777" w:rsidR="009F6E91" w:rsidRPr="00D427D8" w:rsidRDefault="009F6E91" w:rsidP="00333162">
            <w:pPr>
              <w:pStyle w:val="Body1"/>
            </w:pPr>
            <w:r w:rsidRPr="00D427D8">
              <w:t>The Revolving Period commences on (and includes) the Closing Date and ends on (but excludes) the earlier of (i) the Revolving Period End Date; and (ii) the date on which a Revolving Period Termination Event occurs. Following the termination of the Revolving Period, no Lease Receivables and no Expectancy Rights may be sold to the Issuer.</w:t>
            </w:r>
          </w:p>
        </w:tc>
      </w:tr>
      <w:tr w:rsidR="009F6E91" w:rsidRPr="00D427D8" w14:paraId="059BDE3B" w14:textId="77777777" w:rsidTr="00333162">
        <w:tc>
          <w:tcPr>
            <w:tcW w:w="3558" w:type="dxa"/>
            <w:gridSpan w:val="2"/>
          </w:tcPr>
          <w:p w14:paraId="32D81294" w14:textId="77777777" w:rsidR="009F6E91" w:rsidRPr="00D427D8" w:rsidRDefault="009F6E91" w:rsidP="005A3FFA">
            <w:pPr>
              <w:jc w:val="left"/>
              <w:rPr>
                <w:b/>
                <w:szCs w:val="19"/>
              </w:rPr>
            </w:pPr>
            <w:r w:rsidRPr="00D427D8">
              <w:rPr>
                <w:b/>
                <w:szCs w:val="19"/>
              </w:rPr>
              <w:t>Revolving Period End Date</w:t>
            </w:r>
          </w:p>
        </w:tc>
        <w:tc>
          <w:tcPr>
            <w:tcW w:w="5372" w:type="dxa"/>
            <w:gridSpan w:val="4"/>
          </w:tcPr>
          <w:p w14:paraId="264D7C07" w14:textId="0CA16897" w:rsidR="009F6E91" w:rsidRPr="00D427D8" w:rsidRDefault="009F6E91" w:rsidP="00333162">
            <w:pPr>
              <w:pStyle w:val="Body1"/>
            </w:pPr>
            <w:r w:rsidRPr="00D427D8">
              <w:t xml:space="preserve">The Distribution Date falling in </w:t>
            </w:r>
            <w:r w:rsidR="00D427D8" w:rsidRPr="00D427D8">
              <w:rPr>
                <w:rFonts w:cs="Arial"/>
              </w:rPr>
              <w:t>July 2026</w:t>
            </w:r>
            <w:r w:rsidRPr="00D427D8">
              <w:t>.</w:t>
            </w:r>
          </w:p>
        </w:tc>
      </w:tr>
      <w:tr w:rsidR="009F6E91" w:rsidRPr="00D427D8" w14:paraId="7B7597B9" w14:textId="77777777" w:rsidTr="00333162">
        <w:tc>
          <w:tcPr>
            <w:tcW w:w="3558" w:type="dxa"/>
            <w:gridSpan w:val="2"/>
          </w:tcPr>
          <w:p w14:paraId="47A92E10" w14:textId="77777777" w:rsidR="009F6E91" w:rsidRPr="00D427D8" w:rsidRDefault="009F6E91" w:rsidP="005A3FFA">
            <w:pPr>
              <w:jc w:val="left"/>
              <w:rPr>
                <w:b/>
                <w:szCs w:val="19"/>
              </w:rPr>
            </w:pPr>
            <w:r w:rsidRPr="00D427D8">
              <w:rPr>
                <w:b/>
                <w:szCs w:val="19"/>
              </w:rPr>
              <w:t>Revolving Period Termination Event</w:t>
            </w:r>
          </w:p>
        </w:tc>
        <w:tc>
          <w:tcPr>
            <w:tcW w:w="5372" w:type="dxa"/>
            <w:gridSpan w:val="4"/>
          </w:tcPr>
          <w:p w14:paraId="4058F13B" w14:textId="77777777" w:rsidR="009F6E91" w:rsidRPr="00D427D8" w:rsidRDefault="009F6E91" w:rsidP="00333162">
            <w:pPr>
              <w:pStyle w:val="Body1"/>
            </w:pPr>
            <w:r w:rsidRPr="00D427D8">
              <w:t>The occurrence of any of the following events will constitute a Revolving Period Termination Event:</w:t>
            </w:r>
          </w:p>
          <w:p w14:paraId="2F2B40F9" w14:textId="77777777" w:rsidR="009F6E91" w:rsidRPr="00D427D8" w:rsidRDefault="009F6E91" w:rsidP="009F6E91">
            <w:pPr>
              <w:tabs>
                <w:tab w:val="left" w:pos="720"/>
              </w:tabs>
              <w:ind w:left="720" w:hanging="720"/>
              <w:rPr>
                <w:szCs w:val="19"/>
              </w:rPr>
            </w:pPr>
            <w:r w:rsidRPr="00D427D8">
              <w:rPr>
                <w:szCs w:val="19"/>
              </w:rPr>
              <w:t>(a)</w:t>
            </w:r>
            <w:r w:rsidRPr="00D427D8">
              <w:rPr>
                <w:szCs w:val="19"/>
              </w:rPr>
              <w:tab/>
              <w:t>the Cumulative Gross Loss Ratio is greater than, on the relevant Distribution Date on which such ratio will be calculated by the Servicer:</w:t>
            </w:r>
          </w:p>
          <w:p w14:paraId="15A131DE" w14:textId="16124725" w:rsidR="00D427D8" w:rsidRPr="00D427D8" w:rsidRDefault="009F6E91" w:rsidP="003E7364">
            <w:pPr>
              <w:ind w:left="1306" w:hanging="567"/>
              <w:rPr>
                <w:szCs w:val="19"/>
              </w:rPr>
            </w:pPr>
            <w:r w:rsidRPr="00D427D8">
              <w:rPr>
                <w:szCs w:val="19"/>
              </w:rPr>
              <w:t>(i)</w:t>
            </w:r>
            <w:r w:rsidRPr="00D427D8">
              <w:rPr>
                <w:rFonts w:cs="Arial"/>
                <w:szCs w:val="19"/>
              </w:rPr>
              <w:tab/>
            </w:r>
            <w:r w:rsidR="00D427D8" w:rsidRPr="00D427D8">
              <w:rPr>
                <w:szCs w:val="19"/>
              </w:rPr>
              <w:t>0.50%</w:t>
            </w:r>
            <w:r w:rsidR="00526BA1">
              <w:rPr>
                <w:szCs w:val="19"/>
              </w:rPr>
              <w:t xml:space="preserve"> </w:t>
            </w:r>
            <w:r w:rsidR="00D427D8" w:rsidRPr="00D427D8">
              <w:rPr>
                <w:szCs w:val="19"/>
              </w:rPr>
              <w:t xml:space="preserve">per cent. between the Closing Date and the Distribution Date falling January 2026 (excluded); </w:t>
            </w:r>
          </w:p>
          <w:p w14:paraId="21E303E7" w14:textId="45369FBF" w:rsidR="009F6E91" w:rsidRPr="00D427D8" w:rsidRDefault="009F6E91" w:rsidP="003E7364">
            <w:pPr>
              <w:ind w:left="1306" w:hanging="567"/>
              <w:rPr>
                <w:szCs w:val="19"/>
              </w:rPr>
            </w:pPr>
            <w:r w:rsidRPr="00D427D8">
              <w:rPr>
                <w:szCs w:val="19"/>
              </w:rPr>
              <w:t>(ii)</w:t>
            </w:r>
            <w:r w:rsidRPr="00D427D8">
              <w:rPr>
                <w:rFonts w:cs="Arial"/>
                <w:szCs w:val="19"/>
              </w:rPr>
              <w:tab/>
            </w:r>
            <w:r w:rsidR="00D427D8" w:rsidRPr="00D427D8">
              <w:rPr>
                <w:szCs w:val="19"/>
              </w:rPr>
              <w:t xml:space="preserve">1.00% per cent. between the Distribution Date falling in January 2026 </w:t>
            </w:r>
            <w:r w:rsidR="00C7143B" w:rsidRPr="00D70F65">
              <w:t>(including)</w:t>
            </w:r>
            <w:r w:rsidR="00C7143B">
              <w:t xml:space="preserve"> </w:t>
            </w:r>
            <w:r w:rsidR="00D427D8" w:rsidRPr="00D427D8">
              <w:rPr>
                <w:szCs w:val="19"/>
              </w:rPr>
              <w:t>and the Distribution Date falling in June 2026 (including);</w:t>
            </w:r>
          </w:p>
          <w:p w14:paraId="1D196A45" w14:textId="77777777" w:rsidR="009F6E91" w:rsidRPr="00D427D8" w:rsidRDefault="009F6E91" w:rsidP="009F6E91">
            <w:pPr>
              <w:tabs>
                <w:tab w:val="left" w:pos="720"/>
              </w:tabs>
              <w:ind w:left="720" w:hanging="720"/>
              <w:rPr>
                <w:szCs w:val="19"/>
              </w:rPr>
            </w:pPr>
            <w:r w:rsidRPr="00D427D8">
              <w:rPr>
                <w:szCs w:val="19"/>
              </w:rPr>
              <w:t>(b)</w:t>
            </w:r>
            <w:r w:rsidRPr="00D427D8">
              <w:rPr>
                <w:szCs w:val="19"/>
              </w:rPr>
              <w:tab/>
              <w:t>a Seller Event of Default has occurred and is continuing; or</w:t>
            </w:r>
          </w:p>
          <w:p w14:paraId="730E9921" w14:textId="77777777" w:rsidR="009F6E91" w:rsidRPr="00D427D8" w:rsidRDefault="009F6E91" w:rsidP="009F6E91">
            <w:pPr>
              <w:tabs>
                <w:tab w:val="left" w:pos="720"/>
              </w:tabs>
              <w:ind w:left="720" w:hanging="720"/>
              <w:rPr>
                <w:szCs w:val="19"/>
              </w:rPr>
            </w:pPr>
            <w:r w:rsidRPr="00D427D8">
              <w:rPr>
                <w:szCs w:val="19"/>
              </w:rPr>
              <w:t>(c)</w:t>
            </w:r>
            <w:r w:rsidRPr="00D427D8">
              <w:rPr>
                <w:szCs w:val="19"/>
              </w:rPr>
              <w:tab/>
              <w:t>a Servicer Default has occurred and is continuing; or</w:t>
            </w:r>
          </w:p>
          <w:p w14:paraId="12156C72" w14:textId="77777777" w:rsidR="009F6E91" w:rsidRPr="00D427D8" w:rsidRDefault="009F6E91" w:rsidP="009F6E91">
            <w:pPr>
              <w:tabs>
                <w:tab w:val="left" w:pos="720"/>
              </w:tabs>
              <w:ind w:left="720" w:hanging="720"/>
              <w:rPr>
                <w:szCs w:val="19"/>
              </w:rPr>
            </w:pPr>
            <w:r w:rsidRPr="00D427D8">
              <w:rPr>
                <w:szCs w:val="19"/>
              </w:rPr>
              <w:t>(d)</w:t>
            </w:r>
            <w:r w:rsidRPr="00D427D8">
              <w:rPr>
                <w:szCs w:val="19"/>
              </w:rPr>
              <w:tab/>
              <w:t>a Negative Carry Event;</w:t>
            </w:r>
          </w:p>
          <w:p w14:paraId="5AEE02CA" w14:textId="77777777" w:rsidR="009F6E91" w:rsidRPr="00D427D8" w:rsidRDefault="009F6E91" w:rsidP="009F6E91">
            <w:pPr>
              <w:tabs>
                <w:tab w:val="left" w:pos="720"/>
              </w:tabs>
              <w:ind w:left="720" w:hanging="720"/>
              <w:rPr>
                <w:szCs w:val="19"/>
              </w:rPr>
            </w:pPr>
            <w:r w:rsidRPr="00D427D8">
              <w:rPr>
                <w:szCs w:val="19"/>
              </w:rPr>
              <w:t>(e)</w:t>
            </w:r>
            <w:r w:rsidRPr="00D427D8">
              <w:rPr>
                <w:szCs w:val="19"/>
              </w:rPr>
              <w:tab/>
              <w:t>an Event of Default or Termination Event under the Hedging Arrangement (each as defined therein); or</w:t>
            </w:r>
          </w:p>
          <w:p w14:paraId="77EDF41E" w14:textId="77777777" w:rsidR="009F6E91" w:rsidRPr="00D427D8" w:rsidRDefault="009F6E91" w:rsidP="009F6E91">
            <w:pPr>
              <w:tabs>
                <w:tab w:val="left" w:pos="720"/>
              </w:tabs>
              <w:ind w:left="720" w:hanging="720"/>
              <w:rPr>
                <w:szCs w:val="19"/>
              </w:rPr>
            </w:pPr>
            <w:r w:rsidRPr="00D427D8">
              <w:rPr>
                <w:szCs w:val="19"/>
              </w:rPr>
              <w:t>(f)</w:t>
            </w:r>
            <w:r w:rsidRPr="00D427D8">
              <w:rPr>
                <w:szCs w:val="19"/>
              </w:rPr>
              <w:tab/>
              <w:t>a Liquidity Reserve Shortfall; or</w:t>
            </w:r>
          </w:p>
          <w:p w14:paraId="7EBB22F3" w14:textId="77777777" w:rsidR="009F6E91" w:rsidRPr="00D427D8" w:rsidRDefault="009F6E91" w:rsidP="0010686E">
            <w:pPr>
              <w:spacing w:line="240" w:lineRule="atLeast"/>
              <w:ind w:left="720" w:hanging="720"/>
              <w:rPr>
                <w:szCs w:val="19"/>
              </w:rPr>
            </w:pPr>
            <w:r w:rsidRPr="00D427D8">
              <w:rPr>
                <w:szCs w:val="19"/>
              </w:rPr>
              <w:t>(g)</w:t>
            </w:r>
            <w:r w:rsidRPr="00D427D8">
              <w:rPr>
                <w:szCs w:val="19"/>
              </w:rPr>
              <w:tab/>
              <w:t>a Regulatory Change Event; or</w:t>
            </w:r>
          </w:p>
          <w:p w14:paraId="6C38AE73" w14:textId="77777777" w:rsidR="009F6E91" w:rsidRPr="00D427D8" w:rsidRDefault="009F6E91" w:rsidP="0010686E">
            <w:pPr>
              <w:spacing w:line="240" w:lineRule="atLeast"/>
              <w:ind w:left="720" w:hanging="720"/>
              <w:rPr>
                <w:szCs w:val="19"/>
                <w:lang w:val="en-US"/>
              </w:rPr>
            </w:pPr>
            <w:r w:rsidRPr="00D427D8">
              <w:rPr>
                <w:szCs w:val="19"/>
                <w:lang w:val="en-US"/>
              </w:rPr>
              <w:t>(h)</w:t>
            </w:r>
            <w:r w:rsidRPr="00D427D8">
              <w:rPr>
                <w:szCs w:val="19"/>
                <w:lang w:val="en-US"/>
              </w:rPr>
              <w:tab/>
              <w:t>a Note Tax Event; or</w:t>
            </w:r>
          </w:p>
          <w:p w14:paraId="55895A74" w14:textId="70170F92" w:rsidR="009F6E91" w:rsidRPr="00D427D8" w:rsidRDefault="009F6E91" w:rsidP="0010686E">
            <w:pPr>
              <w:spacing w:line="240" w:lineRule="atLeast"/>
              <w:ind w:left="720" w:hanging="720"/>
              <w:rPr>
                <w:szCs w:val="19"/>
              </w:rPr>
            </w:pPr>
            <w:r w:rsidRPr="00D427D8">
              <w:rPr>
                <w:szCs w:val="19"/>
              </w:rPr>
              <w:t>(i)</w:t>
            </w:r>
            <w:r w:rsidRPr="00D427D8">
              <w:rPr>
                <w:szCs w:val="19"/>
              </w:rPr>
              <w:tab/>
              <w:t xml:space="preserve">the Class G Principal Deficiency Sub-Ledger is greater than </w:t>
            </w:r>
            <w:r w:rsidR="00D427D8" w:rsidRPr="00D427D8">
              <w:rPr>
                <w:szCs w:val="19"/>
              </w:rPr>
              <w:t>0.50</w:t>
            </w:r>
            <w:r w:rsidRPr="00D427D8">
              <w:rPr>
                <w:szCs w:val="19"/>
              </w:rPr>
              <w:t xml:space="preserve"> per cent. of the Aggregate Discounted Asset Balance on the immediately succeeding Distribution Date after application of the </w:t>
            </w:r>
            <w:r w:rsidRPr="00D427D8">
              <w:rPr>
                <w:bCs/>
                <w:iCs/>
                <w:szCs w:val="19"/>
              </w:rPr>
              <w:t xml:space="preserve">Available Interest </w:t>
            </w:r>
            <w:r w:rsidRPr="00D427D8">
              <w:rPr>
                <w:bCs/>
                <w:iCs/>
                <w:szCs w:val="19"/>
              </w:rPr>
              <w:lastRenderedPageBreak/>
              <w:t>Distribution Amount</w:t>
            </w:r>
            <w:r w:rsidRPr="00D427D8">
              <w:rPr>
                <w:szCs w:val="19"/>
              </w:rPr>
              <w:t xml:space="preserve"> in accordance with the Interest Priority of Payments; or</w:t>
            </w:r>
          </w:p>
          <w:p w14:paraId="115FE48B" w14:textId="77777777" w:rsidR="009F6E91" w:rsidRPr="00D427D8" w:rsidRDefault="009F6E91" w:rsidP="0010686E">
            <w:pPr>
              <w:spacing w:line="240" w:lineRule="atLeast"/>
              <w:ind w:left="720" w:hanging="720"/>
              <w:rPr>
                <w:szCs w:val="19"/>
              </w:rPr>
            </w:pPr>
            <w:r w:rsidRPr="00D427D8">
              <w:rPr>
                <w:szCs w:val="19"/>
              </w:rPr>
              <w:t>(j)</w:t>
            </w:r>
            <w:r w:rsidRPr="00D427D8">
              <w:rPr>
                <w:szCs w:val="19"/>
              </w:rPr>
              <w:tab/>
              <w:t>an Accelerated Amortisation Event has occurred and is continuing.</w:t>
            </w:r>
          </w:p>
          <w:p w14:paraId="26CF5827" w14:textId="77777777" w:rsidR="009F6E91" w:rsidRPr="00D427D8" w:rsidRDefault="009F6E91" w:rsidP="0010686E">
            <w:pPr>
              <w:ind w:left="720"/>
              <w:rPr>
                <w:rFonts w:cs="Arial"/>
                <w:szCs w:val="19"/>
              </w:rPr>
            </w:pPr>
          </w:p>
        </w:tc>
      </w:tr>
      <w:tr w:rsidR="009F6E91" w:rsidRPr="00D427D8" w14:paraId="3F3A6BE8" w14:textId="77777777" w:rsidTr="00333162">
        <w:tc>
          <w:tcPr>
            <w:tcW w:w="3558" w:type="dxa"/>
            <w:gridSpan w:val="2"/>
          </w:tcPr>
          <w:p w14:paraId="694A7FF4" w14:textId="77777777" w:rsidR="009F6E91" w:rsidRPr="00D427D8" w:rsidRDefault="009F6E91" w:rsidP="0084273C">
            <w:pPr>
              <w:jc w:val="left"/>
              <w:rPr>
                <w:b/>
                <w:szCs w:val="19"/>
              </w:rPr>
            </w:pPr>
            <w:r w:rsidRPr="00D427D8">
              <w:rPr>
                <w:b/>
                <w:szCs w:val="19"/>
              </w:rPr>
              <w:lastRenderedPageBreak/>
              <w:t>Normal Amortisation Period</w:t>
            </w:r>
          </w:p>
        </w:tc>
        <w:tc>
          <w:tcPr>
            <w:tcW w:w="5372" w:type="dxa"/>
            <w:gridSpan w:val="4"/>
          </w:tcPr>
          <w:p w14:paraId="6A1B9545" w14:textId="0F78D2C1" w:rsidR="009F6E91" w:rsidRPr="00D427D8" w:rsidRDefault="009F6E91" w:rsidP="00333162">
            <w:pPr>
              <w:pStyle w:val="Body1"/>
            </w:pPr>
            <w:r w:rsidRPr="00D427D8">
              <w:t>The Normal Amortisation Period commences on the Distribution Date following the earlier of (i) the Revolving Period End Date and (ii) the occurrence of a Revolving Period Termination Event and ends on the earlier of (i) the date on which the aggregate Principal Outstanding Notes Balance of each Class of Notes is reduced to zero, or (ii) the Final Legal Maturity Date, or (iii) the Distribution Date following the occurrence of an Accelerated Amortisation Event.</w:t>
            </w:r>
          </w:p>
        </w:tc>
      </w:tr>
      <w:tr w:rsidR="009F6E91" w:rsidRPr="00D427D8" w14:paraId="7275A109" w14:textId="77777777" w:rsidTr="00333162">
        <w:tc>
          <w:tcPr>
            <w:tcW w:w="3558" w:type="dxa"/>
            <w:gridSpan w:val="2"/>
          </w:tcPr>
          <w:p w14:paraId="3F4A7614" w14:textId="77777777" w:rsidR="009F6E91" w:rsidRPr="00D427D8" w:rsidRDefault="009F6E91" w:rsidP="005A3FFA">
            <w:pPr>
              <w:jc w:val="left"/>
              <w:rPr>
                <w:b/>
                <w:szCs w:val="19"/>
              </w:rPr>
            </w:pPr>
            <w:r w:rsidRPr="00D427D8">
              <w:rPr>
                <w:b/>
                <w:szCs w:val="19"/>
              </w:rPr>
              <w:t>Sequential Redemption Event</w:t>
            </w:r>
          </w:p>
        </w:tc>
        <w:tc>
          <w:tcPr>
            <w:tcW w:w="5372" w:type="dxa"/>
            <w:gridSpan w:val="4"/>
          </w:tcPr>
          <w:p w14:paraId="26A0AC18" w14:textId="77777777" w:rsidR="009F6E91" w:rsidRPr="00D427D8" w:rsidRDefault="009F6E91" w:rsidP="00333162">
            <w:pPr>
              <w:pStyle w:val="Body1"/>
            </w:pPr>
            <w:r w:rsidRPr="00D427D8">
              <w:t>The occurrence of any of the following events during the Normal Amortisation Period (only) will constitute a Sequential Redemption Event:</w:t>
            </w:r>
          </w:p>
          <w:p w14:paraId="7CF6CB7D" w14:textId="5DE839BF" w:rsidR="009F6E91" w:rsidRPr="00D427D8" w:rsidRDefault="009F6E91" w:rsidP="008D119B">
            <w:pPr>
              <w:ind w:left="732" w:hanging="708"/>
              <w:rPr>
                <w:szCs w:val="19"/>
              </w:rPr>
            </w:pPr>
            <w:r w:rsidRPr="00D427D8">
              <w:rPr>
                <w:szCs w:val="19"/>
              </w:rPr>
              <w:t>(a)</w:t>
            </w:r>
            <w:r w:rsidRPr="00D427D8">
              <w:rPr>
                <w:szCs w:val="19"/>
              </w:rPr>
              <w:tab/>
              <w:t xml:space="preserve">the Class G Principal Deficiency Sub-Ledger is greater  than </w:t>
            </w:r>
            <w:r w:rsidR="00D427D8" w:rsidRPr="00D427D8">
              <w:rPr>
                <w:rFonts w:cs="Arial"/>
                <w:szCs w:val="19"/>
              </w:rPr>
              <w:t>0.50</w:t>
            </w:r>
            <w:r w:rsidRPr="00D427D8">
              <w:rPr>
                <w:szCs w:val="19"/>
              </w:rPr>
              <w:t xml:space="preserve"> per cent. of the Aggregate Discounted Asset Balance on the immediately succeeding Distribution Date after application of the </w:t>
            </w:r>
            <w:r w:rsidRPr="00D427D8">
              <w:rPr>
                <w:bCs/>
                <w:iCs/>
                <w:szCs w:val="19"/>
              </w:rPr>
              <w:t>Available Interest Distribution Amount</w:t>
            </w:r>
            <w:r w:rsidRPr="00D427D8">
              <w:rPr>
                <w:szCs w:val="19"/>
              </w:rPr>
              <w:t xml:space="preserve"> in accordance with the Interest Priority of Payments; or</w:t>
            </w:r>
          </w:p>
          <w:p w14:paraId="22E97226" w14:textId="77777777" w:rsidR="009F6E91" w:rsidRPr="00D427D8" w:rsidRDefault="009F6E91" w:rsidP="00CC4CAD">
            <w:pPr>
              <w:ind w:left="30"/>
              <w:rPr>
                <w:szCs w:val="19"/>
              </w:rPr>
            </w:pPr>
            <w:r w:rsidRPr="00D427D8">
              <w:rPr>
                <w:szCs w:val="19"/>
              </w:rPr>
              <w:t>(b)</w:t>
            </w:r>
            <w:r w:rsidRPr="00D427D8">
              <w:rPr>
                <w:szCs w:val="19"/>
              </w:rPr>
              <w:tab/>
              <w:t>the Cumulative Gross Loss Ratio is greater than:</w:t>
            </w:r>
          </w:p>
          <w:p w14:paraId="70CCD978" w14:textId="63457D5E" w:rsidR="009F6E91" w:rsidRPr="00D427D8" w:rsidRDefault="009F6E91" w:rsidP="008D119B">
            <w:pPr>
              <w:tabs>
                <w:tab w:val="left" w:pos="1448"/>
              </w:tabs>
              <w:ind w:left="1441" w:hanging="709"/>
              <w:rPr>
                <w:szCs w:val="19"/>
              </w:rPr>
            </w:pPr>
            <w:r w:rsidRPr="00D427D8">
              <w:rPr>
                <w:szCs w:val="19"/>
              </w:rPr>
              <w:t>(i)</w:t>
            </w:r>
            <w:r w:rsidRPr="00D427D8">
              <w:rPr>
                <w:rFonts w:cs="Arial"/>
                <w:szCs w:val="19"/>
              </w:rPr>
              <w:tab/>
            </w:r>
            <w:r w:rsidR="00D427D8" w:rsidRPr="00D427D8">
              <w:rPr>
                <w:rFonts w:cs="Arial"/>
                <w:szCs w:val="19"/>
              </w:rPr>
              <w:t>0.50</w:t>
            </w:r>
            <w:r w:rsidRPr="00D427D8">
              <w:rPr>
                <w:szCs w:val="19"/>
              </w:rPr>
              <w:t xml:space="preserve"> cent. between the Closing Date (included) and the Distribution Date falling in </w:t>
            </w:r>
            <w:r w:rsidR="00D427D8" w:rsidRPr="00D427D8">
              <w:rPr>
                <w:rFonts w:cs="Arial"/>
                <w:szCs w:val="19"/>
              </w:rPr>
              <w:t>December 2025</w:t>
            </w:r>
            <w:r w:rsidRPr="00D427D8">
              <w:rPr>
                <w:szCs w:val="19"/>
              </w:rPr>
              <w:t xml:space="preserve"> (included); or</w:t>
            </w:r>
          </w:p>
          <w:p w14:paraId="7DBFBD3D" w14:textId="7510F977" w:rsidR="009F6E91" w:rsidRPr="00D427D8" w:rsidRDefault="009F6E91" w:rsidP="008D119B">
            <w:pPr>
              <w:tabs>
                <w:tab w:val="left" w:pos="1453"/>
              </w:tabs>
              <w:ind w:left="1441" w:hanging="709"/>
              <w:rPr>
                <w:szCs w:val="19"/>
              </w:rPr>
            </w:pPr>
            <w:r w:rsidRPr="00D427D8">
              <w:rPr>
                <w:szCs w:val="19"/>
              </w:rPr>
              <w:t>(ii)</w:t>
            </w:r>
            <w:r w:rsidRPr="00D427D8">
              <w:rPr>
                <w:rFonts w:cs="Arial"/>
                <w:szCs w:val="19"/>
              </w:rPr>
              <w:tab/>
            </w:r>
            <w:r w:rsidR="00D427D8" w:rsidRPr="00D427D8">
              <w:rPr>
                <w:rFonts w:cs="Arial"/>
                <w:szCs w:val="19"/>
              </w:rPr>
              <w:t>1.00</w:t>
            </w:r>
            <w:r w:rsidRPr="00D427D8">
              <w:rPr>
                <w:szCs w:val="19"/>
              </w:rPr>
              <w:t xml:space="preserve"> per cent. between the Distribution Date falling in </w:t>
            </w:r>
            <w:r w:rsidR="00D427D8" w:rsidRPr="00D427D8">
              <w:rPr>
                <w:rFonts w:cs="Arial"/>
                <w:szCs w:val="19"/>
              </w:rPr>
              <w:t>January 2026</w:t>
            </w:r>
            <w:r w:rsidRPr="00D427D8">
              <w:rPr>
                <w:szCs w:val="19"/>
              </w:rPr>
              <w:t xml:space="preserve"> (included) and the Distribution Date falling in </w:t>
            </w:r>
            <w:r w:rsidR="00D427D8" w:rsidRPr="00D427D8">
              <w:rPr>
                <w:rFonts w:cs="Arial"/>
                <w:szCs w:val="19"/>
              </w:rPr>
              <w:t>August 2026</w:t>
            </w:r>
            <w:r w:rsidRPr="00D427D8">
              <w:rPr>
                <w:szCs w:val="19"/>
              </w:rPr>
              <w:t xml:space="preserve"> (included); or</w:t>
            </w:r>
          </w:p>
          <w:p w14:paraId="3FCBB5AF" w14:textId="377E21E2" w:rsidR="009F6E91" w:rsidRPr="00D427D8" w:rsidRDefault="009F6E91" w:rsidP="005D08E7">
            <w:pPr>
              <w:ind w:left="1448" w:hanging="709"/>
              <w:rPr>
                <w:szCs w:val="19"/>
              </w:rPr>
            </w:pPr>
            <w:r w:rsidRPr="00D427D8">
              <w:rPr>
                <w:szCs w:val="19"/>
              </w:rPr>
              <w:t>(iii)</w:t>
            </w:r>
            <w:r w:rsidRPr="00D427D8">
              <w:rPr>
                <w:rFonts w:cs="Arial"/>
                <w:szCs w:val="19"/>
              </w:rPr>
              <w:tab/>
            </w:r>
            <w:r w:rsidR="00D427D8">
              <w:rPr>
                <w:rFonts w:cs="Arial"/>
                <w:szCs w:val="19"/>
              </w:rPr>
              <w:t>1.30</w:t>
            </w:r>
            <w:r w:rsidRPr="00D427D8">
              <w:rPr>
                <w:szCs w:val="19"/>
              </w:rPr>
              <w:t xml:space="preserve"> per cent. between the Distribution Date falling in </w:t>
            </w:r>
            <w:r w:rsidR="00D427D8">
              <w:rPr>
                <w:rFonts w:cs="Arial"/>
                <w:szCs w:val="19"/>
              </w:rPr>
              <w:t>September 2026</w:t>
            </w:r>
            <w:r w:rsidRPr="00D427D8">
              <w:rPr>
                <w:szCs w:val="19"/>
              </w:rPr>
              <w:t xml:space="preserve"> (included) and the Distribution Date falling in </w:t>
            </w:r>
            <w:r w:rsidR="00D427D8">
              <w:rPr>
                <w:rFonts w:cs="Arial"/>
                <w:szCs w:val="19"/>
              </w:rPr>
              <w:t>December 2026</w:t>
            </w:r>
            <w:r w:rsidRPr="00D427D8">
              <w:rPr>
                <w:szCs w:val="19"/>
              </w:rPr>
              <w:t xml:space="preserve"> (included); or</w:t>
            </w:r>
          </w:p>
          <w:p w14:paraId="0505E367" w14:textId="28410111" w:rsidR="009F6E91" w:rsidRPr="00D427D8" w:rsidRDefault="009F6E91" w:rsidP="005D08E7">
            <w:pPr>
              <w:ind w:left="1448" w:hanging="709"/>
              <w:rPr>
                <w:szCs w:val="19"/>
              </w:rPr>
            </w:pPr>
            <w:r w:rsidRPr="00D427D8">
              <w:rPr>
                <w:szCs w:val="19"/>
              </w:rPr>
              <w:t>(iv)</w:t>
            </w:r>
            <w:r w:rsidRPr="00D427D8">
              <w:rPr>
                <w:rFonts w:cs="Arial"/>
                <w:szCs w:val="19"/>
              </w:rPr>
              <w:tab/>
            </w:r>
            <w:r w:rsidR="00D427D8">
              <w:rPr>
                <w:rFonts w:cs="Arial"/>
                <w:szCs w:val="19"/>
              </w:rPr>
              <w:t>2.50</w:t>
            </w:r>
            <w:r w:rsidRPr="00D427D8">
              <w:rPr>
                <w:szCs w:val="19"/>
              </w:rPr>
              <w:t xml:space="preserve"> per cent. between the Distribution Date falling in </w:t>
            </w:r>
            <w:r w:rsidR="00D427D8">
              <w:rPr>
                <w:rFonts w:cs="Arial"/>
                <w:szCs w:val="19"/>
              </w:rPr>
              <w:t>January 2027</w:t>
            </w:r>
            <w:r w:rsidRPr="00D427D8">
              <w:rPr>
                <w:szCs w:val="19"/>
              </w:rPr>
              <w:t xml:space="preserve"> (included) and the Distribution Date falling in in </w:t>
            </w:r>
            <w:r w:rsidR="00D427D8">
              <w:rPr>
                <w:rFonts w:cs="Arial"/>
                <w:szCs w:val="19"/>
              </w:rPr>
              <w:t>June 2027</w:t>
            </w:r>
            <w:r w:rsidRPr="00D427D8">
              <w:rPr>
                <w:szCs w:val="19"/>
              </w:rPr>
              <w:t xml:space="preserve"> (included); or</w:t>
            </w:r>
          </w:p>
          <w:p w14:paraId="4DF19E50" w14:textId="7570B5F5" w:rsidR="009F6E91" w:rsidRPr="00D427D8" w:rsidRDefault="009F6E91">
            <w:pPr>
              <w:ind w:left="1448" w:hanging="709"/>
              <w:rPr>
                <w:szCs w:val="19"/>
              </w:rPr>
            </w:pPr>
            <w:r w:rsidRPr="00D427D8">
              <w:rPr>
                <w:szCs w:val="19"/>
              </w:rPr>
              <w:t>(iv)</w:t>
            </w:r>
            <w:r w:rsidRPr="00D427D8">
              <w:rPr>
                <w:rFonts w:cs="Arial"/>
                <w:szCs w:val="19"/>
              </w:rPr>
              <w:tab/>
            </w:r>
            <w:r w:rsidR="00D427D8">
              <w:rPr>
                <w:szCs w:val="19"/>
              </w:rPr>
              <w:t>3</w:t>
            </w:r>
            <w:r w:rsidR="00D427D8">
              <w:rPr>
                <w:rFonts w:cs="Arial"/>
                <w:szCs w:val="19"/>
              </w:rPr>
              <w:t>.80</w:t>
            </w:r>
            <w:r w:rsidRPr="00D427D8">
              <w:rPr>
                <w:szCs w:val="19"/>
              </w:rPr>
              <w:t xml:space="preserve"> per cent. between the Distribution Date falling in </w:t>
            </w:r>
            <w:r w:rsidR="00D427D8">
              <w:rPr>
                <w:rFonts w:cs="Arial"/>
                <w:szCs w:val="19"/>
              </w:rPr>
              <w:t>July 2027</w:t>
            </w:r>
            <w:r w:rsidRPr="00D427D8">
              <w:rPr>
                <w:szCs w:val="19"/>
              </w:rPr>
              <w:t xml:space="preserve"> (included) and the Final Legal Maturity Date (included); or</w:t>
            </w:r>
          </w:p>
          <w:p w14:paraId="4953503C" w14:textId="77777777" w:rsidR="009F6E91" w:rsidRPr="00D427D8" w:rsidRDefault="009F6E91" w:rsidP="0010686E">
            <w:pPr>
              <w:ind w:left="732" w:hanging="732"/>
              <w:rPr>
                <w:szCs w:val="19"/>
              </w:rPr>
            </w:pPr>
            <w:r w:rsidRPr="00D427D8">
              <w:rPr>
                <w:szCs w:val="19"/>
              </w:rPr>
              <w:t>(c)</w:t>
            </w:r>
            <w:r w:rsidRPr="00D427D8">
              <w:rPr>
                <w:szCs w:val="19"/>
              </w:rPr>
              <w:tab/>
              <w:t>the Aggregate Discounted Asset Balance has fallen below ten per cent. (10%) of the Aggregate Discounted Asset Balance as of the Closing Date but the Clean-up Call Option has not been exercised; or</w:t>
            </w:r>
          </w:p>
          <w:p w14:paraId="1C39DA3A" w14:textId="77777777" w:rsidR="009F6E91" w:rsidRPr="00D427D8" w:rsidRDefault="009F6E91" w:rsidP="0010686E">
            <w:pPr>
              <w:ind w:left="732" w:hanging="732"/>
              <w:rPr>
                <w:szCs w:val="19"/>
              </w:rPr>
            </w:pPr>
            <w:r w:rsidRPr="00D427D8">
              <w:rPr>
                <w:szCs w:val="19"/>
              </w:rPr>
              <w:t>(d)</w:t>
            </w:r>
            <w:r w:rsidRPr="00D427D8">
              <w:rPr>
                <w:szCs w:val="19"/>
              </w:rPr>
              <w:tab/>
              <w:t>a Liquidity Reserve Shortfall.</w:t>
            </w:r>
          </w:p>
        </w:tc>
      </w:tr>
      <w:tr w:rsidR="009F6E91" w:rsidRPr="00D427D8" w14:paraId="633C2876" w14:textId="77777777" w:rsidTr="00333162">
        <w:tc>
          <w:tcPr>
            <w:tcW w:w="3558" w:type="dxa"/>
            <w:gridSpan w:val="2"/>
          </w:tcPr>
          <w:p w14:paraId="25AFB86D" w14:textId="77777777" w:rsidR="009F6E91" w:rsidRPr="00D427D8" w:rsidRDefault="009F6E91" w:rsidP="005A3FFA">
            <w:pPr>
              <w:jc w:val="left"/>
              <w:rPr>
                <w:b/>
                <w:szCs w:val="19"/>
              </w:rPr>
            </w:pPr>
            <w:r w:rsidRPr="00D427D8">
              <w:rPr>
                <w:b/>
                <w:szCs w:val="19"/>
              </w:rPr>
              <w:t>Accelerated Amortisation Period</w:t>
            </w:r>
          </w:p>
        </w:tc>
        <w:tc>
          <w:tcPr>
            <w:tcW w:w="5372" w:type="dxa"/>
            <w:gridSpan w:val="4"/>
          </w:tcPr>
          <w:p w14:paraId="614305A3" w14:textId="77777777" w:rsidR="009F6E91" w:rsidRPr="00D427D8" w:rsidRDefault="009F6E91" w:rsidP="00C9064F">
            <w:pPr>
              <w:pStyle w:val="Body1"/>
            </w:pPr>
            <w:r w:rsidRPr="00D427D8">
              <w:t>The Accelerated Amortisation Period commences on the Distribution Date falling on or following the date on which an Accelerated Amortisation Event has occurred and will end on the earlier of: (i) the date on which the aggregate Principal Outstanding Notes Balance of each Class of Notes is reduced to zero, or (ii) the Final Legal Maturity Date.</w:t>
            </w:r>
          </w:p>
        </w:tc>
      </w:tr>
      <w:tr w:rsidR="009F6E91" w:rsidRPr="00D427D8" w14:paraId="06F74049" w14:textId="77777777" w:rsidTr="00333162">
        <w:tc>
          <w:tcPr>
            <w:tcW w:w="3558" w:type="dxa"/>
            <w:gridSpan w:val="2"/>
          </w:tcPr>
          <w:p w14:paraId="15E92670" w14:textId="77777777" w:rsidR="009F6E91" w:rsidRPr="00D427D8" w:rsidRDefault="009F6E91" w:rsidP="005A3FFA">
            <w:pPr>
              <w:jc w:val="left"/>
              <w:rPr>
                <w:b/>
                <w:szCs w:val="19"/>
              </w:rPr>
            </w:pPr>
            <w:r w:rsidRPr="00D427D8">
              <w:rPr>
                <w:b/>
                <w:szCs w:val="19"/>
              </w:rPr>
              <w:t>Accelerated Amortisation Event</w:t>
            </w:r>
          </w:p>
        </w:tc>
        <w:tc>
          <w:tcPr>
            <w:tcW w:w="5372" w:type="dxa"/>
            <w:gridSpan w:val="4"/>
          </w:tcPr>
          <w:p w14:paraId="2C745BEC" w14:textId="77777777" w:rsidR="009F6E91" w:rsidRPr="00D427D8" w:rsidRDefault="009F6E91" w:rsidP="00C9064F">
            <w:pPr>
              <w:pStyle w:val="Body1"/>
            </w:pPr>
            <w:r w:rsidRPr="00D427D8">
              <w:t>The occurrence of an Issuer Event of Default will constitute an Accelerated Amortisation Event.</w:t>
            </w:r>
          </w:p>
        </w:tc>
      </w:tr>
      <w:tr w:rsidR="009F6E91" w:rsidRPr="00D427D8" w14:paraId="22432371" w14:textId="77777777" w:rsidTr="00333162">
        <w:tc>
          <w:tcPr>
            <w:tcW w:w="3558" w:type="dxa"/>
            <w:gridSpan w:val="2"/>
          </w:tcPr>
          <w:p w14:paraId="5669D1F0" w14:textId="77777777" w:rsidR="009F6E91" w:rsidRPr="00D427D8" w:rsidRDefault="009F6E91" w:rsidP="005A3FFA">
            <w:pPr>
              <w:jc w:val="left"/>
              <w:rPr>
                <w:b/>
                <w:szCs w:val="19"/>
              </w:rPr>
            </w:pPr>
            <w:r w:rsidRPr="00D427D8">
              <w:rPr>
                <w:b/>
                <w:szCs w:val="19"/>
              </w:rPr>
              <w:lastRenderedPageBreak/>
              <w:t>Cut-off Date</w:t>
            </w:r>
          </w:p>
        </w:tc>
        <w:tc>
          <w:tcPr>
            <w:tcW w:w="5372" w:type="dxa"/>
            <w:gridSpan w:val="4"/>
          </w:tcPr>
          <w:p w14:paraId="34A7BE7A" w14:textId="77777777" w:rsidR="009F6E91" w:rsidRPr="00D427D8" w:rsidRDefault="009F6E91" w:rsidP="00C9064F">
            <w:pPr>
              <w:pStyle w:val="Body1"/>
            </w:pPr>
            <w:r w:rsidRPr="00D427D8">
              <w:t>The Issuer will be entitled to collections on the Receivables applied after the Cut-off Date and each Further Purchase Cut-off Date.</w:t>
            </w:r>
          </w:p>
        </w:tc>
      </w:tr>
      <w:tr w:rsidR="009F6E91" w:rsidRPr="00D427D8" w14:paraId="42022680" w14:textId="77777777" w:rsidTr="00333162">
        <w:tc>
          <w:tcPr>
            <w:tcW w:w="3558" w:type="dxa"/>
            <w:gridSpan w:val="2"/>
          </w:tcPr>
          <w:p w14:paraId="04B366B8" w14:textId="77777777" w:rsidR="009F6E91" w:rsidRPr="00D427D8" w:rsidRDefault="009F6E91">
            <w:pPr>
              <w:jc w:val="left"/>
              <w:rPr>
                <w:b/>
                <w:szCs w:val="19"/>
              </w:rPr>
            </w:pPr>
            <w:r w:rsidRPr="00D427D8">
              <w:rPr>
                <w:b/>
                <w:szCs w:val="19"/>
              </w:rPr>
              <w:t>Issuer Assets</w:t>
            </w:r>
          </w:p>
        </w:tc>
        <w:tc>
          <w:tcPr>
            <w:tcW w:w="5372" w:type="dxa"/>
            <w:gridSpan w:val="4"/>
          </w:tcPr>
          <w:p w14:paraId="71784AF3" w14:textId="738B9579" w:rsidR="009F6E91" w:rsidRPr="00D427D8" w:rsidRDefault="009F6E91" w:rsidP="00B46E44">
            <w:pPr>
              <w:rPr>
                <w:szCs w:val="19"/>
              </w:rPr>
            </w:pPr>
            <w:r w:rsidRPr="00D427D8">
              <w:rPr>
                <w:szCs w:val="19"/>
              </w:rPr>
              <w:t>The Issuer</w:t>
            </w:r>
            <w:r w:rsidR="00EF7333" w:rsidRPr="00D427D8">
              <w:rPr>
                <w:szCs w:val="19"/>
              </w:rPr>
              <w:t>'</w:t>
            </w:r>
            <w:r w:rsidRPr="00D427D8">
              <w:rPr>
                <w:szCs w:val="19"/>
              </w:rPr>
              <w:t>s assets (the </w:t>
            </w:r>
            <w:r w:rsidR="00EF7333" w:rsidRPr="00D427D8">
              <w:rPr>
                <w:szCs w:val="19"/>
              </w:rPr>
              <w:t>"</w:t>
            </w:r>
            <w:r w:rsidRPr="00D427D8">
              <w:rPr>
                <w:b/>
                <w:szCs w:val="19"/>
              </w:rPr>
              <w:t>Issuer Assets</w:t>
            </w:r>
            <w:r w:rsidR="00EF7333" w:rsidRPr="00D427D8">
              <w:rPr>
                <w:szCs w:val="19"/>
              </w:rPr>
              <w:t>"</w:t>
            </w:r>
            <w:r w:rsidRPr="00D427D8">
              <w:rPr>
                <w:szCs w:val="19"/>
              </w:rPr>
              <w:t>) will comprise the following:</w:t>
            </w:r>
          </w:p>
          <w:p w14:paraId="2EE04FA1" w14:textId="740C88F8" w:rsidR="009F6E91" w:rsidRPr="00D427D8" w:rsidRDefault="009F6E91" w:rsidP="00E135A9">
            <w:pPr>
              <w:tabs>
                <w:tab w:val="left" w:pos="343"/>
              </w:tabs>
              <w:ind w:left="343" w:hanging="343"/>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szCs w:val="19"/>
              </w:rPr>
              <w:tab/>
              <w:t>the Purchased Lease Receivables and the</w:t>
            </w:r>
            <w:r w:rsidR="00FB7194" w:rsidRPr="00D427D8">
              <w:rPr>
                <w:szCs w:val="19"/>
              </w:rPr>
              <w:t xml:space="preserve"> Lease</w:t>
            </w:r>
            <w:r w:rsidRPr="00D427D8">
              <w:rPr>
                <w:szCs w:val="19"/>
              </w:rPr>
              <w:t xml:space="preserve"> Collateral;</w:t>
            </w:r>
          </w:p>
          <w:p w14:paraId="6E5B96FF" w14:textId="77777777" w:rsidR="009F6E91" w:rsidRPr="00D427D8" w:rsidRDefault="009F6E91" w:rsidP="00E135A9">
            <w:pPr>
              <w:tabs>
                <w:tab w:val="left" w:pos="343"/>
              </w:tabs>
              <w:ind w:left="343" w:hanging="343"/>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rFonts w:asciiTheme="minorHAnsi" w:hAnsiTheme="minorHAnsi" w:cstheme="minorHAnsi"/>
                <w:szCs w:val="19"/>
              </w:rPr>
              <w:tab/>
            </w:r>
            <w:r w:rsidRPr="00D427D8">
              <w:rPr>
                <w:szCs w:val="19"/>
              </w:rPr>
              <w:t xml:space="preserve">the </w:t>
            </w:r>
            <w:bookmarkStart w:id="58" w:name="_Hlk196820942"/>
            <w:r w:rsidRPr="00D427D8">
              <w:rPr>
                <w:szCs w:val="19"/>
              </w:rPr>
              <w:t>Leased Vehicle Put Options</w:t>
            </w:r>
            <w:bookmarkEnd w:id="58"/>
            <w:r w:rsidRPr="00D427D8">
              <w:rPr>
                <w:szCs w:val="19"/>
              </w:rPr>
              <w:t>,</w:t>
            </w:r>
          </w:p>
          <w:p w14:paraId="4ABCA7BA" w14:textId="77777777" w:rsidR="009F6E91" w:rsidRPr="00D427D8" w:rsidRDefault="009F6E91" w:rsidP="00E135A9">
            <w:pPr>
              <w:tabs>
                <w:tab w:val="left" w:pos="343"/>
              </w:tabs>
              <w:ind w:left="343" w:hanging="343"/>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rFonts w:asciiTheme="minorHAnsi" w:hAnsiTheme="minorHAnsi" w:cstheme="minorHAnsi"/>
                <w:szCs w:val="19"/>
              </w:rPr>
              <w:tab/>
            </w:r>
            <w:r w:rsidRPr="00D427D8">
              <w:rPr>
                <w:szCs w:val="19"/>
              </w:rPr>
              <w:t>the Purchased Expectancy Rights and the ER Collateral,</w:t>
            </w:r>
          </w:p>
          <w:p w14:paraId="427B6469" w14:textId="77777777" w:rsidR="009F6E91" w:rsidRPr="00D427D8" w:rsidRDefault="009F6E91" w:rsidP="00E135A9">
            <w:pPr>
              <w:tabs>
                <w:tab w:val="left" w:pos="343"/>
              </w:tabs>
              <w:ind w:left="343" w:hanging="343"/>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szCs w:val="19"/>
              </w:rPr>
              <w:tab/>
              <w:t>the Available Distribution Amount;</w:t>
            </w:r>
          </w:p>
          <w:p w14:paraId="12C7E1D2" w14:textId="77777777" w:rsidR="009F6E91" w:rsidRPr="00D427D8" w:rsidRDefault="009F6E91" w:rsidP="009F6E91">
            <w:pPr>
              <w:tabs>
                <w:tab w:val="left" w:pos="343"/>
              </w:tabs>
              <w:ind w:left="360" w:hanging="360"/>
              <w:rPr>
                <w:szCs w:val="19"/>
              </w:rPr>
            </w:pPr>
            <w:r w:rsidRPr="00D427D8">
              <w:rPr>
                <w:rFonts w:ascii="Symbol" w:hAnsi="Symbol"/>
                <w:szCs w:val="19"/>
              </w:rPr>
              <w:t></w:t>
            </w:r>
            <w:r w:rsidRPr="00D427D8">
              <w:rPr>
                <w:rFonts w:ascii="Symbol" w:hAnsi="Symbol"/>
                <w:szCs w:val="19"/>
              </w:rPr>
              <w:tab/>
            </w:r>
            <w:r w:rsidRPr="00D427D8">
              <w:rPr>
                <w:szCs w:val="19"/>
              </w:rPr>
              <w:t>security title (</w:t>
            </w:r>
            <w:r w:rsidRPr="00D427D8">
              <w:rPr>
                <w:i/>
                <w:iCs/>
                <w:szCs w:val="19"/>
              </w:rPr>
              <w:t>Sicherungseigentum</w:t>
            </w:r>
            <w:r w:rsidRPr="00D427D8">
              <w:rPr>
                <w:szCs w:val="19"/>
              </w:rPr>
              <w:t>) to the Leased Vehicles;</w:t>
            </w:r>
          </w:p>
          <w:p w14:paraId="192EE851" w14:textId="77777777" w:rsidR="009F6E91" w:rsidRPr="00D427D8" w:rsidRDefault="009F6E91" w:rsidP="00E135A9">
            <w:pPr>
              <w:tabs>
                <w:tab w:val="left" w:pos="343"/>
              </w:tabs>
              <w:ind w:left="343" w:hanging="343"/>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szCs w:val="19"/>
              </w:rPr>
              <w:tab/>
              <w:t>rights in the Issuer Accounts;</w:t>
            </w:r>
          </w:p>
          <w:p w14:paraId="379339A7" w14:textId="77777777" w:rsidR="009F6E91" w:rsidRPr="00D427D8" w:rsidRDefault="009F6E91" w:rsidP="009F6E91">
            <w:pPr>
              <w:ind w:left="313" w:hanging="283"/>
              <w:rPr>
                <w:szCs w:val="19"/>
              </w:rPr>
            </w:pPr>
            <w:r w:rsidRPr="00D427D8">
              <w:rPr>
                <w:rFonts w:ascii="Symbol" w:hAnsi="Symbol"/>
                <w:szCs w:val="19"/>
              </w:rPr>
              <w:t></w:t>
            </w:r>
            <w:r w:rsidRPr="00D427D8">
              <w:rPr>
                <w:rFonts w:ascii="Symbol" w:hAnsi="Symbol"/>
                <w:szCs w:val="19"/>
              </w:rPr>
              <w:tab/>
            </w:r>
            <w:r w:rsidRPr="00D427D8">
              <w:rPr>
                <w:szCs w:val="19"/>
              </w:rPr>
              <w:t>rights under the Transaction Documents, including those relating to the repurchase of Receivables by the Seller or purchase of Receivables by the Servicer;</w:t>
            </w:r>
          </w:p>
          <w:p w14:paraId="2617876C" w14:textId="77777777" w:rsidR="009F6E91" w:rsidRPr="00D427D8" w:rsidRDefault="009F6E91" w:rsidP="00E85414">
            <w:pPr>
              <w:tabs>
                <w:tab w:val="left" w:pos="332"/>
              </w:tabs>
              <w:ind w:left="343" w:hanging="343"/>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szCs w:val="19"/>
              </w:rPr>
              <w:tab/>
              <w:t>net rights under the Hedging Arrangement; and</w:t>
            </w:r>
          </w:p>
          <w:p w14:paraId="6FB30636" w14:textId="77777777" w:rsidR="009F6E91" w:rsidRPr="00D427D8" w:rsidRDefault="009F6E91" w:rsidP="009F6E91">
            <w:pPr>
              <w:tabs>
                <w:tab w:val="left" w:pos="332"/>
              </w:tabs>
              <w:ind w:left="314" w:hanging="283"/>
              <w:rPr>
                <w:szCs w:val="19"/>
              </w:rPr>
            </w:pPr>
            <w:r w:rsidRPr="00D427D8">
              <w:rPr>
                <w:rFonts w:ascii="Symbol" w:hAnsi="Symbol"/>
                <w:szCs w:val="19"/>
              </w:rPr>
              <w:t></w:t>
            </w:r>
            <w:r w:rsidRPr="00D427D8">
              <w:rPr>
                <w:rFonts w:ascii="Symbol" w:hAnsi="Symbol"/>
                <w:szCs w:val="19"/>
              </w:rPr>
              <w:tab/>
            </w:r>
            <w:r w:rsidRPr="00D427D8">
              <w:t>any other sums or other assets from which the Issuer might benefit in any way whatsoever, in accordance with  the other Transaction Documents.</w:t>
            </w:r>
          </w:p>
        </w:tc>
      </w:tr>
      <w:tr w:rsidR="009F6E91" w:rsidRPr="00D427D8" w14:paraId="1835EF97" w14:textId="77777777" w:rsidTr="00333162">
        <w:tc>
          <w:tcPr>
            <w:tcW w:w="3558" w:type="dxa"/>
            <w:gridSpan w:val="2"/>
          </w:tcPr>
          <w:p w14:paraId="678BD118" w14:textId="77777777" w:rsidR="009F6E91" w:rsidRPr="00D427D8" w:rsidRDefault="009F6E91" w:rsidP="00DE36C6">
            <w:pPr>
              <w:jc w:val="left"/>
              <w:rPr>
                <w:b/>
                <w:szCs w:val="19"/>
              </w:rPr>
            </w:pPr>
            <w:r w:rsidRPr="00D427D8">
              <w:rPr>
                <w:b/>
                <w:szCs w:val="19"/>
              </w:rPr>
              <w:t>Seller and Servicer</w:t>
            </w:r>
          </w:p>
        </w:tc>
        <w:tc>
          <w:tcPr>
            <w:tcW w:w="5372" w:type="dxa"/>
            <w:gridSpan w:val="4"/>
          </w:tcPr>
          <w:p w14:paraId="79E16254" w14:textId="47E98A37" w:rsidR="009F6E91" w:rsidRPr="00D427D8" w:rsidRDefault="009F6E91" w:rsidP="00C9064F">
            <w:pPr>
              <w:pStyle w:val="Body1"/>
            </w:pPr>
            <w:r w:rsidRPr="00D427D8">
              <w:t>Stellantis Bank will act as the seller (the </w:t>
            </w:r>
            <w:r w:rsidR="00EF7333" w:rsidRPr="00D427D8">
              <w:t>"</w:t>
            </w:r>
            <w:r w:rsidRPr="00D427D8">
              <w:rPr>
                <w:b/>
              </w:rPr>
              <w:t>Seller</w:t>
            </w:r>
            <w:r w:rsidR="00EF7333" w:rsidRPr="00D427D8">
              <w:t>"</w:t>
            </w:r>
            <w:r w:rsidRPr="00D427D8">
              <w:t>) and the servicer (the </w:t>
            </w:r>
            <w:r w:rsidR="00EF7333" w:rsidRPr="00D427D8">
              <w:t>"</w:t>
            </w:r>
            <w:r w:rsidRPr="00D427D8">
              <w:rPr>
                <w:b/>
              </w:rPr>
              <w:t>Servicer</w:t>
            </w:r>
            <w:r w:rsidR="00EF7333" w:rsidRPr="00D427D8">
              <w:t>"</w:t>
            </w:r>
            <w:r w:rsidRPr="00D427D8">
              <w:t>) of the Receivables.</w:t>
            </w:r>
          </w:p>
          <w:p w14:paraId="56861DD6" w14:textId="77777777" w:rsidR="009F6E91" w:rsidRPr="00D427D8" w:rsidRDefault="009F6E91" w:rsidP="00C9064F">
            <w:pPr>
              <w:pStyle w:val="Body1"/>
            </w:pPr>
            <w:r w:rsidRPr="00D427D8">
              <w:t>The Servicer is responsible for collecting payments on the Lease Receivables, administering payoffs, defaults and delinquencies, exercising rights available under the Lease Receivables and the related Lease Collateral. The Servicer shall (i) ensure, under its own liability, the custody of the Records (in a manner suitable for electronic data processing free from licences or other restrictions of use), free of charge (</w:t>
            </w:r>
            <w:r w:rsidRPr="00D427D8">
              <w:rPr>
                <w:i/>
                <w:iCs/>
              </w:rPr>
              <w:t>als unentgeltlicher Verwahrer</w:t>
            </w:r>
            <w:r w:rsidRPr="00D427D8">
              <w:t>) for the Issuer and (ii) establish and maintain appropriate documented custody procedures in addition to an independent internal ongoing control of such procedures.</w:t>
            </w:r>
          </w:p>
          <w:p w14:paraId="7233752E" w14:textId="77777777" w:rsidR="009F6E91" w:rsidRPr="00D427D8" w:rsidRDefault="009F6E91" w:rsidP="00C9064F">
            <w:pPr>
              <w:pStyle w:val="Body1"/>
            </w:pPr>
            <w:r w:rsidRPr="00D427D8">
              <w:t>In case of a Servicer Default the Issuer</w:t>
            </w:r>
            <w:bookmarkStart w:id="59" w:name="_Hlk146712583"/>
            <w:r w:rsidRPr="00D427D8">
              <w:t xml:space="preserve">, with assistance of the Back-up Servicer Facilitator, </w:t>
            </w:r>
            <w:bookmarkEnd w:id="59"/>
            <w:r w:rsidRPr="00D427D8">
              <w:t>shall immediately appoint a Back-up Servicer, which must be, in accordance with the provisions of circular 4/97 of the German Financial Services Supervisory Authority (</w:t>
            </w:r>
            <w:r w:rsidRPr="00D427D8">
              <w:rPr>
                <w:i/>
              </w:rPr>
              <w:t>Bundesanstalt für Finanzdienstleistungsaufsicht</w:t>
            </w:r>
            <w:r w:rsidRPr="00D427D8">
              <w:t>), a credit institution with its seat in Germany (</w:t>
            </w:r>
            <w:r w:rsidRPr="00D427D8">
              <w:rPr>
                <w:i/>
              </w:rPr>
              <w:t>inländisches Kreditinstitut</w:t>
            </w:r>
            <w:r w:rsidRPr="00D427D8">
              <w:t>) or a credit institution supervised in accordance with the EU banking directives having its seat in another member state of the European Communities or in another state which is party to the Agreement on the European Economic Area. The Back-up Servicer shall control any personal data in relation to Lessees (</w:t>
            </w:r>
            <w:r w:rsidRPr="00D427D8">
              <w:rPr>
                <w:i/>
              </w:rPr>
              <w:t>Datenhoheit über persönliche Daten der Leasingnehmer</w:t>
            </w:r>
            <w:r w:rsidRPr="00D427D8">
              <w:t>). The Back-up Servicer shall enter into an agreement with the parties hereto (other than the Servicer) substantially on the terms of the Servicing Agreement.</w:t>
            </w:r>
          </w:p>
          <w:p w14:paraId="3B2348C4" w14:textId="01CE52B0" w:rsidR="009F6E91" w:rsidRPr="00D427D8" w:rsidRDefault="009F6E91" w:rsidP="00C9064F">
            <w:pPr>
              <w:pStyle w:val="Body1"/>
            </w:pPr>
            <w:r w:rsidRPr="00D427D8">
              <w:t>In addition, the Servicer</w:t>
            </w:r>
            <w:r w:rsidR="00EF7333" w:rsidRPr="00D427D8">
              <w:t>'</w:t>
            </w:r>
            <w:r w:rsidRPr="00D427D8">
              <w:t>s appointment shall be terminated by the Issuer upon the occurrence of a Servicer Default being defined as the occurrence of any of the following events:</w:t>
            </w:r>
          </w:p>
          <w:p w14:paraId="53AB6623" w14:textId="77777777" w:rsidR="009F6E91" w:rsidRPr="00D427D8" w:rsidRDefault="009F6E91" w:rsidP="00B74C24">
            <w:pPr>
              <w:ind w:left="720" w:hanging="720"/>
              <w:rPr>
                <w:szCs w:val="19"/>
              </w:rPr>
            </w:pPr>
            <w:r w:rsidRPr="00D427D8">
              <w:rPr>
                <w:szCs w:val="19"/>
              </w:rPr>
              <w:t>(a)</w:t>
            </w:r>
            <w:r w:rsidRPr="00D427D8">
              <w:rPr>
                <w:szCs w:val="19"/>
              </w:rPr>
              <w:tab/>
              <w:t xml:space="preserve">any failure by the Servicer to deliver any required payment for deposit in the Distribution Account pursuant to the Servicing Agreement, which failure continues unremedied for a period of five Business Days after (i) written notice thereof is received by the </w:t>
            </w:r>
            <w:r w:rsidRPr="00D427D8">
              <w:rPr>
                <w:szCs w:val="19"/>
              </w:rPr>
              <w:lastRenderedPageBreak/>
              <w:t>Servicer or (ii) discovery of such failure by an officer of the Servicer;</w:t>
            </w:r>
          </w:p>
          <w:p w14:paraId="717A2BDF" w14:textId="77777777" w:rsidR="009F6E91" w:rsidRPr="00D427D8" w:rsidRDefault="009F6E91" w:rsidP="00B74C24">
            <w:pPr>
              <w:ind w:left="720" w:hanging="720"/>
              <w:rPr>
                <w:szCs w:val="19"/>
              </w:rPr>
            </w:pPr>
            <w:r w:rsidRPr="00D427D8">
              <w:rPr>
                <w:szCs w:val="19"/>
              </w:rPr>
              <w:t>(b)</w:t>
            </w:r>
            <w:r w:rsidRPr="00D427D8">
              <w:rPr>
                <w:szCs w:val="19"/>
              </w:rPr>
              <w:tab/>
              <w:t>failure on the part of the Servicer to duly observe or perform any other covenants, representations or agreements of the Servicer set forth in the Servicing Agreement and the other Transaction Documents to which it is a party which failure (i) materially and adversely affects the interests of the Noteholders, and (ii) continues unremedied for a period of thirty days after the earlier of (aa) the date on which written notice of such failure will have been given to the Servicer or (bb) discovery of such failure by an officer of the Servicer;</w:t>
            </w:r>
          </w:p>
          <w:p w14:paraId="76F1FE13" w14:textId="77777777" w:rsidR="009F6E91" w:rsidRPr="00D427D8" w:rsidRDefault="009F6E91" w:rsidP="00F30864">
            <w:pPr>
              <w:ind w:left="720" w:hanging="720"/>
              <w:rPr>
                <w:szCs w:val="19"/>
              </w:rPr>
            </w:pPr>
            <w:r w:rsidRPr="00D427D8">
              <w:rPr>
                <w:szCs w:val="19"/>
              </w:rPr>
              <w:t>(c)</w:t>
            </w:r>
            <w:r w:rsidRPr="00D427D8">
              <w:rPr>
                <w:szCs w:val="19"/>
              </w:rPr>
              <w:tab/>
              <w:t>any Insolvency Event with respect to the Servicer occurs and is continuing; or</w:t>
            </w:r>
          </w:p>
          <w:p w14:paraId="3CAD06AE" w14:textId="2F9DA936" w:rsidR="009F6E91" w:rsidRPr="00D427D8" w:rsidRDefault="009F6E91" w:rsidP="00B74C24">
            <w:pPr>
              <w:ind w:left="720" w:hanging="720"/>
              <w:rPr>
                <w:szCs w:val="19"/>
              </w:rPr>
            </w:pPr>
            <w:r w:rsidRPr="00D427D8">
              <w:rPr>
                <w:szCs w:val="19"/>
              </w:rPr>
              <w:t>(d)</w:t>
            </w:r>
            <w:r w:rsidRPr="00D427D8">
              <w:rPr>
                <w:rFonts w:asciiTheme="minorHAnsi" w:hAnsiTheme="minorHAnsi" w:cstheme="minorHAnsi"/>
                <w:szCs w:val="19"/>
              </w:rPr>
              <w:tab/>
            </w:r>
            <w:r w:rsidRPr="00D427D8">
              <w:t xml:space="preserve">the banking licence of the Servicer is cancelled or withdrawn by the ACPR or the Servicer is permanently prohibited from conducting its credit business </w:t>
            </w:r>
            <w:r w:rsidRPr="00D427D8">
              <w:rPr>
                <w:color w:val="000000"/>
              </w:rPr>
              <w:t>(</w:t>
            </w:r>
            <w:r w:rsidRPr="00D427D8">
              <w:rPr>
                <w:i/>
                <w:color w:val="000000"/>
              </w:rPr>
              <w:t>interdiction totale d</w:t>
            </w:r>
            <w:r w:rsidR="00EF7333" w:rsidRPr="00D427D8">
              <w:rPr>
                <w:i/>
                <w:color w:val="000000"/>
              </w:rPr>
              <w:t>'</w:t>
            </w:r>
            <w:r w:rsidRPr="00D427D8">
              <w:rPr>
                <w:i/>
                <w:color w:val="000000"/>
              </w:rPr>
              <w:t>activité</w:t>
            </w:r>
            <w:r w:rsidRPr="00D427D8">
              <w:rPr>
                <w:color w:val="000000"/>
              </w:rPr>
              <w:t>) by the ACPR</w:t>
            </w:r>
            <w:r w:rsidRPr="00D427D8">
              <w:t>.</w:t>
            </w:r>
          </w:p>
          <w:p w14:paraId="54E60AB7" w14:textId="471CED7E" w:rsidR="009F6E91" w:rsidRPr="00D427D8" w:rsidRDefault="009F6E91" w:rsidP="00C9064F">
            <w:pPr>
              <w:pStyle w:val="Body1"/>
            </w:pPr>
            <w:r w:rsidRPr="00D427D8">
              <w:t xml:space="preserve">For a more detailed description of the servicing of the receivables, please refer to </w:t>
            </w:r>
            <w:r w:rsidR="00EF7333" w:rsidRPr="00D427D8">
              <w:t>"</w:t>
            </w:r>
            <w:r w:rsidRPr="00D427D8">
              <w:rPr>
                <w:i/>
              </w:rPr>
              <w:t>Description of Certain Transaction Documents</w:t>
            </w:r>
            <w:r w:rsidRPr="00D427D8">
              <w:t>.</w:t>
            </w:r>
            <w:r w:rsidR="00EF7333" w:rsidRPr="00D427D8">
              <w:t>"</w:t>
            </w:r>
          </w:p>
        </w:tc>
      </w:tr>
      <w:tr w:rsidR="009F6E91" w:rsidRPr="00D427D8" w14:paraId="003B38E0" w14:textId="77777777" w:rsidTr="00333162">
        <w:tc>
          <w:tcPr>
            <w:tcW w:w="3558" w:type="dxa"/>
            <w:gridSpan w:val="2"/>
          </w:tcPr>
          <w:p w14:paraId="683536EA" w14:textId="77777777" w:rsidR="009F6E91" w:rsidRPr="00D427D8" w:rsidRDefault="009F6E91" w:rsidP="00AF1270">
            <w:pPr>
              <w:jc w:val="left"/>
              <w:rPr>
                <w:b/>
                <w:szCs w:val="19"/>
              </w:rPr>
            </w:pPr>
            <w:r w:rsidRPr="00D427D8">
              <w:rPr>
                <w:b/>
                <w:bCs/>
                <w:szCs w:val="19"/>
              </w:rPr>
              <w:lastRenderedPageBreak/>
              <w:t>Realisation of Leased Vehicles</w:t>
            </w:r>
          </w:p>
        </w:tc>
        <w:tc>
          <w:tcPr>
            <w:tcW w:w="5372" w:type="dxa"/>
            <w:gridSpan w:val="4"/>
          </w:tcPr>
          <w:p w14:paraId="5C889EA6" w14:textId="77777777" w:rsidR="009F6E91" w:rsidRPr="00D427D8" w:rsidRDefault="009F6E91" w:rsidP="00C9064F">
            <w:pPr>
              <w:pStyle w:val="Body1"/>
            </w:pPr>
            <w:r w:rsidRPr="00D427D8">
              <w:rPr>
                <w:lang w:val="en-US"/>
              </w:rPr>
              <w:t xml:space="preserve">Upon satisfaction of the Release Condition in respect of a Leased Vehicle, the </w:t>
            </w:r>
            <w:r w:rsidRPr="00D427D8">
              <w:t xml:space="preserve">Issuer </w:t>
            </w:r>
            <w:r w:rsidRPr="00D427D8">
              <w:rPr>
                <w:lang w:val="en-US"/>
              </w:rPr>
              <w:t xml:space="preserve">may arrange for the relevant Leased Vehicle to be realised by using the services provided by the </w:t>
            </w:r>
            <w:r w:rsidRPr="00D427D8">
              <w:t>Servicer</w:t>
            </w:r>
            <w:r w:rsidRPr="00D427D8">
              <w:rPr>
                <w:lang w:val="en-US"/>
              </w:rPr>
              <w:t xml:space="preserve">. The </w:t>
            </w:r>
            <w:r w:rsidRPr="00D427D8">
              <w:t xml:space="preserve">Issuer </w:t>
            </w:r>
            <w:r w:rsidRPr="00D427D8">
              <w:rPr>
                <w:lang w:val="en-US"/>
              </w:rPr>
              <w:t xml:space="preserve">has appointed and authorised the </w:t>
            </w:r>
            <w:r w:rsidRPr="00D427D8">
              <w:t>Servicer</w:t>
            </w:r>
            <w:r w:rsidRPr="00D427D8">
              <w:rPr>
                <w:lang w:val="en-US"/>
              </w:rPr>
              <w:t xml:space="preserve">, </w:t>
            </w:r>
            <w:r w:rsidRPr="00D427D8">
              <w:t xml:space="preserve">until the occurrence of a Servicer Default, </w:t>
            </w:r>
            <w:r w:rsidRPr="00D427D8">
              <w:rPr>
                <w:lang w:val="en-US"/>
              </w:rPr>
              <w:t>to realise the Leased Vehicles in its own name against payment of the Servicing Fee determined in accordance with the provisions of the Servicing Agreement.</w:t>
            </w:r>
          </w:p>
        </w:tc>
      </w:tr>
      <w:tr w:rsidR="009F6E91" w:rsidRPr="00D427D8" w14:paraId="035035B3" w14:textId="77777777" w:rsidTr="00333162">
        <w:tc>
          <w:tcPr>
            <w:tcW w:w="3558" w:type="dxa"/>
            <w:gridSpan w:val="2"/>
          </w:tcPr>
          <w:p w14:paraId="7B01926F" w14:textId="77777777" w:rsidR="009F6E91" w:rsidRPr="00D427D8" w:rsidRDefault="009F6E91" w:rsidP="005A3FFA">
            <w:pPr>
              <w:jc w:val="left"/>
              <w:rPr>
                <w:b/>
                <w:szCs w:val="19"/>
              </w:rPr>
            </w:pPr>
            <w:r w:rsidRPr="00D427D8">
              <w:rPr>
                <w:b/>
                <w:szCs w:val="19"/>
              </w:rPr>
              <w:t>Account Bank</w:t>
            </w:r>
          </w:p>
        </w:tc>
        <w:tc>
          <w:tcPr>
            <w:tcW w:w="5372" w:type="dxa"/>
            <w:gridSpan w:val="4"/>
          </w:tcPr>
          <w:p w14:paraId="065B9AD9" w14:textId="18862D4A" w:rsidR="009F6E91" w:rsidRPr="00D427D8" w:rsidRDefault="009F6E91" w:rsidP="00C9064F">
            <w:pPr>
              <w:pStyle w:val="Body1"/>
            </w:pPr>
            <w:r w:rsidRPr="00D427D8">
              <w:t>BNP Paribas, acting through its Germany Branch will be the Account Bank. The Issuer Accounts will be opened, maintained and operated (upon the instruction of the Issuer) by the Account Bank.</w:t>
            </w:r>
            <w:r w:rsidR="00E41026">
              <w:t xml:space="preserve"> </w:t>
            </w:r>
          </w:p>
        </w:tc>
      </w:tr>
      <w:tr w:rsidR="009F6E91" w:rsidRPr="00D427D8" w14:paraId="10387CF8" w14:textId="77777777" w:rsidTr="00333162">
        <w:tc>
          <w:tcPr>
            <w:tcW w:w="3558" w:type="dxa"/>
            <w:gridSpan w:val="2"/>
          </w:tcPr>
          <w:p w14:paraId="3728D6B7" w14:textId="77777777" w:rsidR="009F6E91" w:rsidRPr="00D427D8" w:rsidRDefault="009F6E91" w:rsidP="005A3FFA">
            <w:pPr>
              <w:jc w:val="left"/>
              <w:rPr>
                <w:b/>
                <w:szCs w:val="19"/>
              </w:rPr>
            </w:pPr>
            <w:r w:rsidRPr="00D427D8">
              <w:rPr>
                <w:b/>
                <w:szCs w:val="19"/>
              </w:rPr>
              <w:t>Counterparty / Hedging Arrangement</w:t>
            </w:r>
          </w:p>
        </w:tc>
        <w:tc>
          <w:tcPr>
            <w:tcW w:w="5372" w:type="dxa"/>
            <w:gridSpan w:val="4"/>
          </w:tcPr>
          <w:p w14:paraId="34C1F749" w14:textId="31593438" w:rsidR="009F6E91" w:rsidRPr="00D427D8" w:rsidRDefault="009F6E91" w:rsidP="00C9064F">
            <w:pPr>
              <w:pStyle w:val="Body1"/>
            </w:pPr>
            <w:bookmarkStart w:id="60" w:name="_Hlk167198602"/>
            <w:r w:rsidRPr="00D427D8">
              <w:t>The Issuer will enter into interest rate swap</w:t>
            </w:r>
            <w:r w:rsidR="00421A54">
              <w:t>s</w:t>
            </w:r>
            <w:r w:rsidRPr="00D427D8">
              <w:t xml:space="preserve"> to hedge the interest rate risk on the Notes (the </w:t>
            </w:r>
            <w:r w:rsidR="00EF7333" w:rsidRPr="00D427D8">
              <w:t>"</w:t>
            </w:r>
            <w:r w:rsidRPr="00D427D8">
              <w:rPr>
                <w:b/>
                <w:bCs/>
              </w:rPr>
              <w:t>Hedging Arrangement</w:t>
            </w:r>
            <w:r w:rsidR="00EF7333" w:rsidRPr="00D427D8">
              <w:rPr>
                <w:bCs/>
              </w:rPr>
              <w:t>"</w:t>
            </w:r>
            <w:r w:rsidRPr="00D427D8">
              <w:t xml:space="preserve">). The term </w:t>
            </w:r>
            <w:r w:rsidR="00EF7333" w:rsidRPr="00D427D8">
              <w:t>"</w:t>
            </w:r>
            <w:r w:rsidRPr="00D427D8">
              <w:t>Hedging Arrangement</w:t>
            </w:r>
            <w:r w:rsidR="00EF7333" w:rsidRPr="00D427D8">
              <w:t>"</w:t>
            </w:r>
            <w:r w:rsidRPr="00D427D8">
              <w:t xml:space="preserve"> </w:t>
            </w:r>
            <w:r w:rsidR="006F5CD6" w:rsidRPr="00FD0907">
              <w:rPr>
                <w:rFonts w:asciiTheme="minorHAnsi" w:hAnsiTheme="minorHAnsi" w:cstheme="minorHAnsi"/>
                <w:szCs w:val="19"/>
              </w:rPr>
              <w:t>comprises the ISDA master agreement, the related schedule, credit support annex</w:t>
            </w:r>
            <w:r w:rsidR="006F5CD6">
              <w:rPr>
                <w:rFonts w:asciiTheme="minorHAnsi" w:hAnsiTheme="minorHAnsi" w:cstheme="minorHAnsi"/>
                <w:szCs w:val="19"/>
              </w:rPr>
              <w:t>, a swap confirmation with respect to the Class A Notes and Class B Notes</w:t>
            </w:r>
            <w:r w:rsidR="006F5CD6" w:rsidRPr="00FD0907">
              <w:rPr>
                <w:rFonts w:asciiTheme="minorHAnsi" w:hAnsiTheme="minorHAnsi" w:cstheme="minorHAnsi"/>
                <w:szCs w:val="19"/>
              </w:rPr>
              <w:t xml:space="preserve"> and </w:t>
            </w:r>
            <w:r w:rsidR="006F5CD6">
              <w:rPr>
                <w:rFonts w:asciiTheme="minorHAnsi" w:hAnsiTheme="minorHAnsi" w:cstheme="minorHAnsi"/>
                <w:szCs w:val="19"/>
              </w:rPr>
              <w:t xml:space="preserve">a </w:t>
            </w:r>
            <w:r w:rsidR="006F5CD6" w:rsidRPr="00FD0907">
              <w:rPr>
                <w:rFonts w:asciiTheme="minorHAnsi" w:hAnsiTheme="minorHAnsi" w:cstheme="minorHAnsi"/>
                <w:szCs w:val="19"/>
              </w:rPr>
              <w:t>swap confirmation</w:t>
            </w:r>
            <w:r w:rsidR="006F5CD6">
              <w:rPr>
                <w:rFonts w:asciiTheme="minorHAnsi" w:hAnsiTheme="minorHAnsi" w:cstheme="minorHAnsi"/>
                <w:szCs w:val="19"/>
              </w:rPr>
              <w:t xml:space="preserve"> with respect to the Class C Notes, Class D Notes, Class E Notes, Class F Notes and Class G Notes</w:t>
            </w:r>
            <w:r w:rsidR="006F5CD6" w:rsidRPr="00FD0907">
              <w:rPr>
                <w:rFonts w:asciiTheme="minorHAnsi" w:hAnsiTheme="minorHAnsi" w:cstheme="minorHAnsi"/>
                <w:szCs w:val="19"/>
              </w:rPr>
              <w:t xml:space="preserve">. The notional amount of the interest rate swap relates to the outstanding principal amount of the Notes (balance guaranteed swap agreement). </w:t>
            </w:r>
            <w:r w:rsidRPr="00D427D8">
              <w:t>BNP Paribas will act as Counterparty under the Hedging Arrangement. The Issuer will not enter into any derivative contracts other than for the purposes of hedging the interest rate risk under the Notes.</w:t>
            </w:r>
            <w:bookmarkEnd w:id="60"/>
          </w:p>
        </w:tc>
      </w:tr>
      <w:tr w:rsidR="009F6E91" w:rsidRPr="00D427D8" w14:paraId="18E89FB1" w14:textId="77777777" w:rsidTr="00333162">
        <w:tc>
          <w:tcPr>
            <w:tcW w:w="3558" w:type="dxa"/>
            <w:gridSpan w:val="2"/>
          </w:tcPr>
          <w:p w14:paraId="621EFA94" w14:textId="77777777" w:rsidR="009F6E91" w:rsidRPr="00D427D8" w:rsidRDefault="009F6E91" w:rsidP="005A3FFA">
            <w:pPr>
              <w:jc w:val="left"/>
              <w:rPr>
                <w:b/>
                <w:szCs w:val="19"/>
              </w:rPr>
            </w:pPr>
            <w:r w:rsidRPr="00D427D8">
              <w:rPr>
                <w:b/>
                <w:szCs w:val="19"/>
              </w:rPr>
              <w:t>Data Protection Trustee</w:t>
            </w:r>
          </w:p>
        </w:tc>
        <w:tc>
          <w:tcPr>
            <w:tcW w:w="5372" w:type="dxa"/>
            <w:gridSpan w:val="4"/>
          </w:tcPr>
          <w:p w14:paraId="597FDA5A" w14:textId="77777777" w:rsidR="009F6E91" w:rsidRPr="00D427D8" w:rsidRDefault="009F6E91" w:rsidP="00C9064F">
            <w:pPr>
              <w:pStyle w:val="Body1"/>
            </w:pPr>
            <w:r w:rsidRPr="00D427D8">
              <w:t>The personal data of the Lessees provided by the Seller to the Issuer will be encrypted to protect the confidentiality of the identity of the Lessees, and the Key to such encrypted data will be kept by BNP Paribas as Data Protection Trustee in accordance with the Data Protection Agreement.</w:t>
            </w:r>
          </w:p>
        </w:tc>
      </w:tr>
      <w:tr w:rsidR="009F6E91" w:rsidRPr="00D427D8" w14:paraId="6D6ABCEE" w14:textId="77777777" w:rsidTr="00333162">
        <w:tc>
          <w:tcPr>
            <w:tcW w:w="3558" w:type="dxa"/>
            <w:gridSpan w:val="2"/>
          </w:tcPr>
          <w:p w14:paraId="2F42F97B" w14:textId="77777777" w:rsidR="009F6E91" w:rsidRPr="00D427D8" w:rsidRDefault="009F6E91" w:rsidP="005A3FFA">
            <w:pPr>
              <w:jc w:val="left"/>
              <w:rPr>
                <w:b/>
                <w:szCs w:val="19"/>
              </w:rPr>
            </w:pPr>
            <w:r w:rsidRPr="00D427D8">
              <w:rPr>
                <w:b/>
                <w:szCs w:val="19"/>
              </w:rPr>
              <w:t>Priority of Payments</w:t>
            </w:r>
          </w:p>
        </w:tc>
        <w:tc>
          <w:tcPr>
            <w:tcW w:w="5372" w:type="dxa"/>
            <w:gridSpan w:val="4"/>
          </w:tcPr>
          <w:p w14:paraId="3769B5A8" w14:textId="1AE66B00" w:rsidR="009F6E91" w:rsidRPr="00D427D8" w:rsidRDefault="009F6E91" w:rsidP="00C9064F">
            <w:pPr>
              <w:pStyle w:val="Body1"/>
            </w:pPr>
            <w:r w:rsidRPr="00D427D8">
              <w:t xml:space="preserve">On each Distribution Date, the Issuer will apply Available Interest Distribution Amounts and Available Principal Distribution Amounts from the respective Monthly Period to make payments in the order as set out under Priority of </w:t>
            </w:r>
            <w:r w:rsidRPr="00D427D8">
              <w:lastRenderedPageBreak/>
              <w:t xml:space="preserve">Payments Schedule. Available Interest Distribution Amounts and Available Principal Distribution Amounts generally will include all amounts standing to the credit of the Distribution Account, the Liquidity Reserve (if applicable) less amongst other items as long as no Insolvency Event in respect of the Servicer has occurred and is continuing, interest (if any) on the Distribution Account and will then be split into the Available Interest Distribution Amounts and Available Principal Distribution Amounts. For further details please refer to </w:t>
            </w:r>
            <w:r w:rsidR="00EF7333" w:rsidRPr="00D427D8">
              <w:t>"</w:t>
            </w:r>
            <w:r w:rsidRPr="00D427D8">
              <w:rPr>
                <w:i/>
                <w:iCs/>
              </w:rPr>
              <w:t>Priority of Payments</w:t>
            </w:r>
            <w:r w:rsidR="00EF7333" w:rsidRPr="00D427D8">
              <w:t>"</w:t>
            </w:r>
          </w:p>
        </w:tc>
      </w:tr>
      <w:tr w:rsidR="009F6E91" w:rsidRPr="00D427D8" w14:paraId="34B09D5A" w14:textId="77777777" w:rsidTr="00333162">
        <w:tc>
          <w:tcPr>
            <w:tcW w:w="3558" w:type="dxa"/>
            <w:gridSpan w:val="2"/>
          </w:tcPr>
          <w:p w14:paraId="32DEDA91" w14:textId="77777777" w:rsidR="009F6E91" w:rsidRPr="00D427D8" w:rsidRDefault="009F6E91" w:rsidP="005A3FFA">
            <w:pPr>
              <w:jc w:val="left"/>
              <w:rPr>
                <w:b/>
                <w:szCs w:val="19"/>
              </w:rPr>
            </w:pPr>
            <w:r w:rsidRPr="00D427D8">
              <w:rPr>
                <w:b/>
                <w:szCs w:val="19"/>
              </w:rPr>
              <w:lastRenderedPageBreak/>
              <w:t>Credit Enhancement</w:t>
            </w:r>
          </w:p>
        </w:tc>
        <w:tc>
          <w:tcPr>
            <w:tcW w:w="5372" w:type="dxa"/>
            <w:gridSpan w:val="4"/>
          </w:tcPr>
          <w:p w14:paraId="2A73B9EE" w14:textId="77777777" w:rsidR="009F6E91" w:rsidRPr="00D427D8" w:rsidRDefault="009F6E91" w:rsidP="00C9064F">
            <w:pPr>
              <w:pStyle w:val="Body1"/>
            </w:pPr>
            <w:r w:rsidRPr="00D427D8">
              <w:t>Credit enhancement provides protection for the Notes against losses on the Receivables and potential shortfalls in the amount of cash available to the Issuer to make required monthly payments. If the credit enhancement is not sufficient to cover all amounts payable on the Notes, the losses will be allocated to the Notes by reverse seniority with the Class G Notes bearing the risk of loss before the Class F Notes, the Class F Notes bearing the risk of loss before the Class E Notes, the Class D Notes bearing the risk of loss before the Class C Notes, the Class C Notes bearing the risk of loss before the Class B Notes and the Class B Notes bearing the risk of loss before the Class A Notes. For further details we refer you to Annex B (</w:t>
            </w:r>
            <w:r w:rsidRPr="00D427D8">
              <w:rPr>
                <w:i/>
                <w:iCs/>
              </w:rPr>
              <w:t>Priority of Payments Schedule</w:t>
            </w:r>
            <w:r w:rsidRPr="00D427D8">
              <w:t>) of the Conditions.</w:t>
            </w:r>
          </w:p>
        </w:tc>
      </w:tr>
      <w:tr w:rsidR="009F6E91" w:rsidRPr="00D427D8" w14:paraId="336E76E5" w14:textId="77777777" w:rsidTr="00333162">
        <w:tc>
          <w:tcPr>
            <w:tcW w:w="3558" w:type="dxa"/>
            <w:gridSpan w:val="2"/>
          </w:tcPr>
          <w:p w14:paraId="769160E1" w14:textId="77777777" w:rsidR="009F6E91" w:rsidRPr="00D427D8" w:rsidRDefault="009F6E91" w:rsidP="005A3FFA">
            <w:pPr>
              <w:jc w:val="left"/>
              <w:rPr>
                <w:rFonts w:asciiTheme="minorHAnsi" w:hAnsiTheme="minorHAnsi" w:cstheme="minorHAnsi"/>
                <w:b/>
                <w:szCs w:val="19"/>
              </w:rPr>
            </w:pPr>
          </w:p>
        </w:tc>
        <w:tc>
          <w:tcPr>
            <w:tcW w:w="5372" w:type="dxa"/>
            <w:gridSpan w:val="4"/>
          </w:tcPr>
          <w:p w14:paraId="423E9A1D" w14:textId="77777777" w:rsidR="009F6E91" w:rsidRPr="00D427D8" w:rsidRDefault="009F6E91" w:rsidP="00C9064F">
            <w:pPr>
              <w:pStyle w:val="Body1"/>
            </w:pPr>
            <w:r w:rsidRPr="00D427D8">
              <w:t>In summary, the following credit enhancement for the Notes will be available to the Issuer:</w:t>
            </w:r>
          </w:p>
          <w:p w14:paraId="76AB2678" w14:textId="0426E460" w:rsidR="009F6E91" w:rsidRPr="00D427D8" w:rsidRDefault="009F6E91" w:rsidP="003B4EF1">
            <w:pPr>
              <w:ind w:left="360" w:hanging="360"/>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szCs w:val="19"/>
              </w:rPr>
              <w:tab/>
              <w:t xml:space="preserve">the Issuer will not pay interest on a given Class of Notes (other than interest on the Class A Notes) until all interest due and payable on the Class of Notes ranking higher at that time has been paid in full. If the Available Interest Collections on any Distribution Date, the Principal Additional Amounts, if any, and the Liquidity Reserve (to the extent no Principal Additional Amounts are available or are insufficient) are not sufficient to pay interest due on a given Class of Notes </w:t>
            </w:r>
            <w:r w:rsidR="00EA063E" w:rsidRPr="00EA063E">
              <w:rPr>
                <w:szCs w:val="19"/>
              </w:rPr>
              <w:t>(other than the Most Senior Class of Notes then outstanding (other than where the Most Senior Class of Notes is the Class G Notes)</w:t>
            </w:r>
            <w:r w:rsidR="00EA063E">
              <w:rPr>
                <w:szCs w:val="19"/>
              </w:rPr>
              <w:t>)</w:t>
            </w:r>
            <w:r w:rsidRPr="00D427D8">
              <w:rPr>
                <w:szCs w:val="19"/>
              </w:rPr>
              <w:t xml:space="preserve">, the payment of such interest shortfall will be postponed until sufficient funds are available. For further Information, please refer to </w:t>
            </w:r>
            <w:r w:rsidR="00EF7333" w:rsidRPr="00D427D8">
              <w:rPr>
                <w:szCs w:val="19"/>
              </w:rPr>
              <w:t>"</w:t>
            </w:r>
            <w:r w:rsidRPr="00D427D8">
              <w:rPr>
                <w:i/>
                <w:iCs/>
                <w:szCs w:val="19"/>
              </w:rPr>
              <w:t>General Credit Structure–- Credit Enhancement–- Subordination of Notes</w:t>
            </w:r>
            <w:r w:rsidR="00EF7333" w:rsidRPr="00D427D8">
              <w:rPr>
                <w:szCs w:val="19"/>
              </w:rPr>
              <w:t>"</w:t>
            </w:r>
            <w:r w:rsidRPr="00D427D8">
              <w:rPr>
                <w:szCs w:val="19"/>
              </w:rPr>
              <w:t xml:space="preserve"> and for a more detailed description of the Priorities of Payments, please refer to </w:t>
            </w:r>
            <w:r w:rsidR="00EF7333" w:rsidRPr="00D427D8">
              <w:rPr>
                <w:szCs w:val="19"/>
              </w:rPr>
              <w:t>"</w:t>
            </w:r>
            <w:r w:rsidRPr="00D427D8">
              <w:rPr>
                <w:i/>
                <w:iCs/>
                <w:szCs w:val="19"/>
              </w:rPr>
              <w:t>The Terms and Conditions of the Notes</w:t>
            </w:r>
            <w:r w:rsidR="00EF7333" w:rsidRPr="00D427D8">
              <w:rPr>
                <w:szCs w:val="19"/>
              </w:rPr>
              <w:t>"</w:t>
            </w:r>
            <w:r w:rsidRPr="00D427D8">
              <w:rPr>
                <w:szCs w:val="19"/>
              </w:rPr>
              <w:t>;</w:t>
            </w:r>
          </w:p>
          <w:p w14:paraId="1EEFC4EE" w14:textId="77777777" w:rsidR="009F6E91" w:rsidRPr="00D427D8" w:rsidRDefault="009F6E91" w:rsidP="003B4EF1">
            <w:pPr>
              <w:ind w:left="360" w:hanging="360"/>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szCs w:val="19"/>
              </w:rPr>
              <w:tab/>
              <w:t>the Principal Additional Amounts will be used to cover any shortfalls on the Principal Deficiency Items; and</w:t>
            </w:r>
          </w:p>
          <w:p w14:paraId="6F629156" w14:textId="4CE358FA" w:rsidR="009F6E91" w:rsidRPr="00D427D8" w:rsidRDefault="009F6E91" w:rsidP="0026296C">
            <w:pPr>
              <w:ind w:left="360" w:hanging="360"/>
              <w:rPr>
                <w:szCs w:val="19"/>
              </w:rPr>
            </w:pPr>
            <w:r w:rsidRPr="00D427D8">
              <w:rPr>
                <w:rFonts w:asciiTheme="minorHAnsi" w:hAnsiTheme="minorHAnsi" w:cstheme="minorHAnsi"/>
                <w:szCs w:val="19"/>
              </w:rPr>
              <w:fldChar w:fldCharType="begin"/>
            </w:r>
            <w:r w:rsidRPr="00D427D8">
              <w:rPr>
                <w:rFonts w:asciiTheme="minorHAnsi" w:hAnsiTheme="minorHAnsi" w:cstheme="minorHAnsi"/>
                <w:szCs w:val="19"/>
              </w:rPr>
              <w:instrText xml:space="preserve"> SYMBOL 183 \f "Symbol" \s 10 \h </w:instrText>
            </w:r>
            <w:r w:rsidRPr="00D427D8">
              <w:rPr>
                <w:rFonts w:asciiTheme="minorHAnsi" w:hAnsiTheme="minorHAnsi" w:cstheme="minorHAnsi"/>
                <w:szCs w:val="19"/>
              </w:rPr>
              <w:fldChar w:fldCharType="end"/>
            </w:r>
            <w:r w:rsidRPr="00D427D8">
              <w:rPr>
                <w:szCs w:val="19"/>
              </w:rPr>
              <w:tab/>
              <w:t xml:space="preserve">Excess Spread for any Distribution Date will be the amount by which collections of interest on the Purchased Lease Receivables during the preceding Monthly Period exceed certain senior costs and interest payments pursuant to the Interest Priority of Payments. Unused Excess Spread (if any) will be repaid to the Seller. For further information, please refer to </w:t>
            </w:r>
            <w:r w:rsidR="00EF7333" w:rsidRPr="00D427D8">
              <w:rPr>
                <w:szCs w:val="19"/>
              </w:rPr>
              <w:t>"</w:t>
            </w:r>
            <w:r w:rsidRPr="00D427D8">
              <w:rPr>
                <w:i/>
                <w:iCs/>
                <w:szCs w:val="19"/>
              </w:rPr>
              <w:t>General Credit Structure–- Credit Enhancement–- Excess Spread.</w:t>
            </w:r>
            <w:r w:rsidR="00EF7333" w:rsidRPr="00D427D8">
              <w:rPr>
                <w:szCs w:val="19"/>
              </w:rPr>
              <w:t>"</w:t>
            </w:r>
          </w:p>
        </w:tc>
      </w:tr>
      <w:tr w:rsidR="009F6E91" w:rsidRPr="00D427D8" w14:paraId="160B1C78" w14:textId="77777777" w:rsidTr="00333162">
        <w:tc>
          <w:tcPr>
            <w:tcW w:w="3558" w:type="dxa"/>
            <w:gridSpan w:val="2"/>
          </w:tcPr>
          <w:p w14:paraId="2FD40356" w14:textId="77777777" w:rsidR="009F6E91" w:rsidRPr="00D427D8" w:rsidRDefault="009F6E91" w:rsidP="005A3FFA">
            <w:pPr>
              <w:jc w:val="left"/>
              <w:rPr>
                <w:b/>
                <w:szCs w:val="19"/>
              </w:rPr>
            </w:pPr>
            <w:r w:rsidRPr="00D427D8">
              <w:rPr>
                <w:b/>
                <w:szCs w:val="19"/>
              </w:rPr>
              <w:t>Liquidity Reserve</w:t>
            </w:r>
          </w:p>
        </w:tc>
        <w:tc>
          <w:tcPr>
            <w:tcW w:w="5372" w:type="dxa"/>
            <w:gridSpan w:val="4"/>
          </w:tcPr>
          <w:p w14:paraId="7390D367" w14:textId="0F18C25F" w:rsidR="009F6E91" w:rsidRPr="00D427D8" w:rsidRDefault="009F6E91" w:rsidP="00C9064F">
            <w:pPr>
              <w:pStyle w:val="Body1"/>
            </w:pPr>
            <w:r w:rsidRPr="00D427D8">
              <w:t xml:space="preserve">The initial reserve amount (consisting of the initial Liquidity Reserve Target Amount) will be funded from the Subordinated Loan and deposited in the Reserve Account on the Closing Date. The Liquidity Reserve will be used if the Principal Additional Amounts are insufficient to cover interest payments on the Class A Notes, Class B Notes, Class C Notes and Class </w:t>
            </w:r>
            <w:r w:rsidRPr="00D427D8">
              <w:lastRenderedPageBreak/>
              <w:t xml:space="preserve">D Notes. It will be applied as part of the Available Interest Distribution Amount on each Distribution Date and topped up after payment of Senior Expenses. For further information, please refer to </w:t>
            </w:r>
            <w:r w:rsidR="00EF7333" w:rsidRPr="00D427D8">
              <w:t>"</w:t>
            </w:r>
            <w:r w:rsidRPr="00D427D8">
              <w:rPr>
                <w:i/>
              </w:rPr>
              <w:t>General Credit Structure — Credit Enhancement —Reserve Accoun</w:t>
            </w:r>
            <w:r w:rsidRPr="00D427D8">
              <w:t>t</w:t>
            </w:r>
            <w:r w:rsidR="00EF7333" w:rsidRPr="00D427D8">
              <w:t>"</w:t>
            </w:r>
            <w:r w:rsidRPr="00D427D8">
              <w:t>.</w:t>
            </w:r>
          </w:p>
        </w:tc>
      </w:tr>
      <w:tr w:rsidR="009F6E91" w:rsidRPr="00D427D8" w14:paraId="2929AE7E" w14:textId="77777777" w:rsidTr="00333162">
        <w:tc>
          <w:tcPr>
            <w:tcW w:w="3558" w:type="dxa"/>
            <w:gridSpan w:val="2"/>
          </w:tcPr>
          <w:p w14:paraId="434FD96C" w14:textId="77777777" w:rsidR="009F6E91" w:rsidRPr="00D427D8" w:rsidRDefault="009F6E91" w:rsidP="005A3FFA">
            <w:pPr>
              <w:jc w:val="left"/>
              <w:rPr>
                <w:b/>
                <w:szCs w:val="19"/>
              </w:rPr>
            </w:pPr>
            <w:r w:rsidRPr="00D427D8">
              <w:rPr>
                <w:b/>
                <w:szCs w:val="19"/>
              </w:rPr>
              <w:lastRenderedPageBreak/>
              <w:t>Senior Expenses and Interest Reserve</w:t>
            </w:r>
          </w:p>
        </w:tc>
        <w:tc>
          <w:tcPr>
            <w:tcW w:w="5372" w:type="dxa"/>
            <w:gridSpan w:val="4"/>
          </w:tcPr>
          <w:p w14:paraId="6954D60E" w14:textId="11547B8D" w:rsidR="009F6E91" w:rsidRPr="00D427D8" w:rsidRDefault="009F6E91" w:rsidP="00C9064F">
            <w:pPr>
              <w:pStyle w:val="Body1"/>
            </w:pPr>
            <w:r w:rsidRPr="00D427D8">
              <w:t xml:space="preserve">Pursuant to the Subordinated Loan Agreement, the Subordinated Lender has agreed to fund the Senior Expenses and Interest Reserve in an amount equal to EUR </w:t>
            </w:r>
            <w:r w:rsidR="00CB16CF" w:rsidRPr="00CB16CF">
              <w:t xml:space="preserve">781,538.27 </w:t>
            </w:r>
            <w:r w:rsidRPr="00D427D8">
              <w:t>on the Closing Date. The Senior Expenses and Interest Reserve shall be credited by the Subordinated Lender on the Distribution Account and will be used by the Issuer to pay the Senior Expenses and interest on the Notes on the first Distribution Date.</w:t>
            </w:r>
          </w:p>
          <w:p w14:paraId="76A4BE69" w14:textId="77777777" w:rsidR="009F6E91" w:rsidRPr="00D427D8" w:rsidRDefault="009F6E91" w:rsidP="00C9064F">
            <w:pPr>
              <w:pStyle w:val="Body1"/>
            </w:pPr>
            <w:r w:rsidRPr="00D427D8">
              <w:t>Repayment by the Issuer to the Subordinated Lender of the Senior Expenses and Interest Reserve used for the purposes described above shall be made on each Distribution Date in accordance with item (29</w:t>
            </w:r>
            <w:r w:rsidRPr="00D427D8">
              <w:rPr>
                <w:vertAlign w:val="superscript"/>
              </w:rPr>
              <w:t>th</w:t>
            </w:r>
            <w:r w:rsidRPr="00D427D8">
              <w:t>) of the Interest Priority of Payments or, as applicable, in accordance with item (21</w:t>
            </w:r>
            <w:r w:rsidRPr="00D427D8">
              <w:rPr>
                <w:vertAlign w:val="superscript"/>
              </w:rPr>
              <w:t>st</w:t>
            </w:r>
            <w:r w:rsidRPr="00D427D8">
              <w:t>) of the Accelerated Priority of Payments.</w:t>
            </w:r>
          </w:p>
        </w:tc>
      </w:tr>
      <w:tr w:rsidR="009F6E91" w:rsidRPr="00D427D8" w14:paraId="76269A93" w14:textId="77777777" w:rsidTr="00333162">
        <w:tc>
          <w:tcPr>
            <w:tcW w:w="3558" w:type="dxa"/>
            <w:gridSpan w:val="2"/>
          </w:tcPr>
          <w:p w14:paraId="3F17E46D" w14:textId="77777777" w:rsidR="009F6E91" w:rsidRPr="00D427D8" w:rsidRDefault="009F6E91" w:rsidP="005A3FFA">
            <w:pPr>
              <w:jc w:val="left"/>
              <w:rPr>
                <w:b/>
                <w:szCs w:val="19"/>
              </w:rPr>
            </w:pPr>
            <w:r w:rsidRPr="00D427D8">
              <w:rPr>
                <w:b/>
                <w:szCs w:val="19"/>
              </w:rPr>
              <w:t>Repurchase of Receivables and Expectancy Rights</w:t>
            </w:r>
          </w:p>
        </w:tc>
        <w:tc>
          <w:tcPr>
            <w:tcW w:w="5372" w:type="dxa"/>
            <w:gridSpan w:val="4"/>
          </w:tcPr>
          <w:p w14:paraId="12A2FC79" w14:textId="5FFAA816" w:rsidR="009F6E91" w:rsidRPr="00D427D8" w:rsidRDefault="009F6E91" w:rsidP="00C9064F">
            <w:pPr>
              <w:pStyle w:val="Body1"/>
            </w:pPr>
            <w:r w:rsidRPr="00D427D8">
              <w:t>If the Seller becomes aware of (i) any breach of any of the Seller</w:t>
            </w:r>
            <w:r w:rsidR="00EF7333" w:rsidRPr="00D427D8">
              <w:t>'</w:t>
            </w:r>
            <w:r w:rsidRPr="00D427D8">
              <w:t>s Receivables related representations and warranties, to the extent that such breach materially and adversely affects the collectability of the Receivables or the interests of the Issuer or the Noteholder; or (ii) any breach of any of the undertaking contained in clauses 9.2(b) and 9.4 of the Lease Receivables Purchase Agreement unless otherwise permitted under the Transaction Documents; or (iii) a Lessee asserting a right of set-off; or (iv) a Lessee revoking a Lease Agreement, the Seller will be entitled within the period beginning on the day on which the Seller becomes aware of such breach and ending on the next Distribution Date after the end of the Monthly Period in which the day falls on which the Seller became aware of such breach to cure or remedy such breach. If such breach should not be capable of remedy, the Seller may replace the relevant Receivable or decide not to replace the relevant Receivable and related Expectancy Right, it is obliged to repurchase the relevant Receivable and related Expectancy Right. The Issuer</w:t>
            </w:r>
            <w:r w:rsidR="00EF7333" w:rsidRPr="00D427D8">
              <w:t>'</w:t>
            </w:r>
            <w:r w:rsidRPr="00D427D8">
              <w:t>s sole remedy will be to make the Seller to take one of the following remedial actions:</w:t>
            </w:r>
          </w:p>
          <w:p w14:paraId="11BC5D64" w14:textId="77777777" w:rsidR="009F6E91" w:rsidRPr="00D427D8" w:rsidRDefault="009F6E91" w:rsidP="00CE2D4C">
            <w:pPr>
              <w:ind w:left="738" w:hanging="708"/>
              <w:rPr>
                <w:szCs w:val="19"/>
              </w:rPr>
            </w:pPr>
            <w:r w:rsidRPr="00D427D8">
              <w:rPr>
                <w:szCs w:val="19"/>
              </w:rPr>
              <w:t>(a)</w:t>
            </w:r>
            <w:r w:rsidRPr="00D427D8">
              <w:rPr>
                <w:szCs w:val="19"/>
              </w:rPr>
              <w:tab/>
              <w:t>remedy the matter giving rise to such breach if such matter is capable of remedy within the period beginning on the day on which the Seller becomes aware of such breach and ending on the next Distribution Date after the end of the Monthly Period in which the day falls on which the Seller became aware of such breach; or</w:t>
            </w:r>
          </w:p>
          <w:p w14:paraId="025777FC" w14:textId="66476A26" w:rsidR="009F6E91" w:rsidRPr="00D427D8" w:rsidRDefault="009F6E91" w:rsidP="00CE2D4C">
            <w:pPr>
              <w:ind w:left="738" w:hanging="708"/>
              <w:rPr>
                <w:szCs w:val="19"/>
              </w:rPr>
            </w:pPr>
            <w:r w:rsidRPr="00D427D8">
              <w:rPr>
                <w:szCs w:val="19"/>
              </w:rPr>
              <w:t>(b)</w:t>
            </w:r>
            <w:r w:rsidRPr="00D427D8">
              <w:rPr>
                <w:szCs w:val="19"/>
              </w:rPr>
              <w:tab/>
              <w:t xml:space="preserve">replace the relevant Receivable and related Expectancy Right with a Receivable the </w:t>
            </w:r>
            <w:r w:rsidR="00C36CDE" w:rsidRPr="00D427D8">
              <w:t xml:space="preserve">Net </w:t>
            </w:r>
            <w:r w:rsidRPr="00D427D8">
              <w:rPr>
                <w:szCs w:val="19"/>
              </w:rPr>
              <w:t>Present Value</w:t>
            </w:r>
            <w:r w:rsidR="00297A82" w:rsidRPr="00D427D8">
              <w:rPr>
                <w:szCs w:val="19"/>
              </w:rPr>
              <w:t xml:space="preserve"> </w:t>
            </w:r>
            <w:r w:rsidRPr="00D427D8">
              <w:rPr>
                <w:szCs w:val="19"/>
              </w:rPr>
              <w:t xml:space="preserve">of </w:t>
            </w:r>
            <w:r w:rsidR="00297A82" w:rsidRPr="00D427D8">
              <w:rPr>
                <w:szCs w:val="19"/>
              </w:rPr>
              <w:t xml:space="preserve">each of </w:t>
            </w:r>
            <w:r w:rsidRPr="00D427D8">
              <w:rPr>
                <w:szCs w:val="19"/>
              </w:rPr>
              <w:t xml:space="preserve">which on the respective Distribution Date shall not be below the </w:t>
            </w:r>
            <w:r w:rsidR="00C36CDE" w:rsidRPr="00D427D8">
              <w:t xml:space="preserve">Net </w:t>
            </w:r>
            <w:r w:rsidRPr="00D427D8">
              <w:rPr>
                <w:szCs w:val="19"/>
              </w:rPr>
              <w:t>Present Value of such replaced Receivable and related Expectancy Right</w:t>
            </w:r>
            <w:r w:rsidR="00297A82" w:rsidRPr="00D427D8">
              <w:rPr>
                <w:szCs w:val="19"/>
              </w:rPr>
              <w:t>, respectively</w:t>
            </w:r>
            <w:r w:rsidRPr="00D427D8">
              <w:rPr>
                <w:szCs w:val="19"/>
              </w:rPr>
              <w:t>; or</w:t>
            </w:r>
          </w:p>
          <w:p w14:paraId="70A2A9ED" w14:textId="33B832B9" w:rsidR="009F6E91" w:rsidRPr="00D427D8" w:rsidRDefault="009F6E91" w:rsidP="00C93BD5">
            <w:pPr>
              <w:ind w:left="720" w:hanging="720"/>
              <w:rPr>
                <w:szCs w:val="19"/>
              </w:rPr>
            </w:pPr>
            <w:r w:rsidRPr="00D427D8">
              <w:rPr>
                <w:szCs w:val="19"/>
              </w:rPr>
              <w:t>(c)</w:t>
            </w:r>
            <w:r w:rsidRPr="00D427D8">
              <w:rPr>
                <w:szCs w:val="19"/>
              </w:rPr>
              <w:tab/>
              <w:t xml:space="preserve">repurchase the relevant Receivable and related Expectancy Right at a price equal to the sum of the </w:t>
            </w:r>
            <w:r w:rsidR="00C36CDE" w:rsidRPr="00D427D8">
              <w:t xml:space="preserve">Net </w:t>
            </w:r>
            <w:r w:rsidRPr="00D427D8">
              <w:rPr>
                <w:szCs w:val="19"/>
              </w:rPr>
              <w:t>Present Value</w:t>
            </w:r>
            <w:r w:rsidR="00297A82" w:rsidRPr="00D427D8">
              <w:rPr>
                <w:szCs w:val="19"/>
              </w:rPr>
              <w:t>s</w:t>
            </w:r>
            <w:r w:rsidRPr="00D427D8">
              <w:rPr>
                <w:szCs w:val="19"/>
              </w:rPr>
              <w:t xml:space="preserve"> </w:t>
            </w:r>
            <w:r w:rsidR="00297A82" w:rsidRPr="00D427D8">
              <w:rPr>
                <w:szCs w:val="19"/>
              </w:rPr>
              <w:t>of the relevant Receivable and related Expectancy Righ</w:t>
            </w:r>
            <w:r w:rsidR="0030287E" w:rsidRPr="00D427D8">
              <w:rPr>
                <w:szCs w:val="19"/>
              </w:rPr>
              <w:t>ts</w:t>
            </w:r>
          </w:p>
          <w:p w14:paraId="2B5DEFD3" w14:textId="1A047788" w:rsidR="009F6E91" w:rsidRPr="00D427D8" w:rsidRDefault="009F6E91" w:rsidP="00C93BD5">
            <w:pPr>
              <w:ind w:left="1440" w:hanging="720"/>
              <w:rPr>
                <w:szCs w:val="19"/>
              </w:rPr>
            </w:pPr>
            <w:r w:rsidRPr="00D427D8">
              <w:rPr>
                <w:szCs w:val="19"/>
              </w:rPr>
              <w:lastRenderedPageBreak/>
              <w:t>(i)</w:t>
            </w:r>
            <w:r w:rsidRPr="00D427D8">
              <w:rPr>
                <w:szCs w:val="19"/>
              </w:rPr>
              <w:tab/>
              <w:t>in respect of any breach of any of the Seller</w:t>
            </w:r>
            <w:r w:rsidR="00EF7333" w:rsidRPr="00D427D8">
              <w:rPr>
                <w:szCs w:val="19"/>
              </w:rPr>
              <w:t>'</w:t>
            </w:r>
            <w:r w:rsidRPr="00D427D8">
              <w:rPr>
                <w:szCs w:val="19"/>
              </w:rPr>
              <w:t>s Receivables related representations and warranties, to the extent that such breach materially and adversely affects the collectability of the Receivables or the interests of the Issuer or the Noteholder or any breach of any of the undertaking contained in clauses 9.2(b) and 8.4 of the Lease Receivables Purchase Agreement unless otherwise permitted under the Transaction Documents, on the Distribution Date immediately following the Monthly Period in which the remediation period pursuant has expired or which has not been replaced; or</w:t>
            </w:r>
          </w:p>
          <w:p w14:paraId="4DC62C78" w14:textId="77777777" w:rsidR="009F6E91" w:rsidRPr="00D427D8" w:rsidRDefault="009F6E91" w:rsidP="00C93BD5">
            <w:pPr>
              <w:ind w:left="1440" w:hanging="720"/>
              <w:rPr>
                <w:szCs w:val="19"/>
              </w:rPr>
            </w:pPr>
            <w:r w:rsidRPr="00D427D8">
              <w:rPr>
                <w:szCs w:val="19"/>
              </w:rPr>
              <w:t>(ii)</w:t>
            </w:r>
            <w:r w:rsidRPr="00D427D8">
              <w:rPr>
                <w:szCs w:val="19"/>
              </w:rPr>
              <w:tab/>
              <w:t>when a Lessee asserted a right of set-off, on the Distribution Date immediately following the Monthly Period in which the right of set-off was asserted if the set-off asserted was above 1% of the initial balance of such Lease Receivable; or</w:t>
            </w:r>
          </w:p>
          <w:p w14:paraId="46A4E7FC" w14:textId="6530789C" w:rsidR="009F6E91" w:rsidRPr="00D427D8" w:rsidRDefault="009F6E91" w:rsidP="00C93BD5">
            <w:pPr>
              <w:ind w:left="1440" w:hanging="720"/>
              <w:rPr>
                <w:szCs w:val="19"/>
              </w:rPr>
            </w:pPr>
            <w:r w:rsidRPr="00D427D8">
              <w:rPr>
                <w:szCs w:val="19"/>
              </w:rPr>
              <w:t>(iii)</w:t>
            </w:r>
            <w:r w:rsidRPr="00D427D8">
              <w:rPr>
                <w:szCs w:val="19"/>
              </w:rPr>
              <w:tab/>
              <w:t>when a Lessee revoked a Lease Agreement, on the Distribution Date immediately following the Monthly Period in which the  Receivable</w:t>
            </w:r>
            <w:r w:rsidR="00EF7333" w:rsidRPr="00D427D8">
              <w:rPr>
                <w:szCs w:val="19"/>
              </w:rPr>
              <w:t>'</w:t>
            </w:r>
            <w:r w:rsidRPr="00D427D8">
              <w:rPr>
                <w:szCs w:val="19"/>
              </w:rPr>
              <w:t>s underlying Lease Agreement was revoked;</w:t>
            </w:r>
          </w:p>
          <w:p w14:paraId="3F649A12" w14:textId="77777777" w:rsidR="009F6E91" w:rsidRPr="00D427D8" w:rsidRDefault="009F6E91" w:rsidP="00C93BD5">
            <w:pPr>
              <w:ind w:left="720"/>
              <w:rPr>
                <w:szCs w:val="19"/>
              </w:rPr>
            </w:pPr>
            <w:r w:rsidRPr="00D427D8">
              <w:rPr>
                <w:szCs w:val="19"/>
              </w:rPr>
              <w:t>to be paid into the Distribution Account.</w:t>
            </w:r>
          </w:p>
          <w:p w14:paraId="1177711E" w14:textId="77777777" w:rsidR="009F6E91" w:rsidRPr="00D427D8" w:rsidRDefault="009F6E91" w:rsidP="00C9064F">
            <w:pPr>
              <w:pStyle w:val="Body1"/>
            </w:pPr>
            <w:r w:rsidRPr="00D427D8">
              <w:t>The Issuer shall assign and transfer to the Seller the Purchased Lease Receivables and related Expectancy Right repurchased by the Seller without recourse, representation or warranty.</w:t>
            </w:r>
          </w:p>
          <w:p w14:paraId="2E3B57CD" w14:textId="77777777" w:rsidR="009F6E91" w:rsidRPr="00D427D8" w:rsidRDefault="009F6E91" w:rsidP="00C9064F">
            <w:pPr>
              <w:pStyle w:val="Body1"/>
            </w:pPr>
            <w:r w:rsidRPr="00D427D8">
              <w:t>Furthermore, the Seller has the right but no obligation, to repurchase a Lease Receivable and related Expectancy Right owed by a Deposit Lessee in order to decrease the Deposit Exposure Amount.</w:t>
            </w:r>
          </w:p>
          <w:p w14:paraId="35A42D63" w14:textId="77777777" w:rsidR="009F6E91" w:rsidRPr="00D427D8" w:rsidRDefault="009F6E91" w:rsidP="00C9064F">
            <w:pPr>
              <w:pStyle w:val="Body1"/>
            </w:pPr>
            <w:r w:rsidRPr="00D427D8">
              <w:t>The Servicer is obligated under the Servicing Agreement to purchase any Receivable and related Expectancy Right with respect to which certain covenants have been breached and not cured.</w:t>
            </w:r>
          </w:p>
          <w:p w14:paraId="766E079A" w14:textId="2F9E1712" w:rsidR="009F6E91" w:rsidRPr="00D427D8" w:rsidRDefault="009F6E91" w:rsidP="00C9064F">
            <w:pPr>
              <w:pStyle w:val="Body1"/>
            </w:pPr>
            <w:r w:rsidRPr="00D427D8">
              <w:t xml:space="preserve">For a more detailed description of the representations made in connection with the sale of the Receivables to the Issuer and the repurchase obligation if these representations are breached, please refer to </w:t>
            </w:r>
            <w:r w:rsidR="00EF7333" w:rsidRPr="00D427D8">
              <w:t>"</w:t>
            </w:r>
            <w:r w:rsidRPr="00D427D8">
              <w:rPr>
                <w:i/>
                <w:iCs/>
              </w:rPr>
              <w:t>Description of Certain Transaction Documents–- Lease Receivables Purchase Agreement</w:t>
            </w:r>
            <w:r w:rsidR="00EF7333" w:rsidRPr="00D427D8">
              <w:t>"</w:t>
            </w:r>
            <w:r w:rsidRPr="00D427D8">
              <w:t xml:space="preserve">. For a more detailed description of the covenants made by the Servicer and the purchase obligation for these Receivables, please refer to </w:t>
            </w:r>
            <w:r w:rsidR="00EF7333" w:rsidRPr="00D427D8">
              <w:t>"</w:t>
            </w:r>
            <w:r w:rsidRPr="00D427D8">
              <w:rPr>
                <w:i/>
                <w:iCs/>
              </w:rPr>
              <w:t>Description of Certain Transaction Documents–- Servicing Agreement</w:t>
            </w:r>
            <w:r w:rsidR="00EF7333" w:rsidRPr="00D427D8">
              <w:t>"</w:t>
            </w:r>
            <w:r w:rsidRPr="00D427D8">
              <w:t>.</w:t>
            </w:r>
          </w:p>
        </w:tc>
      </w:tr>
    </w:tbl>
    <w:p w14:paraId="4204EE84" w14:textId="77777777" w:rsidR="009F6E91" w:rsidRPr="00D427D8" w:rsidRDefault="009F6E91" w:rsidP="00D1716A">
      <w:pPr>
        <w:ind w:left="11"/>
        <w:rPr>
          <w:rFonts w:asciiTheme="minorHAnsi" w:hAnsiTheme="minorHAnsi" w:cstheme="minorHAnsi"/>
          <w:szCs w:val="19"/>
        </w:rPr>
      </w:pPr>
    </w:p>
    <w:p w14:paraId="62F84915" w14:textId="6A189CD1" w:rsidR="00C9064F" w:rsidRPr="00D427D8" w:rsidRDefault="00C9064F">
      <w:pPr>
        <w:rPr>
          <w:rFonts w:asciiTheme="minorHAnsi" w:hAnsiTheme="minorHAnsi" w:cstheme="minorHAnsi"/>
          <w:szCs w:val="19"/>
        </w:rPr>
      </w:pPr>
      <w:r w:rsidRPr="00D427D8">
        <w:rPr>
          <w:rFonts w:asciiTheme="minorHAnsi" w:hAnsiTheme="minorHAnsi" w:cstheme="minorHAnsi"/>
          <w:szCs w:val="19"/>
        </w:rPr>
        <w:br w:type="page"/>
      </w:r>
    </w:p>
    <w:p w14:paraId="4D44F73C" w14:textId="77777777" w:rsidR="00C9064F" w:rsidRPr="00D427D8" w:rsidRDefault="00C9064F" w:rsidP="00D1716A">
      <w:pPr>
        <w:ind w:left="11"/>
        <w:rPr>
          <w:rFonts w:asciiTheme="minorHAnsi" w:hAnsiTheme="minorHAnsi" w:cstheme="minorHAnsi"/>
          <w:szCs w:val="19"/>
        </w:rPr>
      </w:pPr>
    </w:p>
    <w:p w14:paraId="523F1432" w14:textId="77777777" w:rsidR="009F6E91" w:rsidRPr="00D427D8" w:rsidRDefault="009F6E91" w:rsidP="007076F0">
      <w:pPr>
        <w:pStyle w:val="CentredHeading"/>
      </w:pPr>
      <w:bookmarkStart w:id="61" w:name="_Toc194046499"/>
      <w:bookmarkStart w:id="62" w:name="_Toc198539658"/>
      <w:r w:rsidRPr="00D427D8">
        <w:t>DESCRIPTION OF THE PARTIES</w:t>
      </w:r>
      <w:bookmarkEnd w:id="61"/>
      <w:bookmarkEnd w:id="62"/>
    </w:p>
    <w:p w14:paraId="58F69EA0" w14:textId="77777777" w:rsidR="009F6E91" w:rsidRPr="00D427D8" w:rsidRDefault="009F6E91" w:rsidP="00EF7333">
      <w:pPr>
        <w:pStyle w:val="Body1"/>
        <w:rPr>
          <w:rStyle w:val="Heading1Text"/>
        </w:rPr>
      </w:pPr>
      <w:r w:rsidRPr="00D427D8">
        <w:rPr>
          <w:rStyle w:val="Heading1Text"/>
        </w:rPr>
        <w:t>The Issuer</w:t>
      </w:r>
    </w:p>
    <w:p w14:paraId="08303F83" w14:textId="77777777" w:rsidR="009F6E91" w:rsidRPr="00D427D8" w:rsidRDefault="009F6E91" w:rsidP="00EF7333">
      <w:pPr>
        <w:pStyle w:val="Body1"/>
        <w:rPr>
          <w:rStyle w:val="BoldText"/>
        </w:rPr>
      </w:pPr>
      <w:bookmarkStart w:id="63" w:name="_Hlk166507117"/>
      <w:r w:rsidRPr="00D427D8">
        <w:rPr>
          <w:rStyle w:val="BoldText"/>
        </w:rPr>
        <w:t>Establishment and Registered Office</w:t>
      </w:r>
    </w:p>
    <w:bookmarkEnd w:id="63"/>
    <w:p w14:paraId="3E0140D5" w14:textId="05C75CFF" w:rsidR="009F6E91" w:rsidRPr="00D427D8" w:rsidRDefault="009F6E91" w:rsidP="009F6E91">
      <w:pPr>
        <w:pStyle w:val="Body1"/>
      </w:pPr>
      <w:r w:rsidRPr="00D427D8">
        <w:t xml:space="preserve">ECARAT DE S.A. (the </w:t>
      </w:r>
      <w:r w:rsidR="00EF7333" w:rsidRPr="00D427D8">
        <w:t>"</w:t>
      </w:r>
      <w:r w:rsidRPr="00D427D8">
        <w:rPr>
          <w:rStyle w:val="BoldText"/>
        </w:rPr>
        <w:t>Company</w:t>
      </w:r>
      <w:r w:rsidR="00EF7333" w:rsidRPr="00D427D8">
        <w:t>"</w:t>
      </w:r>
      <w:r w:rsidRPr="00D427D8">
        <w:t>) is a public limited liability company (</w:t>
      </w:r>
      <w:r w:rsidRPr="00D427D8">
        <w:rPr>
          <w:i/>
          <w:iCs/>
        </w:rPr>
        <w:t>société anonyme</w:t>
      </w:r>
      <w:r w:rsidRPr="00D427D8">
        <w:t xml:space="preserve">), incorporated and existing as a special purpose vehicle for the purpose, amongst others, of issuing asset backed securities under the Luxembourg law of 10 August 1915 on commercial companies, as amended from time to time (the </w:t>
      </w:r>
      <w:r w:rsidR="00EF7333" w:rsidRPr="00D427D8">
        <w:t>"</w:t>
      </w:r>
      <w:r w:rsidRPr="00D427D8">
        <w:rPr>
          <w:rStyle w:val="BoldText"/>
        </w:rPr>
        <w:t>Luxembourg Companies Law</w:t>
      </w:r>
      <w:r w:rsidR="00EF7333" w:rsidRPr="00D427D8">
        <w:t>"</w:t>
      </w:r>
      <w:r w:rsidRPr="00D427D8">
        <w:t xml:space="preserve">) and the Luxembourg law of 22 March 2004, on securitisation, as amended from time to time (the </w:t>
      </w:r>
      <w:r w:rsidR="00EF7333" w:rsidRPr="00D427D8">
        <w:t>"</w:t>
      </w:r>
      <w:r w:rsidRPr="00D427D8">
        <w:rPr>
          <w:rStyle w:val="BoldText"/>
        </w:rPr>
        <w:t>Luxembourg Securitisation Law</w:t>
      </w:r>
      <w:r w:rsidR="00EF7333" w:rsidRPr="00D427D8">
        <w:t>"</w:t>
      </w:r>
      <w:r w:rsidRPr="00D427D8">
        <w:t>). ECARAT DE S.A. has been incorporated under the laws of the Grand Duchy of Luxembourg on 21 February 2024, has the status of an unregulated securitisation company (</w:t>
      </w:r>
      <w:r w:rsidRPr="00D427D8">
        <w:rPr>
          <w:i/>
          <w:iCs/>
        </w:rPr>
        <w:t>société de titrisation non-réglementée</w:t>
      </w:r>
      <w:r w:rsidRPr="00D427D8">
        <w:t>) subject to the Luxembourg Securitisation Law, is registered with the Luxembourg trade and companies register (</w:t>
      </w:r>
      <w:r w:rsidRPr="00D427D8">
        <w:rPr>
          <w:i/>
          <w:iCs/>
        </w:rPr>
        <w:t>Registre de Commerce et des Sociétés</w:t>
      </w:r>
      <w:r w:rsidRPr="00D427D8">
        <w:t xml:space="preserve">) under registration number B 284533 and has its registered office at 12C, rue Guillaume Kroll, L-1882 Luxembourg, Luxembourg. The Company. is acting on behalf and for the account of its Compartment Lease 2025-1 (the </w:t>
      </w:r>
      <w:r w:rsidR="00EF7333" w:rsidRPr="00D427D8">
        <w:t>"</w:t>
      </w:r>
      <w:r w:rsidRPr="00D427D8">
        <w:rPr>
          <w:rStyle w:val="BoldText"/>
        </w:rPr>
        <w:t>Issuer</w:t>
      </w:r>
      <w:r w:rsidR="00EF7333" w:rsidRPr="00D427D8">
        <w:t>"</w:t>
      </w:r>
      <w:r w:rsidRPr="00D427D8">
        <w:t xml:space="preserve">), duly created by resolutions of its board of directors on 17 January 2025. The legal entity identifier (LEI) of the Issuer is </w:t>
      </w:r>
      <w:r w:rsidRPr="00D427D8">
        <w:rPr>
          <w:szCs w:val="19"/>
        </w:rPr>
        <w:t>213800MBYRAS4PEZD582</w:t>
      </w:r>
      <w:r w:rsidRPr="00D427D8">
        <w:t>.</w:t>
      </w:r>
    </w:p>
    <w:p w14:paraId="512106B7" w14:textId="77777777" w:rsidR="009F6E91" w:rsidRPr="00D427D8" w:rsidRDefault="009F6E91" w:rsidP="009F6E91">
      <w:pPr>
        <w:pStyle w:val="Body1"/>
      </w:pPr>
      <w:r w:rsidRPr="00D427D8">
        <w:t xml:space="preserve">The shareholder of the Issuer is Stichting </w:t>
      </w:r>
      <w:bookmarkStart w:id="64" w:name="_Hlk154657716"/>
      <w:r w:rsidRPr="00D427D8">
        <w:t>Holding ECARAT DE</w:t>
      </w:r>
      <w:bookmarkEnd w:id="64"/>
      <w:r w:rsidRPr="00D427D8">
        <w:t>, a foundation incorporated with limited liability under the laws of The Netherlands, registered with the Netherlands Chamber of Commerce (</w:t>
      </w:r>
      <w:r w:rsidRPr="00D427D8">
        <w:rPr>
          <w:i/>
          <w:iCs/>
        </w:rPr>
        <w:t>Kamer van Koophandel</w:t>
      </w:r>
      <w:r w:rsidRPr="00D427D8">
        <w:t>) under registration number 92711243, having its registered address at 10, Basisweg, 1043 AP, Amsterdam, The Netherlands, and holding thirty thousand shares in the nominal amount of EUR one (1) in the Issuer.</w:t>
      </w:r>
    </w:p>
    <w:p w14:paraId="7B0B846D" w14:textId="27AF3835" w:rsidR="009F6E91" w:rsidRPr="00D427D8" w:rsidRDefault="009F6E91" w:rsidP="009F6E91">
      <w:pPr>
        <w:pStyle w:val="Body1"/>
      </w:pPr>
      <w:r w:rsidRPr="00D427D8">
        <w:t>Further information on the Transaction including this Prospectus, can be obtained on the website of the Corporate Service Provider (</w:t>
      </w:r>
      <w:hyperlink r:id="rId22" w:history="1">
        <w:r w:rsidRPr="00D427D8">
          <w:t>https://cm.gcm.cscglobal.com/en/default/offering_circulars/results</w:t>
        </w:r>
      </w:hyperlink>
      <w:r w:rsidRPr="00D427D8">
        <w:t>), whereby it should be noted that the information on the website does not form part of this Prospectus and has not been scrutinised or approved by the competent authority unless that information is incorporated by reference into this Prospectus.</w:t>
      </w:r>
    </w:p>
    <w:p w14:paraId="03E443A9" w14:textId="77777777" w:rsidR="009F6E91" w:rsidRPr="00D427D8" w:rsidRDefault="009F6E91" w:rsidP="00EF7333">
      <w:pPr>
        <w:pStyle w:val="Body1"/>
        <w:rPr>
          <w:rStyle w:val="BoldText"/>
        </w:rPr>
      </w:pPr>
      <w:r w:rsidRPr="00D427D8">
        <w:rPr>
          <w:rStyle w:val="BoldText"/>
        </w:rPr>
        <w:t>Corporate Purpose and Business of the Issuer</w:t>
      </w:r>
    </w:p>
    <w:p w14:paraId="670459D2" w14:textId="77777777" w:rsidR="009F6E91" w:rsidRPr="00D427D8" w:rsidRDefault="009F6E91" w:rsidP="009F6E91">
      <w:pPr>
        <w:pStyle w:val="Body1"/>
      </w:pPr>
      <w:r w:rsidRPr="00D427D8">
        <w:t>The Issuer currently does not intend to issue securities on a continuous basis to the public and if at a later point it did, it would first apply for a license pursuant to, and in accordance with the provisions of the Luxembourg Securitisation Law.</w:t>
      </w:r>
    </w:p>
    <w:p w14:paraId="2CF6CCAB" w14:textId="77777777" w:rsidR="009F6E91" w:rsidRPr="00D427D8" w:rsidRDefault="009F6E91" w:rsidP="009F6E91">
      <w:pPr>
        <w:pStyle w:val="Body1"/>
      </w:pPr>
      <w:r w:rsidRPr="00D427D8">
        <w:t>The Issuer has carried on business or activities that are incidental to its incorporation, which include the entering into certain transactions prior to the Closing Date with respect to the securitisation transaction contemplated herein and the issuance of the Notes.</w:t>
      </w:r>
    </w:p>
    <w:p w14:paraId="13168DDF" w14:textId="77777777" w:rsidR="009F6E91" w:rsidRPr="00D427D8" w:rsidRDefault="009F6E91" w:rsidP="009F6E91">
      <w:pPr>
        <w:pStyle w:val="Body1"/>
      </w:pPr>
      <w:r w:rsidRPr="00D427D8">
        <w:t>In respect of its Compartment Lease 2025-1, the principal activities of the Company will be (i) the issuance of the Notes, (ii) the granting of the Transaction Security, (iii) the entering into the Subordinated Loan Agreement, (iv) the entering into the VAT Bridge Loan Agreement, (v) the entering into the Hedging Arrangement and all other Transaction Documents to which it is a party, (vi) the opening of the Distribution Account, the Reserve Account and the CSA Account, and (vii) the exercise of related rights and powers and other activities reasonably incidental thereto.</w:t>
      </w:r>
    </w:p>
    <w:p w14:paraId="634D5E01" w14:textId="77777777" w:rsidR="009F6E91" w:rsidRPr="00D427D8" w:rsidRDefault="009F6E91" w:rsidP="009F6E91">
      <w:pPr>
        <w:pStyle w:val="Body1"/>
      </w:pPr>
      <w:r w:rsidRPr="00D427D8">
        <w:t>In respect of Compartments other than Compartment Lease 2025-1</w:t>
      </w:r>
      <w:r w:rsidRPr="00D427D8">
        <w:rPr>
          <w:szCs w:val="19"/>
        </w:rPr>
        <w:t xml:space="preserve"> </w:t>
      </w:r>
      <w:r w:rsidRPr="00D427D8">
        <w:t>the principal activities of the Company will be or, as the case may be, have been the operation as a multi-issuance securitisation conduit for the purposes of, on an on-going basis, purchasing assets, directly or via intermediary purchasing entities, from several selling entities, or assuming the credit risk in respect of assets in any other way, and funding such purchases or risk assumptions in particular in the asset-backed markets. Each such securitisation transaction can be structured as a singular or as a revolving purchase of assets (or other assumption of credit risk) and shall be separate from all other securitisations entered into by the Company. To that end, each securitisation carried out by the Company shall be allocated to a separate Compartment.</w:t>
      </w:r>
    </w:p>
    <w:p w14:paraId="2A1C3CD5" w14:textId="77777777" w:rsidR="009F6E91" w:rsidRPr="00D427D8" w:rsidRDefault="009F6E91" w:rsidP="00EF7333">
      <w:pPr>
        <w:pStyle w:val="Body1"/>
        <w:rPr>
          <w:rStyle w:val="BoldText"/>
        </w:rPr>
      </w:pPr>
      <w:r w:rsidRPr="00D427D8">
        <w:rPr>
          <w:rStyle w:val="BoldText"/>
        </w:rPr>
        <w:t>Compartment</w:t>
      </w:r>
    </w:p>
    <w:p w14:paraId="18568382" w14:textId="77777777" w:rsidR="009F6E91" w:rsidRPr="00D427D8" w:rsidRDefault="009F6E91" w:rsidP="009F6E91">
      <w:pPr>
        <w:pStyle w:val="Body1"/>
      </w:pPr>
      <w:r w:rsidRPr="00D427D8">
        <w:t xml:space="preserve">The board of directors of the Company may, in accordance with the terms of the Luxembourg Securitisation Law, and in particular its article 5, create one or more Compartments within the Company. Each Compartment </w:t>
      </w:r>
      <w:r w:rsidRPr="00D427D8">
        <w:lastRenderedPageBreak/>
        <w:t>shall correspond to a distinct part of the assets and liabilities in respect of the corresponding funding. The resolution of the board of directors creating one or more Compartments within the Company, as well as any subsequent amendments thereto, shall be binding as of the date of such resolutions against any third party.</w:t>
      </w:r>
    </w:p>
    <w:p w14:paraId="49FFDAAF" w14:textId="77777777" w:rsidR="009F6E91" w:rsidRPr="00D427D8" w:rsidRDefault="009F6E91" w:rsidP="009F6E91">
      <w:pPr>
        <w:pStyle w:val="Body1"/>
      </w:pPr>
      <w:r w:rsidRPr="00D427D8">
        <w:t>As between investors, each Compartment of the Company shall be treated as a separate entity. Rights of creditors and investors of the Issuer that (i) relate to a Compartment or (ii) have arisen in connection with the creation, the operation or the liquidation of a Compartment are strictly limited to the assets of that Compartment which shall be exclusively available to satisfy such creditors and investors. Creditors and investors of the Issuer whose rights are not related to a specific Compartment of the Company shall have no rights to the assets of such Compartment.</w:t>
      </w:r>
    </w:p>
    <w:p w14:paraId="777537D9" w14:textId="77777777" w:rsidR="009F6E91" w:rsidRPr="00D427D8" w:rsidRDefault="009F6E91" w:rsidP="009F6E91">
      <w:pPr>
        <w:pStyle w:val="Body1"/>
      </w:pPr>
      <w:r w:rsidRPr="00D427D8">
        <w:t>Unless otherwise provided for in the resolution of the board of directors of the Company creating such Compartment, no resolution of the board of directors of the Company may amend the resolution creating such Compartment or to directly affect the rights of the creditors and investors whose rights relate to such Compartment without the prior approval of the creditors and investors whose rights relate to such Compartment. Any decision of the board of directors taken in breach of this provision shall be void.</w:t>
      </w:r>
    </w:p>
    <w:p w14:paraId="66EC7C96" w14:textId="77777777" w:rsidR="009F6E91" w:rsidRPr="00D427D8" w:rsidRDefault="009F6E91" w:rsidP="009F6E91">
      <w:pPr>
        <w:pStyle w:val="Body1"/>
      </w:pPr>
      <w:r w:rsidRPr="00D427D8">
        <w:t>Without prejudice to what is stated in the precedent paragraph, each Compartment of the Company may be separately liquidated without such liquidation resulting in the liquidation of another Compartment of the Issuer or of the Company itself.</w:t>
      </w:r>
    </w:p>
    <w:p w14:paraId="197470F8" w14:textId="77777777" w:rsidR="009F6E91" w:rsidRPr="00D427D8" w:rsidRDefault="009F6E91" w:rsidP="009F6E91">
      <w:pPr>
        <w:pStyle w:val="Body1"/>
      </w:pPr>
      <w:r w:rsidRPr="00D427D8">
        <w:t>Fees, costs, expenses and other liabilities incurred on behalf of the Company but which do not relate specifically to any Compartment shall be general liabilities of the Company and shall not be payable out of the assets of any Compartment. The board of directors of the Company shall ensure that creditors of such liabilities waive recourse to the assets of any Compartment. If such creditors do not waive recourse and such general liabilities cannot be otherwise funded, they shall be apportioned pro rata among the Compartments of the Company upon a decision of the board of directors.</w:t>
      </w:r>
    </w:p>
    <w:p w14:paraId="231E91D8" w14:textId="77777777" w:rsidR="009F6E91" w:rsidRPr="00D427D8" w:rsidRDefault="009F6E91" w:rsidP="00EF7333">
      <w:pPr>
        <w:pStyle w:val="Body1"/>
        <w:rPr>
          <w:rStyle w:val="BoldText"/>
        </w:rPr>
      </w:pPr>
      <w:r w:rsidRPr="00D427D8">
        <w:rPr>
          <w:rStyle w:val="BoldText"/>
        </w:rPr>
        <w:t>Board of Directors</w:t>
      </w:r>
    </w:p>
    <w:p w14:paraId="66CDC456" w14:textId="211D7D1E" w:rsidR="009F6E91" w:rsidRPr="00D427D8" w:rsidRDefault="009F6E91" w:rsidP="009F6E91">
      <w:pPr>
        <w:pStyle w:val="Body1"/>
      </w:pPr>
      <w:r w:rsidRPr="00D427D8">
        <w:t>The Issuer is managed by three (3) directors. The directors are appointed by the shareholder</w:t>
      </w:r>
      <w:r w:rsidR="00EF7333" w:rsidRPr="00D427D8">
        <w:t>'</w:t>
      </w:r>
      <w:r w:rsidRPr="00D427D8">
        <w:t>s meeting of the Issuer. The Issuer is represented by its board of directors jointly.</w:t>
      </w:r>
    </w:p>
    <w:p w14:paraId="7EF21245" w14:textId="77777777" w:rsidR="009F6E91" w:rsidRPr="00D427D8" w:rsidRDefault="009F6E91" w:rsidP="009F6E91">
      <w:pPr>
        <w:pStyle w:val="Body1"/>
      </w:pPr>
      <w:r w:rsidRPr="00D427D8">
        <w:t>The directors of the Issuer and their respective business addresses and other principal activities are:</w:t>
      </w:r>
    </w:p>
    <w:tbl>
      <w:tblPr>
        <w:tblW w:w="0" w:type="auto"/>
        <w:tblInd w:w="11" w:type="dxa"/>
        <w:tblCellMar>
          <w:left w:w="10" w:type="dxa"/>
          <w:right w:w="10" w:type="dxa"/>
        </w:tblCellMar>
        <w:tblLook w:val="04A0" w:firstRow="1" w:lastRow="0" w:firstColumn="1" w:lastColumn="0" w:noHBand="0" w:noVBand="1"/>
      </w:tblPr>
      <w:tblGrid>
        <w:gridCol w:w="3016"/>
        <w:gridCol w:w="3017"/>
        <w:gridCol w:w="3017"/>
      </w:tblGrid>
      <w:tr w:rsidR="009F6E91" w:rsidRPr="00D427D8" w14:paraId="2794AE33" w14:textId="77777777" w:rsidTr="00DA4165">
        <w:tc>
          <w:tcPr>
            <w:tcW w:w="3016" w:type="dxa"/>
          </w:tcPr>
          <w:p w14:paraId="27B3EB03" w14:textId="77777777" w:rsidR="009F6E91" w:rsidRPr="00D427D8" w:rsidRDefault="009F6E91" w:rsidP="007076F0">
            <w:pPr>
              <w:pStyle w:val="Body1"/>
            </w:pPr>
            <w:r w:rsidRPr="00D427D8">
              <w:t>Name</w:t>
            </w:r>
          </w:p>
        </w:tc>
        <w:tc>
          <w:tcPr>
            <w:tcW w:w="3017" w:type="dxa"/>
          </w:tcPr>
          <w:p w14:paraId="3C4B9500" w14:textId="77777777" w:rsidR="009F6E91" w:rsidRPr="00D427D8" w:rsidRDefault="009F6E91" w:rsidP="007076F0">
            <w:pPr>
              <w:pStyle w:val="Body1"/>
            </w:pPr>
            <w:r w:rsidRPr="00D427D8">
              <w:t>Business address</w:t>
            </w:r>
          </w:p>
        </w:tc>
        <w:tc>
          <w:tcPr>
            <w:tcW w:w="3017" w:type="dxa"/>
          </w:tcPr>
          <w:p w14:paraId="3AA002B5" w14:textId="77777777" w:rsidR="009F6E91" w:rsidRPr="00D427D8" w:rsidRDefault="009F6E91" w:rsidP="007076F0">
            <w:pPr>
              <w:pStyle w:val="Body1"/>
            </w:pPr>
            <w:r w:rsidRPr="00D427D8">
              <w:t>Other principal activities</w:t>
            </w:r>
          </w:p>
        </w:tc>
      </w:tr>
      <w:tr w:rsidR="009F6E91" w:rsidRPr="00D427D8" w14:paraId="66C08339" w14:textId="77777777" w:rsidTr="00DA4165">
        <w:tc>
          <w:tcPr>
            <w:tcW w:w="3016" w:type="dxa"/>
          </w:tcPr>
          <w:p w14:paraId="0DEBA935" w14:textId="77777777" w:rsidR="009F6E91" w:rsidRPr="00D427D8" w:rsidRDefault="009F6E91" w:rsidP="007076F0">
            <w:pPr>
              <w:pStyle w:val="Body1"/>
            </w:pPr>
            <w:r w:rsidRPr="00D427D8">
              <w:t>Anar Gasimov</w:t>
            </w:r>
          </w:p>
        </w:tc>
        <w:tc>
          <w:tcPr>
            <w:tcW w:w="3017" w:type="dxa"/>
          </w:tcPr>
          <w:p w14:paraId="24C6FF18" w14:textId="77777777" w:rsidR="009F6E91" w:rsidRPr="00D427D8" w:rsidRDefault="009F6E91" w:rsidP="007076F0">
            <w:pPr>
              <w:pStyle w:val="Body1"/>
            </w:pPr>
            <w:r w:rsidRPr="00D427D8">
              <w:t>28 Boulevard F.W. Raiffeisen, L-2411 Luxembourg–- Grand Duchy of Luxembourg</w:t>
            </w:r>
          </w:p>
        </w:tc>
        <w:tc>
          <w:tcPr>
            <w:tcW w:w="3017" w:type="dxa"/>
          </w:tcPr>
          <w:p w14:paraId="0134EEF9" w14:textId="6260EFC6" w:rsidR="009F6E91" w:rsidRPr="00D427D8" w:rsidRDefault="009F6E91" w:rsidP="007076F0">
            <w:pPr>
              <w:pStyle w:val="Body1"/>
            </w:pPr>
            <w:r w:rsidRPr="00D427D8">
              <w:t xml:space="preserve">Manager Accounting Services at </w:t>
            </w:r>
            <w:r w:rsidR="009C2F1E" w:rsidRPr="00D427D8">
              <w:t>CSC Global Solutions (Luxembourg) S.à r.l.</w:t>
            </w:r>
          </w:p>
        </w:tc>
      </w:tr>
      <w:tr w:rsidR="009F6E91" w:rsidRPr="00D427D8" w14:paraId="2FE4B5DA" w14:textId="77777777" w:rsidTr="00DA4165">
        <w:tc>
          <w:tcPr>
            <w:tcW w:w="3016" w:type="dxa"/>
          </w:tcPr>
          <w:p w14:paraId="02770777" w14:textId="77777777" w:rsidR="009F6E91" w:rsidRPr="00D427D8" w:rsidRDefault="009F6E91" w:rsidP="007076F0">
            <w:pPr>
              <w:pStyle w:val="Body1"/>
            </w:pPr>
            <w:r w:rsidRPr="00D427D8">
              <w:t>Alessandro Linguanotto</w:t>
            </w:r>
          </w:p>
        </w:tc>
        <w:tc>
          <w:tcPr>
            <w:tcW w:w="3017" w:type="dxa"/>
          </w:tcPr>
          <w:p w14:paraId="2B66126F" w14:textId="77777777" w:rsidR="009F6E91" w:rsidRPr="00D427D8" w:rsidRDefault="009F6E91" w:rsidP="007076F0">
            <w:pPr>
              <w:pStyle w:val="Body1"/>
            </w:pPr>
            <w:r w:rsidRPr="00D427D8">
              <w:t>28 Boulevard F.W. Raiffeisen, L-2411 Luxembourg–- Grand Duchy of Luxembourg</w:t>
            </w:r>
          </w:p>
        </w:tc>
        <w:tc>
          <w:tcPr>
            <w:tcW w:w="3017" w:type="dxa"/>
          </w:tcPr>
          <w:p w14:paraId="05DDFAA1" w14:textId="63417CE3" w:rsidR="009F6E91" w:rsidRPr="00D427D8" w:rsidRDefault="009F6E91" w:rsidP="007076F0">
            <w:pPr>
              <w:pStyle w:val="Body1"/>
            </w:pPr>
            <w:r w:rsidRPr="00D427D8">
              <w:t xml:space="preserve">Manager Legal &amp; Corporate at </w:t>
            </w:r>
            <w:r w:rsidR="009C2F1E" w:rsidRPr="00D427D8">
              <w:t>CSC Global Solutions (Luxembourg) S.à r.l.</w:t>
            </w:r>
          </w:p>
        </w:tc>
      </w:tr>
      <w:tr w:rsidR="009F6E91" w:rsidRPr="00D427D8" w14:paraId="185B6873" w14:textId="77777777" w:rsidTr="00DA4165">
        <w:tc>
          <w:tcPr>
            <w:tcW w:w="3016" w:type="dxa"/>
          </w:tcPr>
          <w:p w14:paraId="74212AFB" w14:textId="77777777" w:rsidR="009F6E91" w:rsidRPr="00D427D8" w:rsidRDefault="009F6E91" w:rsidP="007076F0">
            <w:pPr>
              <w:pStyle w:val="Body1"/>
            </w:pPr>
            <w:r w:rsidRPr="00D427D8">
              <w:t>Serena Munerato</w:t>
            </w:r>
          </w:p>
        </w:tc>
        <w:tc>
          <w:tcPr>
            <w:tcW w:w="3017" w:type="dxa"/>
          </w:tcPr>
          <w:p w14:paraId="377AE7A1" w14:textId="77777777" w:rsidR="009F6E91" w:rsidRPr="00D427D8" w:rsidRDefault="009F6E91" w:rsidP="007076F0">
            <w:pPr>
              <w:pStyle w:val="Body1"/>
            </w:pPr>
            <w:r w:rsidRPr="00D427D8">
              <w:t>28 Boulevard F.W. Raiffeisen, L-2411 Luxembourg–- Grand Duchy of Luxembourg</w:t>
            </w:r>
          </w:p>
        </w:tc>
        <w:tc>
          <w:tcPr>
            <w:tcW w:w="3017" w:type="dxa"/>
          </w:tcPr>
          <w:p w14:paraId="0114DC7D" w14:textId="3C7EB062" w:rsidR="009F6E91" w:rsidRPr="00D427D8" w:rsidRDefault="009F6E91" w:rsidP="007076F0">
            <w:pPr>
              <w:pStyle w:val="Body1"/>
            </w:pPr>
            <w:r w:rsidRPr="00D427D8">
              <w:t xml:space="preserve">Manager Legal &amp; Corporate at </w:t>
            </w:r>
            <w:r w:rsidR="009C2F1E" w:rsidRPr="00D427D8">
              <w:t>CSC Global Solutions (Luxembourg) S.à r.l.</w:t>
            </w:r>
          </w:p>
        </w:tc>
      </w:tr>
    </w:tbl>
    <w:p w14:paraId="05C2D0BC" w14:textId="77777777" w:rsidR="009F6E91" w:rsidRPr="00D427D8" w:rsidRDefault="009F6E91" w:rsidP="005344D2">
      <w:pPr>
        <w:ind w:left="11"/>
      </w:pPr>
    </w:p>
    <w:p w14:paraId="1DCE69D1" w14:textId="77777777" w:rsidR="009F6E91" w:rsidRPr="00D427D8" w:rsidRDefault="009F6E91" w:rsidP="007076F0">
      <w:pPr>
        <w:pStyle w:val="Body1"/>
        <w:keepNext/>
        <w:rPr>
          <w:rStyle w:val="BoldText"/>
        </w:rPr>
      </w:pPr>
      <w:r w:rsidRPr="00D427D8">
        <w:rPr>
          <w:rStyle w:val="BoldText"/>
        </w:rPr>
        <w:t>Management and Principal Activities</w:t>
      </w:r>
    </w:p>
    <w:p w14:paraId="12BE4AE3" w14:textId="77777777" w:rsidR="009F6E91" w:rsidRPr="00D427D8" w:rsidRDefault="009F6E91" w:rsidP="009F6E91">
      <w:pPr>
        <w:pStyle w:val="Body1"/>
      </w:pPr>
      <w:bookmarkStart w:id="65" w:name="_Hlk167266650"/>
      <w:r w:rsidRPr="00D427D8">
        <w:t>The activities of the Issuer will principally be the issuance of the Notes, entering into all documents relating to such issue to which the Issuer is expressed to be a party, the acquisition of the Purchased Lease Receivables and the exercise of related rights and powers and other activities reasonably incidental thereto</w:t>
      </w:r>
      <w:bookmarkEnd w:id="65"/>
      <w:r w:rsidRPr="00D427D8">
        <w:t>.</w:t>
      </w:r>
    </w:p>
    <w:p w14:paraId="294B9B07" w14:textId="77777777" w:rsidR="009F6E91" w:rsidRPr="00D427D8" w:rsidRDefault="009F6E91" w:rsidP="00EF7333">
      <w:pPr>
        <w:pStyle w:val="Body1"/>
        <w:rPr>
          <w:rStyle w:val="BoldText"/>
        </w:rPr>
      </w:pPr>
      <w:r w:rsidRPr="00D427D8">
        <w:rPr>
          <w:rStyle w:val="BoldText"/>
        </w:rPr>
        <w:t>Capitalisation</w:t>
      </w:r>
    </w:p>
    <w:p w14:paraId="54873259" w14:textId="77777777" w:rsidR="009F6E91" w:rsidRPr="00D427D8" w:rsidRDefault="009F6E91" w:rsidP="009F6E91">
      <w:pPr>
        <w:pStyle w:val="Body1"/>
      </w:pPr>
      <w:r w:rsidRPr="00D427D8">
        <w:t>The following shows the capitalisation of the Issuer as of 21 February 2024, adjusted for the issuance of the Notes:</w:t>
      </w:r>
    </w:p>
    <w:p w14:paraId="61A35782" w14:textId="77777777" w:rsidR="009F6E91" w:rsidRPr="00D427D8" w:rsidRDefault="009F6E91" w:rsidP="00EF7333">
      <w:pPr>
        <w:pStyle w:val="Body1"/>
        <w:rPr>
          <w:rStyle w:val="BoldText"/>
        </w:rPr>
      </w:pPr>
      <w:r w:rsidRPr="00D427D8">
        <w:rPr>
          <w:rStyle w:val="BoldText"/>
        </w:rPr>
        <w:t>Share Capital</w:t>
      </w:r>
    </w:p>
    <w:p w14:paraId="52611036" w14:textId="77777777" w:rsidR="009F6E91" w:rsidRPr="00D427D8" w:rsidRDefault="009F6E91" w:rsidP="009F6E91">
      <w:pPr>
        <w:pStyle w:val="Body1"/>
      </w:pPr>
      <w:r w:rsidRPr="00D427D8">
        <w:lastRenderedPageBreak/>
        <w:t>The registered share capital of the Issuer is EUR 30,000.00 (thirty thousand Euro). The founding shareholder of the Issuer is Stichting Holding ECARAT DE.</w:t>
      </w:r>
    </w:p>
    <w:p w14:paraId="70B7B65D" w14:textId="77777777" w:rsidR="009F6E91" w:rsidRPr="00D427D8" w:rsidRDefault="009F6E91" w:rsidP="00EF7333">
      <w:pPr>
        <w:pStyle w:val="Body1"/>
        <w:rPr>
          <w:rStyle w:val="BoldText"/>
        </w:rPr>
      </w:pPr>
      <w:r w:rsidRPr="00D427D8">
        <w:rPr>
          <w:rStyle w:val="BoldText"/>
        </w:rPr>
        <w:t>Employees</w:t>
      </w:r>
    </w:p>
    <w:p w14:paraId="52DC0A51" w14:textId="77777777" w:rsidR="009F6E91" w:rsidRPr="00D427D8" w:rsidRDefault="009F6E91" w:rsidP="009F6E91">
      <w:pPr>
        <w:pStyle w:val="Body1"/>
      </w:pPr>
      <w:r w:rsidRPr="00D427D8">
        <w:t>The Issuer has no employees.</w:t>
      </w:r>
    </w:p>
    <w:p w14:paraId="5E849B11" w14:textId="77777777" w:rsidR="009F6E91" w:rsidRPr="00D427D8" w:rsidRDefault="009F6E91" w:rsidP="00EF7333">
      <w:pPr>
        <w:pStyle w:val="Body1"/>
        <w:rPr>
          <w:rStyle w:val="BoldText"/>
        </w:rPr>
      </w:pPr>
      <w:r w:rsidRPr="00D427D8">
        <w:rPr>
          <w:rStyle w:val="BoldText"/>
        </w:rPr>
        <w:t>Property</w:t>
      </w:r>
    </w:p>
    <w:p w14:paraId="203DCC9F" w14:textId="77777777" w:rsidR="009F6E91" w:rsidRPr="00D427D8" w:rsidRDefault="009F6E91" w:rsidP="009F6E91">
      <w:pPr>
        <w:pStyle w:val="Body1"/>
      </w:pPr>
      <w:r w:rsidRPr="00D427D8">
        <w:t>The Issuer does not own any real property.</w:t>
      </w:r>
    </w:p>
    <w:p w14:paraId="7DDFA362" w14:textId="77777777" w:rsidR="009F6E91" w:rsidRPr="00D427D8" w:rsidRDefault="009F6E91" w:rsidP="00EF7333">
      <w:pPr>
        <w:pStyle w:val="Body1"/>
        <w:rPr>
          <w:rStyle w:val="BoldText"/>
        </w:rPr>
      </w:pPr>
      <w:r w:rsidRPr="00D427D8">
        <w:rPr>
          <w:rStyle w:val="BoldText"/>
        </w:rPr>
        <w:t>Litigation</w:t>
      </w:r>
    </w:p>
    <w:p w14:paraId="078BEC94" w14:textId="77777777" w:rsidR="009F6E91" w:rsidRPr="00D427D8" w:rsidRDefault="009F6E91" w:rsidP="009F6E91">
      <w:pPr>
        <w:pStyle w:val="Body1"/>
      </w:pPr>
      <w:r w:rsidRPr="00D427D8">
        <w:t>The Issuer has not been engaged in any governmental, litigation or arbitration proceedings which may have a significant effect on its financial position since its incorporation, nor, as far as the Issuer is aware, are any such governmental, litigation or arbitration proceedings pending or threatened.</w:t>
      </w:r>
    </w:p>
    <w:p w14:paraId="1DFF948D" w14:textId="77777777" w:rsidR="009F6E91" w:rsidRPr="00D427D8" w:rsidRDefault="009F6E91" w:rsidP="00EF7333">
      <w:pPr>
        <w:pStyle w:val="Body1"/>
        <w:rPr>
          <w:rStyle w:val="BoldText"/>
        </w:rPr>
      </w:pPr>
      <w:r w:rsidRPr="00D427D8">
        <w:rPr>
          <w:rStyle w:val="BoldText"/>
        </w:rPr>
        <w:t>Material Adverse Change</w:t>
      </w:r>
    </w:p>
    <w:p w14:paraId="70F2B432" w14:textId="77777777" w:rsidR="009F6E91" w:rsidRPr="00D427D8" w:rsidRDefault="009F6E91" w:rsidP="009F6E91">
      <w:pPr>
        <w:pStyle w:val="Body1"/>
      </w:pPr>
      <w:r w:rsidRPr="00D427D8">
        <w:t>There has been no material adverse change in the financial position or the prospects of the Issuer, since its establishment on 21 February 2024.</w:t>
      </w:r>
    </w:p>
    <w:p w14:paraId="29F7CD3D" w14:textId="77777777" w:rsidR="009F6E91" w:rsidRPr="00D427D8" w:rsidRDefault="009F6E91" w:rsidP="00EF7333">
      <w:pPr>
        <w:pStyle w:val="Body1"/>
        <w:rPr>
          <w:rStyle w:val="BoldText"/>
        </w:rPr>
      </w:pPr>
      <w:r w:rsidRPr="00D427D8">
        <w:rPr>
          <w:rStyle w:val="BoldText"/>
        </w:rPr>
        <w:t>Fiscal Year</w:t>
      </w:r>
    </w:p>
    <w:p w14:paraId="2289665E" w14:textId="77777777" w:rsidR="009F6E91" w:rsidRPr="00D427D8" w:rsidRDefault="009F6E91" w:rsidP="009F6E91">
      <w:pPr>
        <w:pStyle w:val="Body1"/>
      </w:pPr>
      <w:r w:rsidRPr="00D427D8">
        <w:t>The fiscal year of the Issuer is the calendar year and each calendar year ends on 31 December.</w:t>
      </w:r>
    </w:p>
    <w:p w14:paraId="0C28E963" w14:textId="77777777" w:rsidR="009F6E91" w:rsidRPr="00D427D8" w:rsidRDefault="009F6E91" w:rsidP="00EF7333">
      <w:pPr>
        <w:pStyle w:val="Body1"/>
        <w:rPr>
          <w:rStyle w:val="BoldText"/>
        </w:rPr>
      </w:pPr>
      <w:r w:rsidRPr="00D427D8">
        <w:rPr>
          <w:rStyle w:val="BoldText"/>
        </w:rPr>
        <w:t>Interim Reports</w:t>
      </w:r>
    </w:p>
    <w:p w14:paraId="188E2826" w14:textId="77777777" w:rsidR="009F6E91" w:rsidRPr="00D427D8" w:rsidRDefault="009F6E91" w:rsidP="009F6E91">
      <w:pPr>
        <w:pStyle w:val="Body1"/>
      </w:pPr>
      <w:r w:rsidRPr="00D427D8">
        <w:t>The Issuer does not publish interim reports.</w:t>
      </w:r>
    </w:p>
    <w:p w14:paraId="20A70197" w14:textId="77777777" w:rsidR="009F6E91" w:rsidRPr="00D427D8" w:rsidRDefault="009F6E91" w:rsidP="00EF7333">
      <w:pPr>
        <w:pStyle w:val="Body1"/>
        <w:rPr>
          <w:rStyle w:val="BoldText"/>
        </w:rPr>
      </w:pPr>
      <w:r w:rsidRPr="00D427D8">
        <w:rPr>
          <w:rStyle w:val="BoldText"/>
        </w:rPr>
        <w:t>Distribution of Profits</w:t>
      </w:r>
    </w:p>
    <w:p w14:paraId="41F4B1C8" w14:textId="77777777" w:rsidR="009F6E91" w:rsidRPr="00D427D8" w:rsidRDefault="009F6E91" w:rsidP="009F6E91">
      <w:pPr>
        <w:pStyle w:val="Body1"/>
      </w:pPr>
      <w:r w:rsidRPr="00D427D8">
        <w:t>The distribution of profits, if any, is governed by article 22 of the articles of association.</w:t>
      </w:r>
    </w:p>
    <w:p w14:paraId="63551AC6" w14:textId="77777777" w:rsidR="009F6E91" w:rsidRPr="00D427D8" w:rsidRDefault="009F6E91" w:rsidP="00EF7333">
      <w:pPr>
        <w:pStyle w:val="Body1"/>
        <w:rPr>
          <w:rStyle w:val="BoldText"/>
        </w:rPr>
      </w:pPr>
      <w:r w:rsidRPr="00D427D8">
        <w:rPr>
          <w:rStyle w:val="BoldText"/>
        </w:rPr>
        <w:t>Financial Statements</w:t>
      </w:r>
    </w:p>
    <w:p w14:paraId="52F104F5" w14:textId="77777777" w:rsidR="009F6E91" w:rsidRPr="00D427D8" w:rsidRDefault="009F6E91" w:rsidP="009F6E91">
      <w:pPr>
        <w:pStyle w:val="Body1"/>
      </w:pPr>
      <w:r w:rsidRPr="00D427D8">
        <w:t>Audited financial statements will be published by ECARAT DE S.A. on an annual basis.</w:t>
      </w:r>
    </w:p>
    <w:p w14:paraId="0357FB7B" w14:textId="77777777" w:rsidR="009F6E91" w:rsidRPr="00D427D8" w:rsidRDefault="009F6E91" w:rsidP="009F6E91">
      <w:pPr>
        <w:pStyle w:val="Body1"/>
      </w:pPr>
      <w:r w:rsidRPr="00D427D8">
        <w:t>Since its formation, the Issuer made no financial statements other than its opening balance sheet.</w:t>
      </w:r>
    </w:p>
    <w:p w14:paraId="6157544E" w14:textId="0A4714BC" w:rsidR="009F6E91" w:rsidRPr="00D427D8" w:rsidRDefault="009F6E91" w:rsidP="00EF7333">
      <w:pPr>
        <w:pStyle w:val="Body1"/>
        <w:rPr>
          <w:rStyle w:val="BoldText"/>
        </w:rPr>
      </w:pPr>
      <w:r w:rsidRPr="00D427D8">
        <w:rPr>
          <w:rStyle w:val="BoldText"/>
        </w:rPr>
        <w:t>Auditors and Auditor</w:t>
      </w:r>
      <w:r w:rsidR="00EF7333" w:rsidRPr="00D427D8">
        <w:rPr>
          <w:rStyle w:val="BoldText"/>
        </w:rPr>
        <w:t>'</w:t>
      </w:r>
      <w:r w:rsidRPr="00D427D8">
        <w:rPr>
          <w:rStyle w:val="BoldText"/>
        </w:rPr>
        <w:t>s Reports</w:t>
      </w:r>
    </w:p>
    <w:p w14:paraId="6E4A1E22" w14:textId="77777777" w:rsidR="009F6E91" w:rsidRPr="00D427D8" w:rsidRDefault="009F6E91" w:rsidP="009F6E91">
      <w:pPr>
        <w:pStyle w:val="Body1"/>
        <w:rPr>
          <w:lang w:val="en-US"/>
        </w:rPr>
      </w:pPr>
      <w:r w:rsidRPr="00D427D8">
        <w:t>The auditor of the Issuer for the business year 2024 is</w:t>
      </w:r>
      <w:r w:rsidRPr="00D427D8">
        <w:rPr>
          <w:lang w:val="en-US"/>
        </w:rPr>
        <w:t xml:space="preserve"> </w:t>
      </w:r>
      <w:bookmarkStart w:id="66" w:name="_Hlk166058328"/>
      <w:r w:rsidRPr="00D427D8">
        <w:rPr>
          <w:lang w:val="en-US"/>
        </w:rPr>
        <w:t>Ernst &amp; Young S.A. with its registered office at 35E avenue John F. Kennedy, L-1855 Luxembourg, Grand Duchy of Luxembourg</w:t>
      </w:r>
      <w:bookmarkEnd w:id="66"/>
      <w:r w:rsidRPr="00D427D8">
        <w:rPr>
          <w:lang w:val="en-US"/>
        </w:rPr>
        <w:t>.</w:t>
      </w:r>
    </w:p>
    <w:p w14:paraId="2C72EA7A" w14:textId="77777777" w:rsidR="009F6E91" w:rsidRPr="00D427D8" w:rsidRDefault="009F6E91" w:rsidP="00EF7333">
      <w:pPr>
        <w:pStyle w:val="Body1"/>
        <w:rPr>
          <w:szCs w:val="19"/>
          <w:lang w:val="en-US"/>
        </w:rPr>
      </w:pPr>
      <w:r w:rsidRPr="00D427D8">
        <w:rPr>
          <w:lang w:val="en-US"/>
        </w:rPr>
        <w:br w:type="page"/>
      </w:r>
    </w:p>
    <w:p w14:paraId="4F9A01FE" w14:textId="77777777" w:rsidR="009F6E91" w:rsidRPr="00D427D8" w:rsidRDefault="009F6E91" w:rsidP="00EF7333">
      <w:pPr>
        <w:pStyle w:val="Body1"/>
        <w:rPr>
          <w:rStyle w:val="Heading1Text"/>
        </w:rPr>
      </w:pPr>
      <w:r w:rsidRPr="00D427D8">
        <w:rPr>
          <w:rStyle w:val="Heading1Text"/>
        </w:rPr>
        <w:lastRenderedPageBreak/>
        <w:t>Other Parties</w:t>
      </w:r>
    </w:p>
    <w:p w14:paraId="624B458A" w14:textId="4F7C478F" w:rsidR="009F6E91" w:rsidRPr="00D427D8" w:rsidRDefault="009F6E91" w:rsidP="009F6E91">
      <w:pPr>
        <w:pStyle w:val="Body1"/>
      </w:pPr>
      <w:r w:rsidRPr="00D427D8">
        <w:t xml:space="preserve">A description of the Transaction Parties, other than the Issuer (a description of whom is set out above) and the Seller and the Servicer (description of whom are set out below under </w:t>
      </w:r>
      <w:r w:rsidR="00EF7333" w:rsidRPr="00D427D8">
        <w:t>"</w:t>
      </w:r>
      <w:r w:rsidR="00B12D53" w:rsidRPr="00D427D8">
        <w:rPr>
          <w:i/>
          <w:szCs w:val="19"/>
        </w:rPr>
        <w:t>The Seller and  the Servicer</w:t>
      </w:r>
      <w:r w:rsidR="00EF7333" w:rsidRPr="00D427D8">
        <w:t>"</w:t>
      </w:r>
      <w:r w:rsidRPr="00D427D8">
        <w:t>), is set out below.</w:t>
      </w:r>
    </w:p>
    <w:tbl>
      <w:tblPr>
        <w:tblW w:w="0" w:type="auto"/>
        <w:tblCellMar>
          <w:left w:w="10" w:type="dxa"/>
          <w:right w:w="10" w:type="dxa"/>
        </w:tblCellMar>
        <w:tblLook w:val="04A0" w:firstRow="1" w:lastRow="0" w:firstColumn="1" w:lastColumn="0" w:noHBand="0" w:noVBand="1"/>
      </w:tblPr>
      <w:tblGrid>
        <w:gridCol w:w="2255"/>
        <w:gridCol w:w="1998"/>
        <w:gridCol w:w="2693"/>
        <w:gridCol w:w="2125"/>
      </w:tblGrid>
      <w:tr w:rsidR="009F6E91" w:rsidRPr="00D427D8" w14:paraId="679899D1" w14:textId="77777777" w:rsidTr="0030287E">
        <w:tc>
          <w:tcPr>
            <w:tcW w:w="2255" w:type="dxa"/>
          </w:tcPr>
          <w:p w14:paraId="7CB797EB" w14:textId="1D03C766" w:rsidR="009F6E91" w:rsidRPr="00D427D8" w:rsidRDefault="007076F0" w:rsidP="007076F0">
            <w:pPr>
              <w:pStyle w:val="Body1"/>
              <w:rPr>
                <w:rStyle w:val="BoldItalicText"/>
              </w:rPr>
            </w:pPr>
            <w:r w:rsidRPr="00D427D8">
              <w:rPr>
                <w:rStyle w:val="BoldItalicText"/>
              </w:rPr>
              <w:t>Party</w:t>
            </w:r>
          </w:p>
        </w:tc>
        <w:tc>
          <w:tcPr>
            <w:tcW w:w="1998" w:type="dxa"/>
          </w:tcPr>
          <w:p w14:paraId="2A4C1BF1" w14:textId="3D00772D" w:rsidR="009F6E91" w:rsidRPr="00D427D8" w:rsidRDefault="007076F0" w:rsidP="007076F0">
            <w:pPr>
              <w:pStyle w:val="Body1"/>
              <w:rPr>
                <w:rStyle w:val="BoldItalicText"/>
              </w:rPr>
            </w:pPr>
            <w:r w:rsidRPr="00D427D8">
              <w:rPr>
                <w:rStyle w:val="BoldItalicText"/>
              </w:rPr>
              <w:t>Name</w:t>
            </w:r>
          </w:p>
        </w:tc>
        <w:tc>
          <w:tcPr>
            <w:tcW w:w="2693" w:type="dxa"/>
          </w:tcPr>
          <w:p w14:paraId="44D8B2E9" w14:textId="3831A463" w:rsidR="009F6E91" w:rsidRPr="00D427D8" w:rsidRDefault="007076F0" w:rsidP="007076F0">
            <w:pPr>
              <w:pStyle w:val="Body1"/>
              <w:rPr>
                <w:rStyle w:val="BoldItalicText"/>
              </w:rPr>
            </w:pPr>
            <w:r w:rsidRPr="00D427D8">
              <w:rPr>
                <w:rStyle w:val="BoldItalicText"/>
              </w:rPr>
              <w:t>Responsibilities</w:t>
            </w:r>
          </w:p>
        </w:tc>
        <w:tc>
          <w:tcPr>
            <w:tcW w:w="2125" w:type="dxa"/>
          </w:tcPr>
          <w:p w14:paraId="48545DA0" w14:textId="468D9542" w:rsidR="009F6E91" w:rsidRPr="00D427D8" w:rsidRDefault="007076F0" w:rsidP="007076F0">
            <w:pPr>
              <w:pStyle w:val="Body1"/>
              <w:rPr>
                <w:rStyle w:val="BoldItalicText"/>
              </w:rPr>
            </w:pPr>
            <w:r w:rsidRPr="00D427D8">
              <w:rPr>
                <w:rStyle w:val="BoldItalicText"/>
              </w:rPr>
              <w:t>Place of incorporation/</w:t>
            </w:r>
            <w:r w:rsidRPr="00D427D8">
              <w:rPr>
                <w:rStyle w:val="BoldItalicText"/>
              </w:rPr>
              <w:br/>
              <w:t>Company numbers</w:t>
            </w:r>
          </w:p>
        </w:tc>
      </w:tr>
      <w:tr w:rsidR="009F6E91" w:rsidRPr="00D427D8" w14:paraId="5F05AFAD" w14:textId="77777777" w:rsidTr="0030287E">
        <w:tc>
          <w:tcPr>
            <w:tcW w:w="2255" w:type="dxa"/>
          </w:tcPr>
          <w:p w14:paraId="6451C6D5" w14:textId="77777777" w:rsidR="009F6E91" w:rsidRPr="00D427D8" w:rsidRDefault="009F6E91" w:rsidP="00245836">
            <w:pPr>
              <w:jc w:val="left"/>
              <w:rPr>
                <w:b/>
                <w:szCs w:val="19"/>
              </w:rPr>
            </w:pPr>
            <w:r w:rsidRPr="00D427D8">
              <w:rPr>
                <w:b/>
                <w:szCs w:val="19"/>
              </w:rPr>
              <w:t>Seller and Servicer</w:t>
            </w:r>
          </w:p>
        </w:tc>
        <w:tc>
          <w:tcPr>
            <w:tcW w:w="1998" w:type="dxa"/>
          </w:tcPr>
          <w:p w14:paraId="3045C667" w14:textId="77777777" w:rsidR="009F6E91" w:rsidRPr="00D427D8" w:rsidRDefault="009F6E91" w:rsidP="00306F41">
            <w:pPr>
              <w:jc w:val="left"/>
              <w:rPr>
                <w:szCs w:val="19"/>
                <w:lang w:val="en-US"/>
              </w:rPr>
            </w:pPr>
            <w:r w:rsidRPr="00D427D8">
              <w:rPr>
                <w:szCs w:val="19"/>
                <w:lang w:val="en-US"/>
              </w:rPr>
              <w:t>Stellantis Bank, German branch</w:t>
            </w:r>
          </w:p>
        </w:tc>
        <w:tc>
          <w:tcPr>
            <w:tcW w:w="2693" w:type="dxa"/>
          </w:tcPr>
          <w:p w14:paraId="7FD91BE8" w14:textId="6DD21269" w:rsidR="009F6E91" w:rsidRPr="00D427D8" w:rsidRDefault="009F6E91" w:rsidP="0030287E">
            <w:pPr>
              <w:jc w:val="left"/>
              <w:rPr>
                <w:szCs w:val="19"/>
              </w:rPr>
            </w:pPr>
            <w:r w:rsidRPr="00D427D8">
              <w:rPr>
                <w:szCs w:val="19"/>
              </w:rPr>
              <w:t xml:space="preserve">See </w:t>
            </w:r>
            <w:r w:rsidR="00EF7333" w:rsidRPr="00D427D8">
              <w:rPr>
                <w:szCs w:val="19"/>
              </w:rPr>
              <w:t>"</w:t>
            </w:r>
            <w:r w:rsidR="00B12D53" w:rsidRPr="00D427D8">
              <w:rPr>
                <w:i/>
                <w:szCs w:val="19"/>
              </w:rPr>
              <w:t>The Seller and  the Servicer</w:t>
            </w:r>
            <w:r w:rsidR="00EF7333" w:rsidRPr="00D427D8">
              <w:rPr>
                <w:szCs w:val="19"/>
              </w:rPr>
              <w:t>"</w:t>
            </w:r>
            <w:r w:rsidRPr="00D427D8">
              <w:rPr>
                <w:szCs w:val="19"/>
              </w:rPr>
              <w:t xml:space="preserve"> below.</w:t>
            </w:r>
            <w:r w:rsidRPr="00D427D8">
              <w:rPr>
                <w:rFonts w:asciiTheme="minorHAnsi" w:hAnsiTheme="minorHAnsi" w:cstheme="minorHAnsi"/>
                <w:szCs w:val="19"/>
              </w:rPr>
              <w:br/>
            </w:r>
          </w:p>
        </w:tc>
        <w:tc>
          <w:tcPr>
            <w:tcW w:w="2125" w:type="dxa"/>
          </w:tcPr>
          <w:p w14:paraId="47107FDA" w14:textId="77777777" w:rsidR="009F6E91" w:rsidRPr="00D427D8" w:rsidRDefault="009F6E91" w:rsidP="00245836">
            <w:pPr>
              <w:jc w:val="left"/>
              <w:rPr>
                <w:szCs w:val="19"/>
              </w:rPr>
            </w:pPr>
            <w:r w:rsidRPr="00D427D8">
              <w:rPr>
                <w:szCs w:val="19"/>
              </w:rPr>
              <w:t>France, RCS Versailles 562 068 684</w:t>
            </w:r>
          </w:p>
        </w:tc>
      </w:tr>
      <w:tr w:rsidR="009F6E91" w:rsidRPr="00D427D8" w14:paraId="48A45A8A" w14:textId="77777777" w:rsidTr="0030287E">
        <w:tc>
          <w:tcPr>
            <w:tcW w:w="2255" w:type="dxa"/>
          </w:tcPr>
          <w:p w14:paraId="783165BF" w14:textId="77777777" w:rsidR="009F6E91" w:rsidRPr="00D427D8" w:rsidRDefault="009F6E91" w:rsidP="007F0339">
            <w:pPr>
              <w:jc w:val="left"/>
              <w:rPr>
                <w:b/>
                <w:szCs w:val="19"/>
              </w:rPr>
            </w:pPr>
            <w:r w:rsidRPr="00D427D8">
              <w:rPr>
                <w:b/>
                <w:szCs w:val="19"/>
              </w:rPr>
              <w:t>Corporate Services Provider</w:t>
            </w:r>
          </w:p>
          <w:p w14:paraId="1A1951CA" w14:textId="77777777" w:rsidR="009F6E91" w:rsidRPr="00D427D8" w:rsidRDefault="009F6E91" w:rsidP="007F0339">
            <w:pPr>
              <w:jc w:val="left"/>
              <w:rPr>
                <w:rFonts w:asciiTheme="minorHAnsi" w:hAnsiTheme="minorHAnsi" w:cstheme="minorHAnsi"/>
                <w:b/>
                <w:szCs w:val="19"/>
              </w:rPr>
            </w:pPr>
          </w:p>
        </w:tc>
        <w:tc>
          <w:tcPr>
            <w:tcW w:w="1998" w:type="dxa"/>
          </w:tcPr>
          <w:p w14:paraId="58638088" w14:textId="3BDB5A91" w:rsidR="009F6E91" w:rsidRPr="00D427D8" w:rsidRDefault="009C2F1E" w:rsidP="007F0339">
            <w:pPr>
              <w:jc w:val="left"/>
              <w:rPr>
                <w:szCs w:val="19"/>
                <w:lang w:val="fr-FR"/>
              </w:rPr>
            </w:pPr>
            <w:r w:rsidRPr="00D427D8">
              <w:rPr>
                <w:lang w:val="fr-FR"/>
              </w:rPr>
              <w:t>CSC Global Solutions (Luxembourg) S.à r.l.</w:t>
            </w:r>
          </w:p>
        </w:tc>
        <w:tc>
          <w:tcPr>
            <w:tcW w:w="2693" w:type="dxa"/>
          </w:tcPr>
          <w:p w14:paraId="7C46CC8D" w14:textId="77777777" w:rsidR="009F6E91" w:rsidRPr="00D427D8" w:rsidRDefault="009F6E91" w:rsidP="0030287E">
            <w:pPr>
              <w:pStyle w:val="Body1"/>
              <w:jc w:val="left"/>
              <w:rPr>
                <w:szCs w:val="19"/>
              </w:rPr>
            </w:pPr>
            <w:r w:rsidRPr="00D427D8">
              <w:t>See a description of the Corporate Services Provider in the description of the Issuer</w:t>
            </w:r>
          </w:p>
        </w:tc>
        <w:tc>
          <w:tcPr>
            <w:tcW w:w="2125" w:type="dxa"/>
          </w:tcPr>
          <w:p w14:paraId="432233AF" w14:textId="77777777" w:rsidR="009F6E91" w:rsidRPr="00D427D8" w:rsidRDefault="009F6E91" w:rsidP="007F0339">
            <w:pPr>
              <w:jc w:val="left"/>
            </w:pPr>
            <w:r w:rsidRPr="00D427D8">
              <w:t>28 Boulevard F.W. Raiffeisen, L-2411 Luxembourg, Grand Duchy of Luxembourg</w:t>
            </w:r>
          </w:p>
          <w:p w14:paraId="1225A129" w14:textId="77777777" w:rsidR="009F6E91" w:rsidRPr="00D427D8" w:rsidRDefault="009F6E91" w:rsidP="007F0339">
            <w:pPr>
              <w:jc w:val="left"/>
              <w:rPr>
                <w:szCs w:val="19"/>
              </w:rPr>
            </w:pPr>
          </w:p>
        </w:tc>
      </w:tr>
      <w:tr w:rsidR="009F6E91" w:rsidRPr="00D427D8" w14:paraId="7275C312" w14:textId="77777777" w:rsidTr="0030287E">
        <w:tc>
          <w:tcPr>
            <w:tcW w:w="2255" w:type="dxa"/>
          </w:tcPr>
          <w:p w14:paraId="64324642" w14:textId="77777777" w:rsidR="009F6E91" w:rsidRPr="00D427D8" w:rsidRDefault="009F6E91" w:rsidP="007F0339">
            <w:pPr>
              <w:jc w:val="left"/>
              <w:rPr>
                <w:b/>
                <w:szCs w:val="19"/>
              </w:rPr>
            </w:pPr>
            <w:r w:rsidRPr="00D427D8">
              <w:rPr>
                <w:b/>
                <w:szCs w:val="19"/>
              </w:rPr>
              <w:t>Back-up Servicer Facilitator</w:t>
            </w:r>
          </w:p>
          <w:p w14:paraId="77BE41EB" w14:textId="77777777" w:rsidR="009F6E91" w:rsidRPr="00D427D8" w:rsidRDefault="009F6E91" w:rsidP="007F0339">
            <w:pPr>
              <w:jc w:val="left"/>
              <w:rPr>
                <w:rFonts w:asciiTheme="minorHAnsi" w:hAnsiTheme="minorHAnsi" w:cstheme="minorHAnsi"/>
                <w:b/>
                <w:szCs w:val="19"/>
              </w:rPr>
            </w:pPr>
          </w:p>
        </w:tc>
        <w:tc>
          <w:tcPr>
            <w:tcW w:w="1998" w:type="dxa"/>
          </w:tcPr>
          <w:p w14:paraId="58F3BC72" w14:textId="77777777" w:rsidR="009F6E91" w:rsidRPr="00D427D8" w:rsidRDefault="009F6E91" w:rsidP="007F0339">
            <w:pPr>
              <w:jc w:val="left"/>
              <w:rPr>
                <w:szCs w:val="19"/>
                <w:lang w:val="en-US"/>
              </w:rPr>
            </w:pPr>
            <w:r w:rsidRPr="00D427D8">
              <w:rPr>
                <w:szCs w:val="19"/>
                <w:lang w:val="en-US"/>
              </w:rPr>
              <w:t>CSC Administrative Services (Netherlands) B.V.</w:t>
            </w:r>
          </w:p>
        </w:tc>
        <w:tc>
          <w:tcPr>
            <w:tcW w:w="2693" w:type="dxa"/>
          </w:tcPr>
          <w:p w14:paraId="199146CB" w14:textId="77777777" w:rsidR="009F6E91" w:rsidRPr="00D427D8" w:rsidRDefault="009F6E91" w:rsidP="0030287E">
            <w:pPr>
              <w:pStyle w:val="Body1"/>
              <w:jc w:val="left"/>
              <w:rPr>
                <w:szCs w:val="19"/>
              </w:rPr>
            </w:pPr>
            <w:r w:rsidRPr="00D427D8">
              <w:t>See a description of the responsibilities of the Back-up Servicer Facilitator in the description of the Servicing Agreement</w:t>
            </w:r>
          </w:p>
        </w:tc>
        <w:tc>
          <w:tcPr>
            <w:tcW w:w="2125" w:type="dxa"/>
          </w:tcPr>
          <w:p w14:paraId="7555AA5E" w14:textId="77777777" w:rsidR="009F6E91" w:rsidRPr="00D427D8" w:rsidRDefault="009F6E91" w:rsidP="007F0339">
            <w:pPr>
              <w:jc w:val="left"/>
              <w:rPr>
                <w:szCs w:val="19"/>
              </w:rPr>
            </w:pPr>
            <w:r w:rsidRPr="00D427D8">
              <w:rPr>
                <w:szCs w:val="19"/>
              </w:rPr>
              <w:t>Basisweg 10, 1043AP Amstedam, Netherlands</w:t>
            </w:r>
          </w:p>
        </w:tc>
      </w:tr>
      <w:tr w:rsidR="009F6E91" w:rsidRPr="001C3D25" w14:paraId="7EFE468A" w14:textId="77777777" w:rsidTr="0030287E">
        <w:tc>
          <w:tcPr>
            <w:tcW w:w="2255" w:type="dxa"/>
            <w:tcBorders>
              <w:bottom w:val="nil"/>
            </w:tcBorders>
          </w:tcPr>
          <w:p w14:paraId="2AC96B2C" w14:textId="77777777" w:rsidR="009F6E91" w:rsidRPr="00D427D8" w:rsidRDefault="009F6E91" w:rsidP="00F557EC">
            <w:pPr>
              <w:jc w:val="left"/>
              <w:rPr>
                <w:b/>
                <w:szCs w:val="19"/>
              </w:rPr>
            </w:pPr>
            <w:r w:rsidRPr="00D427D8">
              <w:rPr>
                <w:b/>
                <w:szCs w:val="19"/>
              </w:rPr>
              <w:t>Collateral Agent</w:t>
            </w:r>
          </w:p>
        </w:tc>
        <w:tc>
          <w:tcPr>
            <w:tcW w:w="1998" w:type="dxa"/>
            <w:tcBorders>
              <w:bottom w:val="nil"/>
            </w:tcBorders>
          </w:tcPr>
          <w:p w14:paraId="0C21448A" w14:textId="77777777" w:rsidR="009F6E91" w:rsidRPr="00D427D8" w:rsidRDefault="009F6E91" w:rsidP="00F557EC">
            <w:pPr>
              <w:jc w:val="left"/>
              <w:rPr>
                <w:szCs w:val="19"/>
                <w:lang w:val="en-US"/>
              </w:rPr>
            </w:pPr>
            <w:r w:rsidRPr="00D427D8">
              <w:rPr>
                <w:szCs w:val="19"/>
              </w:rPr>
              <w:t>CSC Trustees GmbH</w:t>
            </w:r>
          </w:p>
        </w:tc>
        <w:tc>
          <w:tcPr>
            <w:tcW w:w="2693" w:type="dxa"/>
            <w:tcBorders>
              <w:bottom w:val="nil"/>
            </w:tcBorders>
          </w:tcPr>
          <w:p w14:paraId="734F1588" w14:textId="77777777" w:rsidR="009F6E91" w:rsidRPr="00D427D8" w:rsidRDefault="009F6E91" w:rsidP="0030287E">
            <w:pPr>
              <w:pStyle w:val="Body1"/>
              <w:jc w:val="left"/>
              <w:rPr>
                <w:szCs w:val="19"/>
              </w:rPr>
            </w:pPr>
            <w:r w:rsidRPr="00D427D8">
              <w:t>See a description of the responsibilities of the Collateral Agent in the description of the Collateral Agency Agreement.</w:t>
            </w:r>
          </w:p>
        </w:tc>
        <w:tc>
          <w:tcPr>
            <w:tcW w:w="2125" w:type="dxa"/>
            <w:tcBorders>
              <w:bottom w:val="nil"/>
            </w:tcBorders>
          </w:tcPr>
          <w:p w14:paraId="3BF9F379" w14:textId="77777777" w:rsidR="009F6E91" w:rsidRPr="00D427D8" w:rsidRDefault="009F6E91" w:rsidP="00F557EC">
            <w:pPr>
              <w:jc w:val="left"/>
              <w:rPr>
                <w:szCs w:val="19"/>
                <w:lang w:val="de-DE"/>
              </w:rPr>
            </w:pPr>
            <w:r w:rsidRPr="00D427D8">
              <w:rPr>
                <w:szCs w:val="19"/>
                <w:lang w:val="de-DE"/>
              </w:rPr>
              <w:t>Eschersheimer Landstraße 14, 60322 Frankfurt am Main, Germany</w:t>
            </w:r>
          </w:p>
        </w:tc>
      </w:tr>
      <w:tr w:rsidR="009F6E91" w:rsidRPr="00D427D8" w14:paraId="6CB51713" w14:textId="77777777" w:rsidTr="0030287E">
        <w:tc>
          <w:tcPr>
            <w:tcW w:w="2255" w:type="dxa"/>
          </w:tcPr>
          <w:p w14:paraId="7BE51750" w14:textId="77777777" w:rsidR="009F6E91" w:rsidRPr="00D427D8" w:rsidRDefault="009F6E91" w:rsidP="00446DB3">
            <w:pPr>
              <w:jc w:val="left"/>
              <w:rPr>
                <w:b/>
                <w:szCs w:val="19"/>
              </w:rPr>
            </w:pPr>
            <w:r w:rsidRPr="00D427D8">
              <w:rPr>
                <w:b/>
                <w:szCs w:val="19"/>
              </w:rPr>
              <w:t>ER Collateral Agent</w:t>
            </w:r>
          </w:p>
        </w:tc>
        <w:tc>
          <w:tcPr>
            <w:tcW w:w="1998" w:type="dxa"/>
          </w:tcPr>
          <w:p w14:paraId="1EBC4995" w14:textId="77777777" w:rsidR="009F6E91" w:rsidRPr="00D427D8" w:rsidRDefault="009F6E91" w:rsidP="00446DB3">
            <w:pPr>
              <w:jc w:val="left"/>
              <w:rPr>
                <w:szCs w:val="19"/>
                <w:lang w:val="en-US"/>
              </w:rPr>
            </w:pPr>
            <w:r w:rsidRPr="00D427D8">
              <w:rPr>
                <w:szCs w:val="19"/>
              </w:rPr>
              <w:t>CSC Trustees Limited</w:t>
            </w:r>
          </w:p>
        </w:tc>
        <w:tc>
          <w:tcPr>
            <w:tcW w:w="2693" w:type="dxa"/>
          </w:tcPr>
          <w:p w14:paraId="385F93CC" w14:textId="77777777" w:rsidR="009F6E91" w:rsidRPr="00D427D8" w:rsidRDefault="009F6E91" w:rsidP="0030287E">
            <w:pPr>
              <w:pStyle w:val="Body1"/>
              <w:jc w:val="left"/>
              <w:rPr>
                <w:szCs w:val="19"/>
              </w:rPr>
            </w:pPr>
            <w:r w:rsidRPr="00D427D8">
              <w:t>See a description of the responsibilities of the ER Collateral Agent in the description of the ER Collateral Agency Agreement.</w:t>
            </w:r>
          </w:p>
        </w:tc>
        <w:tc>
          <w:tcPr>
            <w:tcW w:w="2125" w:type="dxa"/>
          </w:tcPr>
          <w:p w14:paraId="45B5DB91" w14:textId="77777777" w:rsidR="009F6E91" w:rsidRPr="00D427D8" w:rsidRDefault="009F6E91" w:rsidP="00446DB3">
            <w:pPr>
              <w:jc w:val="left"/>
              <w:rPr>
                <w:szCs w:val="19"/>
              </w:rPr>
            </w:pPr>
            <w:r w:rsidRPr="00D427D8">
              <w:rPr>
                <w:szCs w:val="19"/>
              </w:rPr>
              <w:t>10th Floor, 5 Churchill Place, London E14 5HU, United Kingdom</w:t>
            </w:r>
          </w:p>
        </w:tc>
      </w:tr>
      <w:tr w:rsidR="009F6E91" w:rsidRPr="00D427D8" w14:paraId="2AD4AD80" w14:textId="77777777" w:rsidTr="0030287E">
        <w:tc>
          <w:tcPr>
            <w:tcW w:w="2255" w:type="dxa"/>
            <w:tcBorders>
              <w:top w:val="nil"/>
              <w:left w:val="nil"/>
              <w:bottom w:val="nil"/>
            </w:tcBorders>
          </w:tcPr>
          <w:p w14:paraId="7A432617" w14:textId="77777777" w:rsidR="009F6E91" w:rsidRPr="00D427D8" w:rsidRDefault="009F6E91" w:rsidP="00245836">
            <w:pPr>
              <w:jc w:val="left"/>
              <w:rPr>
                <w:b/>
                <w:szCs w:val="19"/>
              </w:rPr>
            </w:pPr>
            <w:r w:rsidRPr="00D427D8">
              <w:rPr>
                <w:b/>
                <w:szCs w:val="19"/>
              </w:rPr>
              <w:t>Subordinated Lender</w:t>
            </w:r>
          </w:p>
        </w:tc>
        <w:tc>
          <w:tcPr>
            <w:tcW w:w="1998" w:type="dxa"/>
            <w:tcBorders>
              <w:top w:val="nil"/>
              <w:bottom w:val="nil"/>
            </w:tcBorders>
          </w:tcPr>
          <w:p w14:paraId="7D1939A9" w14:textId="77777777" w:rsidR="009F6E91" w:rsidRPr="00D427D8" w:rsidRDefault="009F6E91" w:rsidP="00306F41">
            <w:pPr>
              <w:jc w:val="left"/>
              <w:rPr>
                <w:szCs w:val="19"/>
                <w:lang w:val="de-DE"/>
              </w:rPr>
            </w:pPr>
            <w:r w:rsidRPr="00D427D8">
              <w:rPr>
                <w:szCs w:val="19"/>
                <w:lang w:val="de-DE"/>
              </w:rPr>
              <w:t>Stellantis Bank, German branch</w:t>
            </w:r>
          </w:p>
        </w:tc>
        <w:tc>
          <w:tcPr>
            <w:tcW w:w="2693" w:type="dxa"/>
            <w:tcBorders>
              <w:top w:val="nil"/>
              <w:bottom w:val="nil"/>
              <w:right w:val="nil"/>
            </w:tcBorders>
          </w:tcPr>
          <w:p w14:paraId="4BC60B98" w14:textId="55692EC6" w:rsidR="009F6E91" w:rsidRPr="00D427D8" w:rsidRDefault="009F6E91" w:rsidP="0030287E">
            <w:pPr>
              <w:pStyle w:val="Body1"/>
              <w:jc w:val="left"/>
              <w:rPr>
                <w:szCs w:val="19"/>
              </w:rPr>
            </w:pPr>
            <w:r w:rsidRPr="00D427D8">
              <w:rPr>
                <w:szCs w:val="19"/>
              </w:rPr>
              <w:t>See a description of the responsibilities of the Subordinated Lender in the description of the Subordinated Loan Agreement.</w:t>
            </w:r>
          </w:p>
        </w:tc>
        <w:tc>
          <w:tcPr>
            <w:tcW w:w="2125" w:type="dxa"/>
            <w:tcBorders>
              <w:top w:val="nil"/>
              <w:left w:val="nil"/>
              <w:bottom w:val="nil"/>
              <w:right w:val="nil"/>
            </w:tcBorders>
          </w:tcPr>
          <w:p w14:paraId="07B7A229" w14:textId="77777777" w:rsidR="009F6E91" w:rsidRPr="00D427D8" w:rsidRDefault="009F6E91" w:rsidP="00245836">
            <w:pPr>
              <w:jc w:val="left"/>
              <w:rPr>
                <w:szCs w:val="19"/>
              </w:rPr>
            </w:pPr>
            <w:r w:rsidRPr="00D427D8">
              <w:rPr>
                <w:szCs w:val="19"/>
              </w:rPr>
              <w:t xml:space="preserve">France, </w:t>
            </w:r>
            <w:r w:rsidRPr="00D427D8">
              <w:rPr>
                <w:szCs w:val="19"/>
              </w:rPr>
              <w:br/>
              <w:t>RCS Versailles 562 068 684</w:t>
            </w:r>
          </w:p>
        </w:tc>
      </w:tr>
      <w:tr w:rsidR="009F6E91" w:rsidRPr="00D427D8" w14:paraId="30E0BDFB" w14:textId="77777777" w:rsidTr="0030287E">
        <w:tc>
          <w:tcPr>
            <w:tcW w:w="2255" w:type="dxa"/>
            <w:tcBorders>
              <w:top w:val="nil"/>
              <w:left w:val="nil"/>
              <w:bottom w:val="nil"/>
            </w:tcBorders>
          </w:tcPr>
          <w:p w14:paraId="3C10E097" w14:textId="77777777" w:rsidR="009F6E91" w:rsidRPr="00D427D8" w:rsidRDefault="009F6E91" w:rsidP="00056856">
            <w:pPr>
              <w:jc w:val="left"/>
              <w:rPr>
                <w:b/>
                <w:szCs w:val="19"/>
              </w:rPr>
            </w:pPr>
            <w:r w:rsidRPr="00D427D8">
              <w:rPr>
                <w:b/>
                <w:szCs w:val="19"/>
              </w:rPr>
              <w:t>Lender</w:t>
            </w:r>
          </w:p>
        </w:tc>
        <w:tc>
          <w:tcPr>
            <w:tcW w:w="1998" w:type="dxa"/>
            <w:tcBorders>
              <w:top w:val="nil"/>
              <w:bottom w:val="nil"/>
            </w:tcBorders>
          </w:tcPr>
          <w:p w14:paraId="6E84D991" w14:textId="77777777" w:rsidR="009F6E91" w:rsidRPr="00D427D8" w:rsidRDefault="009F6E91" w:rsidP="00056856">
            <w:pPr>
              <w:jc w:val="left"/>
              <w:rPr>
                <w:szCs w:val="19"/>
                <w:lang w:val="de-DE"/>
              </w:rPr>
            </w:pPr>
            <w:r w:rsidRPr="00D427D8">
              <w:rPr>
                <w:szCs w:val="19"/>
                <w:lang w:val="de-DE"/>
              </w:rPr>
              <w:t>Stellantis Bank, German branch</w:t>
            </w:r>
          </w:p>
        </w:tc>
        <w:tc>
          <w:tcPr>
            <w:tcW w:w="2693" w:type="dxa"/>
            <w:tcBorders>
              <w:top w:val="nil"/>
              <w:bottom w:val="nil"/>
              <w:right w:val="nil"/>
            </w:tcBorders>
          </w:tcPr>
          <w:p w14:paraId="799B9246" w14:textId="165BA8D8" w:rsidR="009F6E91" w:rsidRPr="00D427D8" w:rsidRDefault="009F6E91" w:rsidP="0030287E">
            <w:pPr>
              <w:pStyle w:val="Body1"/>
              <w:jc w:val="left"/>
              <w:rPr>
                <w:szCs w:val="19"/>
              </w:rPr>
            </w:pPr>
            <w:r w:rsidRPr="00D427D8">
              <w:rPr>
                <w:szCs w:val="19"/>
              </w:rPr>
              <w:t>See a description of the responsibilities of the Lender in the description of the VAT Bridge Loan Agreement.</w:t>
            </w:r>
          </w:p>
        </w:tc>
        <w:tc>
          <w:tcPr>
            <w:tcW w:w="2125" w:type="dxa"/>
            <w:tcBorders>
              <w:top w:val="nil"/>
              <w:left w:val="nil"/>
              <w:bottom w:val="nil"/>
              <w:right w:val="nil"/>
            </w:tcBorders>
          </w:tcPr>
          <w:p w14:paraId="60477858" w14:textId="77777777" w:rsidR="009F6E91" w:rsidRPr="00D427D8" w:rsidRDefault="009F6E91" w:rsidP="00056856">
            <w:pPr>
              <w:jc w:val="left"/>
              <w:rPr>
                <w:szCs w:val="19"/>
              </w:rPr>
            </w:pPr>
            <w:r w:rsidRPr="00D427D8">
              <w:rPr>
                <w:szCs w:val="19"/>
              </w:rPr>
              <w:t xml:space="preserve">France, </w:t>
            </w:r>
            <w:r w:rsidRPr="00D427D8">
              <w:rPr>
                <w:szCs w:val="19"/>
              </w:rPr>
              <w:br/>
              <w:t>RCS Versailles 562 068 684</w:t>
            </w:r>
          </w:p>
        </w:tc>
      </w:tr>
      <w:tr w:rsidR="009F6E91" w:rsidRPr="00D427D8" w14:paraId="740A0A76" w14:textId="77777777" w:rsidTr="0030287E">
        <w:tc>
          <w:tcPr>
            <w:tcW w:w="2255" w:type="dxa"/>
            <w:tcBorders>
              <w:top w:val="nil"/>
              <w:left w:val="nil"/>
              <w:bottom w:val="nil"/>
            </w:tcBorders>
          </w:tcPr>
          <w:p w14:paraId="38E5233F" w14:textId="77777777" w:rsidR="009F6E91" w:rsidRPr="00D427D8" w:rsidRDefault="009F6E91" w:rsidP="00056856">
            <w:pPr>
              <w:jc w:val="left"/>
              <w:rPr>
                <w:b/>
                <w:szCs w:val="19"/>
              </w:rPr>
            </w:pPr>
            <w:r w:rsidRPr="00D427D8">
              <w:rPr>
                <w:b/>
                <w:szCs w:val="19"/>
              </w:rPr>
              <w:t>Account Bank</w:t>
            </w:r>
          </w:p>
        </w:tc>
        <w:tc>
          <w:tcPr>
            <w:tcW w:w="1998" w:type="dxa"/>
            <w:tcBorders>
              <w:top w:val="nil"/>
              <w:bottom w:val="nil"/>
            </w:tcBorders>
          </w:tcPr>
          <w:p w14:paraId="4985F24A" w14:textId="77777777" w:rsidR="009F6E91" w:rsidRPr="00D427D8" w:rsidRDefault="009F6E91" w:rsidP="00056856">
            <w:pPr>
              <w:jc w:val="left"/>
              <w:rPr>
                <w:szCs w:val="19"/>
              </w:rPr>
            </w:pPr>
            <w:r w:rsidRPr="00D427D8">
              <w:rPr>
                <w:szCs w:val="19"/>
              </w:rPr>
              <w:t>BNP Paribas, Germany Branch</w:t>
            </w:r>
          </w:p>
        </w:tc>
        <w:tc>
          <w:tcPr>
            <w:tcW w:w="2693" w:type="dxa"/>
            <w:tcBorders>
              <w:top w:val="nil"/>
              <w:bottom w:val="nil"/>
              <w:right w:val="nil"/>
            </w:tcBorders>
          </w:tcPr>
          <w:p w14:paraId="32ACE8E2" w14:textId="77777777" w:rsidR="009F6E91" w:rsidRPr="00D427D8" w:rsidRDefault="009F6E91" w:rsidP="0030287E">
            <w:pPr>
              <w:pStyle w:val="Body1"/>
              <w:jc w:val="left"/>
              <w:rPr>
                <w:szCs w:val="19"/>
              </w:rPr>
            </w:pPr>
            <w:r w:rsidRPr="00D427D8">
              <w:rPr>
                <w:szCs w:val="19"/>
              </w:rPr>
              <w:t>See a description of the responsibilities of the Account Bank in the description of the Account Bank Agreement.</w:t>
            </w:r>
            <w:r w:rsidRPr="00D427D8">
              <w:rPr>
                <w:rFonts w:asciiTheme="minorHAnsi" w:hAnsiTheme="minorHAnsi" w:cstheme="minorHAnsi"/>
                <w:szCs w:val="19"/>
              </w:rPr>
              <w:br/>
            </w:r>
          </w:p>
        </w:tc>
        <w:tc>
          <w:tcPr>
            <w:tcW w:w="2125" w:type="dxa"/>
            <w:tcBorders>
              <w:top w:val="nil"/>
              <w:left w:val="nil"/>
              <w:bottom w:val="nil"/>
              <w:right w:val="nil"/>
            </w:tcBorders>
          </w:tcPr>
          <w:p w14:paraId="2E6F0470" w14:textId="77777777" w:rsidR="009F6E91" w:rsidRPr="00D427D8" w:rsidRDefault="009F6E91" w:rsidP="00056856">
            <w:pPr>
              <w:jc w:val="left"/>
              <w:rPr>
                <w:szCs w:val="19"/>
              </w:rPr>
            </w:pPr>
            <w:r w:rsidRPr="00D427D8">
              <w:rPr>
                <w:szCs w:val="19"/>
              </w:rPr>
              <w:t>Senckenberganlage 19, D-60325 Frankfurt, Germany</w:t>
            </w:r>
          </w:p>
        </w:tc>
      </w:tr>
      <w:tr w:rsidR="009F6E91" w:rsidRPr="001C3D25" w14:paraId="44FC3040" w14:textId="77777777" w:rsidTr="0030287E">
        <w:tc>
          <w:tcPr>
            <w:tcW w:w="2255" w:type="dxa"/>
            <w:tcBorders>
              <w:top w:val="nil"/>
              <w:left w:val="nil"/>
              <w:bottom w:val="nil"/>
            </w:tcBorders>
          </w:tcPr>
          <w:p w14:paraId="40403F89" w14:textId="77777777" w:rsidR="009F6E91" w:rsidRPr="00D427D8" w:rsidRDefault="009F6E91" w:rsidP="00C81D84">
            <w:pPr>
              <w:jc w:val="left"/>
              <w:rPr>
                <w:b/>
                <w:szCs w:val="19"/>
              </w:rPr>
            </w:pPr>
            <w:r w:rsidRPr="00D427D8">
              <w:rPr>
                <w:b/>
                <w:szCs w:val="19"/>
              </w:rPr>
              <w:t>Calculation Agent</w:t>
            </w:r>
          </w:p>
        </w:tc>
        <w:tc>
          <w:tcPr>
            <w:tcW w:w="1998" w:type="dxa"/>
            <w:tcBorders>
              <w:top w:val="nil"/>
              <w:bottom w:val="nil"/>
            </w:tcBorders>
          </w:tcPr>
          <w:p w14:paraId="7BD24F8B" w14:textId="77777777" w:rsidR="009F6E91" w:rsidRPr="00D427D8" w:rsidDel="00E02751" w:rsidRDefault="009F6E91" w:rsidP="00C81D84">
            <w:pPr>
              <w:jc w:val="left"/>
              <w:rPr>
                <w:szCs w:val="19"/>
              </w:rPr>
            </w:pPr>
            <w:r w:rsidRPr="00D427D8">
              <w:rPr>
                <w:szCs w:val="19"/>
              </w:rPr>
              <w:t>France Titrisation</w:t>
            </w:r>
          </w:p>
        </w:tc>
        <w:tc>
          <w:tcPr>
            <w:tcW w:w="2693" w:type="dxa"/>
            <w:tcBorders>
              <w:top w:val="nil"/>
              <w:bottom w:val="nil"/>
              <w:right w:val="nil"/>
            </w:tcBorders>
          </w:tcPr>
          <w:p w14:paraId="4E429376" w14:textId="3F3446A2" w:rsidR="009F6E91" w:rsidRPr="00D427D8" w:rsidRDefault="009F6E91" w:rsidP="0030287E">
            <w:pPr>
              <w:pStyle w:val="Body1"/>
              <w:jc w:val="left"/>
              <w:rPr>
                <w:szCs w:val="19"/>
              </w:rPr>
            </w:pPr>
            <w:r w:rsidRPr="00D427D8">
              <w:rPr>
                <w:szCs w:val="19"/>
              </w:rPr>
              <w:t>See a description of the responsibilities of the Calculation Agent in the description of the Agency Agreement.</w:t>
            </w:r>
          </w:p>
        </w:tc>
        <w:tc>
          <w:tcPr>
            <w:tcW w:w="2125" w:type="dxa"/>
            <w:tcBorders>
              <w:top w:val="nil"/>
              <w:left w:val="nil"/>
              <w:bottom w:val="nil"/>
              <w:right w:val="nil"/>
            </w:tcBorders>
          </w:tcPr>
          <w:p w14:paraId="6B1FFB65" w14:textId="77777777" w:rsidR="009F6E91" w:rsidRPr="00D427D8" w:rsidDel="00E02751" w:rsidRDefault="009F6E91" w:rsidP="00C81D84">
            <w:pPr>
              <w:jc w:val="left"/>
              <w:rPr>
                <w:szCs w:val="19"/>
                <w:lang w:val="fr-FR"/>
              </w:rPr>
            </w:pPr>
            <w:r w:rsidRPr="00D427D8">
              <w:rPr>
                <w:szCs w:val="19"/>
                <w:lang w:val="fr-FR"/>
              </w:rPr>
              <w:t>9, rue du Débarcadère, 95300 Pantin, France</w:t>
            </w:r>
          </w:p>
        </w:tc>
      </w:tr>
      <w:tr w:rsidR="009F6E91" w:rsidRPr="00D427D8" w14:paraId="67A727A0" w14:textId="77777777" w:rsidTr="0030287E">
        <w:tc>
          <w:tcPr>
            <w:tcW w:w="2255" w:type="dxa"/>
            <w:tcBorders>
              <w:top w:val="nil"/>
              <w:bottom w:val="nil"/>
            </w:tcBorders>
          </w:tcPr>
          <w:p w14:paraId="19D3EA15" w14:textId="77777777" w:rsidR="009F6E91" w:rsidRPr="00D427D8" w:rsidRDefault="009F6E91" w:rsidP="00056856">
            <w:pPr>
              <w:jc w:val="left"/>
              <w:rPr>
                <w:b/>
                <w:szCs w:val="19"/>
              </w:rPr>
            </w:pPr>
            <w:r w:rsidRPr="00D427D8">
              <w:rPr>
                <w:b/>
                <w:szCs w:val="19"/>
              </w:rPr>
              <w:t>Paying Agent</w:t>
            </w:r>
          </w:p>
        </w:tc>
        <w:tc>
          <w:tcPr>
            <w:tcW w:w="1998" w:type="dxa"/>
            <w:tcBorders>
              <w:top w:val="nil"/>
              <w:bottom w:val="nil"/>
            </w:tcBorders>
          </w:tcPr>
          <w:p w14:paraId="71C7F181" w14:textId="77777777" w:rsidR="009F6E91" w:rsidRPr="00D427D8" w:rsidRDefault="009F6E91" w:rsidP="00056856">
            <w:pPr>
              <w:jc w:val="left"/>
              <w:rPr>
                <w:szCs w:val="19"/>
              </w:rPr>
            </w:pPr>
            <w:r w:rsidRPr="00D427D8">
              <w:rPr>
                <w:szCs w:val="19"/>
              </w:rPr>
              <w:t>BNP Paribas, Luxembourg Branch</w:t>
            </w:r>
          </w:p>
        </w:tc>
        <w:tc>
          <w:tcPr>
            <w:tcW w:w="2693" w:type="dxa"/>
            <w:tcBorders>
              <w:top w:val="nil"/>
              <w:bottom w:val="nil"/>
              <w:right w:val="nil"/>
            </w:tcBorders>
          </w:tcPr>
          <w:p w14:paraId="1E88E5D0" w14:textId="73680DA9" w:rsidR="009F6E91" w:rsidRPr="00D427D8" w:rsidRDefault="009F6E91" w:rsidP="0030287E">
            <w:pPr>
              <w:pStyle w:val="Body1"/>
              <w:jc w:val="left"/>
            </w:pPr>
            <w:r w:rsidRPr="00D427D8">
              <w:t>See a description of the responsibilities of the Paying Agent in the description of the Agency Agreement.</w:t>
            </w:r>
          </w:p>
        </w:tc>
        <w:tc>
          <w:tcPr>
            <w:tcW w:w="2125" w:type="dxa"/>
            <w:tcBorders>
              <w:top w:val="nil"/>
              <w:left w:val="nil"/>
              <w:bottom w:val="nil"/>
            </w:tcBorders>
          </w:tcPr>
          <w:p w14:paraId="04E53176" w14:textId="77777777" w:rsidR="009F6E91" w:rsidRPr="00D427D8" w:rsidRDefault="009F6E91" w:rsidP="00056856">
            <w:pPr>
              <w:jc w:val="left"/>
              <w:rPr>
                <w:szCs w:val="19"/>
              </w:rPr>
            </w:pPr>
            <w:r w:rsidRPr="00D427D8">
              <w:rPr>
                <w:szCs w:val="19"/>
              </w:rPr>
              <w:t>60, avenue J. F. Kennedy, L-1855 Luxembourg, Grand Duchy of Luxembourg</w:t>
            </w:r>
          </w:p>
        </w:tc>
      </w:tr>
      <w:tr w:rsidR="009F6E91" w:rsidRPr="001C3D25" w14:paraId="54FCD7EE" w14:textId="77777777" w:rsidTr="0030287E">
        <w:tc>
          <w:tcPr>
            <w:tcW w:w="2255" w:type="dxa"/>
            <w:tcBorders>
              <w:top w:val="nil"/>
            </w:tcBorders>
          </w:tcPr>
          <w:p w14:paraId="12A801F7" w14:textId="77777777" w:rsidR="009F6E91" w:rsidRPr="00D427D8" w:rsidRDefault="009F6E91" w:rsidP="00056856">
            <w:pPr>
              <w:jc w:val="left"/>
              <w:rPr>
                <w:b/>
                <w:szCs w:val="19"/>
              </w:rPr>
            </w:pPr>
            <w:r w:rsidRPr="00D427D8">
              <w:rPr>
                <w:b/>
                <w:szCs w:val="19"/>
              </w:rPr>
              <w:lastRenderedPageBreak/>
              <w:t>Reporting Agent</w:t>
            </w:r>
          </w:p>
        </w:tc>
        <w:tc>
          <w:tcPr>
            <w:tcW w:w="1998" w:type="dxa"/>
            <w:tcBorders>
              <w:top w:val="nil"/>
            </w:tcBorders>
          </w:tcPr>
          <w:p w14:paraId="5260163A" w14:textId="77777777" w:rsidR="009F6E91" w:rsidRPr="00D427D8" w:rsidRDefault="009F6E91" w:rsidP="00056856">
            <w:pPr>
              <w:jc w:val="left"/>
              <w:rPr>
                <w:szCs w:val="19"/>
              </w:rPr>
            </w:pPr>
            <w:r w:rsidRPr="00D427D8">
              <w:rPr>
                <w:szCs w:val="19"/>
              </w:rPr>
              <w:t>France Titrisation</w:t>
            </w:r>
          </w:p>
        </w:tc>
        <w:tc>
          <w:tcPr>
            <w:tcW w:w="2693" w:type="dxa"/>
            <w:tcBorders>
              <w:top w:val="nil"/>
            </w:tcBorders>
          </w:tcPr>
          <w:p w14:paraId="3027B689" w14:textId="0A231259" w:rsidR="009F6E91" w:rsidRPr="00D427D8" w:rsidRDefault="009F6E91" w:rsidP="0030287E">
            <w:pPr>
              <w:pStyle w:val="Body1"/>
              <w:jc w:val="left"/>
            </w:pPr>
            <w:r w:rsidRPr="00D427D8">
              <w:t>See a description of the responsibilities of the Reporting Agent in the description of the Agency Agreement.</w:t>
            </w:r>
          </w:p>
        </w:tc>
        <w:tc>
          <w:tcPr>
            <w:tcW w:w="2125" w:type="dxa"/>
            <w:tcBorders>
              <w:top w:val="nil"/>
            </w:tcBorders>
          </w:tcPr>
          <w:p w14:paraId="7E927E1B" w14:textId="77777777" w:rsidR="009F6E91" w:rsidRPr="00D427D8" w:rsidRDefault="009F6E91" w:rsidP="00056856">
            <w:pPr>
              <w:jc w:val="left"/>
              <w:rPr>
                <w:szCs w:val="19"/>
                <w:lang w:val="fr-FR"/>
              </w:rPr>
            </w:pPr>
            <w:r w:rsidRPr="00D427D8">
              <w:rPr>
                <w:szCs w:val="19"/>
                <w:lang w:val="fr-FR"/>
              </w:rPr>
              <w:t>9, rue du Débarcadère, 95300 Pantin, France</w:t>
            </w:r>
          </w:p>
        </w:tc>
      </w:tr>
      <w:tr w:rsidR="009F6E91" w:rsidRPr="001C3D25" w14:paraId="1EF1626E" w14:textId="77777777" w:rsidTr="0030287E">
        <w:tc>
          <w:tcPr>
            <w:tcW w:w="2255" w:type="dxa"/>
          </w:tcPr>
          <w:p w14:paraId="02F4A4B3" w14:textId="77777777" w:rsidR="009F6E91" w:rsidRPr="00D427D8" w:rsidRDefault="009F6E91" w:rsidP="00DC0BE4">
            <w:pPr>
              <w:jc w:val="left"/>
              <w:rPr>
                <w:b/>
                <w:szCs w:val="19"/>
              </w:rPr>
            </w:pPr>
            <w:r w:rsidRPr="00D427D8">
              <w:rPr>
                <w:b/>
                <w:szCs w:val="19"/>
              </w:rPr>
              <w:t>Counterparty</w:t>
            </w:r>
          </w:p>
        </w:tc>
        <w:tc>
          <w:tcPr>
            <w:tcW w:w="1998" w:type="dxa"/>
          </w:tcPr>
          <w:p w14:paraId="7E5F1554" w14:textId="77777777" w:rsidR="009F6E91" w:rsidRPr="00D427D8" w:rsidRDefault="009F6E91" w:rsidP="00DC0BE4">
            <w:pPr>
              <w:jc w:val="left"/>
              <w:rPr>
                <w:szCs w:val="19"/>
              </w:rPr>
            </w:pPr>
            <w:r w:rsidRPr="00D427D8">
              <w:rPr>
                <w:szCs w:val="19"/>
              </w:rPr>
              <w:t>BNP Paribas</w:t>
            </w:r>
          </w:p>
        </w:tc>
        <w:tc>
          <w:tcPr>
            <w:tcW w:w="2693" w:type="dxa"/>
          </w:tcPr>
          <w:p w14:paraId="20C24177" w14:textId="4CF6090B" w:rsidR="009F6E91" w:rsidRPr="00D427D8" w:rsidRDefault="009F6E91" w:rsidP="0030287E">
            <w:pPr>
              <w:pStyle w:val="Body1"/>
              <w:jc w:val="left"/>
            </w:pPr>
            <w:r w:rsidRPr="00D427D8">
              <w:t xml:space="preserve">See a description of the responsibilities of the Counterparty in the description of the Hedging Arrangement and </w:t>
            </w:r>
            <w:r w:rsidR="00EF7333" w:rsidRPr="00D427D8">
              <w:t>"</w:t>
            </w:r>
            <w:r w:rsidRPr="00D427D8">
              <w:rPr>
                <w:i/>
                <w:iCs/>
              </w:rPr>
              <w:t>Further Legal Considerations – Hedging Arrangement</w:t>
            </w:r>
            <w:r w:rsidR="00EF7333" w:rsidRPr="00D427D8">
              <w:t>"</w:t>
            </w:r>
            <w:r w:rsidRPr="00D427D8">
              <w:t>.</w:t>
            </w:r>
            <w:r w:rsidRPr="00D427D8">
              <w:rPr>
                <w:rFonts w:asciiTheme="minorHAnsi" w:hAnsiTheme="minorHAnsi" w:cstheme="minorHAnsi"/>
              </w:rPr>
              <w:br/>
            </w:r>
          </w:p>
        </w:tc>
        <w:tc>
          <w:tcPr>
            <w:tcW w:w="2125" w:type="dxa"/>
          </w:tcPr>
          <w:p w14:paraId="575625B5" w14:textId="77777777" w:rsidR="009F6E91" w:rsidRPr="00D427D8" w:rsidRDefault="009F6E91" w:rsidP="00DC0BE4">
            <w:pPr>
              <w:jc w:val="left"/>
              <w:rPr>
                <w:szCs w:val="19"/>
                <w:lang w:val="fr-FR"/>
              </w:rPr>
            </w:pPr>
            <w:r w:rsidRPr="00D427D8">
              <w:rPr>
                <w:szCs w:val="19"/>
                <w:lang w:val="fr-FR"/>
              </w:rPr>
              <w:t>16 boulevard des Italiens, 75009 Paris, France</w:t>
            </w:r>
          </w:p>
        </w:tc>
      </w:tr>
      <w:tr w:rsidR="009F6E91" w:rsidRPr="00DB564D" w14:paraId="04E8C6ED" w14:textId="77777777" w:rsidTr="0030287E">
        <w:tc>
          <w:tcPr>
            <w:tcW w:w="2255" w:type="dxa"/>
          </w:tcPr>
          <w:p w14:paraId="2D59C8FD" w14:textId="77777777" w:rsidR="009F6E91" w:rsidRPr="00D427D8" w:rsidRDefault="009F6E91" w:rsidP="00056856">
            <w:pPr>
              <w:jc w:val="left"/>
              <w:rPr>
                <w:b/>
                <w:szCs w:val="19"/>
              </w:rPr>
            </w:pPr>
            <w:r w:rsidRPr="00D427D8">
              <w:rPr>
                <w:b/>
                <w:szCs w:val="19"/>
              </w:rPr>
              <w:t>Data Protection Trustee</w:t>
            </w:r>
          </w:p>
        </w:tc>
        <w:tc>
          <w:tcPr>
            <w:tcW w:w="1998" w:type="dxa"/>
          </w:tcPr>
          <w:p w14:paraId="68806022" w14:textId="77777777" w:rsidR="009F6E91" w:rsidRPr="00D427D8" w:rsidRDefault="009F6E91" w:rsidP="00056856">
            <w:pPr>
              <w:jc w:val="left"/>
              <w:rPr>
                <w:szCs w:val="19"/>
              </w:rPr>
            </w:pPr>
            <w:r w:rsidRPr="00D427D8">
              <w:rPr>
                <w:szCs w:val="19"/>
              </w:rPr>
              <w:t>BNP Paribas</w:t>
            </w:r>
          </w:p>
        </w:tc>
        <w:tc>
          <w:tcPr>
            <w:tcW w:w="2693" w:type="dxa"/>
          </w:tcPr>
          <w:p w14:paraId="1FF4EA78" w14:textId="77777777" w:rsidR="009F6E91" w:rsidRPr="00D427D8" w:rsidRDefault="009F6E91" w:rsidP="0030287E">
            <w:pPr>
              <w:pStyle w:val="Body1"/>
              <w:jc w:val="left"/>
            </w:pPr>
            <w:r w:rsidRPr="00D427D8">
              <w:t>See a description of the Data Protection Trustee in the description of the Data Protection Agreement.</w:t>
            </w:r>
            <w:r w:rsidRPr="00D427D8">
              <w:rPr>
                <w:rFonts w:asciiTheme="minorHAnsi" w:hAnsiTheme="minorHAnsi" w:cstheme="minorHAnsi"/>
              </w:rPr>
              <w:br/>
            </w:r>
          </w:p>
        </w:tc>
        <w:tc>
          <w:tcPr>
            <w:tcW w:w="2125" w:type="dxa"/>
          </w:tcPr>
          <w:p w14:paraId="11D3C993" w14:textId="24C3FC75" w:rsidR="009F6E91" w:rsidRPr="003B6A20" w:rsidRDefault="00DB564D" w:rsidP="00056856">
            <w:pPr>
              <w:jc w:val="left"/>
              <w:rPr>
                <w:szCs w:val="19"/>
                <w:lang w:val="en-US"/>
              </w:rPr>
            </w:pPr>
            <w:r w:rsidRPr="003B6A20">
              <w:rPr>
                <w:szCs w:val="19"/>
                <w:lang w:val="en-US"/>
              </w:rPr>
              <w:t>16 boulevard des Italiens, 75009 Paris, France (acting through its Securities Services business).</w:t>
            </w:r>
          </w:p>
        </w:tc>
      </w:tr>
      <w:tr w:rsidR="00B038CB" w:rsidRPr="00D427D8" w14:paraId="734473F0" w14:textId="77777777" w:rsidTr="00DF44CB">
        <w:trPr>
          <w:trHeight w:val="270"/>
        </w:trPr>
        <w:tc>
          <w:tcPr>
            <w:tcW w:w="2255" w:type="dxa"/>
            <w:tcBorders>
              <w:bottom w:val="nil"/>
            </w:tcBorders>
          </w:tcPr>
          <w:p w14:paraId="71242040" w14:textId="05BA0FE7" w:rsidR="00B038CB" w:rsidRPr="00D427D8" w:rsidRDefault="00B038CB" w:rsidP="00CC4CAD">
            <w:pPr>
              <w:jc w:val="left"/>
              <w:rPr>
                <w:b/>
                <w:szCs w:val="19"/>
              </w:rPr>
            </w:pPr>
            <w:r w:rsidRPr="00D427D8">
              <w:rPr>
                <w:b/>
                <w:szCs w:val="19"/>
              </w:rPr>
              <w:t>Lead Manager</w:t>
            </w:r>
          </w:p>
        </w:tc>
        <w:tc>
          <w:tcPr>
            <w:tcW w:w="1998" w:type="dxa"/>
            <w:vMerge w:val="restart"/>
            <w:tcBorders>
              <w:bottom w:val="nil"/>
            </w:tcBorders>
          </w:tcPr>
          <w:p w14:paraId="468EB6C1" w14:textId="77777777" w:rsidR="00B038CB" w:rsidRPr="00D427D8" w:rsidRDefault="00B038CB" w:rsidP="00306F41">
            <w:pPr>
              <w:jc w:val="left"/>
              <w:rPr>
                <w:szCs w:val="19"/>
              </w:rPr>
            </w:pPr>
            <w:r w:rsidRPr="00D427D8">
              <w:rPr>
                <w:szCs w:val="19"/>
              </w:rPr>
              <w:t>BNP Paribas</w:t>
            </w:r>
          </w:p>
          <w:p w14:paraId="11F63342" w14:textId="2FE65708" w:rsidR="00B038CB" w:rsidRPr="00D427D8" w:rsidRDefault="00B038CB" w:rsidP="00306F41">
            <w:pPr>
              <w:jc w:val="left"/>
              <w:rPr>
                <w:szCs w:val="19"/>
              </w:rPr>
            </w:pPr>
          </w:p>
        </w:tc>
        <w:tc>
          <w:tcPr>
            <w:tcW w:w="2693" w:type="dxa"/>
            <w:vMerge w:val="restart"/>
            <w:tcBorders>
              <w:bottom w:val="nil"/>
            </w:tcBorders>
          </w:tcPr>
          <w:p w14:paraId="2D193622" w14:textId="28EF02A6" w:rsidR="00B038CB" w:rsidRPr="00D427D8" w:rsidRDefault="00B038CB" w:rsidP="0030287E">
            <w:pPr>
              <w:pStyle w:val="Body1"/>
              <w:jc w:val="left"/>
            </w:pPr>
            <w:r w:rsidRPr="00D427D8">
              <w:t>See a description of the responsibilities of Lead Manager in the description of the Notes Subscription Agreement.</w:t>
            </w:r>
          </w:p>
        </w:tc>
        <w:tc>
          <w:tcPr>
            <w:tcW w:w="2125" w:type="dxa"/>
            <w:vMerge w:val="restart"/>
            <w:tcBorders>
              <w:bottom w:val="nil"/>
            </w:tcBorders>
          </w:tcPr>
          <w:p w14:paraId="3B3E70F2" w14:textId="77777777" w:rsidR="00B038CB" w:rsidRPr="00D427D8" w:rsidRDefault="00B038CB" w:rsidP="003F3AAC">
            <w:pPr>
              <w:jc w:val="left"/>
              <w:rPr>
                <w:szCs w:val="19"/>
              </w:rPr>
            </w:pPr>
            <w:r w:rsidRPr="00D427D8">
              <w:rPr>
                <w:szCs w:val="19"/>
              </w:rPr>
              <w:t>France, RCS Paris 662 042 449</w:t>
            </w:r>
          </w:p>
          <w:p w14:paraId="657FCF66" w14:textId="44060D13" w:rsidR="00B038CB" w:rsidRPr="00D427D8" w:rsidRDefault="00B038CB" w:rsidP="00F129E9">
            <w:pPr>
              <w:jc w:val="left"/>
              <w:rPr>
                <w:rFonts w:asciiTheme="minorHAnsi" w:hAnsiTheme="minorHAnsi" w:cstheme="minorHAnsi"/>
                <w:szCs w:val="19"/>
              </w:rPr>
            </w:pPr>
          </w:p>
        </w:tc>
      </w:tr>
      <w:tr w:rsidR="00B038CB" w:rsidRPr="00D427D8" w14:paraId="33F63606" w14:textId="77777777" w:rsidTr="0030287E">
        <w:tc>
          <w:tcPr>
            <w:tcW w:w="2255" w:type="dxa"/>
          </w:tcPr>
          <w:p w14:paraId="616450EA" w14:textId="77777777" w:rsidR="00B038CB" w:rsidRPr="00D427D8" w:rsidRDefault="00B038CB" w:rsidP="00CC4CAD">
            <w:pPr>
              <w:jc w:val="left"/>
              <w:rPr>
                <w:rFonts w:asciiTheme="minorHAnsi" w:hAnsiTheme="minorHAnsi" w:cstheme="minorHAnsi"/>
                <w:b/>
                <w:szCs w:val="19"/>
              </w:rPr>
            </w:pPr>
          </w:p>
        </w:tc>
        <w:tc>
          <w:tcPr>
            <w:tcW w:w="1998" w:type="dxa"/>
            <w:vMerge/>
          </w:tcPr>
          <w:p w14:paraId="60810543" w14:textId="77777777" w:rsidR="00B038CB" w:rsidRPr="00D427D8" w:rsidRDefault="00B038CB" w:rsidP="00306F41">
            <w:pPr>
              <w:jc w:val="left"/>
              <w:rPr>
                <w:rFonts w:asciiTheme="minorHAnsi" w:hAnsiTheme="minorHAnsi" w:cstheme="minorHAnsi"/>
                <w:szCs w:val="19"/>
              </w:rPr>
            </w:pPr>
          </w:p>
        </w:tc>
        <w:tc>
          <w:tcPr>
            <w:tcW w:w="2693" w:type="dxa"/>
            <w:vMerge/>
          </w:tcPr>
          <w:p w14:paraId="50B3B687" w14:textId="77777777" w:rsidR="00B038CB" w:rsidRPr="00D427D8" w:rsidRDefault="00B038CB" w:rsidP="00E82AEC">
            <w:pPr>
              <w:rPr>
                <w:rFonts w:asciiTheme="minorHAnsi" w:hAnsiTheme="minorHAnsi" w:cstheme="minorHAnsi"/>
                <w:szCs w:val="19"/>
              </w:rPr>
            </w:pPr>
          </w:p>
        </w:tc>
        <w:tc>
          <w:tcPr>
            <w:tcW w:w="2125" w:type="dxa"/>
            <w:vMerge/>
          </w:tcPr>
          <w:p w14:paraId="196E350F" w14:textId="77777777" w:rsidR="00B038CB" w:rsidRPr="00D427D8" w:rsidRDefault="00B038CB" w:rsidP="00F129E9">
            <w:pPr>
              <w:jc w:val="left"/>
              <w:rPr>
                <w:rFonts w:asciiTheme="minorHAnsi" w:hAnsiTheme="minorHAnsi" w:cstheme="minorHAnsi"/>
                <w:szCs w:val="19"/>
              </w:rPr>
            </w:pPr>
          </w:p>
        </w:tc>
      </w:tr>
    </w:tbl>
    <w:p w14:paraId="07835927" w14:textId="77777777" w:rsidR="009F6E91" w:rsidRPr="00D427D8" w:rsidRDefault="009F6E91" w:rsidP="00D1716A">
      <w:pPr>
        <w:ind w:left="11"/>
        <w:rPr>
          <w:rFonts w:asciiTheme="minorHAnsi" w:hAnsiTheme="minorHAnsi" w:cstheme="minorHAnsi"/>
          <w:szCs w:val="19"/>
        </w:rPr>
      </w:pPr>
    </w:p>
    <w:p w14:paraId="54FFDFE5" w14:textId="77777777" w:rsidR="009F6E91" w:rsidRPr="00D427D8" w:rsidRDefault="009F6E91" w:rsidP="009F6E91">
      <w:pPr>
        <w:pStyle w:val="Body1"/>
      </w:pPr>
      <w:r w:rsidRPr="00D427D8">
        <w:t>The description of a Transaction Party does not purport to be an overview of, and is therefore subject to, and qualified in its entirety by reference to, the detailed provisions of the Transaction Documents.</w:t>
      </w:r>
    </w:p>
    <w:p w14:paraId="773D2CE7" w14:textId="77777777" w:rsidR="009F6E91" w:rsidRPr="00D427D8" w:rsidRDefault="009F6E91" w:rsidP="009F6E91">
      <w:pPr>
        <w:pStyle w:val="Body1"/>
      </w:pPr>
      <w:r w:rsidRPr="00D427D8">
        <w:t>The delivery of this Prospectus does not imply that there has been no change in the affairs of a Transaction Party since the date hereof, or that the information contained or referred to in this section is correct as of any time subsequent to its date.</w:t>
      </w:r>
    </w:p>
    <w:p w14:paraId="00F09C86" w14:textId="77777777" w:rsidR="009F6E91" w:rsidRPr="00D427D8" w:rsidRDefault="009F6E91" w:rsidP="00EF7333">
      <w:pPr>
        <w:pStyle w:val="Body1"/>
      </w:pPr>
      <w:r w:rsidRPr="00D427D8">
        <w:br w:type="page"/>
      </w:r>
    </w:p>
    <w:p w14:paraId="29B164DF" w14:textId="77777777" w:rsidR="009F6E91" w:rsidRPr="00D427D8" w:rsidRDefault="009F6E91" w:rsidP="009F6E91">
      <w:pPr>
        <w:pStyle w:val="Body1"/>
        <w:rPr>
          <w:rStyle w:val="BoldText"/>
        </w:rPr>
      </w:pPr>
      <w:r w:rsidRPr="00D427D8">
        <w:rPr>
          <w:rStyle w:val="BoldText"/>
        </w:rPr>
        <w:lastRenderedPageBreak/>
        <w:t>USE OF PROCEEDS FROM THE NOTES</w:t>
      </w:r>
    </w:p>
    <w:p w14:paraId="15778E97" w14:textId="7A977E21" w:rsidR="009F6E91" w:rsidRPr="00D427D8" w:rsidRDefault="009F6E91" w:rsidP="009F6E91">
      <w:pPr>
        <w:pStyle w:val="Body1"/>
      </w:pPr>
      <w:r w:rsidRPr="00D427D8">
        <w:t>The net proceeds of the Notes (which are expected to amount to EUR </w:t>
      </w:r>
      <w:r w:rsidR="00526BA1">
        <w:t>1,0</w:t>
      </w:r>
      <w:r w:rsidR="00CB16CF">
        <w:t>00</w:t>
      </w:r>
      <w:r w:rsidR="00526BA1">
        <w:t>,</w:t>
      </w:r>
      <w:r w:rsidR="00CB16CF">
        <w:t>0</w:t>
      </w:r>
      <w:r w:rsidR="00526BA1">
        <w:t>00,000</w:t>
      </w:r>
      <w:r w:rsidR="00526BA1" w:rsidRPr="00D427D8">
        <w:t xml:space="preserve">) </w:t>
      </w:r>
      <w:r w:rsidRPr="00D427D8">
        <w:t xml:space="preserve">will be used in full on the Closing Date to pay the Initial Purchase Price for the Initial Receivables. On the Closing Date the Aggregate Discounted Asset Balance will be EUR </w:t>
      </w:r>
      <w:r w:rsidR="00CB16CF" w:rsidRPr="00CB16CF">
        <w:t>999,999,897.80</w:t>
      </w:r>
      <w:r w:rsidRPr="00D427D8">
        <w:t xml:space="preserve">. </w:t>
      </w:r>
      <w:r w:rsidR="00CB16CF">
        <w:t>T</w:t>
      </w:r>
      <w:r w:rsidR="00CB16CF" w:rsidRPr="00CB16CF">
        <w:t>he difference between (i) the aggregate Note Principal Amount of all Classes of Notes on the Closing Date being EUR 1,000,000,000.00 and (ii) the  Aggregate Discounted Asset Balance of the Purchased Receivables as of the Cut-Off Date, being equal to an amount of EUR 999,999,897.80, will remain on the Distribution Account and will be part of the Available Principal Distribution Amount on the first Distribution Date</w:t>
      </w:r>
      <w:r w:rsidR="00CB16CF">
        <w:t>.</w:t>
      </w:r>
    </w:p>
    <w:p w14:paraId="26A5F217" w14:textId="77777777" w:rsidR="009F6E91" w:rsidRPr="00D427D8" w:rsidRDefault="009F6E91" w:rsidP="00EF7333">
      <w:pPr>
        <w:pStyle w:val="Body1"/>
      </w:pPr>
      <w:r w:rsidRPr="00D427D8">
        <w:br w:type="page"/>
      </w:r>
    </w:p>
    <w:p w14:paraId="4745132A" w14:textId="77777777" w:rsidR="009F6E91" w:rsidRPr="00D427D8" w:rsidRDefault="009F6E91" w:rsidP="000E13E7">
      <w:pPr>
        <w:pStyle w:val="Body1"/>
        <w:jc w:val="center"/>
        <w:rPr>
          <w:rStyle w:val="BoldText"/>
        </w:rPr>
      </w:pPr>
      <w:r w:rsidRPr="00D427D8">
        <w:rPr>
          <w:rStyle w:val="BoldText"/>
        </w:rPr>
        <w:lastRenderedPageBreak/>
        <w:t>GENERAL CREDIT STRUCTURE</w:t>
      </w:r>
    </w:p>
    <w:p w14:paraId="3FFD1A4C" w14:textId="77777777" w:rsidR="009F6E91" w:rsidRPr="00D427D8" w:rsidRDefault="009F6E91" w:rsidP="00EF7333">
      <w:pPr>
        <w:pStyle w:val="Body1"/>
        <w:rPr>
          <w:rStyle w:val="Heading1Text"/>
        </w:rPr>
      </w:pPr>
      <w:r w:rsidRPr="00D427D8">
        <w:rPr>
          <w:rStyle w:val="Heading1Text"/>
        </w:rPr>
        <w:t>Introduction</w:t>
      </w:r>
    </w:p>
    <w:p w14:paraId="6BE6A448" w14:textId="77777777" w:rsidR="009F6E91" w:rsidRPr="00D427D8" w:rsidRDefault="009F6E91" w:rsidP="009F6E91">
      <w:pPr>
        <w:pStyle w:val="Body1"/>
      </w:pPr>
      <w:r w:rsidRPr="00D427D8">
        <w:t>The following is an overview of the credit structure underlying the Notes. Such overview should be read in conjunction with information appearing elsewhere in this Prospectus.</w:t>
      </w:r>
    </w:p>
    <w:p w14:paraId="0A3953B9" w14:textId="77777777" w:rsidR="009F6E91" w:rsidRPr="00D427D8" w:rsidRDefault="009F6E91" w:rsidP="009F6E91">
      <w:pPr>
        <w:pStyle w:val="Body1"/>
      </w:pPr>
      <w:r w:rsidRPr="00D427D8">
        <w:t>The Notes will not be obligations of any Transaction Party (other than the Issuer) and will not be guaranteed by any such party. Only the Issuer, and none of the other Transaction Parties nor anyone else, will bear any liability whatsoever in respect of any failure by the Issuer to pay any amount due under the Notes.</w:t>
      </w:r>
    </w:p>
    <w:p w14:paraId="544D9388" w14:textId="77777777" w:rsidR="009F6E91" w:rsidRPr="00D427D8" w:rsidRDefault="009F6E91" w:rsidP="00EF7333">
      <w:pPr>
        <w:pStyle w:val="Body1"/>
        <w:rPr>
          <w:rStyle w:val="Heading1Text"/>
        </w:rPr>
      </w:pPr>
      <w:r w:rsidRPr="00D427D8">
        <w:rPr>
          <w:rStyle w:val="Heading1Text"/>
        </w:rPr>
        <w:t>Notes</w:t>
      </w:r>
    </w:p>
    <w:p w14:paraId="3F21B281" w14:textId="5763B198" w:rsidR="009F6E91" w:rsidRPr="00D427D8" w:rsidRDefault="009F6E91" w:rsidP="009F6E91">
      <w:pPr>
        <w:pStyle w:val="Body1"/>
      </w:pPr>
      <w:r w:rsidRPr="00D427D8">
        <w:t xml:space="preserve">On or around the Closing Date the Issuer will issue the EUR </w:t>
      </w:r>
      <w:r w:rsidR="00526BA1">
        <w:t>717,500,000</w:t>
      </w:r>
      <w:r w:rsidR="00526BA1" w:rsidRPr="00D427D8">
        <w:t xml:space="preserve"> </w:t>
      </w:r>
      <w:r w:rsidRPr="00D427D8">
        <w:t>Class A Notes, the EUR </w:t>
      </w:r>
      <w:r w:rsidR="00526BA1">
        <w:t xml:space="preserve">57,500,000 </w:t>
      </w:r>
      <w:r w:rsidRPr="00D427D8">
        <w:t xml:space="preserve">Class B Notes, the EUR </w:t>
      </w:r>
      <w:r w:rsidR="00526BA1">
        <w:t xml:space="preserve">55,000,000 </w:t>
      </w:r>
      <w:r w:rsidRPr="00D427D8">
        <w:t xml:space="preserve">Class C Notes, the EUR </w:t>
      </w:r>
      <w:r w:rsidR="00526BA1">
        <w:t>45,</w:t>
      </w:r>
      <w:r w:rsidR="00C9516B">
        <w:t>0</w:t>
      </w:r>
      <w:r w:rsidR="00526BA1">
        <w:t>00,000</w:t>
      </w:r>
      <w:r w:rsidR="00526BA1" w:rsidRPr="00D427D8">
        <w:t xml:space="preserve"> </w:t>
      </w:r>
      <w:r w:rsidRPr="00D427D8">
        <w:t xml:space="preserve">Class D Notes, the EUR </w:t>
      </w:r>
      <w:r w:rsidR="00526BA1">
        <w:t>85,000,000</w:t>
      </w:r>
      <w:r w:rsidR="00526BA1" w:rsidRPr="00D427D8">
        <w:t xml:space="preserve"> </w:t>
      </w:r>
      <w:r w:rsidRPr="00D427D8">
        <w:t xml:space="preserve">Class E Notes, the EUR </w:t>
      </w:r>
      <w:r w:rsidR="00526BA1">
        <w:t xml:space="preserve">30,000,000 </w:t>
      </w:r>
      <w:r w:rsidRPr="00D427D8">
        <w:t xml:space="preserve">Class F Notes and the EUR </w:t>
      </w:r>
      <w:r w:rsidR="00526BA1">
        <w:t>10,000,000</w:t>
      </w:r>
      <w:r w:rsidR="00526BA1" w:rsidRPr="00D427D8">
        <w:t xml:space="preserve"> </w:t>
      </w:r>
      <w:r w:rsidRPr="00D427D8">
        <w:t>Class G Notes.</w:t>
      </w:r>
    </w:p>
    <w:p w14:paraId="0AC9E080" w14:textId="77777777" w:rsidR="009F6E91" w:rsidRPr="00D427D8" w:rsidRDefault="009F6E91" w:rsidP="009F6E91">
      <w:pPr>
        <w:pStyle w:val="Body1"/>
      </w:pPr>
      <w:r w:rsidRPr="00D427D8">
        <w:t>The Notes constitute limited recourse obligations of the Issuer.</w:t>
      </w:r>
    </w:p>
    <w:p w14:paraId="7DB6359C" w14:textId="77777777" w:rsidR="009F6E91" w:rsidRPr="00D427D8" w:rsidRDefault="009F6E91" w:rsidP="009F6E91">
      <w:pPr>
        <w:pStyle w:val="Body1"/>
      </w:pPr>
      <w:r w:rsidRPr="00D427D8">
        <w:t>In accordance with the applicable Priority of Payments:</w:t>
      </w:r>
    </w:p>
    <w:p w14:paraId="52339AD5" w14:textId="21D0E72C" w:rsidR="009F6E91" w:rsidRPr="00D427D8" w:rsidRDefault="009F6E91" w:rsidP="004C6B8C">
      <w:pPr>
        <w:pStyle w:val="Level3"/>
        <w:numPr>
          <w:ilvl w:val="2"/>
          <w:numId w:val="20"/>
        </w:numPr>
      </w:pPr>
      <w:r w:rsidRPr="00D427D8">
        <w:t>the Class A Notes are senior to the Class B Notes, the Class C Notes, the Class D Notes, the Class E Notes, the Class F Notes and the Class G Notes with respect to the payment of principal and interest;</w:t>
      </w:r>
    </w:p>
    <w:p w14:paraId="20C7AC48" w14:textId="664158A0" w:rsidR="009F6E91" w:rsidRPr="00D427D8" w:rsidRDefault="009F6E91" w:rsidP="00141A76">
      <w:pPr>
        <w:pStyle w:val="Level3"/>
      </w:pPr>
      <w:r w:rsidRPr="00D427D8">
        <w:t>the Class B Notes are senior to the Class C Notes, the Class D Notes, the Class E Notes, the Class F Notes and the Class G Notes with respect to the payment of principal and interest;</w:t>
      </w:r>
    </w:p>
    <w:p w14:paraId="272903E6" w14:textId="73F1E390" w:rsidR="009F6E91" w:rsidRPr="00D427D8" w:rsidRDefault="009F6E91" w:rsidP="00141A76">
      <w:pPr>
        <w:pStyle w:val="Level3"/>
      </w:pPr>
      <w:r w:rsidRPr="00D427D8">
        <w:t>the Class C Notes are senior to the Class D Notes, the Class E Notes, the Class F Notes and the Class G Notes with respect to the payment of principal and interest;</w:t>
      </w:r>
    </w:p>
    <w:p w14:paraId="6B875BCE" w14:textId="21B40BAB" w:rsidR="009F6E91" w:rsidRPr="00D427D8" w:rsidRDefault="009F6E91" w:rsidP="00141A76">
      <w:pPr>
        <w:pStyle w:val="Level3"/>
      </w:pPr>
      <w:r w:rsidRPr="00D427D8">
        <w:t>the Class D Notes are senior to the Class E Notes, the Class F Notes and the Class G Notes with respect to the payment of principal and interest;</w:t>
      </w:r>
    </w:p>
    <w:p w14:paraId="42D9D217" w14:textId="13305872" w:rsidR="009F6E91" w:rsidRPr="00D427D8" w:rsidRDefault="009F6E91" w:rsidP="00141A76">
      <w:pPr>
        <w:pStyle w:val="Level3"/>
      </w:pPr>
      <w:r w:rsidRPr="00D427D8">
        <w:t>the Class E Notes are senior to the Class F Notes and the Class G Notes with respect to the payment of principal and interest;</w:t>
      </w:r>
    </w:p>
    <w:p w14:paraId="395D97B2" w14:textId="40BDBF2B" w:rsidR="009F6E91" w:rsidRPr="00D427D8" w:rsidRDefault="009F6E91" w:rsidP="00141A76">
      <w:pPr>
        <w:pStyle w:val="Level3"/>
      </w:pPr>
      <w:r w:rsidRPr="00D427D8">
        <w:t>the Class F Notes are senior to the Class G Notes with respect to the payment of principal and interest.</w:t>
      </w:r>
    </w:p>
    <w:p w14:paraId="56914B40" w14:textId="77777777" w:rsidR="009F6E91" w:rsidRPr="00D427D8" w:rsidRDefault="009F6E91" w:rsidP="009F6E91">
      <w:pPr>
        <w:pStyle w:val="Body1"/>
      </w:pPr>
      <w:r w:rsidRPr="00D427D8">
        <w:t xml:space="preserve">All Notes rank </w:t>
      </w:r>
      <w:r w:rsidRPr="00D427D8">
        <w:rPr>
          <w:i/>
        </w:rPr>
        <w:t>pari passu</w:t>
      </w:r>
      <w:r w:rsidRPr="00D427D8">
        <w:t xml:space="preserve"> with all current and future unsubordinated obligations of the Issuer, other than those obligations arising under the Transaction Documents which will rank junior according to the applicable Priority of Payments and the Conditions.</w:t>
      </w:r>
    </w:p>
    <w:p w14:paraId="1F00A9F2" w14:textId="77777777" w:rsidR="009F6E91" w:rsidRPr="00D427D8" w:rsidRDefault="009F6E91" w:rsidP="009F6E91">
      <w:pPr>
        <w:pStyle w:val="Body1"/>
      </w:pPr>
      <w:r w:rsidRPr="00D427D8">
        <w:t xml:space="preserve">All Notes within a Class rank </w:t>
      </w:r>
      <w:r w:rsidRPr="00D427D8">
        <w:rPr>
          <w:i/>
        </w:rPr>
        <w:t>pari passu</w:t>
      </w:r>
      <w:r w:rsidRPr="00D427D8">
        <w:t xml:space="preserve"> to all other Notes within that Class and all payments on the Notes within a Class shall be allocated </w:t>
      </w:r>
      <w:r w:rsidRPr="00D427D8">
        <w:rPr>
          <w:i/>
        </w:rPr>
        <w:t>pro rata</w:t>
      </w:r>
      <w:r w:rsidRPr="00D427D8">
        <w:t xml:space="preserve"> to that Class of Notes.</w:t>
      </w:r>
    </w:p>
    <w:p w14:paraId="77847EA1" w14:textId="77777777" w:rsidR="009F6E91" w:rsidRPr="00D427D8" w:rsidRDefault="009F6E91" w:rsidP="009F6E91">
      <w:pPr>
        <w:pStyle w:val="Body1"/>
      </w:pPr>
      <w:r w:rsidRPr="00D427D8">
        <w:t>It is expected that:</w:t>
      </w:r>
    </w:p>
    <w:p w14:paraId="30FADEE6" w14:textId="46EDBBB5" w:rsidR="009F6E91" w:rsidRPr="00D427D8" w:rsidRDefault="009F6E91" w:rsidP="004C6B8C">
      <w:pPr>
        <w:pStyle w:val="Level3"/>
        <w:numPr>
          <w:ilvl w:val="2"/>
          <w:numId w:val="21"/>
        </w:numPr>
      </w:pPr>
      <w:r w:rsidRPr="00D427D8">
        <w:t xml:space="preserve">the Class A Notes will, when issued, be assigned a public rating of </w:t>
      </w:r>
      <w:r w:rsidR="00EF7333" w:rsidRPr="00D427D8">
        <w:t>"</w:t>
      </w:r>
      <w:r w:rsidRPr="00D427D8">
        <w:t>[</w:t>
      </w:r>
      <w:r w:rsidR="00D70F65">
        <w:rPr>
          <w:rFonts w:cs="Arial"/>
        </w:rPr>
        <w:t>AAA</w:t>
      </w:r>
      <w:r w:rsidRPr="00D427D8">
        <w:t>](sf)</w:t>
      </w:r>
      <w:r w:rsidR="00EF7333" w:rsidRPr="00D427D8">
        <w:t>"</w:t>
      </w:r>
      <w:r w:rsidRPr="00D427D8">
        <w:t xml:space="preserve"> by DBRS and </w:t>
      </w:r>
      <w:r w:rsidR="00EF7333" w:rsidRPr="00D427D8">
        <w:t>"</w:t>
      </w:r>
      <w:r w:rsidR="00D70F65">
        <w:rPr>
          <w:rFonts w:cs="Arial"/>
        </w:rPr>
        <w:t>Aaa</w:t>
      </w:r>
      <w:r w:rsidRPr="00D427D8">
        <w:t xml:space="preserve"> (sf)</w:t>
      </w:r>
      <w:r w:rsidR="00EF7333" w:rsidRPr="00D427D8">
        <w:t>"</w:t>
      </w:r>
      <w:r w:rsidRPr="00D427D8">
        <w:t xml:space="preserve"> from Moody</w:t>
      </w:r>
      <w:r w:rsidR="00EF7333" w:rsidRPr="00D427D8">
        <w:t>'</w:t>
      </w:r>
      <w:r w:rsidRPr="00D427D8">
        <w:t xml:space="preserve">s; (see the paragraphs headed </w:t>
      </w:r>
      <w:r w:rsidR="00EF7333" w:rsidRPr="00D427D8">
        <w:t>"</w:t>
      </w:r>
      <w:r w:rsidRPr="00D427D8">
        <w:rPr>
          <w:i/>
        </w:rPr>
        <w:t>Rating of the Notes</w:t>
      </w:r>
      <w:r w:rsidR="00EF7333" w:rsidRPr="00D427D8">
        <w:t>"</w:t>
      </w:r>
      <w:r w:rsidRPr="00D427D8">
        <w:t>);</w:t>
      </w:r>
    </w:p>
    <w:p w14:paraId="2345F380" w14:textId="1F2AEE58" w:rsidR="009F6E91" w:rsidRPr="00D427D8" w:rsidRDefault="009F6E91" w:rsidP="00141A76">
      <w:pPr>
        <w:pStyle w:val="Level3"/>
      </w:pPr>
      <w:r w:rsidRPr="00D427D8">
        <w:t xml:space="preserve">the Class B Notes will, when issued, be assigned a public rating of </w:t>
      </w:r>
      <w:r w:rsidR="00EF7333" w:rsidRPr="00D427D8">
        <w:t>"</w:t>
      </w:r>
      <w:r w:rsidRPr="00D427D8">
        <w:t>[</w:t>
      </w:r>
      <w:r w:rsidR="00D70F65">
        <w:rPr>
          <w:rFonts w:cs="Arial"/>
        </w:rPr>
        <w:t>AA</w:t>
      </w:r>
      <w:r w:rsidRPr="00D427D8">
        <w:t>](sf)</w:t>
      </w:r>
      <w:r w:rsidR="00EF7333" w:rsidRPr="00D427D8">
        <w:t>"</w:t>
      </w:r>
      <w:r w:rsidRPr="00D427D8">
        <w:t xml:space="preserve"> by DBRS and </w:t>
      </w:r>
      <w:r w:rsidR="00EF7333" w:rsidRPr="00D427D8">
        <w:t>"</w:t>
      </w:r>
      <w:r w:rsidR="00D70F65">
        <w:rPr>
          <w:rFonts w:cs="Arial"/>
        </w:rPr>
        <w:t>Aa2</w:t>
      </w:r>
      <w:r w:rsidRPr="00D427D8">
        <w:t xml:space="preserve"> (sf)</w:t>
      </w:r>
      <w:r w:rsidR="00EF7333" w:rsidRPr="00D427D8">
        <w:t>"</w:t>
      </w:r>
      <w:r w:rsidRPr="00D427D8">
        <w:t xml:space="preserve"> from Moody</w:t>
      </w:r>
      <w:r w:rsidR="00EF7333" w:rsidRPr="00D427D8">
        <w:t>'</w:t>
      </w:r>
      <w:r w:rsidRPr="00D427D8">
        <w:t xml:space="preserve">s; (see the paragraphs headed </w:t>
      </w:r>
      <w:r w:rsidR="00EF7333" w:rsidRPr="00D427D8">
        <w:t>"</w:t>
      </w:r>
      <w:r w:rsidRPr="00D427D8">
        <w:rPr>
          <w:i/>
        </w:rPr>
        <w:t>Rating of the Notes</w:t>
      </w:r>
      <w:r w:rsidR="00EF7333" w:rsidRPr="00D427D8">
        <w:t>"</w:t>
      </w:r>
      <w:r w:rsidRPr="00D427D8">
        <w:t>);</w:t>
      </w:r>
    </w:p>
    <w:p w14:paraId="4D9B3616" w14:textId="4875DC6A" w:rsidR="009F6E91" w:rsidRPr="00D427D8" w:rsidRDefault="009F6E91" w:rsidP="00141A76">
      <w:pPr>
        <w:pStyle w:val="Level3"/>
      </w:pPr>
      <w:r w:rsidRPr="00D427D8">
        <w:t xml:space="preserve">the Class C Notes will, when issued, be assigned a public rating of </w:t>
      </w:r>
      <w:r w:rsidR="00EF7333" w:rsidRPr="00D427D8">
        <w:t>"</w:t>
      </w:r>
      <w:r w:rsidRPr="00D427D8">
        <w:t>[</w:t>
      </w:r>
      <w:r w:rsidR="00D70F65">
        <w:rPr>
          <w:rFonts w:cs="Arial"/>
        </w:rPr>
        <w:t>A</w:t>
      </w:r>
      <w:r w:rsidRPr="00D427D8">
        <w:t>](sf)</w:t>
      </w:r>
      <w:r w:rsidR="00EF7333" w:rsidRPr="00D427D8">
        <w:t>"</w:t>
      </w:r>
      <w:r w:rsidRPr="00D427D8">
        <w:t xml:space="preserve"> by DBRS and </w:t>
      </w:r>
      <w:r w:rsidR="00EF7333" w:rsidRPr="00D427D8">
        <w:t>"</w:t>
      </w:r>
      <w:r w:rsidR="00D70F65">
        <w:rPr>
          <w:rFonts w:cs="Arial"/>
        </w:rPr>
        <w:t>A</w:t>
      </w:r>
      <w:r w:rsidR="00A42D68">
        <w:t>1</w:t>
      </w:r>
      <w:r w:rsidRPr="00D427D8">
        <w:t xml:space="preserve"> (sf)</w:t>
      </w:r>
      <w:r w:rsidR="00EF7333" w:rsidRPr="00D427D8">
        <w:t>"</w:t>
      </w:r>
      <w:r w:rsidRPr="00D427D8">
        <w:t xml:space="preserve"> from Moody</w:t>
      </w:r>
      <w:r w:rsidR="00EF7333" w:rsidRPr="00D427D8">
        <w:t>'</w:t>
      </w:r>
      <w:r w:rsidRPr="00D427D8">
        <w:t xml:space="preserve">s; (see the paragraphs headed </w:t>
      </w:r>
      <w:r w:rsidR="00EF7333" w:rsidRPr="00D427D8">
        <w:t>"</w:t>
      </w:r>
      <w:r w:rsidRPr="00D427D8">
        <w:rPr>
          <w:i/>
        </w:rPr>
        <w:t>Rating of the Notes</w:t>
      </w:r>
      <w:r w:rsidR="00EF7333" w:rsidRPr="00D427D8">
        <w:t>"</w:t>
      </w:r>
      <w:r w:rsidRPr="00D427D8">
        <w:t>);</w:t>
      </w:r>
    </w:p>
    <w:p w14:paraId="5676D9DC" w14:textId="4429E9F2" w:rsidR="009F6E91" w:rsidRPr="00D427D8" w:rsidRDefault="009F6E91" w:rsidP="00141A76">
      <w:pPr>
        <w:pStyle w:val="Level3"/>
      </w:pPr>
      <w:r w:rsidRPr="00D427D8">
        <w:t xml:space="preserve">the Class D Notes will, when issued, be assigned a public rating of </w:t>
      </w:r>
      <w:r w:rsidR="00EF7333" w:rsidRPr="00D427D8">
        <w:t>"</w:t>
      </w:r>
      <w:r w:rsidRPr="00D427D8">
        <w:t>[</w:t>
      </w:r>
      <w:r w:rsidR="00D70F65">
        <w:rPr>
          <w:rFonts w:cs="Arial"/>
        </w:rPr>
        <w:t>BBB(high)</w:t>
      </w:r>
      <w:r w:rsidRPr="00D427D8">
        <w:t>](sf)</w:t>
      </w:r>
      <w:r w:rsidR="00EF7333" w:rsidRPr="00D427D8">
        <w:t>"</w:t>
      </w:r>
      <w:r w:rsidRPr="00D427D8">
        <w:t xml:space="preserve"> by DBRS and </w:t>
      </w:r>
      <w:r w:rsidR="00EF7333" w:rsidRPr="00D427D8">
        <w:t>"</w:t>
      </w:r>
      <w:r w:rsidR="00D70F65">
        <w:rPr>
          <w:rFonts w:cs="Arial"/>
        </w:rPr>
        <w:t>Baa</w:t>
      </w:r>
      <w:r w:rsidR="00A42D68">
        <w:t>1</w:t>
      </w:r>
      <w:r w:rsidRPr="00D427D8">
        <w:t xml:space="preserve"> (sf)</w:t>
      </w:r>
      <w:r w:rsidR="00EF7333" w:rsidRPr="00D427D8">
        <w:t>"</w:t>
      </w:r>
      <w:r w:rsidRPr="00D427D8">
        <w:t xml:space="preserve"> from Moody</w:t>
      </w:r>
      <w:r w:rsidR="00EF7333" w:rsidRPr="00D427D8">
        <w:t>'</w:t>
      </w:r>
      <w:r w:rsidRPr="00D427D8">
        <w:t xml:space="preserve">s; (see the paragraphs headed </w:t>
      </w:r>
      <w:r w:rsidR="00EF7333" w:rsidRPr="00D427D8">
        <w:t>"</w:t>
      </w:r>
      <w:r w:rsidRPr="00D427D8">
        <w:rPr>
          <w:i/>
        </w:rPr>
        <w:t>Rating of the Notes</w:t>
      </w:r>
      <w:r w:rsidR="00EF7333" w:rsidRPr="00D427D8">
        <w:t>"</w:t>
      </w:r>
      <w:r w:rsidRPr="00D427D8">
        <w:t>);</w:t>
      </w:r>
    </w:p>
    <w:p w14:paraId="2890AE08" w14:textId="155B7F58" w:rsidR="009F6E91" w:rsidRPr="00D427D8" w:rsidRDefault="009F6E91" w:rsidP="00141A76">
      <w:pPr>
        <w:pStyle w:val="Level3"/>
      </w:pPr>
      <w:r w:rsidRPr="00D427D8">
        <w:t xml:space="preserve">the Class E Notes will, when issued, be assigned a public rating of </w:t>
      </w:r>
      <w:r w:rsidR="00EF7333" w:rsidRPr="00D427D8">
        <w:t>"</w:t>
      </w:r>
      <w:r w:rsidRPr="00D427D8">
        <w:t>[</w:t>
      </w:r>
      <w:r w:rsidR="00D70F65">
        <w:t>BB(high)</w:t>
      </w:r>
      <w:r w:rsidRPr="00D427D8">
        <w:t>](sf)</w:t>
      </w:r>
      <w:r w:rsidR="00EF7333" w:rsidRPr="00D427D8">
        <w:t>"</w:t>
      </w:r>
      <w:r w:rsidRPr="00D427D8">
        <w:t xml:space="preserve"> by DBRS and </w:t>
      </w:r>
      <w:r w:rsidR="00EF7333" w:rsidRPr="00D427D8">
        <w:t>"</w:t>
      </w:r>
      <w:r w:rsidR="00C7143B" w:rsidRPr="00D427D8">
        <w:rPr>
          <w:szCs w:val="16"/>
        </w:rPr>
        <w:t>Ba1</w:t>
      </w:r>
      <w:r w:rsidRPr="00D427D8">
        <w:t xml:space="preserve"> (sf)</w:t>
      </w:r>
      <w:r w:rsidR="00EF7333" w:rsidRPr="00D427D8">
        <w:t>"</w:t>
      </w:r>
      <w:r w:rsidRPr="00D427D8">
        <w:t xml:space="preserve"> from Moody</w:t>
      </w:r>
      <w:r w:rsidR="00EF7333" w:rsidRPr="00D427D8">
        <w:t>'</w:t>
      </w:r>
      <w:r w:rsidRPr="00D427D8">
        <w:t xml:space="preserve">s; (see the paragraphs headed </w:t>
      </w:r>
      <w:r w:rsidR="00EF7333" w:rsidRPr="00D427D8">
        <w:t>"</w:t>
      </w:r>
      <w:r w:rsidRPr="00D427D8">
        <w:rPr>
          <w:i/>
        </w:rPr>
        <w:t>Rating of the Notes</w:t>
      </w:r>
      <w:r w:rsidR="00EF7333" w:rsidRPr="00D427D8">
        <w:t>"</w:t>
      </w:r>
      <w:r w:rsidRPr="00D427D8">
        <w:t>);</w:t>
      </w:r>
    </w:p>
    <w:p w14:paraId="51712BF7" w14:textId="61C207B1" w:rsidR="009F6E91" w:rsidRPr="00D427D8" w:rsidRDefault="009F6E91" w:rsidP="00141A76">
      <w:pPr>
        <w:pStyle w:val="Level3"/>
      </w:pPr>
      <w:r w:rsidRPr="00D427D8">
        <w:lastRenderedPageBreak/>
        <w:t xml:space="preserve">the Class F Notes will, when issued, be assigned a public rating of </w:t>
      </w:r>
      <w:r w:rsidR="00EF7333" w:rsidRPr="00D427D8">
        <w:t>"</w:t>
      </w:r>
      <w:r w:rsidRPr="00D427D8">
        <w:t>[</w:t>
      </w:r>
      <w:r w:rsidR="00D70F65">
        <w:rPr>
          <w:rFonts w:cs="Arial"/>
        </w:rPr>
        <w:t>B(high)</w:t>
      </w:r>
      <w:r w:rsidRPr="00D427D8">
        <w:t>](sf)</w:t>
      </w:r>
      <w:r w:rsidR="00EF7333" w:rsidRPr="00D427D8">
        <w:t>"</w:t>
      </w:r>
      <w:r w:rsidRPr="00D427D8">
        <w:t xml:space="preserve"> by DBRS and </w:t>
      </w:r>
      <w:r w:rsidR="00EF7333" w:rsidRPr="00D427D8">
        <w:t>"</w:t>
      </w:r>
      <w:r w:rsidR="00C7143B">
        <w:rPr>
          <w:rFonts w:cs="Arial"/>
        </w:rPr>
        <w:t>Ba2</w:t>
      </w:r>
      <w:r w:rsidRPr="00D427D8">
        <w:t xml:space="preserve"> (sf)</w:t>
      </w:r>
      <w:r w:rsidR="00EF7333" w:rsidRPr="00D427D8">
        <w:t>"</w:t>
      </w:r>
      <w:r w:rsidRPr="00D427D8">
        <w:t xml:space="preserve"> from Moody</w:t>
      </w:r>
      <w:r w:rsidR="00EF7333" w:rsidRPr="00D427D8">
        <w:t>'</w:t>
      </w:r>
      <w:r w:rsidRPr="00D427D8">
        <w:t xml:space="preserve">s; (see the paragraphs headed </w:t>
      </w:r>
      <w:r w:rsidR="00EF7333" w:rsidRPr="00D427D8">
        <w:t>"</w:t>
      </w:r>
      <w:r w:rsidRPr="00D427D8">
        <w:rPr>
          <w:i/>
        </w:rPr>
        <w:t>Rating of the Notes</w:t>
      </w:r>
      <w:r w:rsidR="00EF7333" w:rsidRPr="00D427D8">
        <w:t>"</w:t>
      </w:r>
      <w:r w:rsidRPr="00D427D8">
        <w:t>);</w:t>
      </w:r>
    </w:p>
    <w:p w14:paraId="7DB0925F" w14:textId="17735533" w:rsidR="009F6E91" w:rsidRPr="00D427D8" w:rsidRDefault="009F6E91" w:rsidP="009F6E91">
      <w:pPr>
        <w:pStyle w:val="Body1"/>
      </w:pPr>
      <w:r w:rsidRPr="00D427D8">
        <w:t xml:space="preserve">For a detailed description of the Notes see the paragraphs headed </w:t>
      </w:r>
      <w:r w:rsidR="00EF7333" w:rsidRPr="00D427D8">
        <w:t>"</w:t>
      </w:r>
      <w:r w:rsidRPr="00D427D8">
        <w:rPr>
          <w:i/>
        </w:rPr>
        <w:t>Terms and Conditions of The Notes</w:t>
      </w:r>
      <w:r w:rsidR="00EF7333" w:rsidRPr="00D427D8">
        <w:t>"</w:t>
      </w:r>
      <w:r w:rsidRPr="00D427D8">
        <w:rPr>
          <w:i/>
        </w:rPr>
        <w:t>.</w:t>
      </w:r>
    </w:p>
    <w:p w14:paraId="79EC3913" w14:textId="77777777" w:rsidR="009F6E91" w:rsidRPr="00D427D8" w:rsidRDefault="009F6E91" w:rsidP="009F6E91">
      <w:pPr>
        <w:pStyle w:val="Body1"/>
        <w:rPr>
          <w:rStyle w:val="Heading1Text"/>
        </w:rPr>
      </w:pPr>
      <w:r w:rsidRPr="00D427D8">
        <w:rPr>
          <w:rStyle w:val="Heading1Text"/>
        </w:rPr>
        <w:t>Priority of Payments</w:t>
      </w:r>
    </w:p>
    <w:p w14:paraId="765683C3" w14:textId="77777777" w:rsidR="009F6E91" w:rsidRPr="00D427D8" w:rsidRDefault="009F6E91" w:rsidP="009F6E91">
      <w:pPr>
        <w:pStyle w:val="Body1"/>
      </w:pPr>
      <w:r w:rsidRPr="00D427D8">
        <w:t>Payments in respect of the Notes will be made in accordance with the applicable Priority of Payments. The Interest Priority of Payments, the Principal Priority of Payments and the Accelerated Priority of Payments are set out in Annex B (</w:t>
      </w:r>
      <w:r w:rsidRPr="00D427D8">
        <w:rPr>
          <w:i/>
          <w:iCs/>
        </w:rPr>
        <w:t>Priority of Payments Schedule</w:t>
      </w:r>
      <w:r w:rsidRPr="00D427D8">
        <w:t>) of the Conditions. Payments of principal on the Notes will not be made until the termination of the Revolving Period.</w:t>
      </w:r>
    </w:p>
    <w:p w14:paraId="7009C566" w14:textId="77777777" w:rsidR="009F6E91" w:rsidRPr="00D427D8" w:rsidRDefault="009F6E91" w:rsidP="009F6E91">
      <w:pPr>
        <w:pStyle w:val="Body1"/>
        <w:rPr>
          <w:rStyle w:val="Heading1Text"/>
        </w:rPr>
      </w:pPr>
      <w:r w:rsidRPr="00D427D8">
        <w:rPr>
          <w:rStyle w:val="Heading1Text"/>
        </w:rPr>
        <w:t>Servicer Collection Accounts</w:t>
      </w:r>
    </w:p>
    <w:p w14:paraId="41E6DA1B" w14:textId="10020C02" w:rsidR="009F6E91" w:rsidRPr="00D427D8" w:rsidRDefault="009F6E91" w:rsidP="009F6E91">
      <w:pPr>
        <w:pStyle w:val="Body1"/>
      </w:pPr>
      <w:r w:rsidRPr="00D427D8">
        <w:t>Payments in respect of the Purchased Lease Receivables and the Leased Vehicle Put Options will be paid by the Lessees or the Car Dealers, respectively, into the Servicer</w:t>
      </w:r>
      <w:r w:rsidR="00EF7333" w:rsidRPr="00D427D8">
        <w:t>'</w:t>
      </w:r>
      <w:r w:rsidRPr="00D427D8">
        <w:t>s collection accounts directly, via direct debit or otherwise. Any proceeds from the liquidation of Lease Collateral will be paid into the Servicer</w:t>
      </w:r>
      <w:r w:rsidR="00EF7333" w:rsidRPr="00D427D8">
        <w:t>'</w:t>
      </w:r>
      <w:r w:rsidRPr="00D427D8">
        <w:t>s collection account as well. The Servicer</w:t>
      </w:r>
      <w:r w:rsidR="00EF7333" w:rsidRPr="00D427D8">
        <w:t>'</w:t>
      </w:r>
      <w:r w:rsidRPr="00D427D8">
        <w:t>s collection accounts must be held with a bank that is an Eligible Institution.</w:t>
      </w:r>
    </w:p>
    <w:p w14:paraId="504A27FB" w14:textId="5E88A66C" w:rsidR="009F6E91" w:rsidRPr="00D427D8" w:rsidRDefault="009F6E91" w:rsidP="009F6E91">
      <w:pPr>
        <w:pStyle w:val="Body1"/>
      </w:pPr>
      <w:r w:rsidRPr="00D427D8">
        <w:t xml:space="preserve">All amounts representing Available Collections received by the Servicer and </w:t>
      </w:r>
      <w:r w:rsidR="00CF68B0" w:rsidRPr="00D427D8">
        <w:t>Recover</w:t>
      </w:r>
      <w:r w:rsidR="00CF68B0">
        <w:t>y Proceeds</w:t>
      </w:r>
      <w:r w:rsidR="00CF68B0" w:rsidRPr="00D427D8">
        <w:t xml:space="preserve"> </w:t>
      </w:r>
      <w:r w:rsidRPr="00D427D8">
        <w:t>will be transferred to the Distribution Account in accordance with the provisions of the Servicing Agreement.</w:t>
      </w:r>
    </w:p>
    <w:p w14:paraId="47ECB0C9" w14:textId="77777777" w:rsidR="009F6E91" w:rsidRPr="00D427D8" w:rsidRDefault="009F6E91" w:rsidP="00EF7333">
      <w:pPr>
        <w:pStyle w:val="Body1"/>
        <w:rPr>
          <w:rStyle w:val="Heading1Text"/>
        </w:rPr>
      </w:pPr>
      <w:r w:rsidRPr="00D427D8">
        <w:rPr>
          <w:rStyle w:val="Heading1Text"/>
        </w:rPr>
        <w:t>Issuer Accounts</w:t>
      </w:r>
    </w:p>
    <w:p w14:paraId="5E46D85F" w14:textId="77777777" w:rsidR="009F6E91" w:rsidRPr="00D427D8" w:rsidRDefault="009F6E91" w:rsidP="00EF7333">
      <w:pPr>
        <w:pStyle w:val="Body1"/>
        <w:rPr>
          <w:rStyle w:val="BoldItalicText"/>
        </w:rPr>
      </w:pPr>
      <w:r w:rsidRPr="00D427D8">
        <w:rPr>
          <w:rStyle w:val="BoldItalicText"/>
        </w:rPr>
        <w:t>General</w:t>
      </w:r>
    </w:p>
    <w:p w14:paraId="5EE7AE0B" w14:textId="77777777" w:rsidR="009F6E91" w:rsidRPr="00D427D8" w:rsidRDefault="009F6E91" w:rsidP="009F6E91">
      <w:pPr>
        <w:pStyle w:val="Body1"/>
      </w:pPr>
      <w:r w:rsidRPr="00D427D8">
        <w:t xml:space="preserve">The </w:t>
      </w:r>
      <w:r w:rsidRPr="00D427D8">
        <w:rPr>
          <w:rStyle w:val="BoldText"/>
        </w:rPr>
        <w:t xml:space="preserve">Issuer Accounts </w:t>
      </w:r>
      <w:r w:rsidRPr="00D427D8">
        <w:t>will consist of the Distribution Account, the Reserve Account, the VAT Account and the CSA Account. Each Issuer Account will be established and maintained with BNP Paribas, Germany Branch as Account Bank and will be operated at the instruction of the Issuer by the Account Bank. The Account Bank must be an Eligible Institution.</w:t>
      </w:r>
    </w:p>
    <w:p w14:paraId="790CCDA9" w14:textId="77777777" w:rsidR="009F6E91" w:rsidRPr="00D427D8" w:rsidRDefault="009F6E91" w:rsidP="009F6E91">
      <w:pPr>
        <w:pStyle w:val="Body1"/>
      </w:pPr>
      <w:r w:rsidRPr="00D427D8">
        <w:t>If at any time the Account Bank ceases to be an Eligible Institution, the Issuer will, within sixty (60) days of such time, procure the transfer of each Issuer Account and each other account of the Issuer (which has been opened in accordance with the Transaction Documents) held with the Account Bank to another bank which is an Eligible Institution.</w:t>
      </w:r>
    </w:p>
    <w:p w14:paraId="7B3ABB49" w14:textId="7FDF5F16" w:rsidR="009F6E91" w:rsidRPr="00D427D8" w:rsidRDefault="009F6E91" w:rsidP="009F6E91">
      <w:pPr>
        <w:pStyle w:val="Body1"/>
      </w:pPr>
      <w:r w:rsidRPr="00D427D8">
        <w:t xml:space="preserve">The Issuer, may at any time terminate the appointment of the Account Bank within forty-five (45) calendar days prior written notice if, on any date, the Account Bank ceases to qualify as an Eligible Institution. The Account Bank may resign at any time by giving the Issuer at least thirty (30) days prior notice. However, such resignation will not take effect until a successor account bank is appointed. See section </w:t>
      </w:r>
      <w:r w:rsidR="00EF7333" w:rsidRPr="00D427D8">
        <w:t>"</w:t>
      </w:r>
      <w:r w:rsidRPr="00D427D8">
        <w:rPr>
          <w:i/>
        </w:rPr>
        <w:t>Description of certain Transaction Documents – Account Bank Agreement – Termination of appointment</w:t>
      </w:r>
      <w:r w:rsidR="00EF7333" w:rsidRPr="00D427D8">
        <w:t>"</w:t>
      </w:r>
      <w:r w:rsidRPr="00D427D8">
        <w:t>.</w:t>
      </w:r>
    </w:p>
    <w:p w14:paraId="172FD922" w14:textId="74C36682" w:rsidR="009F6E91" w:rsidRPr="00D427D8" w:rsidRDefault="009F6E91" w:rsidP="009F6E91">
      <w:pPr>
        <w:pStyle w:val="Body1"/>
      </w:pPr>
      <w:r w:rsidRPr="00D427D8">
        <w:t xml:space="preserve">Amounts standing to the credit of the Issuer Accounts shall bear interest (the </w:t>
      </w:r>
      <w:r w:rsidR="00EF7333" w:rsidRPr="00D427D8">
        <w:t>"</w:t>
      </w:r>
      <w:r w:rsidRPr="00D427D8">
        <w:rPr>
          <w:rStyle w:val="BoldText"/>
        </w:rPr>
        <w:t>Interest Earnings</w:t>
      </w:r>
      <w:r w:rsidR="00EF7333" w:rsidRPr="00D427D8">
        <w:t>"</w:t>
      </w:r>
      <w:r w:rsidRPr="00D427D8">
        <w:t>) at a pre-determined floating rate which is not subject to a floor. Monies pending allocation and standing from time to time to the credit of the Issuer Accounts between two Distribution Dates will not be invested.</w:t>
      </w:r>
    </w:p>
    <w:p w14:paraId="21A99956" w14:textId="37306FB7" w:rsidR="009F6E91" w:rsidRPr="00D427D8" w:rsidRDefault="009F6E91" w:rsidP="009F6E91">
      <w:pPr>
        <w:pStyle w:val="Body1"/>
      </w:pPr>
      <w:r w:rsidRPr="00D427D8">
        <w:rPr>
          <w:b/>
          <w:i/>
        </w:rPr>
        <w:t>Distribution Account</w:t>
      </w:r>
      <w:r w:rsidRPr="00D427D8">
        <w:t>. All amounts received by the Servicer on the Purchased Lease Receivables and the Collateral and the Realisation Proceeds will be paid, within two Business Days of receipt, into an interest bearing account of the Issuer (the </w:t>
      </w:r>
      <w:r w:rsidR="00EF7333" w:rsidRPr="00D427D8">
        <w:t>"</w:t>
      </w:r>
      <w:r w:rsidRPr="00D427D8">
        <w:rPr>
          <w:rStyle w:val="BoldText"/>
        </w:rPr>
        <w:t>Distribution Account</w:t>
      </w:r>
      <w:r w:rsidR="00EF7333" w:rsidRPr="00D427D8">
        <w:t>"</w:t>
      </w:r>
      <w:r w:rsidRPr="00D427D8">
        <w:t>). All amounts payable to the Issuer by a Transaction Party have to be credited to the Distribution Account. On or before the Distribution Date following the end of each Monthly Period, the Issuer shall:</w:t>
      </w:r>
    </w:p>
    <w:p w14:paraId="026C43A0" w14:textId="06E59E4F" w:rsidR="009F6E91" w:rsidRPr="00D427D8" w:rsidRDefault="009F6E91" w:rsidP="004C6B8C">
      <w:pPr>
        <w:pStyle w:val="Level3"/>
        <w:numPr>
          <w:ilvl w:val="2"/>
          <w:numId w:val="22"/>
        </w:numPr>
      </w:pPr>
      <w:r w:rsidRPr="00D427D8">
        <w:t>pay to the Counterparty any tax credits payable pursuant to Section 2(d)(iii) of the Hedging Arrangement;</w:t>
      </w:r>
    </w:p>
    <w:p w14:paraId="0E6AFA44" w14:textId="3B0CCE78" w:rsidR="009F6E91" w:rsidRPr="00D427D8" w:rsidRDefault="009F6E91" w:rsidP="00141A76">
      <w:pPr>
        <w:pStyle w:val="Level3"/>
      </w:pPr>
      <w:r w:rsidRPr="00D427D8">
        <w:t>repay to the Subordinated Lender any Liquidity Reserve, whereby such repayment will decrease the then Subordinated Loan Balance accordingly;</w:t>
      </w:r>
    </w:p>
    <w:p w14:paraId="390FAB78" w14:textId="75599C25" w:rsidR="009F6E91" w:rsidRPr="00D427D8" w:rsidRDefault="009F6E91" w:rsidP="00141A76">
      <w:pPr>
        <w:pStyle w:val="Level3"/>
      </w:pPr>
      <w:r w:rsidRPr="00D427D8">
        <w:t>repay to the Lender the VAT Bridge Loan;</w:t>
      </w:r>
    </w:p>
    <w:p w14:paraId="2931DDE2" w14:textId="09C82D62" w:rsidR="009F6E91" w:rsidRPr="00D427D8" w:rsidRDefault="009F6E91" w:rsidP="00141A76">
      <w:pPr>
        <w:pStyle w:val="Level3"/>
      </w:pPr>
      <w:r w:rsidRPr="00D427D8">
        <w:rPr>
          <w:szCs w:val="19"/>
        </w:rPr>
        <w:t>repay to the Seller (</w:t>
      </w:r>
      <w:r w:rsidRPr="00D427D8">
        <w:t xml:space="preserve">unless (1) the Seller has failed to punctually comply with its obligation to repurchase Receivables in accordance with clause 10.1 of the Lease Receivables Purchase </w:t>
      </w:r>
      <w:r w:rsidRPr="00D427D8">
        <w:lastRenderedPageBreak/>
        <w:t>Agreement or (2) an Insolvency Event has occurred in respect of the Seller) the amount (if any) by which the Deposit Reserve Amount credited by the Seller to the Reserve Account, and then credited to the Distribution Account, exceeds the Total Deposit Exposure Amount as at such Distribution Date,</w:t>
      </w:r>
    </w:p>
    <w:p w14:paraId="7919DEEC" w14:textId="77777777" w:rsidR="009F6E91" w:rsidRPr="00D427D8" w:rsidRDefault="009F6E91" w:rsidP="00EF7333">
      <w:pPr>
        <w:pStyle w:val="Body1"/>
      </w:pPr>
      <w:r w:rsidRPr="00D427D8">
        <w:t>in each case outside the applicable Priority of Payments; and</w:t>
      </w:r>
    </w:p>
    <w:p w14:paraId="7089E9EF" w14:textId="5F81B87B" w:rsidR="009F6E91" w:rsidRPr="00D427D8" w:rsidRDefault="009F6E91" w:rsidP="00141A76">
      <w:pPr>
        <w:pStyle w:val="Level3"/>
      </w:pPr>
      <w:r w:rsidRPr="00D427D8">
        <w:t>then distribute in accordance with the relevant Priority of Payments all amounts deposited in the Distribution Account relating to the prior Monthly Period.</w:t>
      </w:r>
    </w:p>
    <w:p w14:paraId="75E06CBC" w14:textId="74ACCA83" w:rsidR="009F6E91" w:rsidRPr="00D427D8" w:rsidRDefault="009F6E91" w:rsidP="009F6E91">
      <w:pPr>
        <w:pStyle w:val="Body1"/>
      </w:pPr>
      <w:r w:rsidRPr="00D427D8">
        <w:rPr>
          <w:b/>
          <w:i/>
        </w:rPr>
        <w:t>Reserve Account</w:t>
      </w:r>
      <w:r w:rsidRPr="00D427D8">
        <w:t xml:space="preserve">. The </w:t>
      </w:r>
      <w:r w:rsidR="00EF7333" w:rsidRPr="00D427D8">
        <w:t>"</w:t>
      </w:r>
      <w:r w:rsidRPr="00D427D8">
        <w:rPr>
          <w:rStyle w:val="BoldText"/>
        </w:rPr>
        <w:t>Reserve Account</w:t>
      </w:r>
      <w:r w:rsidR="00EF7333" w:rsidRPr="00D427D8">
        <w:t>"</w:t>
      </w:r>
      <w:r w:rsidRPr="00D427D8">
        <w:t xml:space="preserve">, established with the Account Bank pursuant to the Account Bank Agreement, will be credited with (i) the initial Liquidity Reserve Target Amount on the Closing Date (and, where applicable, on Distribution Dates with further amounts in accordance with the Interest Priority of Payments), and (ii) the Deposit Reserve Amount, to the extent the Deposit Reserve Condition is met, and debited as described in </w:t>
      </w:r>
      <w:r w:rsidR="00EF7333" w:rsidRPr="00D427D8">
        <w:t>"</w:t>
      </w:r>
      <w:r w:rsidRPr="00D427D8">
        <w:t>Credit Enhancement – Reserve Account</w:t>
      </w:r>
      <w:r w:rsidR="00EF7333" w:rsidRPr="00D427D8">
        <w:t>"</w:t>
      </w:r>
      <w:r w:rsidRPr="00D427D8">
        <w:t xml:space="preserve"> below.</w:t>
      </w:r>
    </w:p>
    <w:p w14:paraId="3DB84C54" w14:textId="42E172EB" w:rsidR="009F6E91" w:rsidRPr="00D427D8" w:rsidRDefault="009F6E91" w:rsidP="009F6E91">
      <w:pPr>
        <w:pStyle w:val="Body1"/>
      </w:pPr>
      <w:r w:rsidRPr="00D427D8">
        <w:rPr>
          <w:b/>
          <w:i/>
        </w:rPr>
        <w:t>VAT Account</w:t>
      </w:r>
      <w:r w:rsidRPr="00D427D8">
        <w:t xml:space="preserve">. The </w:t>
      </w:r>
      <w:r w:rsidR="00EF7333" w:rsidRPr="00D427D8">
        <w:t>"</w:t>
      </w:r>
      <w:r w:rsidRPr="00D427D8">
        <w:rPr>
          <w:rStyle w:val="BoldText"/>
        </w:rPr>
        <w:t>VAT Account</w:t>
      </w:r>
      <w:r w:rsidR="00EF7333" w:rsidRPr="00D427D8">
        <w:t>"</w:t>
      </w:r>
      <w:r w:rsidRPr="00D427D8">
        <w:t xml:space="preserve">, established with the Account Bank pursuant to the Account Bank Agreement, will be </w:t>
      </w:r>
      <w:bookmarkStart w:id="67" w:name="_Hlk187085155"/>
      <w:r w:rsidRPr="00D427D8">
        <w:t>used exclusively for (i) the receipt of VAT payments from the Servicer in accordance with clause 2.3(f) of the Servicing Agreement, (ii) the receipt of any Input VAT Refunds, (iii) the payment of VAT due to the tax authorities, (iv) the repayment of the VAT Bridge Loan and (v) the payment of any related fees or costs to the tax authorities, if any.</w:t>
      </w:r>
      <w:bookmarkEnd w:id="67"/>
    </w:p>
    <w:p w14:paraId="6254F8DF" w14:textId="77777777" w:rsidR="009F6E91" w:rsidRPr="00D427D8" w:rsidRDefault="009F6E91" w:rsidP="009F6E91">
      <w:pPr>
        <w:pStyle w:val="Body1"/>
      </w:pPr>
      <w:r w:rsidRPr="00D427D8">
        <w:t>Any Interest Earnings on the VAT Account shall be paid to the Lender In accordance with the VAT Bridge Loan Agreement.</w:t>
      </w:r>
    </w:p>
    <w:p w14:paraId="70DC725A" w14:textId="14E17AFC" w:rsidR="009F6E91" w:rsidRPr="00D427D8" w:rsidRDefault="009F6E91" w:rsidP="009F6E91">
      <w:pPr>
        <w:pStyle w:val="Body1"/>
      </w:pPr>
      <w:r w:rsidRPr="00D427D8">
        <w:rPr>
          <w:b/>
          <w:i/>
        </w:rPr>
        <w:t>CSA Accounts</w:t>
      </w:r>
      <w:r w:rsidRPr="00D427D8">
        <w:t xml:space="preserve"> The </w:t>
      </w:r>
      <w:r w:rsidR="00EF7333" w:rsidRPr="00D427D8">
        <w:t>"</w:t>
      </w:r>
      <w:r w:rsidRPr="00D427D8">
        <w:rPr>
          <w:rStyle w:val="BoldText"/>
        </w:rPr>
        <w:t>CSA Account</w:t>
      </w:r>
      <w:r w:rsidR="00EF7333" w:rsidRPr="00D427D8">
        <w:t>"</w:t>
      </w:r>
      <w:r w:rsidRPr="00D427D8">
        <w:t xml:space="preserve"> will be opened and maintained by the Issuer as segregated swap collateral accounts with the Account Bank in accordance with the Hedging Arrangement, between the Issuer and the Counterparty. It will be credited with any collateral transfer from the Counterparty, any premiums received from a replacement of the Counterparty and any amounts payable by the Counterparty on early termination of the Hedging Arrangement. Any amounts standing to the credit of the CSA Account will not be available for the Issuer to make payments to the Noteholders and the other Secured Parties (except for the Counterparty) in accordance with the applicable Priority of Payments, but may be applied only in accordance with the Hedging Arrangement and the CSA Account Priority of Payments. A separate CSA Account for securities will be opened by an Eligible Institution if this becomes necessary in the future.</w:t>
      </w:r>
    </w:p>
    <w:p w14:paraId="541BE3C0" w14:textId="77777777" w:rsidR="009F6E91" w:rsidRPr="00D427D8" w:rsidRDefault="009F6E91" w:rsidP="00EF7333">
      <w:pPr>
        <w:pStyle w:val="Body1"/>
      </w:pPr>
      <w:r w:rsidRPr="00D427D8">
        <w:br w:type="page"/>
      </w:r>
    </w:p>
    <w:p w14:paraId="4CFD1CBC" w14:textId="77777777" w:rsidR="009F6E91" w:rsidRPr="00D427D8" w:rsidRDefault="009F6E91" w:rsidP="000420D4">
      <w:pPr>
        <w:pStyle w:val="CentredHeading"/>
      </w:pPr>
      <w:bookmarkStart w:id="68" w:name="_Toc194046500"/>
      <w:bookmarkStart w:id="69" w:name="_Toc198539659"/>
      <w:r w:rsidRPr="00D427D8">
        <w:lastRenderedPageBreak/>
        <w:t>CREDIT ENHANCEMENT AND LIQUIDITY</w:t>
      </w:r>
      <w:bookmarkEnd w:id="68"/>
      <w:bookmarkEnd w:id="69"/>
    </w:p>
    <w:p w14:paraId="254425ED" w14:textId="6D051FFA" w:rsidR="009F6E91" w:rsidRPr="00D427D8" w:rsidRDefault="009F6E91" w:rsidP="009F6E91">
      <w:pPr>
        <w:pStyle w:val="Body1"/>
      </w:pPr>
      <w:r w:rsidRPr="00D427D8">
        <w:t xml:space="preserve">The features listed below provide credit enhancement for the Transaction. Each feature is more particularly described under </w:t>
      </w:r>
      <w:r w:rsidR="00EF7333" w:rsidRPr="00D427D8">
        <w:t>"</w:t>
      </w:r>
      <w:r w:rsidRPr="00D427D8">
        <w:rPr>
          <w:i/>
        </w:rPr>
        <w:t>Overview – Transaction Structure</w:t>
      </w:r>
      <w:r w:rsidR="00EF7333" w:rsidRPr="00D427D8">
        <w:t>"</w:t>
      </w:r>
      <w:r w:rsidRPr="00D427D8">
        <w:t xml:space="preserve"> and </w:t>
      </w:r>
      <w:r w:rsidR="00EF7333" w:rsidRPr="00D427D8">
        <w:t>"</w:t>
      </w:r>
      <w:r w:rsidRPr="00D427D8">
        <w:rPr>
          <w:i/>
        </w:rPr>
        <w:t>Description of Certain Transaction Documents – Lease Receivables Purchase Agreement</w:t>
      </w:r>
      <w:r w:rsidR="00EF7333" w:rsidRPr="00D427D8">
        <w:t>"</w:t>
      </w:r>
      <w:r w:rsidRPr="00D427D8">
        <w:t xml:space="preserve"> as applicable.</w:t>
      </w:r>
    </w:p>
    <w:p w14:paraId="426FAF78" w14:textId="676A0FDC" w:rsidR="009F6E91" w:rsidRPr="00D427D8" w:rsidRDefault="009F6E91" w:rsidP="009F6E91">
      <w:pPr>
        <w:pStyle w:val="Body1"/>
      </w:pPr>
      <w:r w:rsidRPr="00D427D8">
        <w:t>This Securitisation is structured to provide credit enhancement that increases the likelihood that the Issuer will make timely payment of interest and principal on the Notes and decrease the likelihood that losses on the Receivables will impair the Issuer</w:t>
      </w:r>
      <w:r w:rsidR="00EF7333" w:rsidRPr="00D427D8">
        <w:t>'</w:t>
      </w:r>
      <w:r w:rsidRPr="00D427D8">
        <w:t>s ability to do so. Credit enhancement may not provide protection against all risks of loss and does not guarantee payment of interest and repayment of the entire principal amount of the Notes. If losses on Receivables exceed the credit enhancement available, Noteholders will bear their allocable share of the loss. The Noteholders will neither have recourse to Stellantis Bank nor to the Issuer as a source of payment.</w:t>
      </w:r>
    </w:p>
    <w:p w14:paraId="51AB552D" w14:textId="77777777" w:rsidR="009F6E91" w:rsidRPr="00D427D8" w:rsidRDefault="009F6E91" w:rsidP="00EF7333">
      <w:pPr>
        <w:pStyle w:val="Body1"/>
        <w:rPr>
          <w:rStyle w:val="Heading1Text"/>
        </w:rPr>
      </w:pPr>
      <w:r w:rsidRPr="00D427D8">
        <w:rPr>
          <w:rStyle w:val="Heading1Text"/>
        </w:rPr>
        <w:t>Reserve Account</w:t>
      </w:r>
    </w:p>
    <w:p w14:paraId="34EF7D3C" w14:textId="77777777" w:rsidR="009F6E91" w:rsidRPr="00D427D8" w:rsidRDefault="009F6E91" w:rsidP="009F6E91">
      <w:pPr>
        <w:pStyle w:val="Body1"/>
      </w:pPr>
      <w:r w:rsidRPr="00D427D8">
        <w:t>The reserve amount, to be held in the Reserve Account, will comprise the Liquidity Reserve and the Deposit Reserve Amount (if applicable).</w:t>
      </w:r>
    </w:p>
    <w:p w14:paraId="62A43120" w14:textId="6AE5BAAE" w:rsidR="009F6E91" w:rsidRPr="00D427D8" w:rsidRDefault="009F6E91" w:rsidP="009F6E91">
      <w:pPr>
        <w:pStyle w:val="Body1"/>
      </w:pPr>
      <w:r w:rsidRPr="00D427D8">
        <w:t xml:space="preserve">The Issuer will transfer amounts (funded out of the amount advanced by the Subordinated Lender under the Subordinated Loan Agreement) to the Reserve Account in an amount of EUR </w:t>
      </w:r>
      <w:r w:rsidR="00CB16CF" w:rsidRPr="00CB16CF">
        <w:t xml:space="preserve">11,375,000.00 </w:t>
      </w:r>
      <w:r w:rsidRPr="00D427D8">
        <w:t>on the Closing Date. The initial reserve amount will be made up of the initial Liquidity Reserve Target Amount equal to EUR </w:t>
      </w:r>
      <w:r w:rsidR="00CB16CF" w:rsidRPr="00CB16CF">
        <w:t>11,375,000.00</w:t>
      </w:r>
      <w:r w:rsidRPr="00D427D8">
        <w:t>.</w:t>
      </w:r>
    </w:p>
    <w:p w14:paraId="4FFD79A8" w14:textId="77777777" w:rsidR="009F6E91" w:rsidRPr="00D427D8" w:rsidRDefault="009F6E91" w:rsidP="009F6E91">
      <w:pPr>
        <w:pStyle w:val="Body1"/>
      </w:pPr>
      <w:r w:rsidRPr="00D427D8">
        <w:t>The Liquidity Reserve forms part of the Available Interest Distribution Amount (up to an amount of and only to the extent no Principal Additional Amounts are available or insufficient to cover any shortfalls under the Liquidity Reserve Items) and will be applied in accordance with the Interest Priority of Payments on each Distribution Date. The Liquidity Reserve will only be used to cover the Liquidity Reserve Items.</w:t>
      </w:r>
    </w:p>
    <w:p w14:paraId="4A31047D" w14:textId="77777777" w:rsidR="009F6E91" w:rsidRPr="00D427D8" w:rsidRDefault="009F6E91" w:rsidP="009F6E91">
      <w:pPr>
        <w:pStyle w:val="Body1"/>
      </w:pPr>
      <w:r w:rsidRPr="00D427D8">
        <w:t>The Liquidity Reserve which is actually used on each Distribution Date will be replenished up to an amount equal to the Liquidity Reserve Target Amount to the extent the Liquidity Reserve is not used in full to cover any shortfalls under the Liquidity Reserve Items.</w:t>
      </w:r>
    </w:p>
    <w:p w14:paraId="5585FCCF" w14:textId="0AE5084C" w:rsidR="009F6E91" w:rsidRPr="00D427D8" w:rsidRDefault="009F6E91" w:rsidP="009F6E91">
      <w:pPr>
        <w:pStyle w:val="Body1"/>
      </w:pPr>
      <w:r w:rsidRPr="00D427D8">
        <w:t xml:space="preserve">On or before each Distribution Date the Issuer will repay any Excess Liquidity Reserve to the Subordinated Lender outside the applicable Priority of Payments, whereby such repayment will decrease the then Subordinated Loan Balance accordingly. After the occurrence of an Accelerated Redemption Event the Liquidity Reserve shall be repaid by the Issuer to the Seller and the then current credit balance of the Liquidity Reserve Account shall be directly repaid by the Issuer to the Seller on the first </w:t>
      </w:r>
      <w:bookmarkStart w:id="70" w:name="_Hlk198664895"/>
      <w:r w:rsidR="00CF68B0">
        <w:t>Distribution</w:t>
      </w:r>
      <w:r w:rsidRPr="00D427D8">
        <w:t xml:space="preserve"> Date</w:t>
      </w:r>
      <w:bookmarkEnd w:id="70"/>
      <w:r w:rsidRPr="00D427D8">
        <w:t xml:space="preserve"> following the occurrence of an Accelerated Redemption Event and will not be available for any use by the Issuer (outside of any Priority of Payments). Such repayment will decrease the then Subordinated Loan Balance accordingly.</w:t>
      </w:r>
    </w:p>
    <w:p w14:paraId="10408365" w14:textId="77777777" w:rsidR="009F6E91" w:rsidRPr="00D427D8" w:rsidRDefault="009F6E91" w:rsidP="009F6E91">
      <w:pPr>
        <w:pStyle w:val="Body1"/>
      </w:pPr>
      <w:r w:rsidRPr="00D427D8">
        <w:t>Interest Earnings on the Reserve Account will be included in the Available Interest Distribution Amount.</w:t>
      </w:r>
    </w:p>
    <w:p w14:paraId="15FD6647" w14:textId="77777777" w:rsidR="009F6E91" w:rsidRPr="00D427D8" w:rsidRDefault="009F6E91" w:rsidP="009F6E91">
      <w:pPr>
        <w:pStyle w:val="Body1"/>
      </w:pPr>
      <w:r w:rsidRPr="00D427D8">
        <w:t>The Senior Expenses and Interest Reserve shall be credited by the Subordinated Lender on the Distribution Account and will be used by the Issuer to pay the Senior Expenses and interest on the Notes on the first Distribution Date.</w:t>
      </w:r>
    </w:p>
    <w:p w14:paraId="35496831" w14:textId="77777777" w:rsidR="009F6E91" w:rsidRPr="00D427D8" w:rsidRDefault="009F6E91" w:rsidP="009F6E91">
      <w:pPr>
        <w:pStyle w:val="Body1"/>
      </w:pPr>
      <w:r w:rsidRPr="00D427D8">
        <w:t>Repayment by the Issuer to the Subordinated Lender of the Senior Expenses and Interest Reserve used for the purposes described above shall be made on each Distribution Date in accordance with item (29</w:t>
      </w:r>
      <w:r w:rsidRPr="00D427D8">
        <w:rPr>
          <w:vertAlign w:val="superscript"/>
        </w:rPr>
        <w:t>th</w:t>
      </w:r>
      <w:r w:rsidRPr="00D427D8">
        <w:t>) of the Interest Priority of Payments or, as applicable, in accordance with item (21</w:t>
      </w:r>
      <w:r w:rsidRPr="00D427D8">
        <w:rPr>
          <w:vertAlign w:val="superscript"/>
        </w:rPr>
        <w:t>st</w:t>
      </w:r>
      <w:r w:rsidRPr="00D427D8">
        <w:t>) of the Accelerated Priority of Payments.</w:t>
      </w:r>
    </w:p>
    <w:p w14:paraId="5C2EF4B1" w14:textId="77777777" w:rsidR="009F6E91" w:rsidRPr="00D427D8" w:rsidRDefault="009F6E91" w:rsidP="009F6E91">
      <w:pPr>
        <w:pStyle w:val="Body1"/>
      </w:pPr>
      <w:r w:rsidRPr="00D427D8">
        <w:t>Furthermore, the Seller shall ensure that an amount equal to the Deposit Reserve Amount is standing to the credit of the Reserve Account at any time if the Deposit Reserve Condition is met.</w:t>
      </w:r>
    </w:p>
    <w:p w14:paraId="106E22CA" w14:textId="77777777" w:rsidR="009F6E91" w:rsidRPr="00D427D8" w:rsidRDefault="009F6E91" w:rsidP="009F6E91">
      <w:pPr>
        <w:pStyle w:val="Body1"/>
      </w:pPr>
      <w:r w:rsidRPr="00D427D8">
        <w:t>The Issuer shall, as at any Distribution Date, refund to the Seller the amount (if any) by which the amount placed by the Seller in accordance with the foregoing exceeds the Deposit Reserve Amount or the Liquidity Reserve Target Amount as at such Distribution Date, unless the Seller has failed to punctually comply with its obligation to repurchase Receivables in accordance with clause 10.1 of the Lease Receivables Purchase Agreement or an Insolvency Event has occurred in respect of the Seller.</w:t>
      </w:r>
    </w:p>
    <w:p w14:paraId="6C3955DA" w14:textId="77777777" w:rsidR="009F6E91" w:rsidRPr="00D427D8" w:rsidRDefault="009F6E91" w:rsidP="009F6E91">
      <w:pPr>
        <w:pStyle w:val="Body1"/>
      </w:pPr>
      <w:r w:rsidRPr="00D427D8">
        <w:lastRenderedPageBreak/>
        <w:t>On the Final Legal Maturity Date, after application of the applicable Priority of Payments, the Seller shall be entitled to claim back any amounts standing to the credit of the Reserve Account on account of the Deposit Reserve Amount.</w:t>
      </w:r>
    </w:p>
    <w:p w14:paraId="6E9F8E6B" w14:textId="77777777" w:rsidR="009F6E91" w:rsidRPr="00D427D8" w:rsidRDefault="009F6E91" w:rsidP="009F6E91">
      <w:pPr>
        <w:pStyle w:val="Body1"/>
        <w:rPr>
          <w:rStyle w:val="Heading1Text"/>
        </w:rPr>
      </w:pPr>
      <w:r w:rsidRPr="00D427D8">
        <w:rPr>
          <w:rStyle w:val="Heading1Text"/>
        </w:rPr>
        <w:t>Subordination of Notes</w:t>
      </w:r>
    </w:p>
    <w:p w14:paraId="7A279362" w14:textId="77777777" w:rsidR="009F6E91" w:rsidRPr="00D427D8" w:rsidRDefault="009F6E91" w:rsidP="009F6E91">
      <w:pPr>
        <w:pStyle w:val="Body1"/>
      </w:pPr>
      <w:r w:rsidRPr="00D427D8">
        <w:t>This Securitisation is structured so that the Issuer will pay interest on the Class A Notes and then on each other Class of Notes in order of seniority. Following the occurrence of an Accelerated Amortisation Event and the delivery of a Note Acceleration Notice the Issuer will not pay interest:</w:t>
      </w:r>
    </w:p>
    <w:p w14:paraId="5B4E01D3" w14:textId="0E8F2326" w:rsidR="009F6E91" w:rsidRPr="00D427D8" w:rsidRDefault="009F6E91" w:rsidP="004C6B8C">
      <w:pPr>
        <w:pStyle w:val="Level3"/>
        <w:numPr>
          <w:ilvl w:val="2"/>
          <w:numId w:val="23"/>
        </w:numPr>
      </w:pPr>
      <w:r w:rsidRPr="00D427D8">
        <w:t>on the Class B Notes until all interest due on the Class A Notes on the relevant Distribution Date is paid in full;</w:t>
      </w:r>
    </w:p>
    <w:p w14:paraId="5AA8D2CB" w14:textId="244421D4" w:rsidR="009F6E91" w:rsidRPr="00D427D8" w:rsidRDefault="009F6E91" w:rsidP="00141A76">
      <w:pPr>
        <w:pStyle w:val="Level3"/>
      </w:pPr>
      <w:r w:rsidRPr="00D427D8">
        <w:t>on the Class C Notes until all interest due on the Class A Notes and Class B Notes on the relevant Distribution Date is paid in full;</w:t>
      </w:r>
    </w:p>
    <w:p w14:paraId="19AB991B" w14:textId="64D27E42" w:rsidR="009F6E91" w:rsidRPr="00D427D8" w:rsidRDefault="009F6E91" w:rsidP="00141A76">
      <w:pPr>
        <w:pStyle w:val="Level3"/>
      </w:pPr>
      <w:r w:rsidRPr="00D427D8">
        <w:t>on the Class D Notes until all interest due on the Class A Notes, the Class B Notes and the Class C Notes on the relevant Distribution Date is paid in full;</w:t>
      </w:r>
    </w:p>
    <w:p w14:paraId="671D4EBD" w14:textId="7A428550" w:rsidR="009F6E91" w:rsidRPr="00D427D8" w:rsidRDefault="009F6E91" w:rsidP="00141A76">
      <w:pPr>
        <w:pStyle w:val="Level3"/>
      </w:pPr>
      <w:r w:rsidRPr="00D427D8">
        <w:t>on the Class E Notes until all interest due on the Class A Notes, the Class B Notes, the Class C Notes and the Class D Notes on the relevant Distribution Date is paid in full;</w:t>
      </w:r>
    </w:p>
    <w:p w14:paraId="6A628FC2" w14:textId="65013802" w:rsidR="009F6E91" w:rsidRPr="00D427D8" w:rsidRDefault="009F6E91" w:rsidP="00141A76">
      <w:pPr>
        <w:pStyle w:val="Level3"/>
      </w:pPr>
      <w:r w:rsidRPr="00D427D8">
        <w:t>on the Class F Notes until all interest due on the Class A Notes, the Class B Notes, the Class C Notes, the Class D Notes and the Class E Notes on the relevant Distribution Date is paid in full;</w:t>
      </w:r>
    </w:p>
    <w:p w14:paraId="62320348" w14:textId="7ACE9EEE" w:rsidR="009F6E91" w:rsidRPr="00D427D8" w:rsidRDefault="009F6E91" w:rsidP="00141A76">
      <w:pPr>
        <w:pStyle w:val="Level3"/>
      </w:pPr>
      <w:r w:rsidRPr="00D427D8">
        <w:t>on the Class G Notes until all interest due on the Class A Notes, the Class B Notes, the Class C Notes, the Class D Notes, the Class E Notes and the Class F Notes on the relevant Distribution Date is paid in full.</w:t>
      </w:r>
    </w:p>
    <w:p w14:paraId="33B4BA06" w14:textId="77777777" w:rsidR="009F6E91" w:rsidRPr="00D427D8" w:rsidRDefault="009F6E91" w:rsidP="009F6E91">
      <w:pPr>
        <w:pStyle w:val="Body1"/>
      </w:pPr>
      <w:r w:rsidRPr="00D427D8">
        <w:t>The Issuer will repay principal in accordance with the Priority of Payments or the Accelerated Priority of Payments, as applicable, to each Class of Notes in order of seniority (beginning with the Class A Notes).</w:t>
      </w:r>
    </w:p>
    <w:p w14:paraId="37513BFE" w14:textId="02C41EDB" w:rsidR="009F6E91" w:rsidRPr="00D427D8" w:rsidRDefault="009F6E91" w:rsidP="009F6E91">
      <w:pPr>
        <w:pStyle w:val="Body1"/>
      </w:pPr>
      <w:r w:rsidRPr="00D427D8">
        <w:t xml:space="preserve">If a Note Acceleration Notice is served after any of the Events of Default described under </w:t>
      </w:r>
      <w:r w:rsidR="00EF7333" w:rsidRPr="00D427D8">
        <w:t>"</w:t>
      </w:r>
      <w:r w:rsidRPr="00D427D8">
        <w:rPr>
          <w:i/>
        </w:rPr>
        <w:t>Terms and Conditions of the Notes</w:t>
      </w:r>
      <w:r w:rsidR="00EF7333" w:rsidRPr="00D427D8">
        <w:t>"</w:t>
      </w:r>
      <w:r w:rsidRPr="00D427D8">
        <w:rPr>
          <w:i/>
        </w:rPr>
        <w:t>,</w:t>
      </w:r>
      <w:r w:rsidRPr="00D427D8">
        <w:t xml:space="preserve"> the Principal Priority of Payments will change to the Accelerated Priority of Payments. Furthermore, if a Sequential Redemption Event occurred repayment of each Class of Notes will be made sequential rather than </w:t>
      </w:r>
      <w:r w:rsidRPr="00D427D8">
        <w:rPr>
          <w:i/>
        </w:rPr>
        <w:t>pro rata</w:t>
      </w:r>
      <w:r w:rsidRPr="00D427D8">
        <w:t>.</w:t>
      </w:r>
    </w:p>
    <w:p w14:paraId="42774183" w14:textId="77777777" w:rsidR="009F6E91" w:rsidRPr="00D427D8" w:rsidRDefault="009F6E91" w:rsidP="009F6E91">
      <w:pPr>
        <w:pStyle w:val="Body1"/>
      </w:pPr>
      <w:r w:rsidRPr="00D427D8">
        <w:t>Thus, the Issuer will not pay principal on:</w:t>
      </w:r>
    </w:p>
    <w:p w14:paraId="741907F1" w14:textId="63B41A7A" w:rsidR="009F6E91" w:rsidRPr="00D427D8" w:rsidRDefault="009F6E91" w:rsidP="004C6B8C">
      <w:pPr>
        <w:pStyle w:val="Level3"/>
        <w:numPr>
          <w:ilvl w:val="2"/>
          <w:numId w:val="24"/>
        </w:numPr>
      </w:pPr>
      <w:r w:rsidRPr="00D427D8">
        <w:t>the Class G Notes until the principal amounts of the Class A Notes, the Class B Notes, the Class C Notes, the Class D Notes, the Class E Notes and the Class F Notes have been repaid in full;</w:t>
      </w:r>
    </w:p>
    <w:p w14:paraId="7F52A215" w14:textId="0F68AAA4" w:rsidR="009F6E91" w:rsidRPr="00D427D8" w:rsidRDefault="009F6E91" w:rsidP="00141A76">
      <w:pPr>
        <w:pStyle w:val="Level3"/>
      </w:pPr>
      <w:r w:rsidRPr="00D427D8">
        <w:t>the Class F Notes until the principal amounts of the Class A Notes, the Class B Notes, the Class C Notes, the Class D Notes and the Class E Notes have been repaid in full;</w:t>
      </w:r>
    </w:p>
    <w:p w14:paraId="2020F172" w14:textId="3D6713C5" w:rsidR="009F6E91" w:rsidRPr="00D427D8" w:rsidRDefault="009F6E91" w:rsidP="00141A76">
      <w:pPr>
        <w:pStyle w:val="Level3"/>
      </w:pPr>
      <w:r w:rsidRPr="00D427D8">
        <w:t>the Class E Notes until the principal amounts of the Class A Notes, the Class B Notes, the Class C Notes and the Class D Notes have been repaid in full;</w:t>
      </w:r>
    </w:p>
    <w:p w14:paraId="2ADB78F5" w14:textId="366E3D44" w:rsidR="009F6E91" w:rsidRPr="00D427D8" w:rsidRDefault="009F6E91" w:rsidP="00141A76">
      <w:pPr>
        <w:pStyle w:val="Level3"/>
      </w:pPr>
      <w:r w:rsidRPr="00D427D8">
        <w:t>the Class D Notes until the principal amounts of the Class A Notes, the Class B Notes and the Class C Notes have been repaid in full;</w:t>
      </w:r>
    </w:p>
    <w:p w14:paraId="40BC20FA" w14:textId="3E31253B" w:rsidR="009F6E91" w:rsidRPr="00D427D8" w:rsidRDefault="009F6E91" w:rsidP="00141A76">
      <w:pPr>
        <w:pStyle w:val="Level3"/>
      </w:pPr>
      <w:r w:rsidRPr="00D427D8">
        <w:t>the Class C Notes until the principal amounts of the Class A Notes and the Class B Notes have been repaid in full;</w:t>
      </w:r>
    </w:p>
    <w:p w14:paraId="0C49E5B9" w14:textId="7E6E25DE" w:rsidR="009F6E91" w:rsidRPr="00D427D8" w:rsidRDefault="009F6E91" w:rsidP="00141A76">
      <w:pPr>
        <w:pStyle w:val="Level3"/>
      </w:pPr>
      <w:r w:rsidRPr="00D427D8">
        <w:t>the Class B Notes until the principal amount of the Class A Notes has been repaid in full.</w:t>
      </w:r>
    </w:p>
    <w:p w14:paraId="09FEA7F4" w14:textId="77777777" w:rsidR="009F6E91" w:rsidRPr="00D427D8" w:rsidRDefault="009F6E91" w:rsidP="009F6E91">
      <w:pPr>
        <w:pStyle w:val="Body1"/>
      </w:pPr>
      <w:r w:rsidRPr="00D427D8">
        <w:t>These subordination features provide credit enhancement to the Class A Notes.</w:t>
      </w:r>
    </w:p>
    <w:p w14:paraId="097DE288" w14:textId="77777777" w:rsidR="009F6E91" w:rsidRPr="00D427D8" w:rsidRDefault="009F6E91" w:rsidP="009F6E91">
      <w:pPr>
        <w:pStyle w:val="Body1"/>
        <w:rPr>
          <w:rStyle w:val="Heading1Text"/>
        </w:rPr>
      </w:pPr>
      <w:r w:rsidRPr="00D427D8">
        <w:rPr>
          <w:rStyle w:val="Heading1Text"/>
        </w:rPr>
        <w:t>Principal Deficiency Ledger</w:t>
      </w:r>
    </w:p>
    <w:p w14:paraId="3D68394C" w14:textId="27355389" w:rsidR="009F6E91" w:rsidRPr="00D427D8" w:rsidRDefault="009F6E91" w:rsidP="009F6E91">
      <w:pPr>
        <w:pStyle w:val="Body1"/>
      </w:pPr>
      <w:r w:rsidRPr="00D427D8">
        <w:t xml:space="preserve">The Principal Deficiency Ledger comprises seven sub-ledgers which correspond to the Class A Notes, the Class B Notes, the Class C Notes, the Class D Notes, the Class E Notes, the Class F Notes and the Class G Notes, respectively known as the </w:t>
      </w:r>
      <w:r w:rsidR="00EF7333" w:rsidRPr="00D427D8">
        <w:t>"</w:t>
      </w:r>
      <w:r w:rsidRPr="00D427D8">
        <w:rPr>
          <w:rStyle w:val="BoldText"/>
        </w:rPr>
        <w:t>Class A Principal Deficiency Sub-Ledger</w:t>
      </w:r>
      <w:r w:rsidR="00EF7333" w:rsidRPr="00D427D8">
        <w:rPr>
          <w:rStyle w:val="BoldText"/>
        </w:rPr>
        <w:t>"</w:t>
      </w:r>
      <w:r w:rsidRPr="00D427D8">
        <w:t xml:space="preserve">, the </w:t>
      </w:r>
      <w:r w:rsidR="00EF7333" w:rsidRPr="00D427D8">
        <w:t>"</w:t>
      </w:r>
      <w:r w:rsidRPr="00D427D8">
        <w:rPr>
          <w:rStyle w:val="BoldText"/>
        </w:rPr>
        <w:t xml:space="preserve">Class B Principal </w:t>
      </w:r>
      <w:r w:rsidRPr="00D427D8">
        <w:rPr>
          <w:rStyle w:val="BoldText"/>
        </w:rPr>
        <w:lastRenderedPageBreak/>
        <w:t>Deficiency Sub-Ledger</w:t>
      </w:r>
      <w:r w:rsidR="00EF7333" w:rsidRPr="00D427D8">
        <w:t>"</w:t>
      </w:r>
      <w:r w:rsidRPr="00D427D8">
        <w:t xml:space="preserve">, the </w:t>
      </w:r>
      <w:r w:rsidR="00EF7333" w:rsidRPr="00D427D8">
        <w:t>"</w:t>
      </w:r>
      <w:r w:rsidRPr="00D427D8">
        <w:rPr>
          <w:rStyle w:val="BoldText"/>
        </w:rPr>
        <w:t>Class C Principal Deficiency Sub-Ledger</w:t>
      </w:r>
      <w:r w:rsidR="00EF7333" w:rsidRPr="00D427D8">
        <w:t>"</w:t>
      </w:r>
      <w:r w:rsidRPr="00D427D8">
        <w:t xml:space="preserve">, the </w:t>
      </w:r>
      <w:r w:rsidR="00EF7333" w:rsidRPr="00D427D8">
        <w:t>"</w:t>
      </w:r>
      <w:r w:rsidRPr="00D427D8">
        <w:rPr>
          <w:rStyle w:val="BoldText"/>
        </w:rPr>
        <w:t>Class D Principal Deficiency Sub-Ledger</w:t>
      </w:r>
      <w:r w:rsidR="00EF7333" w:rsidRPr="00D427D8">
        <w:t>"</w:t>
      </w:r>
      <w:r w:rsidRPr="00D427D8">
        <w:t xml:space="preserve">, the </w:t>
      </w:r>
      <w:r w:rsidR="00EF7333" w:rsidRPr="00D427D8">
        <w:t>"</w:t>
      </w:r>
      <w:r w:rsidRPr="00D427D8">
        <w:rPr>
          <w:rStyle w:val="BoldText"/>
        </w:rPr>
        <w:t>Class E Principal Deficiency Sub-Ledger</w:t>
      </w:r>
      <w:r w:rsidR="00EF7333" w:rsidRPr="00D427D8">
        <w:t>"</w:t>
      </w:r>
      <w:r w:rsidRPr="00D427D8">
        <w:t xml:space="preserve">, the </w:t>
      </w:r>
      <w:r w:rsidR="00EF7333" w:rsidRPr="00D427D8">
        <w:t>"</w:t>
      </w:r>
      <w:r w:rsidRPr="00D427D8">
        <w:rPr>
          <w:rStyle w:val="BoldText"/>
        </w:rPr>
        <w:t>Class F Principal Deficiency Sub-Ledger</w:t>
      </w:r>
      <w:r w:rsidR="00EF7333" w:rsidRPr="00D427D8">
        <w:t>"</w:t>
      </w:r>
      <w:r w:rsidRPr="00D427D8">
        <w:t xml:space="preserve"> and the </w:t>
      </w:r>
      <w:r w:rsidR="00EF7333" w:rsidRPr="00D427D8">
        <w:t>"</w:t>
      </w:r>
      <w:r w:rsidRPr="00D427D8">
        <w:rPr>
          <w:rStyle w:val="BoldText"/>
        </w:rPr>
        <w:t>Class G Principal Deficiency Sub-Ledger</w:t>
      </w:r>
      <w:r w:rsidR="00EF7333" w:rsidRPr="00D427D8">
        <w:t>"</w:t>
      </w:r>
      <w:r w:rsidRPr="00D427D8">
        <w:t>, will be established by the Issuer on the Closing Date.</w:t>
      </w:r>
    </w:p>
    <w:p w14:paraId="626AF3CC" w14:textId="77777777" w:rsidR="009F6E91" w:rsidRPr="00D427D8" w:rsidRDefault="009F6E91" w:rsidP="009F6E91">
      <w:pPr>
        <w:pStyle w:val="Body1"/>
      </w:pPr>
      <w:r w:rsidRPr="00D427D8">
        <w:t>On each Distribution Date during the Revolving Period and the Normal Amortisation Period the Principal Deficiency Ledger will be debited with (a) the Default Amount and (b) if an Interest Deficiency has occurred, the Available Principal Distribution Amount applied towards the Principal Deficiency Items.</w:t>
      </w:r>
    </w:p>
    <w:p w14:paraId="3C17B51F" w14:textId="77777777" w:rsidR="009F6E91" w:rsidRPr="00D427D8" w:rsidRDefault="009F6E91" w:rsidP="009F6E91">
      <w:pPr>
        <w:pStyle w:val="Body1"/>
      </w:pPr>
      <w:r w:rsidRPr="00D427D8">
        <w:t xml:space="preserve">Each of the Class A Principal Deficiency Sub-Ledger, the Class B Principal Deficiency Sub-Ledger, the Class C Principal Deficiency Sub-Ledger, the Class D Principal Deficiency Sub-Ledger, the Class E Principal Deficiency Sub-Ledger, the Class F Principal Deficiency Sub-Ledger and the Class G Principal Deficiency Sub-Ledger shall be calculated by the Calculation Agent with respect to any Monthly Period immediately preceding the next Distribution Date </w:t>
      </w:r>
      <w:r w:rsidRPr="00D427D8">
        <w:rPr>
          <w:szCs w:val="19"/>
        </w:rPr>
        <w:t>during the Revolving Period and the Normal Amortisation Period</w:t>
      </w:r>
      <w:r w:rsidRPr="00D427D8">
        <w:t xml:space="preserve"> (i) before and (ii) after application of (x) the Available Interest Distribution Amount in accordance with the Interest Priority of Payments and (y) the Available Principal Distribution Amount in accordance with the Principal Priority of Payments.</w:t>
      </w:r>
    </w:p>
    <w:p w14:paraId="748C4232" w14:textId="77777777" w:rsidR="009F6E91" w:rsidRPr="00D427D8" w:rsidRDefault="009F6E91" w:rsidP="009F6E91">
      <w:pPr>
        <w:pStyle w:val="Body1"/>
      </w:pPr>
      <w:r w:rsidRPr="00D427D8">
        <w:t>During the Revolving Period and the Normal Amortisation Period, the Calculation Agent shall record amounts as appropriate on the Principal Deficiency Ledger as follows:</w:t>
      </w:r>
    </w:p>
    <w:p w14:paraId="43D4737F" w14:textId="62AFA2E4" w:rsidR="009F6E91" w:rsidRPr="00D427D8" w:rsidRDefault="009F6E91" w:rsidP="004C6B8C">
      <w:pPr>
        <w:pStyle w:val="Level3"/>
        <w:numPr>
          <w:ilvl w:val="2"/>
          <w:numId w:val="25"/>
        </w:numPr>
      </w:pPr>
      <w:r w:rsidRPr="00D427D8">
        <w:t>an amount equal to the aggregate of (x) the Default Amounts for such Monthly Period and (y) the Principal Additional Amounts applied in accordance with item (1</w:t>
      </w:r>
      <w:r w:rsidRPr="00D427D8">
        <w:rPr>
          <w:vertAlign w:val="superscript"/>
        </w:rPr>
        <w:t>st</w:t>
      </w:r>
      <w:r w:rsidRPr="00D427D8">
        <w:t>) of the Principal Priority of Payments to fund an Interest Deficiency will be recorded as a debit to the relevant sub-ledger of the Principal Deficiency Ledger in the following order:</w:t>
      </w:r>
    </w:p>
    <w:p w14:paraId="485FA860" w14:textId="2AFBDCB5" w:rsidR="009F6E91" w:rsidRPr="00D427D8" w:rsidRDefault="009F6E91" w:rsidP="00EF7333">
      <w:pPr>
        <w:pStyle w:val="Level4"/>
      </w:pPr>
      <w:r w:rsidRPr="00D427D8">
        <w:rPr>
          <w:i/>
        </w:rPr>
        <w:t>firstly</w:t>
      </w:r>
      <w:r w:rsidRPr="00D427D8">
        <w:t>, from the Class G Principal Deficiency Sub-Ledger so long as the debit balance of such sub-ledger is less than the Principal Outstanding Notes Balance of the Class G Notes;</w:t>
      </w:r>
    </w:p>
    <w:p w14:paraId="18CB5188" w14:textId="1B4ED436" w:rsidR="009F6E91" w:rsidRPr="00D427D8" w:rsidRDefault="009F6E91" w:rsidP="00EF7333">
      <w:pPr>
        <w:pStyle w:val="Level4"/>
      </w:pPr>
      <w:r w:rsidRPr="00D427D8">
        <w:rPr>
          <w:i/>
        </w:rPr>
        <w:t>secondly</w:t>
      </w:r>
      <w:r w:rsidRPr="00D427D8">
        <w:t>, from the Class F Principal Deficiency Sub-Ledger so long as the debit balance of such sub-ledger is less than the Principal Outstanding Notes Balance of the Class F Notes;</w:t>
      </w:r>
    </w:p>
    <w:p w14:paraId="4B037C0A" w14:textId="3A2FE7E5" w:rsidR="009F6E91" w:rsidRPr="00D427D8" w:rsidRDefault="009F6E91" w:rsidP="00EF7333">
      <w:pPr>
        <w:pStyle w:val="Level4"/>
      </w:pPr>
      <w:r w:rsidRPr="00D427D8">
        <w:rPr>
          <w:i/>
        </w:rPr>
        <w:t>thirdly</w:t>
      </w:r>
      <w:r w:rsidRPr="00D427D8">
        <w:t>, from the Class E Principal Deficiency Sub-Ledger so long as the debit balance of such sub-ledger is less than the Principal Outstanding Notes Balance of the Class E Notes;</w:t>
      </w:r>
    </w:p>
    <w:p w14:paraId="5FBA56DC" w14:textId="5AE01295" w:rsidR="009F6E91" w:rsidRPr="00D427D8" w:rsidRDefault="009F6E91" w:rsidP="00EF7333">
      <w:pPr>
        <w:pStyle w:val="Level4"/>
      </w:pPr>
      <w:r w:rsidRPr="00D427D8">
        <w:rPr>
          <w:i/>
        </w:rPr>
        <w:t>fourthly</w:t>
      </w:r>
      <w:r w:rsidRPr="00D427D8">
        <w:t>, from the Class D Principal Deficiency Sub-Ledger so long as the debit balance of such sub-ledger is less than the Principal Outstanding Notes Balance of the Class D Notes;</w:t>
      </w:r>
    </w:p>
    <w:p w14:paraId="0AA31DDA" w14:textId="6135C886" w:rsidR="009F6E91" w:rsidRPr="00D427D8" w:rsidRDefault="009F6E91" w:rsidP="00EF7333">
      <w:pPr>
        <w:pStyle w:val="Level4"/>
      </w:pPr>
      <w:r w:rsidRPr="00D427D8">
        <w:rPr>
          <w:i/>
        </w:rPr>
        <w:t>fifthly</w:t>
      </w:r>
      <w:r w:rsidRPr="00D427D8">
        <w:t>, from the Class C Principal Deficiency Sub-Ledger so long as the debit balance of such sub-ledger is less than the Principal Outstanding Notes Balance of the Class C Notes;</w:t>
      </w:r>
    </w:p>
    <w:p w14:paraId="2EBCE533" w14:textId="675ABA2F" w:rsidR="009F6E91" w:rsidRPr="00D427D8" w:rsidRDefault="009F6E91" w:rsidP="00EF7333">
      <w:pPr>
        <w:pStyle w:val="Level4"/>
      </w:pPr>
      <w:r w:rsidRPr="00D427D8">
        <w:rPr>
          <w:i/>
        </w:rPr>
        <w:t>sixthly</w:t>
      </w:r>
      <w:r w:rsidRPr="00D427D8">
        <w:t>, from the Class B Principal Deficiency Sub-Ledger so long as the debit balance of such sub-ledger is less than the Principal Outstanding Notes Balance of the Class B Notes; and</w:t>
      </w:r>
    </w:p>
    <w:p w14:paraId="1FB1A76D" w14:textId="1EA5806E" w:rsidR="009F6E91" w:rsidRPr="00D427D8" w:rsidRDefault="009F6E91" w:rsidP="00EF7333">
      <w:pPr>
        <w:pStyle w:val="Level4"/>
      </w:pPr>
      <w:r w:rsidRPr="00D427D8">
        <w:rPr>
          <w:i/>
        </w:rPr>
        <w:t>seventhly</w:t>
      </w:r>
      <w:r w:rsidRPr="00D427D8">
        <w:t>, from the Class A Principal Deficiency Sub-Ledger so long as the debit balance of such sub-ledger is less than the Principal Outstanding Notes Balance of the Class A Notes; and</w:t>
      </w:r>
    </w:p>
    <w:p w14:paraId="7D70C887" w14:textId="0708FEBE" w:rsidR="009F6E91" w:rsidRPr="00D427D8" w:rsidRDefault="009F6E91" w:rsidP="00141A76">
      <w:pPr>
        <w:pStyle w:val="Level3"/>
      </w:pPr>
      <w:r w:rsidRPr="00D427D8">
        <w:t xml:space="preserve">amounts debited to a sub-ledger of the Principal Deficiency Ledger shall be reduced to the extent of Available Interest Distribution Amount available for such purpose on each Distribution Date </w:t>
      </w:r>
      <w:r w:rsidRPr="00D427D8">
        <w:rPr>
          <w:szCs w:val="19"/>
        </w:rPr>
        <w:t>during the Revolving Period and the Normal Amortisation Period</w:t>
      </w:r>
      <w:r w:rsidRPr="00D427D8">
        <w:t xml:space="preserve"> in the following order:</w:t>
      </w:r>
    </w:p>
    <w:p w14:paraId="6AC9CB44" w14:textId="4E3CD041" w:rsidR="009F6E91" w:rsidRPr="00D427D8" w:rsidRDefault="009F6E91" w:rsidP="00EF7333">
      <w:pPr>
        <w:pStyle w:val="Level4"/>
      </w:pPr>
      <w:r w:rsidRPr="00D427D8">
        <w:rPr>
          <w:i/>
        </w:rPr>
        <w:t>firstly</w:t>
      </w:r>
      <w:r w:rsidRPr="00D427D8">
        <w:t>, to the Class A Principal Deficiency Sub-Ledger in accordance with item (8</w:t>
      </w:r>
      <w:r w:rsidRPr="00D427D8">
        <w:rPr>
          <w:vertAlign w:val="superscript"/>
        </w:rPr>
        <w:t>th</w:t>
      </w:r>
      <w:r w:rsidRPr="00D427D8">
        <w:t>) of the Interest Priority of Payments until the debit balance thereof is reduced to zero;</w:t>
      </w:r>
    </w:p>
    <w:p w14:paraId="5A87E304" w14:textId="0E0E34B8" w:rsidR="009F6E91" w:rsidRPr="00D427D8" w:rsidRDefault="009F6E91" w:rsidP="00EF7333">
      <w:pPr>
        <w:pStyle w:val="Level4"/>
      </w:pPr>
      <w:r w:rsidRPr="00D427D8">
        <w:rPr>
          <w:i/>
        </w:rPr>
        <w:t>secondly</w:t>
      </w:r>
      <w:r w:rsidRPr="00D427D8">
        <w:t>, to the Class B Principal Deficiency Sub-Ledger in accordance with item (10</w:t>
      </w:r>
      <w:r w:rsidRPr="00D427D8">
        <w:rPr>
          <w:vertAlign w:val="superscript"/>
        </w:rPr>
        <w:t>th</w:t>
      </w:r>
      <w:r w:rsidRPr="00D427D8">
        <w:t>) of the Interest Priority of Payments until the debit balance thereof is reduced to zero;</w:t>
      </w:r>
    </w:p>
    <w:p w14:paraId="2A1CFF46" w14:textId="520927EC" w:rsidR="009F6E91" w:rsidRPr="00D427D8" w:rsidRDefault="009F6E91" w:rsidP="00EF7333">
      <w:pPr>
        <w:pStyle w:val="Level4"/>
      </w:pPr>
      <w:r w:rsidRPr="00D427D8">
        <w:rPr>
          <w:i/>
        </w:rPr>
        <w:t>thirdly</w:t>
      </w:r>
      <w:r w:rsidRPr="00D427D8">
        <w:t>, to the Class C Principal Deficiency Sub-Ledger in accordance with item (12</w:t>
      </w:r>
      <w:r w:rsidRPr="00D427D8">
        <w:rPr>
          <w:vertAlign w:val="superscript"/>
        </w:rPr>
        <w:t>th</w:t>
      </w:r>
      <w:r w:rsidRPr="00D427D8">
        <w:t>) of the Interest Priority of Payments until the debit balance thereof is reduced to zero;</w:t>
      </w:r>
    </w:p>
    <w:p w14:paraId="3579ECB5" w14:textId="444D6199" w:rsidR="009F6E91" w:rsidRPr="00D427D8" w:rsidRDefault="009F6E91" w:rsidP="00EF7333">
      <w:pPr>
        <w:pStyle w:val="Level4"/>
      </w:pPr>
      <w:r w:rsidRPr="00D427D8">
        <w:rPr>
          <w:i/>
        </w:rPr>
        <w:lastRenderedPageBreak/>
        <w:t>fourthly</w:t>
      </w:r>
      <w:r w:rsidRPr="00D427D8">
        <w:t>, to the Class D Principal Deficiency Sub-Ledger in accordance with item (14</w:t>
      </w:r>
      <w:r w:rsidRPr="00D427D8">
        <w:rPr>
          <w:vertAlign w:val="superscript"/>
        </w:rPr>
        <w:t>th</w:t>
      </w:r>
      <w:r w:rsidRPr="00D427D8">
        <w:t>) of the Interest Priority of Payments until the debit balance thereof is reduced to zero;</w:t>
      </w:r>
    </w:p>
    <w:p w14:paraId="217AB226" w14:textId="67A614C1" w:rsidR="009F6E91" w:rsidRPr="00D427D8" w:rsidRDefault="009F6E91" w:rsidP="00EF7333">
      <w:pPr>
        <w:pStyle w:val="Level4"/>
      </w:pPr>
      <w:r w:rsidRPr="00D427D8">
        <w:rPr>
          <w:i/>
        </w:rPr>
        <w:t>fifthly</w:t>
      </w:r>
      <w:r w:rsidRPr="00D427D8">
        <w:t>, to the Class E Principal Deficiency Sub-Ledger in accordance with item (16</w:t>
      </w:r>
      <w:r w:rsidRPr="00D427D8">
        <w:rPr>
          <w:vertAlign w:val="superscript"/>
        </w:rPr>
        <w:t>th</w:t>
      </w:r>
      <w:r w:rsidRPr="00D427D8">
        <w:t>) of the Interest Priority of Payments until the debit balance thereof is reduced to zero;</w:t>
      </w:r>
    </w:p>
    <w:p w14:paraId="7B111FD6" w14:textId="697718B6" w:rsidR="009F6E91" w:rsidRPr="00D427D8" w:rsidRDefault="009F6E91" w:rsidP="00EF7333">
      <w:pPr>
        <w:pStyle w:val="Level4"/>
      </w:pPr>
      <w:r w:rsidRPr="00D427D8">
        <w:rPr>
          <w:i/>
        </w:rPr>
        <w:t>sixthly</w:t>
      </w:r>
      <w:r w:rsidRPr="00D427D8">
        <w:t>, to the Class F Principal Deficiency Sub-Ledger in accordance with item (18</w:t>
      </w:r>
      <w:r w:rsidRPr="00D427D8">
        <w:rPr>
          <w:vertAlign w:val="superscript"/>
        </w:rPr>
        <w:t>th</w:t>
      </w:r>
      <w:r w:rsidRPr="00D427D8">
        <w:t>) of the Interest Priority of Payments until the debit balance thereof is reduced to zero; and</w:t>
      </w:r>
    </w:p>
    <w:p w14:paraId="5AFF523F" w14:textId="18FBEDD7" w:rsidR="009F6E91" w:rsidRPr="00D427D8" w:rsidRDefault="009F6E91" w:rsidP="00EF7333">
      <w:pPr>
        <w:pStyle w:val="Level4"/>
      </w:pPr>
      <w:r w:rsidRPr="00D427D8">
        <w:rPr>
          <w:i/>
        </w:rPr>
        <w:t>seventhly</w:t>
      </w:r>
      <w:r w:rsidRPr="00D427D8">
        <w:t>, to the Class G Principal Deficiency Sub-Ledger in accordance with item (20</w:t>
      </w:r>
      <w:r w:rsidRPr="00D427D8">
        <w:rPr>
          <w:vertAlign w:val="superscript"/>
        </w:rPr>
        <w:t>th</w:t>
      </w:r>
      <w:r w:rsidRPr="00D427D8">
        <w:t>) of the Interest Priority of Payments until the debit balance thereof is reduced to zero.</w:t>
      </w:r>
    </w:p>
    <w:p w14:paraId="10031E52" w14:textId="77777777" w:rsidR="009F6E91" w:rsidRPr="00D427D8" w:rsidRDefault="009F6E91" w:rsidP="009F6E91">
      <w:pPr>
        <w:pStyle w:val="Body1"/>
        <w:rPr>
          <w:rStyle w:val="Heading1Text"/>
        </w:rPr>
      </w:pPr>
      <w:r w:rsidRPr="00D427D8">
        <w:rPr>
          <w:rStyle w:val="Heading1Text"/>
        </w:rPr>
        <w:t>Reinvestment Principal Ledger</w:t>
      </w:r>
    </w:p>
    <w:p w14:paraId="62AEE4B0" w14:textId="77777777" w:rsidR="009F6E91" w:rsidRPr="00D427D8" w:rsidRDefault="009F6E91" w:rsidP="009F6E91">
      <w:pPr>
        <w:pStyle w:val="Body1"/>
      </w:pPr>
      <w:r w:rsidRPr="00D427D8">
        <w:t>On each Distribution Date during the Revolving Period, the Issuer shall record on the Reinvestment Principal Ledger any amounts pursuant to item (3</w:t>
      </w:r>
      <w:r w:rsidRPr="00D427D8">
        <w:rPr>
          <w:vertAlign w:val="superscript"/>
        </w:rPr>
        <w:t>rd</w:t>
      </w:r>
      <w:r w:rsidRPr="00D427D8">
        <w:t>) of the Principal Priority of Payments which will be used for payment of the relevant Further Purchase Price in respect of any Further Lease Receivables purchased by the Issuer on the Further Purchase Date falling on such Distribution Date, in accordance with item (2</w:t>
      </w:r>
      <w:r w:rsidRPr="00D427D8">
        <w:rPr>
          <w:vertAlign w:val="superscript"/>
        </w:rPr>
        <w:t>nd</w:t>
      </w:r>
      <w:r w:rsidRPr="00D427D8">
        <w:t>) of the Principal Priority of Payments.</w:t>
      </w:r>
    </w:p>
    <w:p w14:paraId="6A8816EA" w14:textId="77777777" w:rsidR="009F6E91" w:rsidRPr="00D427D8" w:rsidRDefault="009F6E91" w:rsidP="00EF7333">
      <w:pPr>
        <w:pStyle w:val="Body1"/>
        <w:rPr>
          <w:rStyle w:val="Heading1Text"/>
        </w:rPr>
      </w:pPr>
      <w:r w:rsidRPr="00D427D8">
        <w:rPr>
          <w:rStyle w:val="Heading1Text"/>
        </w:rPr>
        <w:t>Excess Spread</w:t>
      </w:r>
    </w:p>
    <w:p w14:paraId="01E40D31" w14:textId="04BEB681" w:rsidR="009F6E91" w:rsidRPr="00D427D8" w:rsidRDefault="009F6E91" w:rsidP="009F6E91">
      <w:pPr>
        <w:pStyle w:val="Body1"/>
      </w:pPr>
      <w:r w:rsidRPr="00D427D8">
        <w:t xml:space="preserve">Excess spread for any Distribution Date will be for any Distribution Date the amount by which collections of interest on the Purchased Lease Receivables during the preceding Monthly Period exceed certain senior costs and interest payments pursuant to the Interest Priority of Payments on that Distribution Date (the </w:t>
      </w:r>
      <w:r w:rsidR="00EF7333" w:rsidRPr="00D427D8">
        <w:t>"</w:t>
      </w:r>
      <w:r w:rsidRPr="00D427D8">
        <w:rPr>
          <w:rStyle w:val="BoldText"/>
        </w:rPr>
        <w:t>Excess Spread</w:t>
      </w:r>
      <w:r w:rsidR="00EF7333" w:rsidRPr="00D427D8">
        <w:t>"</w:t>
      </w:r>
      <w:r w:rsidRPr="00D427D8">
        <w:t xml:space="preserve">) and will be used, </w:t>
      </w:r>
      <w:r w:rsidRPr="00D427D8">
        <w:rPr>
          <w:i/>
        </w:rPr>
        <w:t>inter alia</w:t>
      </w:r>
      <w:r w:rsidRPr="00D427D8">
        <w:t>, to cure principal losses under the Notes pursuant to the Interest Priority of Payments. If unused previously in the Interest Priority of Payments, the Excess Spread will be ultimately payable to the Seller as last item of the Interest Priority of Payments. The amount of Excess Spread will depend on factors such as the interest rate on the Purchased Lease Receivables, prepayments and losses on the Purchased Lease Receivables and interest rates on the Notes prepayments and losses and payments to the Counterparty. Generally, Excess Spread provides a source of funds to absorb any losses on the Purchased Lease Receivables and reduce the likelihood of losses on the Notes.</w:t>
      </w:r>
    </w:p>
    <w:p w14:paraId="24DABFC8" w14:textId="77777777" w:rsidR="009F6E91" w:rsidRPr="00D427D8" w:rsidRDefault="009F6E91" w:rsidP="00EF7333">
      <w:pPr>
        <w:pStyle w:val="Body1"/>
      </w:pPr>
      <w:r w:rsidRPr="00D427D8">
        <w:br w:type="page"/>
      </w:r>
    </w:p>
    <w:p w14:paraId="76FC3139" w14:textId="77777777" w:rsidR="009F6E91" w:rsidRPr="00D427D8" w:rsidRDefault="009F6E91" w:rsidP="000420D4">
      <w:pPr>
        <w:pStyle w:val="CentredHeading"/>
      </w:pPr>
      <w:bookmarkStart w:id="71" w:name="_Toc194046501"/>
      <w:bookmarkStart w:id="72" w:name="_Toc198539660"/>
      <w:r w:rsidRPr="00D427D8">
        <w:lastRenderedPageBreak/>
        <w:t>ELIGIBILITY CRITERIA</w:t>
      </w:r>
      <w:bookmarkEnd w:id="71"/>
      <w:bookmarkEnd w:id="72"/>
    </w:p>
    <w:p w14:paraId="43F9592F" w14:textId="77777777" w:rsidR="009F6E91" w:rsidRPr="00D427D8" w:rsidRDefault="009F6E91" w:rsidP="000420D4">
      <w:pPr>
        <w:pStyle w:val="CentredSubheading"/>
      </w:pPr>
      <w:r w:rsidRPr="00D427D8">
        <w:t>Part 1 - Contracts Eligibility Criteria</w:t>
      </w:r>
    </w:p>
    <w:p w14:paraId="4FDF351E" w14:textId="3E1853B9" w:rsidR="009F6E91" w:rsidRPr="00D427D8" w:rsidRDefault="00EF7333" w:rsidP="009F6E91">
      <w:pPr>
        <w:pStyle w:val="Body1"/>
      </w:pPr>
      <w:bookmarkStart w:id="73" w:name="_Hlk167194256"/>
      <w:r w:rsidRPr="00D427D8">
        <w:rPr>
          <w:bCs/>
        </w:rPr>
        <w:t>"</w:t>
      </w:r>
      <w:r w:rsidR="009F6E91" w:rsidRPr="00D427D8">
        <w:rPr>
          <w:rStyle w:val="BoldText"/>
        </w:rPr>
        <w:t>Contracts Eligibility Criteria</w:t>
      </w:r>
      <w:r w:rsidRPr="00D427D8">
        <w:t>"</w:t>
      </w:r>
      <w:r w:rsidR="009F6E91" w:rsidRPr="00D427D8">
        <w:t xml:space="preserve"> means the following criteria and specifications with which each Lease Agreement relating to a Lease Receivable must comply as of the relevant Determination Date in order for such Lease Receivable to be eligible for purchase by the Purchaser on the </w:t>
      </w:r>
      <w:r w:rsidR="009F6E91" w:rsidRPr="00D427D8">
        <w:rPr>
          <w:szCs w:val="19"/>
          <w:lang w:eastAsia="en-US"/>
        </w:rPr>
        <w:t>Closing Date or the relevant Further Purchase Date</w:t>
      </w:r>
      <w:r w:rsidR="009F6E91" w:rsidRPr="00D427D8" w:rsidDel="00DD58E3">
        <w:t xml:space="preserve"> </w:t>
      </w:r>
      <w:r w:rsidR="009F6E91" w:rsidRPr="00D427D8">
        <w:t>(without prejudice to the Receivables Eligibility Criteria):</w:t>
      </w:r>
    </w:p>
    <w:p w14:paraId="41059FF5" w14:textId="7AE27F57" w:rsidR="009F6E91" w:rsidRPr="00D427D8" w:rsidRDefault="009F6E91" w:rsidP="004C6B8C">
      <w:pPr>
        <w:pStyle w:val="Level3"/>
        <w:numPr>
          <w:ilvl w:val="2"/>
          <w:numId w:val="26"/>
        </w:numPr>
      </w:pPr>
      <w:r w:rsidRPr="00D427D8">
        <w:t>to the best of the Seller</w:t>
      </w:r>
      <w:r w:rsidR="00EF7333" w:rsidRPr="00D427D8">
        <w:t>'</w:t>
      </w:r>
      <w:r w:rsidRPr="00D427D8">
        <w:t>s knowledge and taking into account case law and prevailing market standards/practice existing as of the relevant Determination Date, each Lease Agreement was entered into between the Seller and the relevant Lessee pursuant to the provisions of the Consumer Protection Legislation (</w:t>
      </w:r>
      <w:r w:rsidRPr="00D427D8">
        <w:rPr>
          <w:i/>
          <w:iCs/>
        </w:rPr>
        <w:t>Verbraucherschutzrecht</w:t>
      </w:r>
      <w:r w:rsidRPr="00D427D8">
        <w:t>) applicable for consumers or all provisions applicable for commercial customers and all other applicable legal and regulatory provisions (including in relation to the applicable Data Protection Rules);</w:t>
      </w:r>
    </w:p>
    <w:p w14:paraId="0FD64E9A" w14:textId="3E7DA957" w:rsidR="009F6E91" w:rsidRPr="00D427D8" w:rsidRDefault="009F6E91" w:rsidP="00141A76">
      <w:pPr>
        <w:pStyle w:val="Level3"/>
      </w:pPr>
      <w:r w:rsidRPr="00D427D8">
        <w:t>payment obligations arising under the Lease Agreement and owed by a Lessee are valid, binding and enforceable and the rights to receive such payments are assignable by the Seller;</w:t>
      </w:r>
    </w:p>
    <w:p w14:paraId="2B922032" w14:textId="75D643CC" w:rsidR="009F6E91" w:rsidRPr="00D427D8" w:rsidRDefault="009F6E91" w:rsidP="00141A76">
      <w:pPr>
        <w:pStyle w:val="Level3"/>
      </w:pPr>
      <w:r w:rsidRPr="00D427D8">
        <w:t>none of the Lease Agreements is voidable, rescindable or subject to legal termination;</w:t>
      </w:r>
    </w:p>
    <w:p w14:paraId="1FE9E520" w14:textId="37F3D71B" w:rsidR="009F6E91" w:rsidRPr="00D427D8" w:rsidRDefault="009F6E91" w:rsidP="00141A76">
      <w:pPr>
        <w:pStyle w:val="Level3"/>
      </w:pPr>
      <w:r w:rsidRPr="00D427D8">
        <w:t>each Lease Agreement was executed in connection with the leasing of a new vehicle or used vehicle or a Demonstration Car entered into between the Seller and a Lessee;</w:t>
      </w:r>
    </w:p>
    <w:p w14:paraId="6B07B09F" w14:textId="46254C39" w:rsidR="009F6E91" w:rsidRPr="00D427D8" w:rsidRDefault="009F6E91" w:rsidP="00141A76">
      <w:pPr>
        <w:pStyle w:val="Level3"/>
      </w:pPr>
      <w:r w:rsidRPr="00D427D8">
        <w:t>the Seller has not commenced any action to terminate a Lease Agreement on the basis of the breach by the Lessee of its obligations under the terms of that Lease Agreement and in particular the debtor</w:t>
      </w:r>
      <w:r w:rsidR="00EF7333" w:rsidRPr="00D427D8">
        <w:t>'</w:t>
      </w:r>
      <w:r w:rsidRPr="00D427D8">
        <w:t>s obligations to make timely payments of the Lease Instalments;</w:t>
      </w:r>
    </w:p>
    <w:p w14:paraId="210FC637" w14:textId="4D704941" w:rsidR="009F6E91" w:rsidRPr="00D427D8" w:rsidRDefault="009F6E91" w:rsidP="00141A76">
      <w:pPr>
        <w:pStyle w:val="Level3"/>
      </w:pPr>
      <w:r w:rsidRPr="00D427D8">
        <w:t>with respect to each Lease Agreement, neither the Seller nor the Lessee has commenced any action for prepayment of such Lease Agreement;</w:t>
      </w:r>
    </w:p>
    <w:p w14:paraId="7533E898" w14:textId="67B728E3" w:rsidR="009F6E91" w:rsidRPr="00D427D8" w:rsidRDefault="009F6E91" w:rsidP="00141A76">
      <w:pPr>
        <w:pStyle w:val="Level3"/>
      </w:pPr>
      <w:r w:rsidRPr="00D427D8">
        <w:t>no Lease Agreement has been entered into with an employee of Stellantis Bank or any entity belonging to Stellantis Bank;</w:t>
      </w:r>
    </w:p>
    <w:p w14:paraId="636F0D65" w14:textId="78A88A57" w:rsidR="009F6E91" w:rsidRPr="00D427D8" w:rsidRDefault="009F6E91" w:rsidP="00141A76">
      <w:pPr>
        <w:pStyle w:val="Level3"/>
      </w:pPr>
      <w:r w:rsidRPr="00D427D8">
        <w:t xml:space="preserve">each </w:t>
      </w:r>
      <w:bookmarkStart w:id="74" w:name="_Hlk180056441"/>
      <w:r w:rsidRPr="00D427D8">
        <w:t xml:space="preserve">Leased Vehicle financed under a Lease Agreement </w:t>
      </w:r>
      <w:bookmarkEnd w:id="74"/>
      <w:r w:rsidRPr="00D427D8">
        <w:t>is existing and is registered in Germany;</w:t>
      </w:r>
    </w:p>
    <w:p w14:paraId="3661D766" w14:textId="74D031CD" w:rsidR="009F6E91" w:rsidRPr="00D427D8" w:rsidRDefault="009F6E91" w:rsidP="00141A76">
      <w:pPr>
        <w:pStyle w:val="Level3"/>
      </w:pPr>
      <w:r w:rsidRPr="00D427D8">
        <w:t>each Lease Agreement has been executed for the leasing of one Leased Vehicle only so as to ensure an identical number of Lease Agreement, Lease Receivables and financed Leased Vehicles;</w:t>
      </w:r>
    </w:p>
    <w:p w14:paraId="6291399F" w14:textId="72136B99" w:rsidR="009F6E91" w:rsidRPr="00D427D8" w:rsidRDefault="009F6E91" w:rsidP="00141A76">
      <w:pPr>
        <w:pStyle w:val="Level3"/>
      </w:pPr>
      <w:r w:rsidRPr="00D427D8">
        <w:t>each Lease Agreement was executed between the Seller and one Lessee;</w:t>
      </w:r>
    </w:p>
    <w:p w14:paraId="785C733B" w14:textId="6E13BC99" w:rsidR="009F6E91" w:rsidRPr="00D427D8" w:rsidRDefault="009F6E91" w:rsidP="00141A76">
      <w:pPr>
        <w:pStyle w:val="Level3"/>
      </w:pPr>
      <w:r w:rsidRPr="00D427D8">
        <w:t>each Lease Agreement requires that the Lessee enters into an individual insurance contract (</w:t>
      </w:r>
      <w:r w:rsidRPr="00D427D8">
        <w:rPr>
          <w:i/>
          <w:iCs/>
        </w:rPr>
        <w:t>Kaskoversicherung</w:t>
      </w:r>
      <w:r w:rsidRPr="00D427D8">
        <w:t>) relating to the destruction of or damage to the Leased Vehicle and the personal liability of the Lessee relating to the use of the Leased Vehicle;</w:t>
      </w:r>
    </w:p>
    <w:p w14:paraId="0DBDA2E9" w14:textId="063728B4" w:rsidR="009F6E91" w:rsidRPr="00D427D8" w:rsidRDefault="009F6E91" w:rsidP="00141A76">
      <w:pPr>
        <w:pStyle w:val="Level3"/>
      </w:pPr>
      <w:r w:rsidRPr="00D427D8">
        <w:t>each Lease Agreement is subject to German law and any related claims are subject to the exclusive jurisdiction of the German courts;</w:t>
      </w:r>
    </w:p>
    <w:p w14:paraId="3F1F7D84" w14:textId="0D214342" w:rsidR="009F6E91" w:rsidRPr="00D427D8" w:rsidRDefault="009F6E91" w:rsidP="00141A76">
      <w:pPr>
        <w:pStyle w:val="Level3"/>
      </w:pPr>
      <w:r w:rsidRPr="00D427D8">
        <w:t xml:space="preserve">in relation to each Lease Agreement, the Seller benefits from a Leased Vehicle Put Option </w:t>
      </w:r>
      <w:r w:rsidRPr="00D427D8">
        <w:rPr>
          <w:i/>
          <w:iCs/>
        </w:rPr>
        <w:t>vis-a-vis</w:t>
      </w:r>
      <w:r w:rsidRPr="00D427D8">
        <w:t xml:space="preserve"> a Car Dealer which, to best knowledge of the Seller, is not insolvent or bankrupt (</w:t>
      </w:r>
      <w:r w:rsidRPr="00D427D8">
        <w:rPr>
          <w:i/>
          <w:iCs/>
        </w:rPr>
        <w:t>zahlungsunfähig</w:t>
      </w:r>
      <w:r w:rsidRPr="00D427D8">
        <w:t>), including imminent inability to pay its debt (</w:t>
      </w:r>
      <w:r w:rsidRPr="00D427D8">
        <w:rPr>
          <w:i/>
          <w:iCs/>
        </w:rPr>
        <w:t>drohende Zahlungsunfähigkeit</w:t>
      </w:r>
      <w:r w:rsidRPr="00D427D8">
        <w:t>), or overindebted (</w:t>
      </w:r>
      <w:r w:rsidRPr="00D427D8">
        <w:rPr>
          <w:i/>
          <w:iCs/>
        </w:rPr>
        <w:t>überschuldet</w:t>
      </w:r>
      <w:r w:rsidRPr="00D427D8">
        <w:t>) and against whom no proceedings for the commencement of insolvency proceedings are pending in any jurisdiction;</w:t>
      </w:r>
    </w:p>
    <w:p w14:paraId="361F059F" w14:textId="501DE17D" w:rsidR="009F6E91" w:rsidRPr="00D427D8" w:rsidRDefault="009F6E91" w:rsidP="00141A76">
      <w:pPr>
        <w:pStyle w:val="Level3"/>
      </w:pPr>
      <w:r w:rsidRPr="00D427D8">
        <w:t>the Lease Agreement does not contain any provision limiting the free and valid transfer or assignment of the Lease Receivables by the Seller nor any requirement to give notice or obtain consent from the Lessee in relation to any such transfer and assignment;</w:t>
      </w:r>
    </w:p>
    <w:p w14:paraId="5F278857" w14:textId="57BA5742" w:rsidR="009F6E91" w:rsidRPr="00D427D8" w:rsidRDefault="009F6E91" w:rsidP="00141A76">
      <w:pPr>
        <w:pStyle w:val="Level3"/>
      </w:pPr>
      <w:r w:rsidRPr="00D427D8">
        <w:t xml:space="preserve">no Lease Agreement has an original term of more than </w:t>
      </w:r>
      <w:r w:rsidR="004C6B8C" w:rsidRPr="00D427D8">
        <w:rPr>
          <w:rFonts w:cs="Arial"/>
        </w:rPr>
        <w:t>60</w:t>
      </w:r>
      <w:r w:rsidRPr="00D427D8">
        <w:t xml:space="preserve"> months;</w:t>
      </w:r>
    </w:p>
    <w:p w14:paraId="0AA65ACF" w14:textId="7D56DADD" w:rsidR="009F6E91" w:rsidRPr="00D427D8" w:rsidRDefault="009F6E91" w:rsidP="00141A76">
      <w:pPr>
        <w:pStyle w:val="Level3"/>
      </w:pPr>
      <w:r w:rsidRPr="00D427D8">
        <w:t>the Lease Agreement does not allow for the deferral of principal and interest to a date beyond the original maturity of the Lease Agreement;</w:t>
      </w:r>
    </w:p>
    <w:p w14:paraId="2AF66B93" w14:textId="081750CA" w:rsidR="009F6E91" w:rsidRPr="00D427D8" w:rsidRDefault="009F6E91" w:rsidP="00141A76">
      <w:pPr>
        <w:pStyle w:val="Level3"/>
      </w:pPr>
      <w:r w:rsidRPr="00D427D8">
        <w:lastRenderedPageBreak/>
        <w:t>the amount of the Expectancy Right Value under each Lease Agreement does not exceed 100% of the original acquisition price of the relevant Leased Vehicle;</w:t>
      </w:r>
    </w:p>
    <w:p w14:paraId="4A89BEF8" w14:textId="01831CA5" w:rsidR="009F6E91" w:rsidRPr="00D427D8" w:rsidRDefault="009F6E91" w:rsidP="00141A76">
      <w:pPr>
        <w:pStyle w:val="Level3"/>
      </w:pPr>
      <w:bookmarkStart w:id="75" w:name="_Hlk192792633"/>
      <w:r w:rsidRPr="00D427D8">
        <w:t>the amount of the Expectancy Right Value under each Lease Agreement does not exceed 90% of initial outstanding balance under such Lease Agreement;</w:t>
      </w:r>
    </w:p>
    <w:bookmarkEnd w:id="75"/>
    <w:p w14:paraId="216FFE65" w14:textId="7A9F15F1" w:rsidR="009F6E91" w:rsidRPr="00D427D8" w:rsidRDefault="009F6E91" w:rsidP="00141A76">
      <w:pPr>
        <w:pStyle w:val="Level3"/>
      </w:pPr>
      <w:r w:rsidRPr="00D427D8">
        <w:t xml:space="preserve">no Lease Agreement has a remaining term of less than </w:t>
      </w:r>
      <w:r w:rsidR="00CC4911">
        <w:t>6</w:t>
      </w:r>
      <w:r w:rsidRPr="00D427D8">
        <w:t xml:space="preserve"> month;</w:t>
      </w:r>
    </w:p>
    <w:p w14:paraId="607F3B69" w14:textId="665F73DD" w:rsidR="009F6E91" w:rsidRPr="00D427D8" w:rsidRDefault="009F6E91" w:rsidP="00141A76">
      <w:pPr>
        <w:pStyle w:val="Level3"/>
      </w:pPr>
      <w:bookmarkStart w:id="76" w:name="_Hlk198148631"/>
      <w:r w:rsidRPr="00D427D8">
        <w:t xml:space="preserve">the Discounted Receivables Balance of each Lease Agreement is between EUR </w:t>
      </w:r>
      <w:r w:rsidR="004C6B8C" w:rsidRPr="00D427D8">
        <w:rPr>
          <w:rFonts w:cs="Arial"/>
        </w:rPr>
        <w:t>500</w:t>
      </w:r>
      <w:r w:rsidRPr="00D427D8">
        <w:t xml:space="preserve"> and EUR </w:t>
      </w:r>
      <w:r w:rsidR="004C6B8C" w:rsidRPr="00D427D8">
        <w:rPr>
          <w:rFonts w:cs="Arial"/>
        </w:rPr>
        <w:t>75,000</w:t>
      </w:r>
      <w:r w:rsidRPr="00D427D8">
        <w:t>;</w:t>
      </w:r>
    </w:p>
    <w:bookmarkEnd w:id="76"/>
    <w:p w14:paraId="0C17195E" w14:textId="76ECD753" w:rsidR="009F6E91" w:rsidRPr="00D427D8" w:rsidRDefault="009F6E91" w:rsidP="00141A76">
      <w:pPr>
        <w:pStyle w:val="Level3"/>
      </w:pPr>
      <w:r w:rsidRPr="00D427D8">
        <w:t xml:space="preserve">relates to a Leased Vehicle leased under a Lease Agreement pursuant to which the Seller has duly performed and complied with all its obligations; </w:t>
      </w:r>
    </w:p>
    <w:p w14:paraId="6D34E60A" w14:textId="770D7686" w:rsidR="009F6E91" w:rsidRDefault="009F6E91" w:rsidP="00141A76">
      <w:pPr>
        <w:pStyle w:val="Level3"/>
      </w:pPr>
      <w:r w:rsidRPr="00D427D8">
        <w:t>the Lease Agreement is originated in the ordinary course of business of the Seller, per the Credit and Collection Policy and in accordance with applicable laws and regulations and provides, in each case, for payment by a Lessee of (i) fixed monthly instalments (and any applicable higher first or final payment, as the case may be) denominated in Euro</w:t>
      </w:r>
      <w:r w:rsidR="00460CC3">
        <w:t>; and</w:t>
      </w:r>
    </w:p>
    <w:p w14:paraId="55B59189" w14:textId="77777777" w:rsidR="00460CC3" w:rsidRDefault="00460CC3" w:rsidP="00460CC3">
      <w:pPr>
        <w:pStyle w:val="Level3"/>
        <w:rPr>
          <w:sz w:val="21"/>
        </w:rPr>
      </w:pPr>
      <w:bookmarkStart w:id="77" w:name="_Hlk200742501"/>
      <w:r>
        <w:t>the loan-to-value ratio of each Lease Agreement does not exceed 100%.</w:t>
      </w:r>
      <w:bookmarkEnd w:id="77"/>
    </w:p>
    <w:p w14:paraId="216A04FF" w14:textId="77777777" w:rsidR="009F6E91" w:rsidRPr="00D427D8" w:rsidRDefault="009F6E91" w:rsidP="00EF7333">
      <w:pPr>
        <w:pStyle w:val="Body1"/>
      </w:pPr>
      <w:r w:rsidRPr="00D427D8">
        <w:br w:type="page"/>
      </w:r>
    </w:p>
    <w:p w14:paraId="7B4E6BBF" w14:textId="77777777" w:rsidR="009F6E91" w:rsidRPr="00D427D8" w:rsidRDefault="009F6E91" w:rsidP="000420D4">
      <w:pPr>
        <w:pStyle w:val="CentredSubheading"/>
      </w:pPr>
      <w:bookmarkStart w:id="78" w:name="Sched_2_Part_B"/>
      <w:r w:rsidRPr="00D427D8">
        <w:lastRenderedPageBreak/>
        <w:t>Part </w:t>
      </w:r>
      <w:bookmarkEnd w:id="78"/>
      <w:r w:rsidRPr="00D427D8">
        <w:t>2 - Receivables Eligibility Criteria</w:t>
      </w:r>
    </w:p>
    <w:p w14:paraId="0A8878AC" w14:textId="7C19E250" w:rsidR="009F6E91" w:rsidRPr="00D427D8" w:rsidRDefault="00EF7333" w:rsidP="009F6E91">
      <w:pPr>
        <w:pStyle w:val="Body1"/>
      </w:pPr>
      <w:r w:rsidRPr="00D427D8">
        <w:rPr>
          <w:bCs/>
        </w:rPr>
        <w:t>"</w:t>
      </w:r>
      <w:r w:rsidR="009F6E91" w:rsidRPr="00D427D8">
        <w:rPr>
          <w:rStyle w:val="BoldText"/>
        </w:rPr>
        <w:t>Receivables Eligibility Criteria</w:t>
      </w:r>
      <w:r w:rsidRPr="00D427D8">
        <w:t>"</w:t>
      </w:r>
      <w:r w:rsidR="009F6E91" w:rsidRPr="00D427D8">
        <w:t xml:space="preserve"> means the following criteria and specifications with which each Lease Receivable or, as the case may be, the Lease Agreement from which it derives, must comply in order for such Lease Receivable to be purchased on the </w:t>
      </w:r>
      <w:r w:rsidR="009F6E91" w:rsidRPr="00D427D8">
        <w:rPr>
          <w:szCs w:val="19"/>
          <w:lang w:eastAsia="en-US"/>
        </w:rPr>
        <w:t>Closing Date or the relevant Further Purchase Date</w:t>
      </w:r>
      <w:r w:rsidR="009F6E91" w:rsidRPr="00D427D8" w:rsidDel="00DD58E3">
        <w:t xml:space="preserve"> </w:t>
      </w:r>
      <w:r w:rsidR="009F6E91" w:rsidRPr="00D427D8">
        <w:t>by the Purchaser (without prejudice to the Contracts Eligibility Criteria):</w:t>
      </w:r>
    </w:p>
    <w:p w14:paraId="308A22BF" w14:textId="2860C643" w:rsidR="009F6E91" w:rsidRPr="00D427D8" w:rsidRDefault="009F6E91" w:rsidP="004C6B8C">
      <w:pPr>
        <w:pStyle w:val="Level3"/>
        <w:numPr>
          <w:ilvl w:val="2"/>
          <w:numId w:val="27"/>
        </w:numPr>
      </w:pPr>
      <w:r w:rsidRPr="00D427D8">
        <w:t>The Lease Agreements, the Lessees and the Leased Vehicles comply with the Contracts Eligibility Criteria as of the relevant Determination Date.</w:t>
      </w:r>
    </w:p>
    <w:p w14:paraId="3E63BF12" w14:textId="23A2B0B0" w:rsidR="009F6E91" w:rsidRPr="00D427D8" w:rsidRDefault="009F6E91" w:rsidP="00141A76">
      <w:pPr>
        <w:pStyle w:val="Level3"/>
      </w:pPr>
      <w:bookmarkStart w:id="79" w:name="_Hlk193818794"/>
      <w:r w:rsidRPr="00D427D8">
        <w:t>In relation to the Lease Receivables, as of the relevant</w:t>
      </w:r>
      <w:r w:rsidRPr="00D427D8">
        <w:rPr>
          <w:szCs w:val="19"/>
        </w:rPr>
        <w:t xml:space="preserve"> Determination</w:t>
      </w:r>
      <w:r w:rsidRPr="00D427D8">
        <w:t xml:space="preserve"> Date:</w:t>
      </w:r>
    </w:p>
    <w:p w14:paraId="13A5EC89" w14:textId="13DFFDEA" w:rsidR="009F6E91" w:rsidRPr="00D427D8" w:rsidRDefault="009F6E91" w:rsidP="00EF7333">
      <w:pPr>
        <w:pStyle w:val="Level4"/>
      </w:pPr>
      <w:r w:rsidRPr="00D427D8">
        <w:t>the Lease Receivables result from Lease Agreements;</w:t>
      </w:r>
    </w:p>
    <w:p w14:paraId="5F6FF2D3" w14:textId="131CC550" w:rsidR="009F6E91" w:rsidRPr="00D427D8" w:rsidRDefault="009F6E91" w:rsidP="00EF7333">
      <w:pPr>
        <w:pStyle w:val="Level4"/>
      </w:pPr>
      <w:r w:rsidRPr="00D427D8">
        <w:t>the Lease Receivables are governed by German law;</w:t>
      </w:r>
    </w:p>
    <w:p w14:paraId="64C36530" w14:textId="51CA5698" w:rsidR="009F6E91" w:rsidRPr="00D427D8" w:rsidRDefault="009F6E91" w:rsidP="00EF7333">
      <w:pPr>
        <w:pStyle w:val="Level4"/>
      </w:pPr>
      <w:r w:rsidRPr="00D427D8">
        <w:t>the Lease Receivables are denominated in euro and payable in euro;</w:t>
      </w:r>
    </w:p>
    <w:p w14:paraId="370DC8CA" w14:textId="5A68D876" w:rsidR="009F6E91" w:rsidRPr="00D427D8" w:rsidRDefault="009F6E91" w:rsidP="00EF7333">
      <w:pPr>
        <w:pStyle w:val="Level4"/>
      </w:pPr>
      <w:r w:rsidRPr="00D427D8">
        <w:t>the Lease Agreement from which it derives gives rise to substantially equal Lease Instalments;</w:t>
      </w:r>
    </w:p>
    <w:p w14:paraId="26DCCBDF" w14:textId="03451F81" w:rsidR="009F6E91" w:rsidRPr="00D427D8" w:rsidRDefault="009F6E91" w:rsidP="00EF7333">
      <w:pPr>
        <w:pStyle w:val="Level4"/>
      </w:pPr>
      <w:r w:rsidRPr="00D427D8">
        <w:t>the Lease Receivables are not delinquent Receivables, written-off receivables, disputed receivables or Defaulted Receivables;</w:t>
      </w:r>
    </w:p>
    <w:p w14:paraId="7F85DF5B" w14:textId="0DD65C47" w:rsidR="009F6E91" w:rsidRPr="00D427D8" w:rsidRDefault="009F6E91" w:rsidP="00EF7333">
      <w:pPr>
        <w:pStyle w:val="Level4"/>
      </w:pPr>
      <w:r w:rsidRPr="00D427D8">
        <w:t>each Lease Receivable constitutes legal, valid, and enforceable contractual obligations of the relevant Lessee;</w:t>
      </w:r>
    </w:p>
    <w:p w14:paraId="4DD6B2D9" w14:textId="739EBD0D" w:rsidR="009F6E91" w:rsidRPr="00D427D8" w:rsidRDefault="009F6E91" w:rsidP="00EF7333">
      <w:pPr>
        <w:pStyle w:val="Level4"/>
      </w:pPr>
      <w:r w:rsidRPr="00D427D8">
        <w:t>the Seller has full title to the Lease Receivables and the related Lease Collateral immediately prior to their assignment and the status and enforceability of neither the Purchased Lease Receivables nor the related Lease Collateral are subject to, either in whole or in part, any assignment, delegation or pledge, attachment, warranty claims, set-off claim or encumbrance of whatever type such that there is no obstacle, in particular any rights of third parties, to the assignment of the Lease Receivables or any related Lease Collateral;</w:t>
      </w:r>
    </w:p>
    <w:p w14:paraId="4098145C" w14:textId="2BC7817A" w:rsidR="009F6E91" w:rsidRPr="00D427D8" w:rsidRDefault="009F6E91" w:rsidP="00EF7333">
      <w:pPr>
        <w:pStyle w:val="Level4"/>
      </w:pPr>
      <w:r w:rsidRPr="00D427D8">
        <w:t>the Expectancy Right in respect of the related Leased Vehicle will be sold and transferred to the Purchaser under the ER Purchase Agreement;</w:t>
      </w:r>
    </w:p>
    <w:p w14:paraId="2551EBFC" w14:textId="1FBEF293" w:rsidR="009F6E91" w:rsidRPr="00D427D8" w:rsidRDefault="009F6E91" w:rsidP="00EF7333">
      <w:pPr>
        <w:pStyle w:val="Level4"/>
      </w:pPr>
      <w:r w:rsidRPr="00D427D8">
        <w:t>each Lease Receivable is separately individualised and identified in the systems of the Seller on or before the relevant Determination Date such that the Purchaser may at any time separately identify the relevant Purchased Lease Receivables;</w:t>
      </w:r>
    </w:p>
    <w:bookmarkEnd w:id="79"/>
    <w:p w14:paraId="1830A698" w14:textId="33611A31" w:rsidR="009F6E91" w:rsidRPr="00D427D8" w:rsidRDefault="009F6E91" w:rsidP="00141A76">
      <w:pPr>
        <w:pStyle w:val="Level3"/>
      </w:pPr>
      <w:r w:rsidRPr="00D427D8">
        <w:t xml:space="preserve">In relation to the Lessees, as of the relevant </w:t>
      </w:r>
      <w:r w:rsidRPr="00D427D8">
        <w:rPr>
          <w:szCs w:val="19"/>
        </w:rPr>
        <w:t>Determination</w:t>
      </w:r>
      <w:r w:rsidRPr="00D427D8">
        <w:t xml:space="preserve"> Date:</w:t>
      </w:r>
    </w:p>
    <w:p w14:paraId="1D73D4AF" w14:textId="0B11E326" w:rsidR="009F6E91" w:rsidRPr="00D427D8" w:rsidRDefault="009F6E91" w:rsidP="00EF7333">
      <w:pPr>
        <w:pStyle w:val="Level4"/>
      </w:pPr>
      <w:r w:rsidRPr="00D427D8">
        <w:t>to the best knowledge of the Seller, the Lease Receivable does not qualify as an exposure in default within the meaning of Article 178(1) of Regulation (EU) 575/2013 and is due from a Lessee who, to the best of the Seller</w:t>
      </w:r>
      <w:r w:rsidR="00EF7333" w:rsidRPr="00D427D8">
        <w:t>'</w:t>
      </w:r>
      <w:r w:rsidRPr="00D427D8">
        <w:t>s knowledge, is not a credit-impaired debtor, who on the basis of information obtained (i) from the debtor of the Purchased Lease Receivables, (ii) in the course of the servicing of the Purchased Lease Receivables or the Seller</w:t>
      </w:r>
      <w:r w:rsidR="00EF7333" w:rsidRPr="00D427D8">
        <w:t>'</w:t>
      </w:r>
      <w:r w:rsidRPr="00D427D8">
        <w:t>s risk management procedures or (iii) from a third party</w:t>
      </w:r>
    </w:p>
    <w:p w14:paraId="7FB311A4" w14:textId="61C9867A" w:rsidR="009F6E91" w:rsidRPr="00D427D8" w:rsidRDefault="009F6E91" w:rsidP="000420D4">
      <w:pPr>
        <w:pStyle w:val="Level5"/>
      </w:pPr>
      <w:r w:rsidRPr="00D427D8">
        <w:t>has been declared insolvent or had a court grant his creditors a final non-appealable right of enforcement or material damages as a result of a missed payment within three years prior to the date of origination or has undergone a debt-restructuring process with regard to his non-performing exposures within three years prior to the date of transfer of the respective Receivable by the Seller to the Purchaser, except if a restructured Receivable has not presented new arrears since the date of the restructuring, which must have taken place at least one year prior to the date of transfer or assignment of the Receivables by the Seller to the Purchaser; and the information provided by the Seller and the Purchaser in accordance with points (a) and (e)(i) of the first subparagraph of Article 7(1) of the EU Securitisation Regulation explicitly sets out the proportion of restructured receivables, the time and details of the restructuring as well as their performance since the date of the restructuring;</w:t>
      </w:r>
    </w:p>
    <w:p w14:paraId="13B8B924" w14:textId="0B38DB67" w:rsidR="009F6E91" w:rsidRPr="00D427D8" w:rsidRDefault="009F6E91" w:rsidP="000420D4">
      <w:pPr>
        <w:pStyle w:val="Level5"/>
      </w:pPr>
      <w:r w:rsidRPr="00D427D8">
        <w:lastRenderedPageBreak/>
        <w:t>was, at the time of origination, where applicable, on a public credit registry of persons with adverse credit history or, where there is no such public credit registry, another credit registry that is available to the Seller; or</w:t>
      </w:r>
    </w:p>
    <w:p w14:paraId="30A35798" w14:textId="1F45B32B" w:rsidR="009F6E91" w:rsidRPr="00D427D8" w:rsidRDefault="009F6E91" w:rsidP="000420D4">
      <w:pPr>
        <w:pStyle w:val="Level5"/>
      </w:pPr>
      <w:r w:rsidRPr="00D427D8">
        <w:t>has a credit assessment or a credit score indicating that the risk of contractually agreed payments not being made is significantly higher than for comparable receivables held by the Seller and which are not assigned to the Purchaser.</w:t>
      </w:r>
    </w:p>
    <w:p w14:paraId="056440EF" w14:textId="3CF69D69" w:rsidR="009F6E91" w:rsidRPr="00D427D8" w:rsidRDefault="009F6E91" w:rsidP="00EF7333">
      <w:pPr>
        <w:pStyle w:val="Level4"/>
      </w:pPr>
      <w:r w:rsidRPr="00D427D8">
        <w:t>each Lessee is domiciled or registered (as the case may be) in Germany;</w:t>
      </w:r>
    </w:p>
    <w:p w14:paraId="721BB4B6" w14:textId="5C01A80C" w:rsidR="009F6E91" w:rsidRPr="00D427D8" w:rsidRDefault="009F6E91" w:rsidP="00EF7333">
      <w:pPr>
        <w:pStyle w:val="Level4"/>
      </w:pPr>
      <w:r w:rsidRPr="00D427D8">
        <w:t>no Lessee has a deposit with the Seller;</w:t>
      </w:r>
    </w:p>
    <w:p w14:paraId="2BF0AA8C" w14:textId="4698CB92" w:rsidR="009F6E91" w:rsidRPr="00D427D8" w:rsidRDefault="009F6E91" w:rsidP="00EF7333">
      <w:pPr>
        <w:pStyle w:val="Level4"/>
      </w:pPr>
      <w:r w:rsidRPr="00D427D8">
        <w:t>no arrangement has been made for the extension of time for payments, or the temporary cessation of payments with any Lessee; and</w:t>
      </w:r>
    </w:p>
    <w:p w14:paraId="4ACB7D39" w14:textId="6EC67980" w:rsidR="009F6E91" w:rsidRPr="00D427D8" w:rsidRDefault="009F6E91" w:rsidP="00EF7333">
      <w:pPr>
        <w:pStyle w:val="Level4"/>
      </w:pPr>
      <w:r w:rsidRPr="00D427D8">
        <w:t>at least one (1) Lease Instalment has been paid in full by the relevant Lessee.</w:t>
      </w:r>
    </w:p>
    <w:bookmarkEnd w:id="73"/>
    <w:p w14:paraId="7B8FCEAB" w14:textId="77777777" w:rsidR="009F6E91" w:rsidRPr="00D427D8" w:rsidRDefault="009F6E91" w:rsidP="00EF7333">
      <w:pPr>
        <w:pStyle w:val="Body1"/>
      </w:pPr>
      <w:r w:rsidRPr="00D427D8">
        <w:br w:type="page"/>
      </w:r>
      <w:bookmarkStart w:id="80" w:name="_Hlk83394038"/>
    </w:p>
    <w:p w14:paraId="56F86397" w14:textId="77777777" w:rsidR="009F6E91" w:rsidRPr="00D427D8" w:rsidRDefault="009F6E91" w:rsidP="003D6C38">
      <w:pPr>
        <w:rPr>
          <w:szCs w:val="19"/>
        </w:rPr>
        <w:sectPr w:rsidR="009F6E91" w:rsidRPr="00D427D8" w:rsidSect="008D071E">
          <w:footerReference w:type="default" r:id="rId23"/>
          <w:headerReference w:type="first" r:id="rId24"/>
          <w:footerReference w:type="first" r:id="rId25"/>
          <w:type w:val="continuous"/>
          <w:pgSz w:w="11907" w:h="16840" w:code="9"/>
          <w:pgMar w:top="851" w:right="1418" w:bottom="992" w:left="1418" w:header="720" w:footer="720" w:gutter="0"/>
          <w:cols w:space="708"/>
          <w:titlePg/>
          <w:docGrid w:linePitch="360"/>
        </w:sectPr>
      </w:pPr>
    </w:p>
    <w:p w14:paraId="1211803C" w14:textId="184CDD81" w:rsidR="009F6E91" w:rsidRPr="00D427D8" w:rsidRDefault="009F6E91" w:rsidP="00DF45CE">
      <w:pPr>
        <w:pStyle w:val="CentredHeading"/>
      </w:pPr>
      <w:bookmarkStart w:id="81" w:name="_Toc194046502"/>
      <w:bookmarkStart w:id="82" w:name="_Toc198539661"/>
      <w:bookmarkEnd w:id="80"/>
      <w:r w:rsidRPr="00D427D8">
        <w:lastRenderedPageBreak/>
        <w:t>FURTHER INFORMATION ON THE NOTES</w:t>
      </w:r>
      <w:r w:rsidR="00DF45CE" w:rsidRPr="00D427D8">
        <w:br/>
      </w:r>
      <w:r w:rsidRPr="00D427D8">
        <w:t>WEIGHTED AVERAGE LIFE OF THE NOTES</w:t>
      </w:r>
      <w:bookmarkEnd w:id="81"/>
      <w:bookmarkEnd w:id="82"/>
    </w:p>
    <w:p w14:paraId="4471323F" w14:textId="3073FDB6" w:rsidR="009F6E91" w:rsidRPr="00D427D8" w:rsidRDefault="009F6E91" w:rsidP="009F6E91">
      <w:pPr>
        <w:pStyle w:val="Body1"/>
      </w:pPr>
      <w:r w:rsidRPr="00D427D8">
        <w:t xml:space="preserve">The expression </w:t>
      </w:r>
      <w:r w:rsidR="00EF7333" w:rsidRPr="00D427D8">
        <w:t>"</w:t>
      </w:r>
      <w:r w:rsidRPr="00D427D8">
        <w:t>weighted average life</w:t>
      </w:r>
      <w:r w:rsidR="00EF7333" w:rsidRPr="00D427D8">
        <w:t>"</w:t>
      </w:r>
      <w:r w:rsidRPr="00D427D8">
        <w:t xml:space="preserve"> refers to the average amount of time that will elapse (on an Act/360 basis) from the Closing Date to the date of payment to the Noteholders of each Euro paid in reduction of the principal outstanding notes balance of the Notes. The weighted average life of the Notes will be influenced by, among other things, the rate at which principal is paid on the Receivables, which may occur through scheduled amortisation, prepayment or defaults. Calculated estimates as to the expected weighted average life of each Class of Notes can be made based on certain assumptions. These estimates have certain inherent limitations. No representations are made that such estimates are accurate, that all assumptions relating to such estimates have been considered or stated or that such estimates will be realised.</w:t>
      </w:r>
    </w:p>
    <w:p w14:paraId="45A17A6C" w14:textId="77777777" w:rsidR="009F6E91" w:rsidRPr="00D427D8" w:rsidRDefault="009F6E91" w:rsidP="00EF7333">
      <w:pPr>
        <w:pStyle w:val="Body1"/>
        <w:rPr>
          <w:rStyle w:val="Heading1Text"/>
        </w:rPr>
      </w:pPr>
      <w:r w:rsidRPr="00D427D8">
        <w:rPr>
          <w:rStyle w:val="Heading1Text"/>
        </w:rPr>
        <w:t>Assumptions</w:t>
      </w:r>
    </w:p>
    <w:p w14:paraId="26B3DFCD" w14:textId="6BADF614" w:rsidR="003A3A3A" w:rsidRDefault="003A3A3A" w:rsidP="003A3A3A">
      <w:pPr>
        <w:pStyle w:val="Body1"/>
        <w:numPr>
          <w:ilvl w:val="0"/>
          <w:numId w:val="28"/>
        </w:numPr>
      </w:pPr>
      <w:r>
        <w:t xml:space="preserve">The closing date is </w:t>
      </w:r>
      <w:r w:rsidR="000D7B30">
        <w:t>[</w:t>
      </w:r>
      <w:r w:rsidR="00526BA1">
        <w:t>2</w:t>
      </w:r>
      <w:r w:rsidR="000D7B30">
        <w:t>7</w:t>
      </w:r>
      <w:r w:rsidR="00526BA1">
        <w:t xml:space="preserve"> June</w:t>
      </w:r>
      <w:r w:rsidR="000D7B30">
        <w:t>]</w:t>
      </w:r>
      <w:r w:rsidR="00526BA1">
        <w:t xml:space="preserve"> </w:t>
      </w:r>
      <w:r>
        <w:t>2025 and the Notes are issued on such a date.</w:t>
      </w:r>
    </w:p>
    <w:p w14:paraId="5D9D7D8F" w14:textId="7326702B" w:rsidR="003A3A3A" w:rsidRDefault="003A3A3A" w:rsidP="003A3A3A">
      <w:pPr>
        <w:pStyle w:val="Body1"/>
        <w:numPr>
          <w:ilvl w:val="0"/>
          <w:numId w:val="28"/>
        </w:numPr>
      </w:pPr>
      <w:r>
        <w:t>Payments on the Notes will be made on the 25th day of each calendar month (not taking into account any business day convention), commencing on the Distribution Date falling in 25</w:t>
      </w:r>
      <w:r w:rsidR="00E859B0">
        <w:t xml:space="preserve"> July</w:t>
      </w:r>
      <w:r>
        <w:t> 2025.</w:t>
      </w:r>
    </w:p>
    <w:p w14:paraId="7DE6B8BA" w14:textId="549D042C" w:rsidR="003A3A3A" w:rsidRDefault="003A3A3A" w:rsidP="003A3A3A">
      <w:pPr>
        <w:pStyle w:val="Body1"/>
        <w:numPr>
          <w:ilvl w:val="0"/>
          <w:numId w:val="28"/>
        </w:numPr>
      </w:pPr>
      <w:r>
        <w:t xml:space="preserve">The Aggregate </w:t>
      </w:r>
      <w:r w:rsidR="00FB21F9">
        <w:t xml:space="preserve">Discounted Asset </w:t>
      </w:r>
      <w:r>
        <w:t xml:space="preserve">Balance has been calculated based on the scheduled amortisation of the Aggregate </w:t>
      </w:r>
      <w:r w:rsidR="00FB21F9">
        <w:t>Discounted Asset</w:t>
      </w:r>
      <w:r>
        <w:t xml:space="preserve"> Balance as shown in the section "</w:t>
      </w:r>
      <w:r w:rsidR="00350E6B">
        <w:t xml:space="preserve">Provisional </w:t>
      </w:r>
      <w:r>
        <w:t>Portfolio Amortisation (0% CPR / 0% Default Rate)".</w:t>
      </w:r>
    </w:p>
    <w:p w14:paraId="1749B959" w14:textId="33D2FD6C" w:rsidR="003A3A3A" w:rsidRDefault="003A3A3A" w:rsidP="003A3A3A">
      <w:pPr>
        <w:pStyle w:val="Body1"/>
        <w:numPr>
          <w:ilvl w:val="0"/>
          <w:numId w:val="28"/>
        </w:numPr>
      </w:pPr>
      <w:r>
        <w:t>The Receivables are fully performing and do not show any delinquencies defaults or losses.</w:t>
      </w:r>
    </w:p>
    <w:p w14:paraId="025855E4" w14:textId="67D5347C" w:rsidR="003A3A3A" w:rsidRDefault="003A3A3A" w:rsidP="003A3A3A">
      <w:pPr>
        <w:pStyle w:val="Body1"/>
        <w:numPr>
          <w:ilvl w:val="0"/>
          <w:numId w:val="28"/>
        </w:numPr>
      </w:pPr>
      <w:r>
        <w:t>No debit on the Principal Deficiency Ledgers has been recorded.</w:t>
      </w:r>
    </w:p>
    <w:p w14:paraId="11E3B50B" w14:textId="4F54B217" w:rsidR="003A3A3A" w:rsidRDefault="003A3A3A" w:rsidP="003A3A3A">
      <w:pPr>
        <w:pStyle w:val="Body1"/>
        <w:numPr>
          <w:ilvl w:val="0"/>
          <w:numId w:val="28"/>
        </w:numPr>
      </w:pPr>
      <w:r>
        <w:t>The Receivables are subject to a constant annual rate of principal prepayments as set out in the below table.</w:t>
      </w:r>
    </w:p>
    <w:p w14:paraId="67A516BA" w14:textId="18F29995" w:rsidR="003A3A3A" w:rsidRDefault="003A3A3A" w:rsidP="003A3A3A">
      <w:pPr>
        <w:pStyle w:val="Body1"/>
        <w:numPr>
          <w:ilvl w:val="0"/>
          <w:numId w:val="28"/>
        </w:numPr>
      </w:pPr>
      <w:r>
        <w:t>There will be no repurchases of Receivables by Stellantis Bank.</w:t>
      </w:r>
    </w:p>
    <w:p w14:paraId="4365C319" w14:textId="2E2266E6" w:rsidR="003A3A3A" w:rsidRDefault="003A3A3A" w:rsidP="003A3A3A">
      <w:pPr>
        <w:pStyle w:val="Body1"/>
        <w:numPr>
          <w:ilvl w:val="0"/>
          <w:numId w:val="28"/>
        </w:numPr>
      </w:pPr>
      <w:r>
        <w:t>No Revolving Period Termination Event has occurred.</w:t>
      </w:r>
    </w:p>
    <w:p w14:paraId="31FA74A5" w14:textId="7C0E9591" w:rsidR="003A3A3A" w:rsidRDefault="003A3A3A" w:rsidP="003A3A3A">
      <w:pPr>
        <w:pStyle w:val="Body1"/>
        <w:numPr>
          <w:ilvl w:val="0"/>
          <w:numId w:val="28"/>
        </w:numPr>
      </w:pPr>
      <w:r>
        <w:t xml:space="preserve">All amounts credited to the Reinvestment Principal Ledger are used, during the Revolving Period, to acquire Further </w:t>
      </w:r>
      <w:r w:rsidR="00FB21F9">
        <w:t>Lease Receivables and Further Expectancy Rights</w:t>
      </w:r>
      <w:r>
        <w:t>.</w:t>
      </w:r>
    </w:p>
    <w:p w14:paraId="70599A42" w14:textId="6FD13938" w:rsidR="003A3A3A" w:rsidRDefault="003A3A3A" w:rsidP="003A3A3A">
      <w:pPr>
        <w:pStyle w:val="Body1"/>
        <w:numPr>
          <w:ilvl w:val="0"/>
          <w:numId w:val="28"/>
        </w:numPr>
      </w:pPr>
      <w:r>
        <w:t>During the Revolving Period the portfolio will continue to be topped up to the amount of the Initial Receivables and the portfolio composition will not change between the Closing Date and the Revolving Period End Date.</w:t>
      </w:r>
    </w:p>
    <w:p w14:paraId="6AFE21D7" w14:textId="507F540F" w:rsidR="003A3A3A" w:rsidRDefault="003A3A3A" w:rsidP="003A3A3A">
      <w:pPr>
        <w:pStyle w:val="Body1"/>
        <w:numPr>
          <w:ilvl w:val="0"/>
          <w:numId w:val="28"/>
        </w:numPr>
      </w:pPr>
      <w:r>
        <w:t>The weighted average life calculation is based on Actual/360 and no adjustment in accordance with the business day convention was made.</w:t>
      </w:r>
    </w:p>
    <w:p w14:paraId="60725885" w14:textId="134D701C" w:rsidR="000D7B30" w:rsidRPr="00D427D8" w:rsidRDefault="000D7B30" w:rsidP="003A3A3A">
      <w:pPr>
        <w:pStyle w:val="Body1"/>
        <w:numPr>
          <w:ilvl w:val="0"/>
          <w:numId w:val="28"/>
        </w:numPr>
      </w:pPr>
      <w:r w:rsidRPr="000D7B30">
        <w:t xml:space="preserve">The cut-off of the </w:t>
      </w:r>
      <w:r>
        <w:t>P</w:t>
      </w:r>
      <w:r w:rsidRPr="000D7B30">
        <w:t>ortfolio is 4</w:t>
      </w:r>
      <w:r w:rsidRPr="000D7B30">
        <w:rPr>
          <w:vertAlign w:val="superscript"/>
        </w:rPr>
        <w:t>th</w:t>
      </w:r>
      <w:r w:rsidRPr="000D7B30">
        <w:t xml:space="preserve"> April 2025</w:t>
      </w:r>
      <w:r>
        <w:t>.</w:t>
      </w:r>
    </w:p>
    <w:p w14:paraId="0D41DBD1" w14:textId="77777777" w:rsidR="009F6E91" w:rsidRPr="00D427D8" w:rsidRDefault="009F6E91" w:rsidP="00EF7333">
      <w:pPr>
        <w:pStyle w:val="Body1"/>
      </w:pPr>
      <w:r w:rsidRPr="00D427D8">
        <w:br w:type="page"/>
      </w:r>
    </w:p>
    <w:p w14:paraId="329AA5B6" w14:textId="6558C5F6" w:rsidR="009F6E91" w:rsidRPr="00D427D8" w:rsidRDefault="009F6E91" w:rsidP="009F6E91">
      <w:pPr>
        <w:pStyle w:val="Body1"/>
      </w:pPr>
      <w:r w:rsidRPr="00D427D8">
        <w:lastRenderedPageBreak/>
        <w:t xml:space="preserve">Under these assumptions, the approximate weighted average lives of each Class of Notes at various assumed rates of prepayment of the Receivables would be as follows (with </w:t>
      </w:r>
      <w:r w:rsidR="00EF7333" w:rsidRPr="00D427D8">
        <w:t>"</w:t>
      </w:r>
      <w:r w:rsidRPr="00D427D8">
        <w:rPr>
          <w:rStyle w:val="BoldText"/>
        </w:rPr>
        <w:t>CPR</w:t>
      </w:r>
      <w:r w:rsidR="00EF7333" w:rsidRPr="00D427D8">
        <w:t>"</w:t>
      </w:r>
      <w:r w:rsidRPr="00D427D8">
        <w:t xml:space="preserve"> being the constant prepayment rate):</w:t>
      </w:r>
    </w:p>
    <w:p w14:paraId="71D40736" w14:textId="77777777" w:rsidR="009F6E91" w:rsidRPr="00D427D8" w:rsidRDefault="009F6E91" w:rsidP="00EF7333">
      <w:pPr>
        <w:pStyle w:val="Body1"/>
        <w:rPr>
          <w:rStyle w:val="BoldItalicText"/>
        </w:rPr>
      </w:pPr>
      <w:r w:rsidRPr="00D427D8">
        <w:rPr>
          <w:rStyle w:val="BoldItalicText"/>
        </w:rPr>
        <w:t>Notes weighted average lives</w:t>
      </w:r>
    </w:p>
    <w:p w14:paraId="6E25A97C" w14:textId="77777777" w:rsidR="009F6E91" w:rsidRPr="00D427D8" w:rsidRDefault="009F6E91" w:rsidP="00EF7333">
      <w:pPr>
        <w:pStyle w:val="Body1"/>
        <w:rPr>
          <w:rStyle w:val="BoldUnderlinedText"/>
        </w:rPr>
      </w:pPr>
      <w:r w:rsidRPr="00D427D8">
        <w:rPr>
          <w:rStyle w:val="BoldUnderlinedText"/>
        </w:rPr>
        <w:t>Assuming the Seller exercises the Clean up Call Option</w:t>
      </w:r>
    </w:p>
    <w:tbl>
      <w:tblPr>
        <w:tblW w:w="7840" w:type="dxa"/>
        <w:tblCellMar>
          <w:left w:w="70" w:type="dxa"/>
          <w:right w:w="70" w:type="dxa"/>
        </w:tblCellMar>
        <w:tblLook w:val="04A0" w:firstRow="1" w:lastRow="0" w:firstColumn="1" w:lastColumn="0" w:noHBand="0" w:noVBand="1"/>
      </w:tblPr>
      <w:tblGrid>
        <w:gridCol w:w="980"/>
        <w:gridCol w:w="980"/>
        <w:gridCol w:w="980"/>
        <w:gridCol w:w="980"/>
        <w:gridCol w:w="980"/>
        <w:gridCol w:w="980"/>
        <w:gridCol w:w="980"/>
        <w:gridCol w:w="980"/>
      </w:tblGrid>
      <w:tr w:rsidR="00D86B4D" w:rsidRPr="00D86B4D" w14:paraId="2DEE2EFB" w14:textId="77777777" w:rsidTr="00D86B4D">
        <w:trPr>
          <w:trHeight w:val="20"/>
        </w:trPr>
        <w:tc>
          <w:tcPr>
            <w:tcW w:w="980" w:type="dxa"/>
            <w:tcBorders>
              <w:top w:val="single" w:sz="8" w:space="0" w:color="auto"/>
              <w:left w:val="single" w:sz="8" w:space="0" w:color="auto"/>
              <w:bottom w:val="single" w:sz="4" w:space="0" w:color="auto"/>
              <w:right w:val="nil"/>
            </w:tcBorders>
            <w:shd w:val="clear" w:color="000000" w:fill="243782"/>
            <w:vAlign w:val="center"/>
            <w:hideMark/>
          </w:tcPr>
          <w:p w14:paraId="044F53AF"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4A63B5">
              <w:rPr>
                <w:rFonts w:ascii="Aptos Narrow" w:hAnsi="Aptos Narrow"/>
                <w:b/>
                <w:bCs/>
                <w:color w:val="FFFFFF"/>
                <w:sz w:val="16"/>
                <w:szCs w:val="16"/>
                <w:lang w:val="en-US" w:eastAsia="de-DE"/>
              </w:rPr>
              <w:t xml:space="preserve"> </w:t>
            </w:r>
            <w:r w:rsidRPr="00D86B4D">
              <w:rPr>
                <w:rFonts w:ascii="Aptos Narrow" w:hAnsi="Aptos Narrow"/>
                <w:b/>
                <w:bCs/>
                <w:color w:val="FFFFFF"/>
                <w:sz w:val="16"/>
                <w:szCs w:val="16"/>
                <w:lang w:val="de-DE" w:eastAsia="de-DE"/>
              </w:rPr>
              <w:t xml:space="preserve">CPR </w:t>
            </w:r>
            <w:r w:rsidRPr="00D86B4D">
              <w:rPr>
                <w:rFonts w:ascii="Aptos Narrow" w:hAnsi="Aptos Narrow"/>
                <w:b/>
                <w:bCs/>
                <w:color w:val="FFFFFF"/>
                <w:sz w:val="16"/>
                <w:szCs w:val="16"/>
                <w:lang w:val="de-DE" w:eastAsia="de-DE"/>
              </w:rPr>
              <w:br/>
              <w:t xml:space="preserve">in  % </w:t>
            </w:r>
          </w:p>
        </w:tc>
        <w:tc>
          <w:tcPr>
            <w:tcW w:w="980" w:type="dxa"/>
            <w:tcBorders>
              <w:top w:val="nil"/>
              <w:left w:val="nil"/>
              <w:bottom w:val="single" w:sz="4" w:space="0" w:color="auto"/>
              <w:right w:val="nil"/>
            </w:tcBorders>
            <w:shd w:val="clear" w:color="000000" w:fill="243782"/>
            <w:vAlign w:val="center"/>
            <w:hideMark/>
          </w:tcPr>
          <w:p w14:paraId="724A183E"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0.0%</w:t>
            </w:r>
          </w:p>
        </w:tc>
        <w:tc>
          <w:tcPr>
            <w:tcW w:w="980" w:type="dxa"/>
            <w:tcBorders>
              <w:top w:val="nil"/>
              <w:left w:val="nil"/>
              <w:bottom w:val="single" w:sz="4" w:space="0" w:color="auto"/>
              <w:right w:val="nil"/>
            </w:tcBorders>
            <w:shd w:val="clear" w:color="000000" w:fill="243782"/>
            <w:vAlign w:val="center"/>
            <w:hideMark/>
          </w:tcPr>
          <w:p w14:paraId="1F910128"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5.0%</w:t>
            </w:r>
          </w:p>
        </w:tc>
        <w:tc>
          <w:tcPr>
            <w:tcW w:w="980" w:type="dxa"/>
            <w:tcBorders>
              <w:top w:val="nil"/>
              <w:left w:val="nil"/>
              <w:bottom w:val="single" w:sz="4" w:space="0" w:color="auto"/>
              <w:right w:val="nil"/>
            </w:tcBorders>
            <w:shd w:val="clear" w:color="000000" w:fill="243782"/>
            <w:vAlign w:val="center"/>
            <w:hideMark/>
          </w:tcPr>
          <w:p w14:paraId="18E60E1C"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7.5%</w:t>
            </w:r>
          </w:p>
        </w:tc>
        <w:tc>
          <w:tcPr>
            <w:tcW w:w="980" w:type="dxa"/>
            <w:tcBorders>
              <w:top w:val="nil"/>
              <w:left w:val="nil"/>
              <w:bottom w:val="single" w:sz="4" w:space="0" w:color="auto"/>
              <w:right w:val="nil"/>
            </w:tcBorders>
            <w:shd w:val="clear" w:color="000000" w:fill="243782"/>
            <w:vAlign w:val="center"/>
            <w:hideMark/>
          </w:tcPr>
          <w:p w14:paraId="4CB812F3"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10.0%</w:t>
            </w:r>
          </w:p>
        </w:tc>
        <w:tc>
          <w:tcPr>
            <w:tcW w:w="980" w:type="dxa"/>
            <w:tcBorders>
              <w:top w:val="nil"/>
              <w:left w:val="nil"/>
              <w:bottom w:val="single" w:sz="4" w:space="0" w:color="auto"/>
              <w:right w:val="nil"/>
            </w:tcBorders>
            <w:shd w:val="clear" w:color="000000" w:fill="243782"/>
            <w:vAlign w:val="center"/>
            <w:hideMark/>
          </w:tcPr>
          <w:p w14:paraId="4CBBD8C1"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15.0%</w:t>
            </w:r>
          </w:p>
        </w:tc>
        <w:tc>
          <w:tcPr>
            <w:tcW w:w="980" w:type="dxa"/>
            <w:tcBorders>
              <w:top w:val="nil"/>
              <w:left w:val="nil"/>
              <w:bottom w:val="single" w:sz="4" w:space="0" w:color="auto"/>
              <w:right w:val="nil"/>
            </w:tcBorders>
            <w:shd w:val="clear" w:color="000000" w:fill="243782"/>
            <w:vAlign w:val="center"/>
            <w:hideMark/>
          </w:tcPr>
          <w:p w14:paraId="5D775434"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20.0%</w:t>
            </w:r>
          </w:p>
        </w:tc>
        <w:tc>
          <w:tcPr>
            <w:tcW w:w="980" w:type="dxa"/>
            <w:tcBorders>
              <w:top w:val="nil"/>
              <w:left w:val="nil"/>
              <w:bottom w:val="single" w:sz="4" w:space="0" w:color="auto"/>
              <w:right w:val="single" w:sz="8" w:space="0" w:color="auto"/>
            </w:tcBorders>
            <w:shd w:val="clear" w:color="000000" w:fill="243782"/>
            <w:vAlign w:val="center"/>
            <w:hideMark/>
          </w:tcPr>
          <w:p w14:paraId="45E644E7"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25.0%</w:t>
            </w:r>
          </w:p>
        </w:tc>
      </w:tr>
      <w:tr w:rsidR="00D86B4D" w:rsidRPr="00D86B4D" w14:paraId="70263AD8"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258D1D97"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A</w:t>
            </w:r>
          </w:p>
        </w:tc>
        <w:tc>
          <w:tcPr>
            <w:tcW w:w="980" w:type="dxa"/>
            <w:tcBorders>
              <w:top w:val="nil"/>
              <w:left w:val="nil"/>
              <w:bottom w:val="nil"/>
              <w:right w:val="nil"/>
            </w:tcBorders>
            <w:shd w:val="clear" w:color="000000" w:fill="FFFFFF"/>
            <w:noWrap/>
            <w:vAlign w:val="bottom"/>
            <w:hideMark/>
          </w:tcPr>
          <w:p w14:paraId="31B4EB7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nil"/>
              <w:right w:val="nil"/>
            </w:tcBorders>
            <w:shd w:val="clear" w:color="000000" w:fill="FFFFFF"/>
            <w:noWrap/>
            <w:vAlign w:val="bottom"/>
            <w:hideMark/>
          </w:tcPr>
          <w:p w14:paraId="04BB1F1D"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2.29</w:t>
            </w:r>
          </w:p>
        </w:tc>
        <w:tc>
          <w:tcPr>
            <w:tcW w:w="980" w:type="dxa"/>
            <w:tcBorders>
              <w:top w:val="nil"/>
              <w:left w:val="nil"/>
              <w:bottom w:val="nil"/>
              <w:right w:val="nil"/>
            </w:tcBorders>
            <w:shd w:val="clear" w:color="000000" w:fill="FFFFFF"/>
            <w:noWrap/>
            <w:vAlign w:val="bottom"/>
            <w:hideMark/>
          </w:tcPr>
          <w:p w14:paraId="19A542F3"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2.27</w:t>
            </w:r>
          </w:p>
        </w:tc>
        <w:tc>
          <w:tcPr>
            <w:tcW w:w="980" w:type="dxa"/>
            <w:tcBorders>
              <w:top w:val="nil"/>
              <w:left w:val="nil"/>
              <w:bottom w:val="nil"/>
              <w:right w:val="nil"/>
            </w:tcBorders>
            <w:shd w:val="clear" w:color="000000" w:fill="FFFFFF"/>
            <w:noWrap/>
            <w:vAlign w:val="bottom"/>
            <w:hideMark/>
          </w:tcPr>
          <w:p w14:paraId="74062C9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2.24</w:t>
            </w:r>
          </w:p>
        </w:tc>
        <w:tc>
          <w:tcPr>
            <w:tcW w:w="980" w:type="dxa"/>
            <w:tcBorders>
              <w:top w:val="nil"/>
              <w:left w:val="nil"/>
              <w:bottom w:val="nil"/>
              <w:right w:val="nil"/>
            </w:tcBorders>
            <w:shd w:val="clear" w:color="000000" w:fill="FFFFFF"/>
            <w:noWrap/>
            <w:vAlign w:val="bottom"/>
            <w:hideMark/>
          </w:tcPr>
          <w:p w14:paraId="2BE934D6"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2.20</w:t>
            </w:r>
          </w:p>
        </w:tc>
        <w:tc>
          <w:tcPr>
            <w:tcW w:w="980" w:type="dxa"/>
            <w:tcBorders>
              <w:top w:val="nil"/>
              <w:left w:val="nil"/>
              <w:bottom w:val="nil"/>
              <w:right w:val="nil"/>
            </w:tcBorders>
            <w:shd w:val="clear" w:color="000000" w:fill="FFFFFF"/>
            <w:noWrap/>
            <w:vAlign w:val="bottom"/>
            <w:hideMark/>
          </w:tcPr>
          <w:p w14:paraId="2C9CAE04"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2.15</w:t>
            </w:r>
          </w:p>
        </w:tc>
        <w:tc>
          <w:tcPr>
            <w:tcW w:w="980" w:type="dxa"/>
            <w:tcBorders>
              <w:top w:val="nil"/>
              <w:left w:val="nil"/>
              <w:bottom w:val="nil"/>
              <w:right w:val="single" w:sz="8" w:space="0" w:color="auto"/>
            </w:tcBorders>
            <w:shd w:val="clear" w:color="000000" w:fill="FFFFFF"/>
            <w:noWrap/>
            <w:vAlign w:val="bottom"/>
            <w:hideMark/>
          </w:tcPr>
          <w:p w14:paraId="11CC92B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2.10</w:t>
            </w:r>
          </w:p>
        </w:tc>
      </w:tr>
      <w:tr w:rsidR="00D86B4D" w:rsidRPr="00D86B4D" w14:paraId="786F44BF"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05AC56AD"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B</w:t>
            </w:r>
          </w:p>
        </w:tc>
        <w:tc>
          <w:tcPr>
            <w:tcW w:w="980" w:type="dxa"/>
            <w:tcBorders>
              <w:top w:val="nil"/>
              <w:left w:val="nil"/>
              <w:bottom w:val="nil"/>
              <w:right w:val="nil"/>
            </w:tcBorders>
            <w:shd w:val="clear" w:color="000000" w:fill="FFFFFF"/>
            <w:noWrap/>
            <w:vAlign w:val="bottom"/>
            <w:hideMark/>
          </w:tcPr>
          <w:p w14:paraId="3F85D508"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nil"/>
              <w:right w:val="nil"/>
            </w:tcBorders>
            <w:shd w:val="clear" w:color="000000" w:fill="FFFFFF"/>
            <w:noWrap/>
            <w:vAlign w:val="bottom"/>
            <w:hideMark/>
          </w:tcPr>
          <w:p w14:paraId="0C4A77DD"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2.29</w:t>
            </w:r>
          </w:p>
        </w:tc>
        <w:tc>
          <w:tcPr>
            <w:tcW w:w="980" w:type="dxa"/>
            <w:tcBorders>
              <w:top w:val="nil"/>
              <w:left w:val="nil"/>
              <w:bottom w:val="nil"/>
              <w:right w:val="nil"/>
            </w:tcBorders>
            <w:shd w:val="clear" w:color="000000" w:fill="FFFFFF"/>
            <w:noWrap/>
            <w:vAlign w:val="bottom"/>
            <w:hideMark/>
          </w:tcPr>
          <w:p w14:paraId="1FE5189A"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2.27</w:t>
            </w:r>
          </w:p>
        </w:tc>
        <w:tc>
          <w:tcPr>
            <w:tcW w:w="980" w:type="dxa"/>
            <w:tcBorders>
              <w:top w:val="nil"/>
              <w:left w:val="nil"/>
              <w:bottom w:val="nil"/>
              <w:right w:val="nil"/>
            </w:tcBorders>
            <w:shd w:val="clear" w:color="000000" w:fill="FFFFFF"/>
            <w:noWrap/>
            <w:vAlign w:val="bottom"/>
            <w:hideMark/>
          </w:tcPr>
          <w:p w14:paraId="32ED9214"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2.24</w:t>
            </w:r>
          </w:p>
        </w:tc>
        <w:tc>
          <w:tcPr>
            <w:tcW w:w="980" w:type="dxa"/>
            <w:tcBorders>
              <w:top w:val="nil"/>
              <w:left w:val="nil"/>
              <w:bottom w:val="nil"/>
              <w:right w:val="nil"/>
            </w:tcBorders>
            <w:shd w:val="clear" w:color="000000" w:fill="FFFFFF"/>
            <w:noWrap/>
            <w:vAlign w:val="bottom"/>
            <w:hideMark/>
          </w:tcPr>
          <w:p w14:paraId="5F09E3B4"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2.20</w:t>
            </w:r>
          </w:p>
        </w:tc>
        <w:tc>
          <w:tcPr>
            <w:tcW w:w="980" w:type="dxa"/>
            <w:tcBorders>
              <w:top w:val="nil"/>
              <w:left w:val="nil"/>
              <w:bottom w:val="nil"/>
              <w:right w:val="nil"/>
            </w:tcBorders>
            <w:shd w:val="clear" w:color="000000" w:fill="FFFFFF"/>
            <w:noWrap/>
            <w:vAlign w:val="bottom"/>
            <w:hideMark/>
          </w:tcPr>
          <w:p w14:paraId="19715373"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2.15</w:t>
            </w:r>
          </w:p>
        </w:tc>
        <w:tc>
          <w:tcPr>
            <w:tcW w:w="980" w:type="dxa"/>
            <w:tcBorders>
              <w:top w:val="nil"/>
              <w:left w:val="nil"/>
              <w:bottom w:val="nil"/>
              <w:right w:val="single" w:sz="8" w:space="0" w:color="auto"/>
            </w:tcBorders>
            <w:shd w:val="clear" w:color="000000" w:fill="FFFFFF"/>
            <w:noWrap/>
            <w:vAlign w:val="bottom"/>
            <w:hideMark/>
          </w:tcPr>
          <w:p w14:paraId="2B9B1B33"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2.10</w:t>
            </w:r>
          </w:p>
        </w:tc>
      </w:tr>
      <w:tr w:rsidR="00D86B4D" w:rsidRPr="00D86B4D" w14:paraId="0943BDD4"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5FAD4FB1"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C</w:t>
            </w:r>
          </w:p>
        </w:tc>
        <w:tc>
          <w:tcPr>
            <w:tcW w:w="980" w:type="dxa"/>
            <w:tcBorders>
              <w:top w:val="nil"/>
              <w:left w:val="nil"/>
              <w:bottom w:val="nil"/>
              <w:right w:val="nil"/>
            </w:tcBorders>
            <w:shd w:val="clear" w:color="000000" w:fill="FFFFFF"/>
            <w:noWrap/>
            <w:vAlign w:val="bottom"/>
            <w:hideMark/>
          </w:tcPr>
          <w:p w14:paraId="16D72054"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nil"/>
              <w:right w:val="nil"/>
            </w:tcBorders>
            <w:shd w:val="clear" w:color="000000" w:fill="FFFFFF"/>
            <w:noWrap/>
            <w:vAlign w:val="bottom"/>
            <w:hideMark/>
          </w:tcPr>
          <w:p w14:paraId="560006FD"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2.29</w:t>
            </w:r>
          </w:p>
        </w:tc>
        <w:tc>
          <w:tcPr>
            <w:tcW w:w="980" w:type="dxa"/>
            <w:tcBorders>
              <w:top w:val="nil"/>
              <w:left w:val="nil"/>
              <w:bottom w:val="nil"/>
              <w:right w:val="nil"/>
            </w:tcBorders>
            <w:shd w:val="clear" w:color="000000" w:fill="FFFFFF"/>
            <w:noWrap/>
            <w:vAlign w:val="bottom"/>
            <w:hideMark/>
          </w:tcPr>
          <w:p w14:paraId="5A18F4E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2.27</w:t>
            </w:r>
          </w:p>
        </w:tc>
        <w:tc>
          <w:tcPr>
            <w:tcW w:w="980" w:type="dxa"/>
            <w:tcBorders>
              <w:top w:val="nil"/>
              <w:left w:val="nil"/>
              <w:bottom w:val="nil"/>
              <w:right w:val="nil"/>
            </w:tcBorders>
            <w:shd w:val="clear" w:color="000000" w:fill="FFFFFF"/>
            <w:noWrap/>
            <w:vAlign w:val="bottom"/>
            <w:hideMark/>
          </w:tcPr>
          <w:p w14:paraId="0A77DEF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2.24</w:t>
            </w:r>
          </w:p>
        </w:tc>
        <w:tc>
          <w:tcPr>
            <w:tcW w:w="980" w:type="dxa"/>
            <w:tcBorders>
              <w:top w:val="nil"/>
              <w:left w:val="nil"/>
              <w:bottom w:val="nil"/>
              <w:right w:val="nil"/>
            </w:tcBorders>
            <w:shd w:val="clear" w:color="000000" w:fill="FFFFFF"/>
            <w:noWrap/>
            <w:vAlign w:val="bottom"/>
            <w:hideMark/>
          </w:tcPr>
          <w:p w14:paraId="33B27C08"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2.20</w:t>
            </w:r>
          </w:p>
        </w:tc>
        <w:tc>
          <w:tcPr>
            <w:tcW w:w="980" w:type="dxa"/>
            <w:tcBorders>
              <w:top w:val="nil"/>
              <w:left w:val="nil"/>
              <w:bottom w:val="nil"/>
              <w:right w:val="nil"/>
            </w:tcBorders>
            <w:shd w:val="clear" w:color="000000" w:fill="FFFFFF"/>
            <w:noWrap/>
            <w:vAlign w:val="bottom"/>
            <w:hideMark/>
          </w:tcPr>
          <w:p w14:paraId="614D1CDD"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2.15</w:t>
            </w:r>
          </w:p>
        </w:tc>
        <w:tc>
          <w:tcPr>
            <w:tcW w:w="980" w:type="dxa"/>
            <w:tcBorders>
              <w:top w:val="nil"/>
              <w:left w:val="nil"/>
              <w:bottom w:val="nil"/>
              <w:right w:val="single" w:sz="8" w:space="0" w:color="auto"/>
            </w:tcBorders>
            <w:shd w:val="clear" w:color="000000" w:fill="FFFFFF"/>
            <w:noWrap/>
            <w:vAlign w:val="bottom"/>
            <w:hideMark/>
          </w:tcPr>
          <w:p w14:paraId="665941F2"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2.10</w:t>
            </w:r>
          </w:p>
        </w:tc>
      </w:tr>
      <w:tr w:rsidR="00D86B4D" w:rsidRPr="00D86B4D" w14:paraId="3951DC68"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06D62A7D"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D</w:t>
            </w:r>
          </w:p>
        </w:tc>
        <w:tc>
          <w:tcPr>
            <w:tcW w:w="980" w:type="dxa"/>
            <w:tcBorders>
              <w:top w:val="nil"/>
              <w:left w:val="nil"/>
              <w:bottom w:val="nil"/>
              <w:right w:val="nil"/>
            </w:tcBorders>
            <w:shd w:val="clear" w:color="000000" w:fill="FFFFFF"/>
            <w:noWrap/>
            <w:vAlign w:val="bottom"/>
            <w:hideMark/>
          </w:tcPr>
          <w:p w14:paraId="6128A0ED"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nil"/>
              <w:right w:val="nil"/>
            </w:tcBorders>
            <w:shd w:val="clear" w:color="000000" w:fill="FFFFFF"/>
            <w:noWrap/>
            <w:vAlign w:val="bottom"/>
            <w:hideMark/>
          </w:tcPr>
          <w:p w14:paraId="6EB281A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2.29</w:t>
            </w:r>
          </w:p>
        </w:tc>
        <w:tc>
          <w:tcPr>
            <w:tcW w:w="980" w:type="dxa"/>
            <w:tcBorders>
              <w:top w:val="nil"/>
              <w:left w:val="nil"/>
              <w:bottom w:val="nil"/>
              <w:right w:val="nil"/>
            </w:tcBorders>
            <w:shd w:val="clear" w:color="000000" w:fill="FFFFFF"/>
            <w:noWrap/>
            <w:vAlign w:val="bottom"/>
            <w:hideMark/>
          </w:tcPr>
          <w:p w14:paraId="5125EB64"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2.27</w:t>
            </w:r>
          </w:p>
        </w:tc>
        <w:tc>
          <w:tcPr>
            <w:tcW w:w="980" w:type="dxa"/>
            <w:tcBorders>
              <w:top w:val="nil"/>
              <w:left w:val="nil"/>
              <w:bottom w:val="nil"/>
              <w:right w:val="nil"/>
            </w:tcBorders>
            <w:shd w:val="clear" w:color="000000" w:fill="FFFFFF"/>
            <w:noWrap/>
            <w:vAlign w:val="bottom"/>
            <w:hideMark/>
          </w:tcPr>
          <w:p w14:paraId="36C44CD8"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2.24</w:t>
            </w:r>
          </w:p>
        </w:tc>
        <w:tc>
          <w:tcPr>
            <w:tcW w:w="980" w:type="dxa"/>
            <w:tcBorders>
              <w:top w:val="nil"/>
              <w:left w:val="nil"/>
              <w:bottom w:val="nil"/>
              <w:right w:val="nil"/>
            </w:tcBorders>
            <w:shd w:val="clear" w:color="000000" w:fill="FFFFFF"/>
            <w:noWrap/>
            <w:vAlign w:val="bottom"/>
            <w:hideMark/>
          </w:tcPr>
          <w:p w14:paraId="23C4DB6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2.20</w:t>
            </w:r>
          </w:p>
        </w:tc>
        <w:tc>
          <w:tcPr>
            <w:tcW w:w="980" w:type="dxa"/>
            <w:tcBorders>
              <w:top w:val="nil"/>
              <w:left w:val="nil"/>
              <w:bottom w:val="nil"/>
              <w:right w:val="nil"/>
            </w:tcBorders>
            <w:shd w:val="clear" w:color="000000" w:fill="FFFFFF"/>
            <w:noWrap/>
            <w:vAlign w:val="bottom"/>
            <w:hideMark/>
          </w:tcPr>
          <w:p w14:paraId="5222C016"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2.15</w:t>
            </w:r>
          </w:p>
        </w:tc>
        <w:tc>
          <w:tcPr>
            <w:tcW w:w="980" w:type="dxa"/>
            <w:tcBorders>
              <w:top w:val="nil"/>
              <w:left w:val="nil"/>
              <w:bottom w:val="nil"/>
              <w:right w:val="single" w:sz="8" w:space="0" w:color="auto"/>
            </w:tcBorders>
            <w:shd w:val="clear" w:color="000000" w:fill="FFFFFF"/>
            <w:noWrap/>
            <w:vAlign w:val="bottom"/>
            <w:hideMark/>
          </w:tcPr>
          <w:p w14:paraId="1A2FDD84"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2.10</w:t>
            </w:r>
          </w:p>
        </w:tc>
      </w:tr>
      <w:tr w:rsidR="00D86B4D" w:rsidRPr="00D86B4D" w14:paraId="39EC9069"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14815840"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E</w:t>
            </w:r>
          </w:p>
        </w:tc>
        <w:tc>
          <w:tcPr>
            <w:tcW w:w="980" w:type="dxa"/>
            <w:tcBorders>
              <w:top w:val="nil"/>
              <w:left w:val="nil"/>
              <w:bottom w:val="nil"/>
              <w:right w:val="nil"/>
            </w:tcBorders>
            <w:shd w:val="clear" w:color="000000" w:fill="FFFFFF"/>
            <w:noWrap/>
            <w:vAlign w:val="bottom"/>
            <w:hideMark/>
          </w:tcPr>
          <w:p w14:paraId="41235A4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nil"/>
              <w:right w:val="nil"/>
            </w:tcBorders>
            <w:shd w:val="clear" w:color="000000" w:fill="FFFFFF"/>
            <w:noWrap/>
            <w:vAlign w:val="bottom"/>
            <w:hideMark/>
          </w:tcPr>
          <w:p w14:paraId="044A42A3"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2.29</w:t>
            </w:r>
          </w:p>
        </w:tc>
        <w:tc>
          <w:tcPr>
            <w:tcW w:w="980" w:type="dxa"/>
            <w:tcBorders>
              <w:top w:val="nil"/>
              <w:left w:val="nil"/>
              <w:bottom w:val="nil"/>
              <w:right w:val="nil"/>
            </w:tcBorders>
            <w:shd w:val="clear" w:color="000000" w:fill="FFFFFF"/>
            <w:noWrap/>
            <w:vAlign w:val="bottom"/>
            <w:hideMark/>
          </w:tcPr>
          <w:p w14:paraId="2FEB249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2.27</w:t>
            </w:r>
          </w:p>
        </w:tc>
        <w:tc>
          <w:tcPr>
            <w:tcW w:w="980" w:type="dxa"/>
            <w:tcBorders>
              <w:top w:val="nil"/>
              <w:left w:val="nil"/>
              <w:bottom w:val="nil"/>
              <w:right w:val="nil"/>
            </w:tcBorders>
            <w:shd w:val="clear" w:color="000000" w:fill="FFFFFF"/>
            <w:noWrap/>
            <w:vAlign w:val="bottom"/>
            <w:hideMark/>
          </w:tcPr>
          <w:p w14:paraId="6AE738E6"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2.24</w:t>
            </w:r>
          </w:p>
        </w:tc>
        <w:tc>
          <w:tcPr>
            <w:tcW w:w="980" w:type="dxa"/>
            <w:tcBorders>
              <w:top w:val="nil"/>
              <w:left w:val="nil"/>
              <w:bottom w:val="nil"/>
              <w:right w:val="nil"/>
            </w:tcBorders>
            <w:shd w:val="clear" w:color="000000" w:fill="FFFFFF"/>
            <w:noWrap/>
            <w:vAlign w:val="bottom"/>
            <w:hideMark/>
          </w:tcPr>
          <w:p w14:paraId="437EC86A"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2.20</w:t>
            </w:r>
          </w:p>
        </w:tc>
        <w:tc>
          <w:tcPr>
            <w:tcW w:w="980" w:type="dxa"/>
            <w:tcBorders>
              <w:top w:val="nil"/>
              <w:left w:val="nil"/>
              <w:bottom w:val="nil"/>
              <w:right w:val="nil"/>
            </w:tcBorders>
            <w:shd w:val="clear" w:color="000000" w:fill="FFFFFF"/>
            <w:noWrap/>
            <w:vAlign w:val="bottom"/>
            <w:hideMark/>
          </w:tcPr>
          <w:p w14:paraId="71DB63E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2.15</w:t>
            </w:r>
          </w:p>
        </w:tc>
        <w:tc>
          <w:tcPr>
            <w:tcW w:w="980" w:type="dxa"/>
            <w:tcBorders>
              <w:top w:val="nil"/>
              <w:left w:val="nil"/>
              <w:bottom w:val="nil"/>
              <w:right w:val="single" w:sz="8" w:space="0" w:color="auto"/>
            </w:tcBorders>
            <w:shd w:val="clear" w:color="000000" w:fill="FFFFFF"/>
            <w:noWrap/>
            <w:vAlign w:val="bottom"/>
            <w:hideMark/>
          </w:tcPr>
          <w:p w14:paraId="08943CC9"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2.10</w:t>
            </w:r>
          </w:p>
        </w:tc>
      </w:tr>
      <w:tr w:rsidR="00D86B4D" w:rsidRPr="00D86B4D" w14:paraId="1BAECEAF"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436CD81F"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F</w:t>
            </w:r>
          </w:p>
        </w:tc>
        <w:tc>
          <w:tcPr>
            <w:tcW w:w="980" w:type="dxa"/>
            <w:tcBorders>
              <w:top w:val="nil"/>
              <w:left w:val="nil"/>
              <w:bottom w:val="nil"/>
              <w:right w:val="nil"/>
            </w:tcBorders>
            <w:shd w:val="clear" w:color="000000" w:fill="FFFFFF"/>
            <w:noWrap/>
            <w:vAlign w:val="bottom"/>
            <w:hideMark/>
          </w:tcPr>
          <w:p w14:paraId="41ABFE2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nil"/>
              <w:right w:val="nil"/>
            </w:tcBorders>
            <w:shd w:val="clear" w:color="000000" w:fill="FFFFFF"/>
            <w:noWrap/>
            <w:vAlign w:val="bottom"/>
            <w:hideMark/>
          </w:tcPr>
          <w:p w14:paraId="7E41A5F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2.29</w:t>
            </w:r>
          </w:p>
        </w:tc>
        <w:tc>
          <w:tcPr>
            <w:tcW w:w="980" w:type="dxa"/>
            <w:tcBorders>
              <w:top w:val="nil"/>
              <w:left w:val="nil"/>
              <w:bottom w:val="nil"/>
              <w:right w:val="nil"/>
            </w:tcBorders>
            <w:shd w:val="clear" w:color="000000" w:fill="FFFFFF"/>
            <w:noWrap/>
            <w:vAlign w:val="bottom"/>
            <w:hideMark/>
          </w:tcPr>
          <w:p w14:paraId="3788A403"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2.27</w:t>
            </w:r>
          </w:p>
        </w:tc>
        <w:tc>
          <w:tcPr>
            <w:tcW w:w="980" w:type="dxa"/>
            <w:tcBorders>
              <w:top w:val="nil"/>
              <w:left w:val="nil"/>
              <w:bottom w:val="nil"/>
              <w:right w:val="nil"/>
            </w:tcBorders>
            <w:shd w:val="clear" w:color="000000" w:fill="FFFFFF"/>
            <w:noWrap/>
            <w:vAlign w:val="bottom"/>
            <w:hideMark/>
          </w:tcPr>
          <w:p w14:paraId="1008D23F"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2.24</w:t>
            </w:r>
          </w:p>
        </w:tc>
        <w:tc>
          <w:tcPr>
            <w:tcW w:w="980" w:type="dxa"/>
            <w:tcBorders>
              <w:top w:val="nil"/>
              <w:left w:val="nil"/>
              <w:bottom w:val="nil"/>
              <w:right w:val="nil"/>
            </w:tcBorders>
            <w:shd w:val="clear" w:color="000000" w:fill="FFFFFF"/>
            <w:noWrap/>
            <w:vAlign w:val="bottom"/>
            <w:hideMark/>
          </w:tcPr>
          <w:p w14:paraId="3D76757B"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2.20</w:t>
            </w:r>
          </w:p>
        </w:tc>
        <w:tc>
          <w:tcPr>
            <w:tcW w:w="980" w:type="dxa"/>
            <w:tcBorders>
              <w:top w:val="nil"/>
              <w:left w:val="nil"/>
              <w:bottom w:val="nil"/>
              <w:right w:val="nil"/>
            </w:tcBorders>
            <w:shd w:val="clear" w:color="000000" w:fill="FFFFFF"/>
            <w:noWrap/>
            <w:vAlign w:val="bottom"/>
            <w:hideMark/>
          </w:tcPr>
          <w:p w14:paraId="0485CB2D"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2.15</w:t>
            </w:r>
          </w:p>
        </w:tc>
        <w:tc>
          <w:tcPr>
            <w:tcW w:w="980" w:type="dxa"/>
            <w:tcBorders>
              <w:top w:val="nil"/>
              <w:left w:val="nil"/>
              <w:bottom w:val="nil"/>
              <w:right w:val="single" w:sz="8" w:space="0" w:color="auto"/>
            </w:tcBorders>
            <w:shd w:val="clear" w:color="000000" w:fill="FFFFFF"/>
            <w:noWrap/>
            <w:vAlign w:val="bottom"/>
            <w:hideMark/>
          </w:tcPr>
          <w:p w14:paraId="1BD02882"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2.10</w:t>
            </w:r>
          </w:p>
        </w:tc>
      </w:tr>
      <w:tr w:rsidR="00D86B4D" w:rsidRPr="00D86B4D" w14:paraId="366402B3" w14:textId="77777777" w:rsidTr="00D86B4D">
        <w:trPr>
          <w:trHeight w:val="20"/>
        </w:trPr>
        <w:tc>
          <w:tcPr>
            <w:tcW w:w="980" w:type="dxa"/>
            <w:tcBorders>
              <w:top w:val="nil"/>
              <w:left w:val="single" w:sz="8" w:space="0" w:color="auto"/>
              <w:bottom w:val="single" w:sz="8" w:space="0" w:color="auto"/>
              <w:right w:val="nil"/>
            </w:tcBorders>
            <w:shd w:val="clear" w:color="000000" w:fill="FFFFFF"/>
            <w:noWrap/>
            <w:vAlign w:val="bottom"/>
            <w:hideMark/>
          </w:tcPr>
          <w:p w14:paraId="1C3BBFAE"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G</w:t>
            </w:r>
          </w:p>
        </w:tc>
        <w:tc>
          <w:tcPr>
            <w:tcW w:w="980" w:type="dxa"/>
            <w:tcBorders>
              <w:top w:val="nil"/>
              <w:left w:val="nil"/>
              <w:bottom w:val="nil"/>
              <w:right w:val="nil"/>
            </w:tcBorders>
            <w:shd w:val="clear" w:color="000000" w:fill="FFFFFF"/>
            <w:noWrap/>
            <w:vAlign w:val="bottom"/>
            <w:hideMark/>
          </w:tcPr>
          <w:p w14:paraId="3B354137"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nil"/>
              <w:right w:val="nil"/>
            </w:tcBorders>
            <w:shd w:val="clear" w:color="000000" w:fill="FFFFFF"/>
            <w:noWrap/>
            <w:vAlign w:val="bottom"/>
            <w:hideMark/>
          </w:tcPr>
          <w:p w14:paraId="0513AE0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2.29</w:t>
            </w:r>
          </w:p>
        </w:tc>
        <w:tc>
          <w:tcPr>
            <w:tcW w:w="980" w:type="dxa"/>
            <w:tcBorders>
              <w:top w:val="nil"/>
              <w:left w:val="nil"/>
              <w:bottom w:val="nil"/>
              <w:right w:val="nil"/>
            </w:tcBorders>
            <w:shd w:val="clear" w:color="000000" w:fill="FFFFFF"/>
            <w:noWrap/>
            <w:vAlign w:val="bottom"/>
            <w:hideMark/>
          </w:tcPr>
          <w:p w14:paraId="5F0719BA"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2.27</w:t>
            </w:r>
          </w:p>
        </w:tc>
        <w:tc>
          <w:tcPr>
            <w:tcW w:w="980" w:type="dxa"/>
            <w:tcBorders>
              <w:top w:val="nil"/>
              <w:left w:val="nil"/>
              <w:bottom w:val="single" w:sz="8" w:space="0" w:color="auto"/>
              <w:right w:val="nil"/>
            </w:tcBorders>
            <w:shd w:val="clear" w:color="000000" w:fill="FFFFFF"/>
            <w:noWrap/>
            <w:vAlign w:val="bottom"/>
            <w:hideMark/>
          </w:tcPr>
          <w:p w14:paraId="2E72EBB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2.24</w:t>
            </w:r>
          </w:p>
        </w:tc>
        <w:tc>
          <w:tcPr>
            <w:tcW w:w="980" w:type="dxa"/>
            <w:tcBorders>
              <w:top w:val="nil"/>
              <w:left w:val="nil"/>
              <w:bottom w:val="single" w:sz="8" w:space="0" w:color="auto"/>
              <w:right w:val="nil"/>
            </w:tcBorders>
            <w:shd w:val="clear" w:color="000000" w:fill="FFFFFF"/>
            <w:noWrap/>
            <w:vAlign w:val="bottom"/>
            <w:hideMark/>
          </w:tcPr>
          <w:p w14:paraId="09C9514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2.20</w:t>
            </w:r>
          </w:p>
        </w:tc>
        <w:tc>
          <w:tcPr>
            <w:tcW w:w="980" w:type="dxa"/>
            <w:tcBorders>
              <w:top w:val="nil"/>
              <w:left w:val="nil"/>
              <w:bottom w:val="single" w:sz="8" w:space="0" w:color="auto"/>
              <w:right w:val="nil"/>
            </w:tcBorders>
            <w:shd w:val="clear" w:color="000000" w:fill="FFFFFF"/>
            <w:noWrap/>
            <w:vAlign w:val="bottom"/>
            <w:hideMark/>
          </w:tcPr>
          <w:p w14:paraId="0B3EDD9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2.15</w:t>
            </w:r>
          </w:p>
        </w:tc>
        <w:tc>
          <w:tcPr>
            <w:tcW w:w="980" w:type="dxa"/>
            <w:tcBorders>
              <w:top w:val="nil"/>
              <w:left w:val="nil"/>
              <w:bottom w:val="single" w:sz="8" w:space="0" w:color="auto"/>
              <w:right w:val="single" w:sz="8" w:space="0" w:color="auto"/>
            </w:tcBorders>
            <w:shd w:val="clear" w:color="000000" w:fill="FFFFFF"/>
            <w:noWrap/>
            <w:vAlign w:val="bottom"/>
            <w:hideMark/>
          </w:tcPr>
          <w:p w14:paraId="05C6CAF0"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2.10</w:t>
            </w:r>
          </w:p>
        </w:tc>
      </w:tr>
    </w:tbl>
    <w:p w14:paraId="0AD782A3" w14:textId="77777777" w:rsidR="009F6E91" w:rsidRPr="00D427D8" w:rsidRDefault="009F6E91" w:rsidP="00EE6BE9">
      <w:pPr>
        <w:spacing w:after="200"/>
        <w:ind w:left="354" w:hanging="343"/>
      </w:pPr>
    </w:p>
    <w:p w14:paraId="08BB500E" w14:textId="77777777" w:rsidR="009F6E91" w:rsidRPr="00D427D8" w:rsidRDefault="009F6E91" w:rsidP="00EF7333">
      <w:pPr>
        <w:pStyle w:val="Body1"/>
        <w:rPr>
          <w:rStyle w:val="BoldUnderlinedText"/>
        </w:rPr>
      </w:pPr>
      <w:r w:rsidRPr="00D427D8">
        <w:rPr>
          <w:rStyle w:val="BoldUnderlinedText"/>
        </w:rPr>
        <w:t>Assuming the Seller does not exercise the Clean up Call Option</w:t>
      </w:r>
    </w:p>
    <w:tbl>
      <w:tblPr>
        <w:tblW w:w="8160" w:type="dxa"/>
        <w:tblCellMar>
          <w:left w:w="70" w:type="dxa"/>
          <w:right w:w="70" w:type="dxa"/>
        </w:tblCellMar>
        <w:tblLook w:val="04A0" w:firstRow="1" w:lastRow="0" w:firstColumn="1" w:lastColumn="0" w:noHBand="0" w:noVBand="1"/>
      </w:tblPr>
      <w:tblGrid>
        <w:gridCol w:w="980"/>
        <w:gridCol w:w="980"/>
        <w:gridCol w:w="980"/>
        <w:gridCol w:w="1300"/>
        <w:gridCol w:w="980"/>
        <w:gridCol w:w="980"/>
        <w:gridCol w:w="980"/>
        <w:gridCol w:w="980"/>
      </w:tblGrid>
      <w:tr w:rsidR="00D86B4D" w:rsidRPr="00D86B4D" w14:paraId="5ADC77FD" w14:textId="77777777" w:rsidTr="00D86B4D">
        <w:trPr>
          <w:trHeight w:val="20"/>
        </w:trPr>
        <w:tc>
          <w:tcPr>
            <w:tcW w:w="980" w:type="dxa"/>
            <w:tcBorders>
              <w:top w:val="single" w:sz="8" w:space="0" w:color="auto"/>
              <w:left w:val="single" w:sz="8" w:space="0" w:color="auto"/>
              <w:bottom w:val="single" w:sz="4" w:space="0" w:color="auto"/>
              <w:right w:val="nil"/>
            </w:tcBorders>
            <w:shd w:val="clear" w:color="000000" w:fill="243782"/>
            <w:vAlign w:val="center"/>
            <w:hideMark/>
          </w:tcPr>
          <w:p w14:paraId="46C67904"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4A63B5">
              <w:rPr>
                <w:rFonts w:ascii="Aptos Narrow" w:hAnsi="Aptos Narrow"/>
                <w:b/>
                <w:bCs/>
                <w:color w:val="FFFFFF"/>
                <w:sz w:val="16"/>
                <w:szCs w:val="16"/>
                <w:lang w:val="en-US" w:eastAsia="de-DE"/>
              </w:rPr>
              <w:t xml:space="preserve"> </w:t>
            </w:r>
            <w:r w:rsidRPr="00D86B4D">
              <w:rPr>
                <w:rFonts w:ascii="Aptos Narrow" w:hAnsi="Aptos Narrow"/>
                <w:b/>
                <w:bCs/>
                <w:color w:val="FFFFFF"/>
                <w:sz w:val="16"/>
                <w:szCs w:val="16"/>
                <w:lang w:val="de-DE" w:eastAsia="de-DE"/>
              </w:rPr>
              <w:t xml:space="preserve">CPR </w:t>
            </w:r>
            <w:r w:rsidRPr="00D86B4D">
              <w:rPr>
                <w:rFonts w:ascii="Aptos Narrow" w:hAnsi="Aptos Narrow"/>
                <w:b/>
                <w:bCs/>
                <w:color w:val="FFFFFF"/>
                <w:sz w:val="16"/>
                <w:szCs w:val="16"/>
                <w:lang w:val="de-DE" w:eastAsia="de-DE"/>
              </w:rPr>
              <w:br/>
              <w:t xml:space="preserve">in  % </w:t>
            </w:r>
          </w:p>
        </w:tc>
        <w:tc>
          <w:tcPr>
            <w:tcW w:w="980" w:type="dxa"/>
            <w:tcBorders>
              <w:top w:val="nil"/>
              <w:left w:val="nil"/>
              <w:bottom w:val="single" w:sz="4" w:space="0" w:color="auto"/>
              <w:right w:val="nil"/>
            </w:tcBorders>
            <w:shd w:val="clear" w:color="000000" w:fill="243782"/>
            <w:vAlign w:val="center"/>
            <w:hideMark/>
          </w:tcPr>
          <w:p w14:paraId="471D6CA3"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0.0%</w:t>
            </w:r>
          </w:p>
        </w:tc>
        <w:tc>
          <w:tcPr>
            <w:tcW w:w="980" w:type="dxa"/>
            <w:tcBorders>
              <w:top w:val="nil"/>
              <w:left w:val="nil"/>
              <w:bottom w:val="single" w:sz="4" w:space="0" w:color="auto"/>
              <w:right w:val="nil"/>
            </w:tcBorders>
            <w:shd w:val="clear" w:color="000000" w:fill="243782"/>
            <w:vAlign w:val="center"/>
            <w:hideMark/>
          </w:tcPr>
          <w:p w14:paraId="4EDD8F6B"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5.0%</w:t>
            </w:r>
          </w:p>
        </w:tc>
        <w:tc>
          <w:tcPr>
            <w:tcW w:w="1300" w:type="dxa"/>
            <w:tcBorders>
              <w:top w:val="nil"/>
              <w:left w:val="nil"/>
              <w:bottom w:val="single" w:sz="4" w:space="0" w:color="auto"/>
              <w:right w:val="nil"/>
            </w:tcBorders>
            <w:shd w:val="clear" w:color="000000" w:fill="243782"/>
            <w:vAlign w:val="center"/>
            <w:hideMark/>
          </w:tcPr>
          <w:p w14:paraId="24D3CC6C"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7.5%</w:t>
            </w:r>
          </w:p>
        </w:tc>
        <w:tc>
          <w:tcPr>
            <w:tcW w:w="980" w:type="dxa"/>
            <w:tcBorders>
              <w:top w:val="nil"/>
              <w:left w:val="nil"/>
              <w:bottom w:val="single" w:sz="4" w:space="0" w:color="auto"/>
              <w:right w:val="nil"/>
            </w:tcBorders>
            <w:shd w:val="clear" w:color="000000" w:fill="243782"/>
            <w:vAlign w:val="center"/>
            <w:hideMark/>
          </w:tcPr>
          <w:p w14:paraId="6C5608D3"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10.0%</w:t>
            </w:r>
          </w:p>
        </w:tc>
        <w:tc>
          <w:tcPr>
            <w:tcW w:w="980" w:type="dxa"/>
            <w:tcBorders>
              <w:top w:val="nil"/>
              <w:left w:val="nil"/>
              <w:bottom w:val="single" w:sz="4" w:space="0" w:color="auto"/>
              <w:right w:val="nil"/>
            </w:tcBorders>
            <w:shd w:val="clear" w:color="000000" w:fill="243782"/>
            <w:vAlign w:val="center"/>
            <w:hideMark/>
          </w:tcPr>
          <w:p w14:paraId="3B9D6C55"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15.0%</w:t>
            </w:r>
          </w:p>
        </w:tc>
        <w:tc>
          <w:tcPr>
            <w:tcW w:w="980" w:type="dxa"/>
            <w:tcBorders>
              <w:top w:val="nil"/>
              <w:left w:val="nil"/>
              <w:bottom w:val="single" w:sz="4" w:space="0" w:color="auto"/>
              <w:right w:val="nil"/>
            </w:tcBorders>
            <w:shd w:val="clear" w:color="000000" w:fill="243782"/>
            <w:vAlign w:val="center"/>
            <w:hideMark/>
          </w:tcPr>
          <w:p w14:paraId="2151BF17"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20.0%</w:t>
            </w:r>
          </w:p>
        </w:tc>
        <w:tc>
          <w:tcPr>
            <w:tcW w:w="980" w:type="dxa"/>
            <w:tcBorders>
              <w:top w:val="nil"/>
              <w:left w:val="nil"/>
              <w:bottom w:val="single" w:sz="4" w:space="0" w:color="auto"/>
              <w:right w:val="single" w:sz="8" w:space="0" w:color="auto"/>
            </w:tcBorders>
            <w:shd w:val="clear" w:color="000000" w:fill="243782"/>
            <w:vAlign w:val="center"/>
            <w:hideMark/>
          </w:tcPr>
          <w:p w14:paraId="581C9066" w14:textId="77777777" w:rsidR="00D86B4D" w:rsidRPr="00D86B4D" w:rsidRDefault="00D86B4D" w:rsidP="00D86B4D">
            <w:pPr>
              <w:spacing w:line="240" w:lineRule="auto"/>
              <w:jc w:val="center"/>
              <w:rPr>
                <w:rFonts w:ascii="Aptos Narrow" w:hAnsi="Aptos Narrow"/>
                <w:b/>
                <w:bCs/>
                <w:color w:val="FFFFFF"/>
                <w:sz w:val="16"/>
                <w:szCs w:val="16"/>
                <w:lang w:val="de-DE" w:eastAsia="de-DE"/>
              </w:rPr>
            </w:pPr>
            <w:r w:rsidRPr="00D86B4D">
              <w:rPr>
                <w:rFonts w:ascii="Aptos Narrow" w:hAnsi="Aptos Narrow"/>
                <w:b/>
                <w:bCs/>
                <w:color w:val="FFFFFF"/>
                <w:sz w:val="16"/>
                <w:szCs w:val="16"/>
                <w:lang w:val="de-DE" w:eastAsia="de-DE"/>
              </w:rPr>
              <w:t>25.0%</w:t>
            </w:r>
          </w:p>
        </w:tc>
      </w:tr>
      <w:tr w:rsidR="00D86B4D" w:rsidRPr="00D86B4D" w14:paraId="0EF3B6D3"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56F40411"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A</w:t>
            </w:r>
          </w:p>
        </w:tc>
        <w:tc>
          <w:tcPr>
            <w:tcW w:w="980" w:type="dxa"/>
            <w:tcBorders>
              <w:top w:val="nil"/>
              <w:left w:val="nil"/>
              <w:bottom w:val="nil"/>
              <w:right w:val="nil"/>
            </w:tcBorders>
            <w:shd w:val="clear" w:color="000000" w:fill="FFFFFF"/>
            <w:noWrap/>
            <w:vAlign w:val="bottom"/>
            <w:hideMark/>
          </w:tcPr>
          <w:p w14:paraId="6A4CF43D"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2.35</w:t>
            </w:r>
          </w:p>
        </w:tc>
        <w:tc>
          <w:tcPr>
            <w:tcW w:w="980" w:type="dxa"/>
            <w:tcBorders>
              <w:top w:val="nil"/>
              <w:left w:val="nil"/>
              <w:bottom w:val="nil"/>
              <w:right w:val="nil"/>
            </w:tcBorders>
            <w:shd w:val="clear" w:color="000000" w:fill="FFFFFF"/>
            <w:noWrap/>
            <w:vAlign w:val="bottom"/>
            <w:hideMark/>
          </w:tcPr>
          <w:p w14:paraId="2542AFDD"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2.31</w:t>
            </w:r>
          </w:p>
        </w:tc>
        <w:tc>
          <w:tcPr>
            <w:tcW w:w="1300" w:type="dxa"/>
            <w:tcBorders>
              <w:top w:val="nil"/>
              <w:left w:val="nil"/>
              <w:bottom w:val="nil"/>
              <w:right w:val="nil"/>
            </w:tcBorders>
            <w:shd w:val="clear" w:color="000000" w:fill="FFFFFF"/>
            <w:noWrap/>
            <w:vAlign w:val="bottom"/>
            <w:hideMark/>
          </w:tcPr>
          <w:p w14:paraId="0A6173C0"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2.29</w:t>
            </w:r>
          </w:p>
        </w:tc>
        <w:tc>
          <w:tcPr>
            <w:tcW w:w="980" w:type="dxa"/>
            <w:tcBorders>
              <w:top w:val="nil"/>
              <w:left w:val="nil"/>
              <w:bottom w:val="nil"/>
              <w:right w:val="nil"/>
            </w:tcBorders>
            <w:shd w:val="clear" w:color="000000" w:fill="FFFFFF"/>
            <w:noWrap/>
            <w:vAlign w:val="bottom"/>
            <w:hideMark/>
          </w:tcPr>
          <w:p w14:paraId="57A244A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2.26</w:t>
            </w:r>
          </w:p>
        </w:tc>
        <w:tc>
          <w:tcPr>
            <w:tcW w:w="980" w:type="dxa"/>
            <w:tcBorders>
              <w:top w:val="nil"/>
              <w:left w:val="nil"/>
              <w:bottom w:val="nil"/>
              <w:right w:val="nil"/>
            </w:tcBorders>
            <w:shd w:val="clear" w:color="000000" w:fill="FFFFFF"/>
            <w:noWrap/>
            <w:vAlign w:val="bottom"/>
            <w:hideMark/>
          </w:tcPr>
          <w:p w14:paraId="07305B1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2.22</w:t>
            </w:r>
          </w:p>
        </w:tc>
        <w:tc>
          <w:tcPr>
            <w:tcW w:w="980" w:type="dxa"/>
            <w:tcBorders>
              <w:top w:val="nil"/>
              <w:left w:val="nil"/>
              <w:bottom w:val="nil"/>
              <w:right w:val="nil"/>
            </w:tcBorders>
            <w:shd w:val="clear" w:color="000000" w:fill="FFFFFF"/>
            <w:noWrap/>
            <w:vAlign w:val="bottom"/>
            <w:hideMark/>
          </w:tcPr>
          <w:p w14:paraId="652433F6"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2.17</w:t>
            </w:r>
          </w:p>
        </w:tc>
        <w:tc>
          <w:tcPr>
            <w:tcW w:w="980" w:type="dxa"/>
            <w:tcBorders>
              <w:top w:val="nil"/>
              <w:left w:val="nil"/>
              <w:bottom w:val="nil"/>
              <w:right w:val="single" w:sz="8" w:space="0" w:color="auto"/>
            </w:tcBorders>
            <w:shd w:val="clear" w:color="000000" w:fill="FFFFFF"/>
            <w:noWrap/>
            <w:vAlign w:val="bottom"/>
            <w:hideMark/>
          </w:tcPr>
          <w:p w14:paraId="38EA48B2"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2.12</w:t>
            </w:r>
          </w:p>
        </w:tc>
      </w:tr>
      <w:tr w:rsidR="00D86B4D" w:rsidRPr="00D86B4D" w14:paraId="4337D088"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36B96E2E"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B</w:t>
            </w:r>
          </w:p>
        </w:tc>
        <w:tc>
          <w:tcPr>
            <w:tcW w:w="980" w:type="dxa"/>
            <w:tcBorders>
              <w:top w:val="nil"/>
              <w:left w:val="nil"/>
              <w:bottom w:val="nil"/>
              <w:right w:val="nil"/>
            </w:tcBorders>
            <w:shd w:val="clear" w:color="000000" w:fill="FFFFFF"/>
            <w:noWrap/>
            <w:vAlign w:val="bottom"/>
            <w:hideMark/>
          </w:tcPr>
          <w:p w14:paraId="02C4B707"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2.38</w:t>
            </w:r>
          </w:p>
        </w:tc>
        <w:tc>
          <w:tcPr>
            <w:tcW w:w="980" w:type="dxa"/>
            <w:tcBorders>
              <w:top w:val="nil"/>
              <w:left w:val="nil"/>
              <w:bottom w:val="nil"/>
              <w:right w:val="nil"/>
            </w:tcBorders>
            <w:shd w:val="clear" w:color="000000" w:fill="FFFFFF"/>
            <w:noWrap/>
            <w:vAlign w:val="bottom"/>
            <w:hideMark/>
          </w:tcPr>
          <w:p w14:paraId="4FAE32A0"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1300" w:type="dxa"/>
            <w:tcBorders>
              <w:top w:val="nil"/>
              <w:left w:val="nil"/>
              <w:bottom w:val="nil"/>
              <w:right w:val="nil"/>
            </w:tcBorders>
            <w:shd w:val="clear" w:color="000000" w:fill="FFFFFF"/>
            <w:noWrap/>
            <w:vAlign w:val="bottom"/>
            <w:hideMark/>
          </w:tcPr>
          <w:p w14:paraId="68D90EF9"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2.32</w:t>
            </w:r>
          </w:p>
        </w:tc>
        <w:tc>
          <w:tcPr>
            <w:tcW w:w="980" w:type="dxa"/>
            <w:tcBorders>
              <w:top w:val="nil"/>
              <w:left w:val="nil"/>
              <w:bottom w:val="nil"/>
              <w:right w:val="nil"/>
            </w:tcBorders>
            <w:shd w:val="clear" w:color="000000" w:fill="FFFFFF"/>
            <w:noWrap/>
            <w:vAlign w:val="bottom"/>
            <w:hideMark/>
          </w:tcPr>
          <w:p w14:paraId="6A20580C"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2.30</w:t>
            </w:r>
          </w:p>
        </w:tc>
        <w:tc>
          <w:tcPr>
            <w:tcW w:w="980" w:type="dxa"/>
            <w:tcBorders>
              <w:top w:val="nil"/>
              <w:left w:val="nil"/>
              <w:bottom w:val="nil"/>
              <w:right w:val="nil"/>
            </w:tcBorders>
            <w:shd w:val="clear" w:color="000000" w:fill="FFFFFF"/>
            <w:noWrap/>
            <w:vAlign w:val="bottom"/>
            <w:hideMark/>
          </w:tcPr>
          <w:p w14:paraId="75DEAC48"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2.25</w:t>
            </w:r>
          </w:p>
        </w:tc>
        <w:tc>
          <w:tcPr>
            <w:tcW w:w="980" w:type="dxa"/>
            <w:tcBorders>
              <w:top w:val="nil"/>
              <w:left w:val="nil"/>
              <w:bottom w:val="nil"/>
              <w:right w:val="nil"/>
            </w:tcBorders>
            <w:shd w:val="clear" w:color="000000" w:fill="FFFFFF"/>
            <w:noWrap/>
            <w:vAlign w:val="bottom"/>
            <w:hideMark/>
          </w:tcPr>
          <w:p w14:paraId="7A8443E2"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2.21</w:t>
            </w:r>
          </w:p>
        </w:tc>
        <w:tc>
          <w:tcPr>
            <w:tcW w:w="980" w:type="dxa"/>
            <w:tcBorders>
              <w:top w:val="nil"/>
              <w:left w:val="nil"/>
              <w:bottom w:val="nil"/>
              <w:right w:val="single" w:sz="8" w:space="0" w:color="auto"/>
            </w:tcBorders>
            <w:shd w:val="clear" w:color="000000" w:fill="FFFFFF"/>
            <w:noWrap/>
            <w:vAlign w:val="bottom"/>
            <w:hideMark/>
          </w:tcPr>
          <w:p w14:paraId="3F2D2D83"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2.16</w:t>
            </w:r>
          </w:p>
        </w:tc>
      </w:tr>
      <w:tr w:rsidR="00D86B4D" w:rsidRPr="00D86B4D" w14:paraId="4F16D5AA"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4F47D85B"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C</w:t>
            </w:r>
          </w:p>
        </w:tc>
        <w:tc>
          <w:tcPr>
            <w:tcW w:w="980" w:type="dxa"/>
            <w:tcBorders>
              <w:top w:val="nil"/>
              <w:left w:val="nil"/>
              <w:bottom w:val="nil"/>
              <w:right w:val="nil"/>
            </w:tcBorders>
            <w:shd w:val="clear" w:color="000000" w:fill="FFFFFF"/>
            <w:noWrap/>
            <w:vAlign w:val="bottom"/>
            <w:hideMark/>
          </w:tcPr>
          <w:p w14:paraId="12440AE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2.38</w:t>
            </w:r>
          </w:p>
        </w:tc>
        <w:tc>
          <w:tcPr>
            <w:tcW w:w="980" w:type="dxa"/>
            <w:tcBorders>
              <w:top w:val="nil"/>
              <w:left w:val="nil"/>
              <w:bottom w:val="nil"/>
              <w:right w:val="nil"/>
            </w:tcBorders>
            <w:shd w:val="clear" w:color="000000" w:fill="FFFFFF"/>
            <w:noWrap/>
            <w:vAlign w:val="bottom"/>
            <w:hideMark/>
          </w:tcPr>
          <w:p w14:paraId="57640734"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1300" w:type="dxa"/>
            <w:tcBorders>
              <w:top w:val="nil"/>
              <w:left w:val="nil"/>
              <w:bottom w:val="nil"/>
              <w:right w:val="nil"/>
            </w:tcBorders>
            <w:shd w:val="clear" w:color="000000" w:fill="FFFFFF"/>
            <w:noWrap/>
            <w:vAlign w:val="bottom"/>
            <w:hideMark/>
          </w:tcPr>
          <w:p w14:paraId="33753F5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2.32</w:t>
            </w:r>
          </w:p>
        </w:tc>
        <w:tc>
          <w:tcPr>
            <w:tcW w:w="980" w:type="dxa"/>
            <w:tcBorders>
              <w:top w:val="nil"/>
              <w:left w:val="nil"/>
              <w:bottom w:val="nil"/>
              <w:right w:val="nil"/>
            </w:tcBorders>
            <w:shd w:val="clear" w:color="000000" w:fill="FFFFFF"/>
            <w:noWrap/>
            <w:vAlign w:val="bottom"/>
            <w:hideMark/>
          </w:tcPr>
          <w:p w14:paraId="340ACFB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2.31</w:t>
            </w:r>
          </w:p>
        </w:tc>
        <w:tc>
          <w:tcPr>
            <w:tcW w:w="980" w:type="dxa"/>
            <w:tcBorders>
              <w:top w:val="nil"/>
              <w:left w:val="nil"/>
              <w:bottom w:val="nil"/>
              <w:right w:val="nil"/>
            </w:tcBorders>
            <w:shd w:val="clear" w:color="000000" w:fill="FFFFFF"/>
            <w:noWrap/>
            <w:vAlign w:val="bottom"/>
            <w:hideMark/>
          </w:tcPr>
          <w:p w14:paraId="1DCF1EF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2.26</w:t>
            </w:r>
          </w:p>
        </w:tc>
        <w:tc>
          <w:tcPr>
            <w:tcW w:w="980" w:type="dxa"/>
            <w:tcBorders>
              <w:top w:val="nil"/>
              <w:left w:val="nil"/>
              <w:bottom w:val="nil"/>
              <w:right w:val="nil"/>
            </w:tcBorders>
            <w:shd w:val="clear" w:color="000000" w:fill="FFFFFF"/>
            <w:noWrap/>
            <w:vAlign w:val="bottom"/>
            <w:hideMark/>
          </w:tcPr>
          <w:p w14:paraId="2DE36C6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2.22</w:t>
            </w:r>
          </w:p>
        </w:tc>
        <w:tc>
          <w:tcPr>
            <w:tcW w:w="980" w:type="dxa"/>
            <w:tcBorders>
              <w:top w:val="nil"/>
              <w:left w:val="nil"/>
              <w:bottom w:val="nil"/>
              <w:right w:val="single" w:sz="8" w:space="0" w:color="auto"/>
            </w:tcBorders>
            <w:shd w:val="clear" w:color="000000" w:fill="FFFFFF"/>
            <w:noWrap/>
            <w:vAlign w:val="bottom"/>
            <w:hideMark/>
          </w:tcPr>
          <w:p w14:paraId="08C3801F"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2.17</w:t>
            </w:r>
          </w:p>
        </w:tc>
      </w:tr>
      <w:tr w:rsidR="00D86B4D" w:rsidRPr="00D86B4D" w14:paraId="30DE6F7F"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3A0FC1A3"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D</w:t>
            </w:r>
          </w:p>
        </w:tc>
        <w:tc>
          <w:tcPr>
            <w:tcW w:w="980" w:type="dxa"/>
            <w:tcBorders>
              <w:top w:val="nil"/>
              <w:left w:val="nil"/>
              <w:bottom w:val="nil"/>
              <w:right w:val="nil"/>
            </w:tcBorders>
            <w:shd w:val="clear" w:color="000000" w:fill="FFFFFF"/>
            <w:noWrap/>
            <w:vAlign w:val="bottom"/>
            <w:hideMark/>
          </w:tcPr>
          <w:p w14:paraId="09844CC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2.40</w:t>
            </w:r>
          </w:p>
        </w:tc>
        <w:tc>
          <w:tcPr>
            <w:tcW w:w="980" w:type="dxa"/>
            <w:tcBorders>
              <w:top w:val="nil"/>
              <w:left w:val="nil"/>
              <w:bottom w:val="nil"/>
              <w:right w:val="nil"/>
            </w:tcBorders>
            <w:shd w:val="clear" w:color="000000" w:fill="FFFFFF"/>
            <w:noWrap/>
            <w:vAlign w:val="bottom"/>
            <w:hideMark/>
          </w:tcPr>
          <w:p w14:paraId="338146FB"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2.36</w:t>
            </w:r>
          </w:p>
        </w:tc>
        <w:tc>
          <w:tcPr>
            <w:tcW w:w="1300" w:type="dxa"/>
            <w:tcBorders>
              <w:top w:val="nil"/>
              <w:left w:val="nil"/>
              <w:bottom w:val="nil"/>
              <w:right w:val="nil"/>
            </w:tcBorders>
            <w:shd w:val="clear" w:color="000000" w:fill="FFFFFF"/>
            <w:noWrap/>
            <w:vAlign w:val="bottom"/>
            <w:hideMark/>
          </w:tcPr>
          <w:p w14:paraId="018CCDE0"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2.33</w:t>
            </w:r>
          </w:p>
        </w:tc>
        <w:tc>
          <w:tcPr>
            <w:tcW w:w="980" w:type="dxa"/>
            <w:tcBorders>
              <w:top w:val="nil"/>
              <w:left w:val="nil"/>
              <w:bottom w:val="nil"/>
              <w:right w:val="nil"/>
            </w:tcBorders>
            <w:shd w:val="clear" w:color="000000" w:fill="FFFFFF"/>
            <w:noWrap/>
            <w:vAlign w:val="bottom"/>
            <w:hideMark/>
          </w:tcPr>
          <w:p w14:paraId="11C2B0D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2.32</w:t>
            </w:r>
          </w:p>
        </w:tc>
        <w:tc>
          <w:tcPr>
            <w:tcW w:w="980" w:type="dxa"/>
            <w:tcBorders>
              <w:top w:val="nil"/>
              <w:left w:val="nil"/>
              <w:bottom w:val="nil"/>
              <w:right w:val="nil"/>
            </w:tcBorders>
            <w:shd w:val="clear" w:color="000000" w:fill="FFFFFF"/>
            <w:noWrap/>
            <w:vAlign w:val="bottom"/>
            <w:hideMark/>
          </w:tcPr>
          <w:p w14:paraId="7505FC5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2.27</w:t>
            </w:r>
          </w:p>
        </w:tc>
        <w:tc>
          <w:tcPr>
            <w:tcW w:w="980" w:type="dxa"/>
            <w:tcBorders>
              <w:top w:val="nil"/>
              <w:left w:val="nil"/>
              <w:bottom w:val="nil"/>
              <w:right w:val="nil"/>
            </w:tcBorders>
            <w:shd w:val="clear" w:color="000000" w:fill="FFFFFF"/>
            <w:noWrap/>
            <w:vAlign w:val="bottom"/>
            <w:hideMark/>
          </w:tcPr>
          <w:p w14:paraId="01AFA19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2.23</w:t>
            </w:r>
          </w:p>
        </w:tc>
        <w:tc>
          <w:tcPr>
            <w:tcW w:w="980" w:type="dxa"/>
            <w:tcBorders>
              <w:top w:val="nil"/>
              <w:left w:val="nil"/>
              <w:bottom w:val="nil"/>
              <w:right w:val="single" w:sz="8" w:space="0" w:color="auto"/>
            </w:tcBorders>
            <w:shd w:val="clear" w:color="000000" w:fill="FFFFFF"/>
            <w:noWrap/>
            <w:vAlign w:val="bottom"/>
            <w:hideMark/>
          </w:tcPr>
          <w:p w14:paraId="49D5F9D6"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2.18</w:t>
            </w:r>
          </w:p>
        </w:tc>
      </w:tr>
      <w:tr w:rsidR="00D86B4D" w:rsidRPr="00D86B4D" w14:paraId="7863A38A"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60682311"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E</w:t>
            </w:r>
          </w:p>
        </w:tc>
        <w:tc>
          <w:tcPr>
            <w:tcW w:w="980" w:type="dxa"/>
            <w:tcBorders>
              <w:top w:val="nil"/>
              <w:left w:val="nil"/>
              <w:bottom w:val="nil"/>
              <w:right w:val="nil"/>
            </w:tcBorders>
            <w:shd w:val="clear" w:color="000000" w:fill="FFFFFF"/>
            <w:noWrap/>
            <w:vAlign w:val="bottom"/>
            <w:hideMark/>
          </w:tcPr>
          <w:p w14:paraId="16162B67"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2.43</w:t>
            </w:r>
          </w:p>
        </w:tc>
        <w:tc>
          <w:tcPr>
            <w:tcW w:w="980" w:type="dxa"/>
            <w:tcBorders>
              <w:top w:val="nil"/>
              <w:left w:val="nil"/>
              <w:bottom w:val="nil"/>
              <w:right w:val="nil"/>
            </w:tcBorders>
            <w:shd w:val="clear" w:color="000000" w:fill="FFFFFF"/>
            <w:noWrap/>
            <w:vAlign w:val="bottom"/>
            <w:hideMark/>
          </w:tcPr>
          <w:p w14:paraId="6B8BDB4B"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2.39</w:t>
            </w:r>
          </w:p>
        </w:tc>
        <w:tc>
          <w:tcPr>
            <w:tcW w:w="1300" w:type="dxa"/>
            <w:tcBorders>
              <w:top w:val="nil"/>
              <w:left w:val="nil"/>
              <w:bottom w:val="nil"/>
              <w:right w:val="nil"/>
            </w:tcBorders>
            <w:shd w:val="clear" w:color="000000" w:fill="FFFFFF"/>
            <w:noWrap/>
            <w:vAlign w:val="bottom"/>
            <w:hideMark/>
          </w:tcPr>
          <w:p w14:paraId="6F68B40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2.37</w:t>
            </w:r>
          </w:p>
        </w:tc>
        <w:tc>
          <w:tcPr>
            <w:tcW w:w="980" w:type="dxa"/>
            <w:tcBorders>
              <w:top w:val="nil"/>
              <w:left w:val="nil"/>
              <w:bottom w:val="nil"/>
              <w:right w:val="nil"/>
            </w:tcBorders>
            <w:shd w:val="clear" w:color="000000" w:fill="FFFFFF"/>
            <w:noWrap/>
            <w:vAlign w:val="bottom"/>
            <w:hideMark/>
          </w:tcPr>
          <w:p w14:paraId="1ECF13B0"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2.35</w:t>
            </w:r>
          </w:p>
        </w:tc>
        <w:tc>
          <w:tcPr>
            <w:tcW w:w="980" w:type="dxa"/>
            <w:tcBorders>
              <w:top w:val="nil"/>
              <w:left w:val="nil"/>
              <w:bottom w:val="nil"/>
              <w:right w:val="nil"/>
            </w:tcBorders>
            <w:shd w:val="clear" w:color="000000" w:fill="FFFFFF"/>
            <w:noWrap/>
            <w:vAlign w:val="bottom"/>
            <w:hideMark/>
          </w:tcPr>
          <w:p w14:paraId="093301C3"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2.30</w:t>
            </w:r>
          </w:p>
        </w:tc>
        <w:tc>
          <w:tcPr>
            <w:tcW w:w="980" w:type="dxa"/>
            <w:tcBorders>
              <w:top w:val="nil"/>
              <w:left w:val="nil"/>
              <w:bottom w:val="nil"/>
              <w:right w:val="nil"/>
            </w:tcBorders>
            <w:shd w:val="clear" w:color="000000" w:fill="FFFFFF"/>
            <w:noWrap/>
            <w:vAlign w:val="bottom"/>
            <w:hideMark/>
          </w:tcPr>
          <w:p w14:paraId="04D73982"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2.26</w:t>
            </w:r>
          </w:p>
        </w:tc>
        <w:tc>
          <w:tcPr>
            <w:tcW w:w="980" w:type="dxa"/>
            <w:tcBorders>
              <w:top w:val="nil"/>
              <w:left w:val="nil"/>
              <w:bottom w:val="nil"/>
              <w:right w:val="single" w:sz="8" w:space="0" w:color="auto"/>
            </w:tcBorders>
            <w:shd w:val="clear" w:color="000000" w:fill="FFFFFF"/>
            <w:noWrap/>
            <w:vAlign w:val="bottom"/>
            <w:hideMark/>
          </w:tcPr>
          <w:p w14:paraId="4FC5F562"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2.21</w:t>
            </w:r>
          </w:p>
        </w:tc>
      </w:tr>
      <w:tr w:rsidR="00D86B4D" w:rsidRPr="00D86B4D" w14:paraId="277DAFEE" w14:textId="77777777" w:rsidTr="00D86B4D">
        <w:trPr>
          <w:trHeight w:val="20"/>
        </w:trPr>
        <w:tc>
          <w:tcPr>
            <w:tcW w:w="980" w:type="dxa"/>
            <w:tcBorders>
              <w:top w:val="nil"/>
              <w:left w:val="single" w:sz="8" w:space="0" w:color="auto"/>
              <w:bottom w:val="nil"/>
              <w:right w:val="nil"/>
            </w:tcBorders>
            <w:shd w:val="clear" w:color="000000" w:fill="FFFFFF"/>
            <w:noWrap/>
            <w:vAlign w:val="bottom"/>
            <w:hideMark/>
          </w:tcPr>
          <w:p w14:paraId="2185D767"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F</w:t>
            </w:r>
          </w:p>
        </w:tc>
        <w:tc>
          <w:tcPr>
            <w:tcW w:w="980" w:type="dxa"/>
            <w:tcBorders>
              <w:top w:val="nil"/>
              <w:left w:val="nil"/>
              <w:bottom w:val="nil"/>
              <w:right w:val="nil"/>
            </w:tcBorders>
            <w:shd w:val="clear" w:color="000000" w:fill="FFFFFF"/>
            <w:noWrap/>
            <w:vAlign w:val="bottom"/>
            <w:hideMark/>
          </w:tcPr>
          <w:p w14:paraId="26A53E0C"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2.47</w:t>
            </w:r>
          </w:p>
        </w:tc>
        <w:tc>
          <w:tcPr>
            <w:tcW w:w="980" w:type="dxa"/>
            <w:tcBorders>
              <w:top w:val="nil"/>
              <w:left w:val="nil"/>
              <w:bottom w:val="nil"/>
              <w:right w:val="nil"/>
            </w:tcBorders>
            <w:shd w:val="clear" w:color="000000" w:fill="FFFFFF"/>
            <w:noWrap/>
            <w:vAlign w:val="bottom"/>
            <w:hideMark/>
          </w:tcPr>
          <w:p w14:paraId="2C4A0B9B"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2.43</w:t>
            </w:r>
          </w:p>
        </w:tc>
        <w:tc>
          <w:tcPr>
            <w:tcW w:w="1300" w:type="dxa"/>
            <w:tcBorders>
              <w:top w:val="nil"/>
              <w:left w:val="nil"/>
              <w:bottom w:val="nil"/>
              <w:right w:val="nil"/>
            </w:tcBorders>
            <w:shd w:val="clear" w:color="000000" w:fill="FFFFFF"/>
            <w:noWrap/>
            <w:vAlign w:val="bottom"/>
            <w:hideMark/>
          </w:tcPr>
          <w:p w14:paraId="2FAC0A7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2.41</w:t>
            </w:r>
          </w:p>
        </w:tc>
        <w:tc>
          <w:tcPr>
            <w:tcW w:w="980" w:type="dxa"/>
            <w:tcBorders>
              <w:top w:val="nil"/>
              <w:left w:val="nil"/>
              <w:bottom w:val="nil"/>
              <w:right w:val="nil"/>
            </w:tcBorders>
            <w:shd w:val="clear" w:color="000000" w:fill="FFFFFF"/>
            <w:noWrap/>
            <w:vAlign w:val="bottom"/>
            <w:hideMark/>
          </w:tcPr>
          <w:p w14:paraId="7619F97A"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2.40</w:t>
            </w:r>
          </w:p>
        </w:tc>
        <w:tc>
          <w:tcPr>
            <w:tcW w:w="980" w:type="dxa"/>
            <w:tcBorders>
              <w:top w:val="nil"/>
              <w:left w:val="nil"/>
              <w:bottom w:val="nil"/>
              <w:right w:val="nil"/>
            </w:tcBorders>
            <w:shd w:val="clear" w:color="000000" w:fill="FFFFFF"/>
            <w:noWrap/>
            <w:vAlign w:val="bottom"/>
            <w:hideMark/>
          </w:tcPr>
          <w:p w14:paraId="5D84A864"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nil"/>
              <w:right w:val="nil"/>
            </w:tcBorders>
            <w:shd w:val="clear" w:color="000000" w:fill="FFFFFF"/>
            <w:noWrap/>
            <w:vAlign w:val="bottom"/>
            <w:hideMark/>
          </w:tcPr>
          <w:p w14:paraId="453CF3E5"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2.30</w:t>
            </w:r>
          </w:p>
        </w:tc>
        <w:tc>
          <w:tcPr>
            <w:tcW w:w="980" w:type="dxa"/>
            <w:tcBorders>
              <w:top w:val="nil"/>
              <w:left w:val="nil"/>
              <w:bottom w:val="nil"/>
              <w:right w:val="single" w:sz="8" w:space="0" w:color="auto"/>
            </w:tcBorders>
            <w:shd w:val="clear" w:color="000000" w:fill="FFFFFF"/>
            <w:noWrap/>
            <w:vAlign w:val="bottom"/>
            <w:hideMark/>
          </w:tcPr>
          <w:p w14:paraId="4E6583CA"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2.25</w:t>
            </w:r>
          </w:p>
        </w:tc>
      </w:tr>
      <w:tr w:rsidR="00D86B4D" w:rsidRPr="00D86B4D" w14:paraId="6EDB57D8" w14:textId="77777777" w:rsidTr="00D86B4D">
        <w:trPr>
          <w:trHeight w:val="20"/>
        </w:trPr>
        <w:tc>
          <w:tcPr>
            <w:tcW w:w="980" w:type="dxa"/>
            <w:tcBorders>
              <w:top w:val="nil"/>
              <w:left w:val="single" w:sz="8" w:space="0" w:color="auto"/>
              <w:bottom w:val="single" w:sz="8" w:space="0" w:color="auto"/>
              <w:right w:val="nil"/>
            </w:tcBorders>
            <w:shd w:val="clear" w:color="000000" w:fill="FFFFFF"/>
            <w:noWrap/>
            <w:vAlign w:val="bottom"/>
            <w:hideMark/>
          </w:tcPr>
          <w:p w14:paraId="1BD3053F" w14:textId="77777777" w:rsidR="00D86B4D" w:rsidRPr="00D86B4D" w:rsidRDefault="00D86B4D" w:rsidP="00D86B4D">
            <w:pPr>
              <w:spacing w:line="240" w:lineRule="auto"/>
              <w:jc w:val="center"/>
              <w:rPr>
                <w:rFonts w:ascii="Calibri" w:hAnsi="Calibri" w:cs="Calibri"/>
                <w:color w:val="000000"/>
                <w:sz w:val="16"/>
                <w:szCs w:val="16"/>
                <w:lang w:val="de-DE" w:eastAsia="de-DE"/>
              </w:rPr>
            </w:pPr>
            <w:r w:rsidRPr="00D86B4D">
              <w:rPr>
                <w:rFonts w:ascii="Calibri" w:hAnsi="Calibri" w:cs="Calibri"/>
                <w:color w:val="000000"/>
                <w:sz w:val="16"/>
                <w:szCs w:val="16"/>
                <w:lang w:val="de-DE" w:eastAsia="de-DE"/>
              </w:rPr>
              <w:t>Class G</w:t>
            </w:r>
          </w:p>
        </w:tc>
        <w:tc>
          <w:tcPr>
            <w:tcW w:w="980" w:type="dxa"/>
            <w:tcBorders>
              <w:top w:val="nil"/>
              <w:left w:val="nil"/>
              <w:bottom w:val="single" w:sz="8" w:space="0" w:color="auto"/>
              <w:right w:val="nil"/>
            </w:tcBorders>
            <w:shd w:val="clear" w:color="000000" w:fill="FFFFFF"/>
            <w:noWrap/>
            <w:vAlign w:val="bottom"/>
            <w:hideMark/>
          </w:tcPr>
          <w:p w14:paraId="097CF5D1"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2.51</w:t>
            </w:r>
          </w:p>
        </w:tc>
        <w:tc>
          <w:tcPr>
            <w:tcW w:w="980" w:type="dxa"/>
            <w:tcBorders>
              <w:top w:val="nil"/>
              <w:left w:val="nil"/>
              <w:bottom w:val="single" w:sz="8" w:space="0" w:color="auto"/>
              <w:right w:val="nil"/>
            </w:tcBorders>
            <w:shd w:val="clear" w:color="000000" w:fill="FFFFFF"/>
            <w:noWrap/>
            <w:vAlign w:val="bottom"/>
            <w:hideMark/>
          </w:tcPr>
          <w:p w14:paraId="19EF01AF"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2.47</w:t>
            </w:r>
          </w:p>
        </w:tc>
        <w:tc>
          <w:tcPr>
            <w:tcW w:w="1300" w:type="dxa"/>
            <w:tcBorders>
              <w:top w:val="nil"/>
              <w:left w:val="nil"/>
              <w:bottom w:val="single" w:sz="8" w:space="0" w:color="auto"/>
              <w:right w:val="nil"/>
            </w:tcBorders>
            <w:shd w:val="clear" w:color="000000" w:fill="FFFFFF"/>
            <w:noWrap/>
            <w:vAlign w:val="bottom"/>
            <w:hideMark/>
          </w:tcPr>
          <w:p w14:paraId="0120573E"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2.44</w:t>
            </w:r>
          </w:p>
        </w:tc>
        <w:tc>
          <w:tcPr>
            <w:tcW w:w="980" w:type="dxa"/>
            <w:tcBorders>
              <w:top w:val="nil"/>
              <w:left w:val="nil"/>
              <w:bottom w:val="single" w:sz="8" w:space="0" w:color="auto"/>
              <w:right w:val="nil"/>
            </w:tcBorders>
            <w:shd w:val="clear" w:color="000000" w:fill="FFFFFF"/>
            <w:noWrap/>
            <w:vAlign w:val="bottom"/>
            <w:hideMark/>
          </w:tcPr>
          <w:p w14:paraId="50BF8FA2"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2.44</w:t>
            </w:r>
          </w:p>
        </w:tc>
        <w:tc>
          <w:tcPr>
            <w:tcW w:w="980" w:type="dxa"/>
            <w:tcBorders>
              <w:top w:val="nil"/>
              <w:left w:val="nil"/>
              <w:bottom w:val="single" w:sz="8" w:space="0" w:color="auto"/>
              <w:right w:val="nil"/>
            </w:tcBorders>
            <w:shd w:val="clear" w:color="000000" w:fill="FFFFFF"/>
            <w:noWrap/>
            <w:vAlign w:val="bottom"/>
            <w:hideMark/>
          </w:tcPr>
          <w:p w14:paraId="5FF616D6"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2.38</w:t>
            </w:r>
          </w:p>
        </w:tc>
        <w:tc>
          <w:tcPr>
            <w:tcW w:w="980" w:type="dxa"/>
            <w:tcBorders>
              <w:top w:val="nil"/>
              <w:left w:val="nil"/>
              <w:bottom w:val="single" w:sz="8" w:space="0" w:color="auto"/>
              <w:right w:val="nil"/>
            </w:tcBorders>
            <w:shd w:val="clear" w:color="000000" w:fill="FFFFFF"/>
            <w:noWrap/>
            <w:vAlign w:val="bottom"/>
            <w:hideMark/>
          </w:tcPr>
          <w:p w14:paraId="7ED70500"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2.34</w:t>
            </w:r>
          </w:p>
        </w:tc>
        <w:tc>
          <w:tcPr>
            <w:tcW w:w="980" w:type="dxa"/>
            <w:tcBorders>
              <w:top w:val="nil"/>
              <w:left w:val="nil"/>
              <w:bottom w:val="single" w:sz="8" w:space="0" w:color="auto"/>
              <w:right w:val="single" w:sz="8" w:space="0" w:color="auto"/>
            </w:tcBorders>
            <w:shd w:val="clear" w:color="000000" w:fill="FFFFFF"/>
            <w:noWrap/>
            <w:vAlign w:val="bottom"/>
            <w:hideMark/>
          </w:tcPr>
          <w:p w14:paraId="19E7DB78" w14:textId="77777777" w:rsidR="00D86B4D" w:rsidRPr="00D86B4D" w:rsidRDefault="00D86B4D" w:rsidP="00D86B4D">
            <w:pPr>
              <w:spacing w:line="240" w:lineRule="auto"/>
              <w:jc w:val="center"/>
              <w:rPr>
                <w:rFonts w:ascii="Aptos Narrow" w:hAnsi="Aptos Narrow"/>
                <w:color w:val="000000"/>
                <w:sz w:val="16"/>
                <w:szCs w:val="16"/>
                <w:lang w:val="de-DE" w:eastAsia="de-DE"/>
              </w:rPr>
            </w:pPr>
            <w:r w:rsidRPr="00D86B4D">
              <w:rPr>
                <w:rFonts w:ascii="Aptos Narrow" w:hAnsi="Aptos Narrow"/>
                <w:color w:val="000000"/>
                <w:sz w:val="16"/>
                <w:szCs w:val="16"/>
                <w:lang w:val="de-DE" w:eastAsia="de-DE"/>
              </w:rPr>
              <w:t>2.30</w:t>
            </w:r>
          </w:p>
        </w:tc>
      </w:tr>
    </w:tbl>
    <w:p w14:paraId="34D751B6" w14:textId="77777777" w:rsidR="009F6E91" w:rsidRPr="00D427D8" w:rsidRDefault="009F6E91" w:rsidP="00EE6BE9">
      <w:pPr>
        <w:spacing w:after="200"/>
        <w:ind w:left="354" w:hanging="343"/>
      </w:pPr>
    </w:p>
    <w:p w14:paraId="436681A4" w14:textId="72FB2D58" w:rsidR="009F6E91" w:rsidRPr="00D427D8" w:rsidRDefault="009F6E91" w:rsidP="009F6E91">
      <w:pPr>
        <w:pStyle w:val="Body1"/>
      </w:pPr>
      <w:r w:rsidRPr="00D427D8">
        <w:t xml:space="preserve">The weighted average life refers to the average amount of time that will elapse from the date of issuance of a Note to the date of distribution to the investor of amounts in net reduction of principal of such Note (assuming no losses). The weighted average lives of the Notes will be influenced by, among other things, the actual rate of redemption of the Purchased Lease Receivables in the </w:t>
      </w:r>
      <w:r w:rsidR="00350E6B">
        <w:t xml:space="preserve">provisional </w:t>
      </w:r>
      <w:r w:rsidRPr="00D427D8">
        <w:t>portfolio. The exact weighted average life of each Class of Notes cannot be predicted as the actual rate at which the Purchased Lease Receivables will be repaid and a number of other relevant factors are unknown.</w:t>
      </w:r>
    </w:p>
    <w:p w14:paraId="4E885834" w14:textId="77777777" w:rsidR="009F6E91" w:rsidRPr="00D427D8" w:rsidRDefault="009F6E91" w:rsidP="009F6E91">
      <w:pPr>
        <w:pStyle w:val="Body1"/>
      </w:pPr>
      <w:r w:rsidRPr="00D427D8">
        <w:t>The weighted average lives of each Class of Notes are subject to factors largely outside the control of the Issuer and consequently no assurance can be given that the assumptions and the estimates above will prove in any way to be realistic and they must, therefore, be viewed with considerable caution.</w:t>
      </w:r>
    </w:p>
    <w:p w14:paraId="5FACA4BF" w14:textId="77777777" w:rsidR="009F6E91" w:rsidRPr="00D427D8" w:rsidRDefault="009F6E91" w:rsidP="009F6E91">
      <w:pPr>
        <w:pStyle w:val="Body1"/>
        <w:rPr>
          <w:rStyle w:val="Heading1Text"/>
        </w:rPr>
      </w:pPr>
      <w:r w:rsidRPr="00D427D8">
        <w:rPr>
          <w:rStyle w:val="Heading1Text"/>
        </w:rPr>
        <w:t>Assumed Amortisation Profile of the Notes</w:t>
      </w:r>
    </w:p>
    <w:p w14:paraId="7D3915C4" w14:textId="2A91275C" w:rsidR="009F6E91" w:rsidRPr="00D427D8" w:rsidRDefault="009F6E91" w:rsidP="009F6E91">
      <w:pPr>
        <w:pStyle w:val="Body1"/>
      </w:pPr>
      <w:r w:rsidRPr="00D427D8">
        <w:t xml:space="preserve">This amortisation scenario is based on the assumptions listed above under </w:t>
      </w:r>
      <w:r w:rsidR="00EF7333" w:rsidRPr="00D427D8">
        <w:t>"</w:t>
      </w:r>
      <w:r w:rsidRPr="00D427D8">
        <w:rPr>
          <w:i/>
        </w:rPr>
        <w:t>Further Information on the Notes - Weighted Average Life of the Notes</w:t>
      </w:r>
      <w:r w:rsidR="00EF7333" w:rsidRPr="00D427D8">
        <w:t>"</w:t>
      </w:r>
      <w:r w:rsidRPr="00D427D8">
        <w:t xml:space="preserve"> and, </w:t>
      </w:r>
      <w:r w:rsidRPr="00D427D8">
        <w:rPr>
          <w:i/>
        </w:rPr>
        <w:t>inter alia</w:t>
      </w:r>
      <w:r w:rsidRPr="00D427D8">
        <w:t>, assumes a (i) constant prepayment rate (</w:t>
      </w:r>
      <w:r w:rsidR="00EF7333" w:rsidRPr="00D427D8">
        <w:t>"</w:t>
      </w:r>
      <w:r w:rsidRPr="00D427D8">
        <w:rPr>
          <w:rStyle w:val="BoldText"/>
        </w:rPr>
        <w:t>CPR</w:t>
      </w:r>
      <w:r w:rsidR="00EF7333" w:rsidRPr="00D427D8">
        <w:t>"</w:t>
      </w:r>
      <w:r w:rsidRPr="00D427D8">
        <w:t>) of 10 per cent., (ii) exercise of the Clean-Up Call, (iii) 0 per cent default rate, (iv) 0 per cent delinquencies. It should be noted that the actual amortisation of the Notes may differ substantially from the amortisation scenario indicated below.</w:t>
      </w:r>
    </w:p>
    <w:tbl>
      <w:tblPr>
        <w:tblW w:w="5000" w:type="pct"/>
        <w:tblCellMar>
          <w:left w:w="70" w:type="dxa"/>
          <w:right w:w="70" w:type="dxa"/>
        </w:tblCellMar>
        <w:tblLook w:val="04A0" w:firstRow="1" w:lastRow="0" w:firstColumn="1" w:lastColumn="0" w:noHBand="0" w:noVBand="1"/>
      </w:tblPr>
      <w:tblGrid>
        <w:gridCol w:w="1081"/>
        <w:gridCol w:w="2204"/>
        <w:gridCol w:w="828"/>
        <w:gridCol w:w="829"/>
        <w:gridCol w:w="829"/>
        <w:gridCol w:w="829"/>
        <w:gridCol w:w="821"/>
        <w:gridCol w:w="813"/>
        <w:gridCol w:w="837"/>
      </w:tblGrid>
      <w:tr w:rsidR="00D86B4D" w:rsidRPr="0018008E" w14:paraId="5EF52B1A" w14:textId="77777777" w:rsidTr="0018008E">
        <w:trPr>
          <w:trHeight w:val="227"/>
          <w:tblHeader/>
        </w:trPr>
        <w:tc>
          <w:tcPr>
            <w:tcW w:w="598" w:type="pct"/>
            <w:tcBorders>
              <w:top w:val="nil"/>
              <w:left w:val="nil"/>
              <w:bottom w:val="nil"/>
              <w:right w:val="nil"/>
            </w:tcBorders>
            <w:shd w:val="clear" w:color="auto" w:fill="243782"/>
            <w:noWrap/>
            <w:vAlign w:val="bottom"/>
            <w:hideMark/>
          </w:tcPr>
          <w:p w14:paraId="5060819E" w14:textId="77777777" w:rsidR="00D86B4D" w:rsidRPr="00DD27F1" w:rsidRDefault="00D86B4D" w:rsidP="00D86B4D">
            <w:pPr>
              <w:spacing w:line="240" w:lineRule="auto"/>
              <w:jc w:val="right"/>
              <w:rPr>
                <w:rFonts w:cs="Arial"/>
                <w:b/>
                <w:bCs/>
                <w:color w:val="FFFFFF"/>
                <w:sz w:val="16"/>
                <w:szCs w:val="16"/>
                <w:lang w:val="de-DE" w:eastAsia="de-DE"/>
              </w:rPr>
            </w:pPr>
            <w:r w:rsidRPr="00DD27F1">
              <w:rPr>
                <w:rFonts w:cs="Arial"/>
                <w:b/>
                <w:bCs/>
                <w:color w:val="FFFFFF"/>
                <w:sz w:val="16"/>
                <w:szCs w:val="16"/>
                <w:lang w:val="de-DE" w:eastAsia="de-DE"/>
              </w:rPr>
              <w:t>Payment Date</w:t>
            </w:r>
          </w:p>
        </w:tc>
        <w:tc>
          <w:tcPr>
            <w:tcW w:w="1229" w:type="pct"/>
            <w:tcBorders>
              <w:top w:val="nil"/>
              <w:left w:val="nil"/>
              <w:bottom w:val="nil"/>
              <w:right w:val="nil"/>
            </w:tcBorders>
            <w:shd w:val="clear" w:color="auto" w:fill="243782"/>
            <w:noWrap/>
            <w:vAlign w:val="bottom"/>
            <w:hideMark/>
          </w:tcPr>
          <w:p w14:paraId="2159599A" w14:textId="77777777" w:rsidR="00D86B4D" w:rsidRPr="00DD27F1" w:rsidRDefault="00D86B4D" w:rsidP="00D86B4D">
            <w:pPr>
              <w:spacing w:line="240" w:lineRule="auto"/>
              <w:jc w:val="right"/>
              <w:rPr>
                <w:rFonts w:cs="Arial"/>
                <w:b/>
                <w:bCs/>
                <w:color w:val="FFFFFF"/>
                <w:sz w:val="16"/>
                <w:szCs w:val="16"/>
                <w:lang w:val="de-DE" w:eastAsia="de-DE"/>
              </w:rPr>
            </w:pPr>
            <w:r w:rsidRPr="00DD27F1">
              <w:rPr>
                <w:rFonts w:cs="Arial"/>
                <w:b/>
                <w:bCs/>
                <w:color w:val="FFFFFF"/>
                <w:sz w:val="16"/>
                <w:szCs w:val="16"/>
                <w:lang w:val="de-DE" w:eastAsia="de-DE"/>
              </w:rPr>
              <w:t>Outstanding Principal Balance</w:t>
            </w:r>
          </w:p>
        </w:tc>
        <w:tc>
          <w:tcPr>
            <w:tcW w:w="454" w:type="pct"/>
            <w:tcBorders>
              <w:top w:val="nil"/>
              <w:left w:val="nil"/>
              <w:bottom w:val="nil"/>
              <w:right w:val="nil"/>
            </w:tcBorders>
            <w:shd w:val="clear" w:color="auto" w:fill="243782"/>
            <w:noWrap/>
            <w:vAlign w:val="bottom"/>
            <w:hideMark/>
          </w:tcPr>
          <w:p w14:paraId="7BCF1C31" w14:textId="77777777" w:rsidR="00D86B4D" w:rsidRPr="00DD27F1" w:rsidRDefault="00D86B4D" w:rsidP="00D86B4D">
            <w:pPr>
              <w:spacing w:line="240" w:lineRule="auto"/>
              <w:jc w:val="left"/>
              <w:rPr>
                <w:rFonts w:cs="Arial"/>
                <w:b/>
                <w:bCs/>
                <w:color w:val="FFFFFF"/>
                <w:sz w:val="16"/>
                <w:szCs w:val="16"/>
                <w:lang w:val="de-DE" w:eastAsia="de-DE"/>
              </w:rPr>
            </w:pPr>
            <w:r w:rsidRPr="00DD27F1">
              <w:rPr>
                <w:rFonts w:cs="Arial"/>
                <w:b/>
                <w:bCs/>
                <w:color w:val="FFFFFF"/>
                <w:sz w:val="16"/>
                <w:szCs w:val="16"/>
                <w:lang w:val="de-DE" w:eastAsia="de-DE"/>
              </w:rPr>
              <w:t>Class A %</w:t>
            </w:r>
          </w:p>
        </w:tc>
        <w:tc>
          <w:tcPr>
            <w:tcW w:w="454" w:type="pct"/>
            <w:tcBorders>
              <w:top w:val="nil"/>
              <w:left w:val="nil"/>
              <w:bottom w:val="nil"/>
              <w:right w:val="nil"/>
            </w:tcBorders>
            <w:shd w:val="clear" w:color="auto" w:fill="243782"/>
            <w:noWrap/>
            <w:vAlign w:val="bottom"/>
            <w:hideMark/>
          </w:tcPr>
          <w:p w14:paraId="53798D4B" w14:textId="77777777" w:rsidR="00D86B4D" w:rsidRPr="00DD27F1" w:rsidRDefault="00D86B4D" w:rsidP="00D86B4D">
            <w:pPr>
              <w:spacing w:line="240" w:lineRule="auto"/>
              <w:jc w:val="left"/>
              <w:rPr>
                <w:rFonts w:cs="Arial"/>
                <w:b/>
                <w:bCs/>
                <w:color w:val="FFFFFF"/>
                <w:sz w:val="16"/>
                <w:szCs w:val="16"/>
                <w:lang w:val="de-DE" w:eastAsia="de-DE"/>
              </w:rPr>
            </w:pPr>
            <w:r w:rsidRPr="00DD27F1">
              <w:rPr>
                <w:rFonts w:cs="Arial"/>
                <w:b/>
                <w:bCs/>
                <w:color w:val="FFFFFF"/>
                <w:sz w:val="16"/>
                <w:szCs w:val="16"/>
                <w:lang w:val="de-DE" w:eastAsia="de-DE"/>
              </w:rPr>
              <w:t>Class B %</w:t>
            </w:r>
          </w:p>
        </w:tc>
        <w:tc>
          <w:tcPr>
            <w:tcW w:w="454" w:type="pct"/>
            <w:tcBorders>
              <w:top w:val="nil"/>
              <w:left w:val="nil"/>
              <w:bottom w:val="nil"/>
              <w:right w:val="nil"/>
            </w:tcBorders>
            <w:shd w:val="clear" w:color="auto" w:fill="243782"/>
            <w:noWrap/>
            <w:vAlign w:val="bottom"/>
            <w:hideMark/>
          </w:tcPr>
          <w:p w14:paraId="792E5C12" w14:textId="77777777" w:rsidR="00D86B4D" w:rsidRPr="00DD27F1" w:rsidRDefault="00D86B4D" w:rsidP="00D86B4D">
            <w:pPr>
              <w:spacing w:line="240" w:lineRule="auto"/>
              <w:jc w:val="left"/>
              <w:rPr>
                <w:rFonts w:cs="Arial"/>
                <w:b/>
                <w:bCs/>
                <w:color w:val="FFFFFF"/>
                <w:sz w:val="16"/>
                <w:szCs w:val="16"/>
                <w:lang w:val="de-DE" w:eastAsia="de-DE"/>
              </w:rPr>
            </w:pPr>
            <w:r w:rsidRPr="00DD27F1">
              <w:rPr>
                <w:rFonts w:cs="Arial"/>
                <w:b/>
                <w:bCs/>
                <w:color w:val="FFFFFF"/>
                <w:sz w:val="16"/>
                <w:szCs w:val="16"/>
                <w:lang w:val="de-DE" w:eastAsia="de-DE"/>
              </w:rPr>
              <w:t>Class C %</w:t>
            </w:r>
          </w:p>
        </w:tc>
        <w:tc>
          <w:tcPr>
            <w:tcW w:w="454" w:type="pct"/>
            <w:tcBorders>
              <w:top w:val="nil"/>
              <w:left w:val="nil"/>
              <w:bottom w:val="nil"/>
              <w:right w:val="nil"/>
            </w:tcBorders>
            <w:shd w:val="clear" w:color="auto" w:fill="243782"/>
            <w:noWrap/>
            <w:vAlign w:val="bottom"/>
            <w:hideMark/>
          </w:tcPr>
          <w:p w14:paraId="028F18FA" w14:textId="77777777" w:rsidR="00D86B4D" w:rsidRPr="00DD27F1" w:rsidRDefault="00D86B4D" w:rsidP="00D86B4D">
            <w:pPr>
              <w:spacing w:line="240" w:lineRule="auto"/>
              <w:jc w:val="left"/>
              <w:rPr>
                <w:rFonts w:cs="Arial"/>
                <w:b/>
                <w:bCs/>
                <w:color w:val="FFFFFF"/>
                <w:sz w:val="16"/>
                <w:szCs w:val="16"/>
                <w:lang w:val="de-DE" w:eastAsia="de-DE"/>
              </w:rPr>
            </w:pPr>
            <w:r w:rsidRPr="00DD27F1">
              <w:rPr>
                <w:rFonts w:cs="Arial"/>
                <w:b/>
                <w:bCs/>
                <w:color w:val="FFFFFF"/>
                <w:sz w:val="16"/>
                <w:szCs w:val="16"/>
                <w:lang w:val="de-DE" w:eastAsia="de-DE"/>
              </w:rPr>
              <w:t>Class D %</w:t>
            </w:r>
          </w:p>
        </w:tc>
        <w:tc>
          <w:tcPr>
            <w:tcW w:w="454" w:type="pct"/>
            <w:tcBorders>
              <w:top w:val="nil"/>
              <w:left w:val="nil"/>
              <w:bottom w:val="nil"/>
              <w:right w:val="nil"/>
            </w:tcBorders>
            <w:shd w:val="clear" w:color="auto" w:fill="243782"/>
            <w:noWrap/>
            <w:vAlign w:val="bottom"/>
            <w:hideMark/>
          </w:tcPr>
          <w:p w14:paraId="46BDDACE" w14:textId="77777777" w:rsidR="00D86B4D" w:rsidRPr="00DD27F1" w:rsidRDefault="00D86B4D" w:rsidP="00D86B4D">
            <w:pPr>
              <w:spacing w:line="240" w:lineRule="auto"/>
              <w:jc w:val="left"/>
              <w:rPr>
                <w:rFonts w:cs="Arial"/>
                <w:b/>
                <w:bCs/>
                <w:color w:val="FFFFFF"/>
                <w:sz w:val="16"/>
                <w:szCs w:val="16"/>
                <w:lang w:val="de-DE" w:eastAsia="de-DE"/>
              </w:rPr>
            </w:pPr>
            <w:r w:rsidRPr="00DD27F1">
              <w:rPr>
                <w:rFonts w:cs="Arial"/>
                <w:b/>
                <w:bCs/>
                <w:color w:val="FFFFFF"/>
                <w:sz w:val="16"/>
                <w:szCs w:val="16"/>
                <w:lang w:val="de-DE" w:eastAsia="de-DE"/>
              </w:rPr>
              <w:t>Class E %</w:t>
            </w:r>
          </w:p>
        </w:tc>
        <w:tc>
          <w:tcPr>
            <w:tcW w:w="454" w:type="pct"/>
            <w:tcBorders>
              <w:top w:val="nil"/>
              <w:left w:val="nil"/>
              <w:bottom w:val="nil"/>
              <w:right w:val="nil"/>
            </w:tcBorders>
            <w:shd w:val="clear" w:color="auto" w:fill="243782"/>
            <w:noWrap/>
            <w:vAlign w:val="bottom"/>
            <w:hideMark/>
          </w:tcPr>
          <w:p w14:paraId="7C7FDC36" w14:textId="77777777" w:rsidR="00D86B4D" w:rsidRPr="00DD27F1" w:rsidRDefault="00D86B4D" w:rsidP="00D86B4D">
            <w:pPr>
              <w:spacing w:line="240" w:lineRule="auto"/>
              <w:jc w:val="left"/>
              <w:rPr>
                <w:rFonts w:cs="Arial"/>
                <w:b/>
                <w:bCs/>
                <w:color w:val="FFFFFF"/>
                <w:sz w:val="16"/>
                <w:szCs w:val="16"/>
                <w:lang w:val="de-DE" w:eastAsia="de-DE"/>
              </w:rPr>
            </w:pPr>
            <w:r w:rsidRPr="00DD27F1">
              <w:rPr>
                <w:rFonts w:cs="Arial"/>
                <w:b/>
                <w:bCs/>
                <w:color w:val="FFFFFF"/>
                <w:sz w:val="16"/>
                <w:szCs w:val="16"/>
                <w:lang w:val="de-DE" w:eastAsia="de-DE"/>
              </w:rPr>
              <w:t>Class F %</w:t>
            </w:r>
          </w:p>
        </w:tc>
        <w:tc>
          <w:tcPr>
            <w:tcW w:w="452" w:type="pct"/>
            <w:tcBorders>
              <w:top w:val="nil"/>
              <w:left w:val="nil"/>
              <w:bottom w:val="nil"/>
              <w:right w:val="nil"/>
            </w:tcBorders>
            <w:shd w:val="clear" w:color="auto" w:fill="243782"/>
            <w:noWrap/>
            <w:vAlign w:val="bottom"/>
            <w:hideMark/>
          </w:tcPr>
          <w:p w14:paraId="5030107B" w14:textId="77777777" w:rsidR="00D86B4D" w:rsidRPr="00DD27F1" w:rsidRDefault="00D86B4D" w:rsidP="00D86B4D">
            <w:pPr>
              <w:spacing w:line="240" w:lineRule="auto"/>
              <w:jc w:val="left"/>
              <w:rPr>
                <w:rFonts w:cs="Arial"/>
                <w:b/>
                <w:bCs/>
                <w:color w:val="FFFFFF"/>
                <w:sz w:val="16"/>
                <w:szCs w:val="16"/>
                <w:lang w:val="de-DE" w:eastAsia="de-DE"/>
              </w:rPr>
            </w:pPr>
            <w:r w:rsidRPr="00DD27F1">
              <w:rPr>
                <w:rFonts w:cs="Arial"/>
                <w:b/>
                <w:bCs/>
                <w:color w:val="FFFFFF"/>
                <w:sz w:val="16"/>
                <w:szCs w:val="16"/>
                <w:lang w:val="de-DE" w:eastAsia="de-DE"/>
              </w:rPr>
              <w:t>Class G %</w:t>
            </w:r>
          </w:p>
        </w:tc>
      </w:tr>
      <w:tr w:rsidR="0018008E" w:rsidRPr="0018008E" w14:paraId="13CF723F" w14:textId="77777777" w:rsidTr="00DD27F1">
        <w:trPr>
          <w:trHeight w:val="227"/>
        </w:trPr>
        <w:tc>
          <w:tcPr>
            <w:tcW w:w="598" w:type="pct"/>
            <w:tcBorders>
              <w:top w:val="nil"/>
              <w:left w:val="nil"/>
              <w:bottom w:val="nil"/>
              <w:right w:val="nil"/>
            </w:tcBorders>
            <w:shd w:val="clear" w:color="000000" w:fill="FFFFFF"/>
            <w:noWrap/>
            <w:vAlign w:val="bottom"/>
            <w:hideMark/>
          </w:tcPr>
          <w:p w14:paraId="7E837E4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27.06.2025</w:t>
            </w:r>
          </w:p>
        </w:tc>
        <w:tc>
          <w:tcPr>
            <w:tcW w:w="1229" w:type="pct"/>
            <w:tcBorders>
              <w:top w:val="nil"/>
              <w:left w:val="nil"/>
              <w:bottom w:val="nil"/>
              <w:right w:val="nil"/>
            </w:tcBorders>
            <w:shd w:val="clear" w:color="000000" w:fill="FFFFFF"/>
            <w:noWrap/>
            <w:hideMark/>
          </w:tcPr>
          <w:p w14:paraId="57A01C9C" w14:textId="5235819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p w14:paraId="159050F9" w14:textId="49C8B177" w:rsidR="0018008E" w:rsidRPr="00DD27F1" w:rsidRDefault="0018008E" w:rsidP="0018008E">
            <w:pPr>
              <w:spacing w:line="240" w:lineRule="auto"/>
              <w:jc w:val="left"/>
              <w:rPr>
                <w:rFonts w:cs="Arial"/>
                <w:color w:val="000000"/>
                <w:sz w:val="16"/>
                <w:szCs w:val="16"/>
                <w:lang w:val="de-DE" w:eastAsia="de-DE"/>
              </w:rPr>
            </w:pPr>
          </w:p>
        </w:tc>
        <w:tc>
          <w:tcPr>
            <w:tcW w:w="454" w:type="pct"/>
            <w:tcBorders>
              <w:top w:val="nil"/>
              <w:left w:val="nil"/>
              <w:bottom w:val="nil"/>
              <w:right w:val="nil"/>
            </w:tcBorders>
            <w:shd w:val="clear" w:color="000000" w:fill="FFFFFF"/>
            <w:noWrap/>
            <w:vAlign w:val="bottom"/>
            <w:hideMark/>
          </w:tcPr>
          <w:p w14:paraId="5C7F189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12DEC17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6B14BC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AB3C3D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3D6CE6B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15DB217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129FB42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00D2976A" w14:textId="77777777" w:rsidTr="00DD27F1">
        <w:trPr>
          <w:trHeight w:val="227"/>
        </w:trPr>
        <w:tc>
          <w:tcPr>
            <w:tcW w:w="598" w:type="pct"/>
            <w:tcBorders>
              <w:top w:val="nil"/>
              <w:left w:val="nil"/>
              <w:bottom w:val="nil"/>
              <w:right w:val="nil"/>
            </w:tcBorders>
            <w:shd w:val="clear" w:color="000000" w:fill="FFFFFF"/>
            <w:noWrap/>
            <w:vAlign w:val="bottom"/>
            <w:hideMark/>
          </w:tcPr>
          <w:p w14:paraId="185E9D3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25.07.2025</w:t>
            </w:r>
          </w:p>
        </w:tc>
        <w:tc>
          <w:tcPr>
            <w:tcW w:w="1229" w:type="pct"/>
            <w:tcBorders>
              <w:top w:val="nil"/>
              <w:left w:val="nil"/>
              <w:bottom w:val="nil"/>
              <w:right w:val="nil"/>
            </w:tcBorders>
            <w:shd w:val="clear" w:color="000000" w:fill="FFFFFF"/>
            <w:noWrap/>
            <w:hideMark/>
          </w:tcPr>
          <w:p w14:paraId="00C17DDB" w14:textId="69B8E341"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1A05E33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6EEBB39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6354922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3E7908D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4454EBE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8EC02C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61331C5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64AB6A87" w14:textId="77777777" w:rsidTr="00DD27F1">
        <w:trPr>
          <w:trHeight w:val="227"/>
        </w:trPr>
        <w:tc>
          <w:tcPr>
            <w:tcW w:w="598" w:type="pct"/>
            <w:tcBorders>
              <w:top w:val="nil"/>
              <w:left w:val="nil"/>
              <w:bottom w:val="nil"/>
              <w:right w:val="nil"/>
            </w:tcBorders>
            <w:shd w:val="clear" w:color="000000" w:fill="FFFFFF"/>
            <w:noWrap/>
            <w:vAlign w:val="bottom"/>
            <w:hideMark/>
          </w:tcPr>
          <w:p w14:paraId="2A07694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25.08.2025</w:t>
            </w:r>
          </w:p>
        </w:tc>
        <w:tc>
          <w:tcPr>
            <w:tcW w:w="1229" w:type="pct"/>
            <w:tcBorders>
              <w:top w:val="nil"/>
              <w:left w:val="nil"/>
              <w:bottom w:val="nil"/>
              <w:right w:val="nil"/>
            </w:tcBorders>
            <w:shd w:val="clear" w:color="000000" w:fill="FFFFFF"/>
            <w:noWrap/>
            <w:hideMark/>
          </w:tcPr>
          <w:p w14:paraId="795E328A" w14:textId="74F3224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2DC5BF7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165047D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20E0379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4C0FF0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B03CC3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2BBD2CD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136D56E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48CD2E26" w14:textId="77777777" w:rsidTr="00DD27F1">
        <w:trPr>
          <w:trHeight w:val="227"/>
        </w:trPr>
        <w:tc>
          <w:tcPr>
            <w:tcW w:w="598" w:type="pct"/>
            <w:tcBorders>
              <w:top w:val="nil"/>
              <w:left w:val="nil"/>
              <w:bottom w:val="nil"/>
              <w:right w:val="nil"/>
            </w:tcBorders>
            <w:shd w:val="clear" w:color="000000" w:fill="FFFFFF"/>
            <w:noWrap/>
            <w:vAlign w:val="bottom"/>
            <w:hideMark/>
          </w:tcPr>
          <w:p w14:paraId="1F22A6F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25.09.2025</w:t>
            </w:r>
          </w:p>
        </w:tc>
        <w:tc>
          <w:tcPr>
            <w:tcW w:w="1229" w:type="pct"/>
            <w:tcBorders>
              <w:top w:val="nil"/>
              <w:left w:val="nil"/>
              <w:bottom w:val="nil"/>
              <w:right w:val="nil"/>
            </w:tcBorders>
            <w:shd w:val="clear" w:color="000000" w:fill="FFFFFF"/>
            <w:noWrap/>
            <w:hideMark/>
          </w:tcPr>
          <w:p w14:paraId="0F6D31F9" w14:textId="2E78078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6B22CCC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3118199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49B4B9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4B0ACF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18E92F6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44CCD69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01522E7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13511F63" w14:textId="77777777" w:rsidTr="00DD27F1">
        <w:trPr>
          <w:trHeight w:val="227"/>
        </w:trPr>
        <w:tc>
          <w:tcPr>
            <w:tcW w:w="598" w:type="pct"/>
            <w:tcBorders>
              <w:top w:val="nil"/>
              <w:left w:val="nil"/>
              <w:bottom w:val="nil"/>
              <w:right w:val="nil"/>
            </w:tcBorders>
            <w:shd w:val="clear" w:color="000000" w:fill="FFFFFF"/>
            <w:noWrap/>
            <w:vAlign w:val="bottom"/>
            <w:hideMark/>
          </w:tcPr>
          <w:p w14:paraId="0270340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25.10.2025</w:t>
            </w:r>
          </w:p>
        </w:tc>
        <w:tc>
          <w:tcPr>
            <w:tcW w:w="1229" w:type="pct"/>
            <w:tcBorders>
              <w:top w:val="nil"/>
              <w:left w:val="nil"/>
              <w:bottom w:val="nil"/>
              <w:right w:val="nil"/>
            </w:tcBorders>
            <w:shd w:val="clear" w:color="000000" w:fill="FFFFFF"/>
            <w:noWrap/>
            <w:hideMark/>
          </w:tcPr>
          <w:p w14:paraId="25880B9E" w14:textId="4DC6270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6F326C8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7C7AC73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D3893B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4E87C97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4A49C3D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AEAB32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68E77A7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5A6954D0" w14:textId="77777777" w:rsidTr="00DD27F1">
        <w:trPr>
          <w:trHeight w:val="227"/>
        </w:trPr>
        <w:tc>
          <w:tcPr>
            <w:tcW w:w="598" w:type="pct"/>
            <w:tcBorders>
              <w:top w:val="nil"/>
              <w:left w:val="nil"/>
              <w:bottom w:val="nil"/>
              <w:right w:val="nil"/>
            </w:tcBorders>
            <w:shd w:val="clear" w:color="000000" w:fill="FFFFFF"/>
            <w:noWrap/>
            <w:vAlign w:val="bottom"/>
            <w:hideMark/>
          </w:tcPr>
          <w:p w14:paraId="2A2DE6B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25.11.2025</w:t>
            </w:r>
          </w:p>
        </w:tc>
        <w:tc>
          <w:tcPr>
            <w:tcW w:w="1229" w:type="pct"/>
            <w:tcBorders>
              <w:top w:val="nil"/>
              <w:left w:val="nil"/>
              <w:bottom w:val="nil"/>
              <w:right w:val="nil"/>
            </w:tcBorders>
            <w:shd w:val="clear" w:color="000000" w:fill="FFFFFF"/>
            <w:noWrap/>
            <w:hideMark/>
          </w:tcPr>
          <w:p w14:paraId="3DF9CF54" w14:textId="45D5097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3393AE3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438F78F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7220F87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75E8F1C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490459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2DC9C9A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31490C4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3C2BCA53" w14:textId="77777777" w:rsidTr="00DD27F1">
        <w:trPr>
          <w:trHeight w:val="227"/>
        </w:trPr>
        <w:tc>
          <w:tcPr>
            <w:tcW w:w="598" w:type="pct"/>
            <w:tcBorders>
              <w:top w:val="nil"/>
              <w:left w:val="nil"/>
              <w:bottom w:val="nil"/>
              <w:right w:val="nil"/>
            </w:tcBorders>
            <w:shd w:val="clear" w:color="000000" w:fill="FFFFFF"/>
            <w:noWrap/>
            <w:vAlign w:val="bottom"/>
            <w:hideMark/>
          </w:tcPr>
          <w:p w14:paraId="15E798E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25.12.2025</w:t>
            </w:r>
          </w:p>
        </w:tc>
        <w:tc>
          <w:tcPr>
            <w:tcW w:w="1229" w:type="pct"/>
            <w:tcBorders>
              <w:top w:val="nil"/>
              <w:left w:val="nil"/>
              <w:bottom w:val="nil"/>
              <w:right w:val="nil"/>
            </w:tcBorders>
            <w:shd w:val="clear" w:color="000000" w:fill="FFFFFF"/>
            <w:noWrap/>
            <w:hideMark/>
          </w:tcPr>
          <w:p w14:paraId="70E20B51" w14:textId="18D9221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2AD9191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65A53C9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F12122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434FE6F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6B5D834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7D820EE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0183E66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111E8BE7" w14:textId="77777777" w:rsidTr="00DD27F1">
        <w:trPr>
          <w:trHeight w:val="227"/>
        </w:trPr>
        <w:tc>
          <w:tcPr>
            <w:tcW w:w="598" w:type="pct"/>
            <w:tcBorders>
              <w:top w:val="nil"/>
              <w:left w:val="nil"/>
              <w:bottom w:val="nil"/>
              <w:right w:val="nil"/>
            </w:tcBorders>
            <w:shd w:val="clear" w:color="000000" w:fill="FFFFFF"/>
            <w:noWrap/>
            <w:vAlign w:val="bottom"/>
            <w:hideMark/>
          </w:tcPr>
          <w:p w14:paraId="76FDAD1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25.01.2026</w:t>
            </w:r>
          </w:p>
        </w:tc>
        <w:tc>
          <w:tcPr>
            <w:tcW w:w="1229" w:type="pct"/>
            <w:tcBorders>
              <w:top w:val="nil"/>
              <w:left w:val="nil"/>
              <w:bottom w:val="nil"/>
              <w:right w:val="nil"/>
            </w:tcBorders>
            <w:shd w:val="clear" w:color="000000" w:fill="FFFFFF"/>
            <w:noWrap/>
            <w:hideMark/>
          </w:tcPr>
          <w:p w14:paraId="7CE72A77" w14:textId="5CFD18C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4B551E0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1B6DC3B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CF92C4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E24648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353071F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1E9201E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625FD29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692A371E" w14:textId="77777777" w:rsidTr="00DD27F1">
        <w:trPr>
          <w:trHeight w:val="227"/>
        </w:trPr>
        <w:tc>
          <w:tcPr>
            <w:tcW w:w="598" w:type="pct"/>
            <w:tcBorders>
              <w:top w:val="nil"/>
              <w:left w:val="nil"/>
              <w:bottom w:val="nil"/>
              <w:right w:val="nil"/>
            </w:tcBorders>
            <w:shd w:val="clear" w:color="000000" w:fill="FFFFFF"/>
            <w:noWrap/>
            <w:vAlign w:val="bottom"/>
            <w:hideMark/>
          </w:tcPr>
          <w:p w14:paraId="5BE9D45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25.02.2026</w:t>
            </w:r>
          </w:p>
        </w:tc>
        <w:tc>
          <w:tcPr>
            <w:tcW w:w="1229" w:type="pct"/>
            <w:tcBorders>
              <w:top w:val="nil"/>
              <w:left w:val="nil"/>
              <w:bottom w:val="nil"/>
              <w:right w:val="nil"/>
            </w:tcBorders>
            <w:shd w:val="clear" w:color="000000" w:fill="FFFFFF"/>
            <w:noWrap/>
            <w:hideMark/>
          </w:tcPr>
          <w:p w14:paraId="3484DD83" w14:textId="74AD71DF"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6832A96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7A98D05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37CAAB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70ADE88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ABF3A4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752C3DC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3D4A5EF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36F18BF2" w14:textId="77777777" w:rsidTr="00DD27F1">
        <w:trPr>
          <w:trHeight w:val="227"/>
        </w:trPr>
        <w:tc>
          <w:tcPr>
            <w:tcW w:w="598" w:type="pct"/>
            <w:tcBorders>
              <w:top w:val="nil"/>
              <w:left w:val="nil"/>
              <w:bottom w:val="nil"/>
              <w:right w:val="nil"/>
            </w:tcBorders>
            <w:shd w:val="clear" w:color="000000" w:fill="FFFFFF"/>
            <w:noWrap/>
            <w:vAlign w:val="bottom"/>
            <w:hideMark/>
          </w:tcPr>
          <w:p w14:paraId="139170B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25.03.2026</w:t>
            </w:r>
          </w:p>
        </w:tc>
        <w:tc>
          <w:tcPr>
            <w:tcW w:w="1229" w:type="pct"/>
            <w:tcBorders>
              <w:top w:val="nil"/>
              <w:left w:val="nil"/>
              <w:bottom w:val="nil"/>
              <w:right w:val="nil"/>
            </w:tcBorders>
            <w:shd w:val="clear" w:color="000000" w:fill="FFFFFF"/>
            <w:noWrap/>
            <w:hideMark/>
          </w:tcPr>
          <w:p w14:paraId="4D9EB948" w14:textId="3CF66C73"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5D36E8F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1E93C4C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25F04AC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E726BC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69D417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69E5C82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2F3C4A0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6B706023" w14:textId="77777777" w:rsidTr="00DD27F1">
        <w:trPr>
          <w:trHeight w:val="227"/>
        </w:trPr>
        <w:tc>
          <w:tcPr>
            <w:tcW w:w="598" w:type="pct"/>
            <w:tcBorders>
              <w:top w:val="nil"/>
              <w:left w:val="nil"/>
              <w:bottom w:val="nil"/>
              <w:right w:val="nil"/>
            </w:tcBorders>
            <w:shd w:val="clear" w:color="000000" w:fill="FFFFFF"/>
            <w:noWrap/>
            <w:vAlign w:val="bottom"/>
            <w:hideMark/>
          </w:tcPr>
          <w:p w14:paraId="6B9297B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25.04.2026</w:t>
            </w:r>
          </w:p>
        </w:tc>
        <w:tc>
          <w:tcPr>
            <w:tcW w:w="1229" w:type="pct"/>
            <w:tcBorders>
              <w:top w:val="nil"/>
              <w:left w:val="nil"/>
              <w:bottom w:val="nil"/>
              <w:right w:val="nil"/>
            </w:tcBorders>
            <w:shd w:val="clear" w:color="000000" w:fill="FFFFFF"/>
            <w:noWrap/>
            <w:hideMark/>
          </w:tcPr>
          <w:p w14:paraId="71D3D272" w14:textId="54AB5C1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663D66C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C9DF5B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32E8DB4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2A32070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C45045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EC370A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0AC6106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5E8634B7" w14:textId="77777777" w:rsidTr="00DD27F1">
        <w:trPr>
          <w:trHeight w:val="227"/>
        </w:trPr>
        <w:tc>
          <w:tcPr>
            <w:tcW w:w="598" w:type="pct"/>
            <w:tcBorders>
              <w:top w:val="nil"/>
              <w:left w:val="nil"/>
              <w:bottom w:val="nil"/>
              <w:right w:val="nil"/>
            </w:tcBorders>
            <w:shd w:val="clear" w:color="000000" w:fill="FFFFFF"/>
            <w:noWrap/>
            <w:vAlign w:val="bottom"/>
            <w:hideMark/>
          </w:tcPr>
          <w:p w14:paraId="5125104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25.05.2026</w:t>
            </w:r>
          </w:p>
        </w:tc>
        <w:tc>
          <w:tcPr>
            <w:tcW w:w="1229" w:type="pct"/>
            <w:tcBorders>
              <w:top w:val="nil"/>
              <w:left w:val="nil"/>
              <w:bottom w:val="nil"/>
              <w:right w:val="nil"/>
            </w:tcBorders>
            <w:shd w:val="clear" w:color="000000" w:fill="FFFFFF"/>
            <w:noWrap/>
            <w:hideMark/>
          </w:tcPr>
          <w:p w14:paraId="15EF6844" w14:textId="4CF959F7"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1C7FA9B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689E56A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1D6F0C9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484331C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54DA9F1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621583A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6E6973A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62A18C4C" w14:textId="77777777" w:rsidTr="00DD27F1">
        <w:trPr>
          <w:trHeight w:val="227"/>
        </w:trPr>
        <w:tc>
          <w:tcPr>
            <w:tcW w:w="598" w:type="pct"/>
            <w:tcBorders>
              <w:top w:val="nil"/>
              <w:left w:val="nil"/>
              <w:bottom w:val="nil"/>
              <w:right w:val="nil"/>
            </w:tcBorders>
            <w:shd w:val="clear" w:color="000000" w:fill="FFFFFF"/>
            <w:noWrap/>
            <w:vAlign w:val="bottom"/>
            <w:hideMark/>
          </w:tcPr>
          <w:p w14:paraId="5DA13E1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lastRenderedPageBreak/>
              <w:t>25.06.2026</w:t>
            </w:r>
          </w:p>
        </w:tc>
        <w:tc>
          <w:tcPr>
            <w:tcW w:w="1229" w:type="pct"/>
            <w:tcBorders>
              <w:top w:val="nil"/>
              <w:left w:val="nil"/>
              <w:bottom w:val="nil"/>
              <w:right w:val="nil"/>
            </w:tcBorders>
            <w:shd w:val="clear" w:color="000000" w:fill="FFFFFF"/>
            <w:noWrap/>
            <w:hideMark/>
          </w:tcPr>
          <w:p w14:paraId="0DD83B52" w14:textId="14FD30A0"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1,239,997,050.34 </w:t>
            </w:r>
          </w:p>
        </w:tc>
        <w:tc>
          <w:tcPr>
            <w:tcW w:w="454" w:type="pct"/>
            <w:tcBorders>
              <w:top w:val="nil"/>
              <w:left w:val="nil"/>
              <w:bottom w:val="nil"/>
              <w:right w:val="nil"/>
            </w:tcBorders>
            <w:shd w:val="clear" w:color="000000" w:fill="FFFFFF"/>
            <w:noWrap/>
            <w:vAlign w:val="bottom"/>
            <w:hideMark/>
          </w:tcPr>
          <w:p w14:paraId="3B68846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33ABD4B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620CF30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25D55A3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04F2F30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4" w:type="pct"/>
            <w:tcBorders>
              <w:top w:val="nil"/>
              <w:left w:val="nil"/>
              <w:bottom w:val="nil"/>
              <w:right w:val="nil"/>
            </w:tcBorders>
            <w:shd w:val="clear" w:color="000000" w:fill="FFFFFF"/>
            <w:noWrap/>
            <w:vAlign w:val="bottom"/>
            <w:hideMark/>
          </w:tcPr>
          <w:p w14:paraId="776247D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c>
          <w:tcPr>
            <w:tcW w:w="452" w:type="pct"/>
            <w:tcBorders>
              <w:top w:val="nil"/>
              <w:left w:val="nil"/>
              <w:bottom w:val="nil"/>
              <w:right w:val="nil"/>
            </w:tcBorders>
            <w:shd w:val="clear" w:color="000000" w:fill="FFFFFF"/>
            <w:noWrap/>
            <w:vAlign w:val="bottom"/>
            <w:hideMark/>
          </w:tcPr>
          <w:p w14:paraId="106A8CA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100.00%</w:t>
            </w:r>
          </w:p>
        </w:tc>
      </w:tr>
      <w:tr w:rsidR="0018008E" w:rsidRPr="0018008E" w14:paraId="732A6D38" w14:textId="77777777" w:rsidTr="00DD27F1">
        <w:trPr>
          <w:trHeight w:val="227"/>
        </w:trPr>
        <w:tc>
          <w:tcPr>
            <w:tcW w:w="598" w:type="pct"/>
            <w:tcBorders>
              <w:top w:val="nil"/>
              <w:left w:val="nil"/>
              <w:bottom w:val="nil"/>
              <w:right w:val="nil"/>
            </w:tcBorders>
            <w:shd w:val="clear" w:color="000000" w:fill="FFFFFF"/>
            <w:noWrap/>
            <w:vAlign w:val="bottom"/>
            <w:hideMark/>
          </w:tcPr>
          <w:p w14:paraId="6A9025F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25.07.2026</w:t>
            </w:r>
          </w:p>
        </w:tc>
        <w:tc>
          <w:tcPr>
            <w:tcW w:w="1229" w:type="pct"/>
            <w:tcBorders>
              <w:top w:val="nil"/>
              <w:left w:val="nil"/>
              <w:bottom w:val="nil"/>
              <w:right w:val="nil"/>
            </w:tcBorders>
            <w:shd w:val="clear" w:color="000000" w:fill="FFFFFF"/>
            <w:noWrap/>
            <w:hideMark/>
          </w:tcPr>
          <w:p w14:paraId="370D2CDA" w14:textId="503F2013"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1,203,465,406.54 </w:t>
            </w:r>
          </w:p>
        </w:tc>
        <w:tc>
          <w:tcPr>
            <w:tcW w:w="454" w:type="pct"/>
            <w:tcBorders>
              <w:top w:val="nil"/>
              <w:left w:val="nil"/>
              <w:bottom w:val="nil"/>
              <w:right w:val="nil"/>
            </w:tcBorders>
            <w:shd w:val="clear" w:color="000000" w:fill="FFFFFF"/>
            <w:noWrap/>
            <w:vAlign w:val="bottom"/>
            <w:hideMark/>
          </w:tcPr>
          <w:p w14:paraId="0F7E82E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97.05%</w:t>
            </w:r>
          </w:p>
        </w:tc>
        <w:tc>
          <w:tcPr>
            <w:tcW w:w="454" w:type="pct"/>
            <w:tcBorders>
              <w:top w:val="nil"/>
              <w:left w:val="nil"/>
              <w:bottom w:val="nil"/>
              <w:right w:val="nil"/>
            </w:tcBorders>
            <w:shd w:val="clear" w:color="000000" w:fill="FFFFFF"/>
            <w:noWrap/>
            <w:vAlign w:val="bottom"/>
            <w:hideMark/>
          </w:tcPr>
          <w:p w14:paraId="0370E4B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97.05%</w:t>
            </w:r>
          </w:p>
        </w:tc>
        <w:tc>
          <w:tcPr>
            <w:tcW w:w="454" w:type="pct"/>
            <w:tcBorders>
              <w:top w:val="nil"/>
              <w:left w:val="nil"/>
              <w:bottom w:val="nil"/>
              <w:right w:val="nil"/>
            </w:tcBorders>
            <w:shd w:val="clear" w:color="000000" w:fill="FFFFFF"/>
            <w:noWrap/>
            <w:vAlign w:val="bottom"/>
            <w:hideMark/>
          </w:tcPr>
          <w:p w14:paraId="1D02D9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97.05%</w:t>
            </w:r>
          </w:p>
        </w:tc>
        <w:tc>
          <w:tcPr>
            <w:tcW w:w="454" w:type="pct"/>
            <w:tcBorders>
              <w:top w:val="nil"/>
              <w:left w:val="nil"/>
              <w:bottom w:val="nil"/>
              <w:right w:val="nil"/>
            </w:tcBorders>
            <w:shd w:val="clear" w:color="000000" w:fill="FFFFFF"/>
            <w:noWrap/>
            <w:vAlign w:val="bottom"/>
            <w:hideMark/>
          </w:tcPr>
          <w:p w14:paraId="11539DD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97.05%</w:t>
            </w:r>
          </w:p>
        </w:tc>
        <w:tc>
          <w:tcPr>
            <w:tcW w:w="454" w:type="pct"/>
            <w:tcBorders>
              <w:top w:val="nil"/>
              <w:left w:val="nil"/>
              <w:bottom w:val="nil"/>
              <w:right w:val="nil"/>
            </w:tcBorders>
            <w:shd w:val="clear" w:color="000000" w:fill="FFFFFF"/>
            <w:noWrap/>
            <w:vAlign w:val="bottom"/>
            <w:hideMark/>
          </w:tcPr>
          <w:p w14:paraId="4FDB4E4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97.05%</w:t>
            </w:r>
          </w:p>
        </w:tc>
        <w:tc>
          <w:tcPr>
            <w:tcW w:w="454" w:type="pct"/>
            <w:tcBorders>
              <w:top w:val="nil"/>
              <w:left w:val="nil"/>
              <w:bottom w:val="nil"/>
              <w:right w:val="nil"/>
            </w:tcBorders>
            <w:shd w:val="clear" w:color="000000" w:fill="FFFFFF"/>
            <w:noWrap/>
            <w:vAlign w:val="bottom"/>
            <w:hideMark/>
          </w:tcPr>
          <w:p w14:paraId="2B568F0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97.05%</w:t>
            </w:r>
          </w:p>
        </w:tc>
        <w:tc>
          <w:tcPr>
            <w:tcW w:w="452" w:type="pct"/>
            <w:tcBorders>
              <w:top w:val="nil"/>
              <w:left w:val="nil"/>
              <w:bottom w:val="nil"/>
              <w:right w:val="nil"/>
            </w:tcBorders>
            <w:shd w:val="clear" w:color="000000" w:fill="FFFFFF"/>
            <w:noWrap/>
            <w:vAlign w:val="bottom"/>
            <w:hideMark/>
          </w:tcPr>
          <w:p w14:paraId="32B8B5F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97.05%</w:t>
            </w:r>
          </w:p>
        </w:tc>
      </w:tr>
      <w:tr w:rsidR="0018008E" w:rsidRPr="0018008E" w14:paraId="4EAA854F" w14:textId="77777777" w:rsidTr="00DD27F1">
        <w:trPr>
          <w:trHeight w:val="227"/>
        </w:trPr>
        <w:tc>
          <w:tcPr>
            <w:tcW w:w="598" w:type="pct"/>
            <w:tcBorders>
              <w:top w:val="nil"/>
              <w:left w:val="nil"/>
              <w:bottom w:val="nil"/>
              <w:right w:val="nil"/>
            </w:tcBorders>
            <w:shd w:val="clear" w:color="000000" w:fill="FFFFFF"/>
            <w:noWrap/>
            <w:vAlign w:val="bottom"/>
            <w:hideMark/>
          </w:tcPr>
          <w:p w14:paraId="3DACF40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25.08.2026</w:t>
            </w:r>
          </w:p>
        </w:tc>
        <w:tc>
          <w:tcPr>
            <w:tcW w:w="1229" w:type="pct"/>
            <w:tcBorders>
              <w:top w:val="nil"/>
              <w:left w:val="nil"/>
              <w:bottom w:val="nil"/>
              <w:right w:val="nil"/>
            </w:tcBorders>
            <w:shd w:val="clear" w:color="000000" w:fill="FFFFFF"/>
            <w:noWrap/>
            <w:hideMark/>
          </w:tcPr>
          <w:p w14:paraId="2F1AA5F5" w14:textId="20BE4A5A"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1,160,527,171.36 </w:t>
            </w:r>
          </w:p>
        </w:tc>
        <w:tc>
          <w:tcPr>
            <w:tcW w:w="454" w:type="pct"/>
            <w:tcBorders>
              <w:top w:val="nil"/>
              <w:left w:val="nil"/>
              <w:bottom w:val="nil"/>
              <w:right w:val="nil"/>
            </w:tcBorders>
            <w:shd w:val="clear" w:color="000000" w:fill="FFFFFF"/>
            <w:noWrap/>
            <w:vAlign w:val="bottom"/>
            <w:hideMark/>
          </w:tcPr>
          <w:p w14:paraId="2C5D73A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93.59%</w:t>
            </w:r>
          </w:p>
        </w:tc>
        <w:tc>
          <w:tcPr>
            <w:tcW w:w="454" w:type="pct"/>
            <w:tcBorders>
              <w:top w:val="nil"/>
              <w:left w:val="nil"/>
              <w:bottom w:val="nil"/>
              <w:right w:val="nil"/>
            </w:tcBorders>
            <w:shd w:val="clear" w:color="000000" w:fill="FFFFFF"/>
            <w:noWrap/>
            <w:vAlign w:val="bottom"/>
            <w:hideMark/>
          </w:tcPr>
          <w:p w14:paraId="182BC59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93.59%</w:t>
            </w:r>
          </w:p>
        </w:tc>
        <w:tc>
          <w:tcPr>
            <w:tcW w:w="454" w:type="pct"/>
            <w:tcBorders>
              <w:top w:val="nil"/>
              <w:left w:val="nil"/>
              <w:bottom w:val="nil"/>
              <w:right w:val="nil"/>
            </w:tcBorders>
            <w:shd w:val="clear" w:color="000000" w:fill="FFFFFF"/>
            <w:noWrap/>
            <w:vAlign w:val="bottom"/>
            <w:hideMark/>
          </w:tcPr>
          <w:p w14:paraId="6247CA2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93.59%</w:t>
            </w:r>
          </w:p>
        </w:tc>
        <w:tc>
          <w:tcPr>
            <w:tcW w:w="454" w:type="pct"/>
            <w:tcBorders>
              <w:top w:val="nil"/>
              <w:left w:val="nil"/>
              <w:bottom w:val="nil"/>
              <w:right w:val="nil"/>
            </w:tcBorders>
            <w:shd w:val="clear" w:color="000000" w:fill="FFFFFF"/>
            <w:noWrap/>
            <w:vAlign w:val="bottom"/>
            <w:hideMark/>
          </w:tcPr>
          <w:p w14:paraId="77224E7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93.59%</w:t>
            </w:r>
          </w:p>
        </w:tc>
        <w:tc>
          <w:tcPr>
            <w:tcW w:w="454" w:type="pct"/>
            <w:tcBorders>
              <w:top w:val="nil"/>
              <w:left w:val="nil"/>
              <w:bottom w:val="nil"/>
              <w:right w:val="nil"/>
            </w:tcBorders>
            <w:shd w:val="clear" w:color="000000" w:fill="FFFFFF"/>
            <w:noWrap/>
            <w:vAlign w:val="bottom"/>
            <w:hideMark/>
          </w:tcPr>
          <w:p w14:paraId="7A2A374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93.59%</w:t>
            </w:r>
          </w:p>
        </w:tc>
        <w:tc>
          <w:tcPr>
            <w:tcW w:w="454" w:type="pct"/>
            <w:tcBorders>
              <w:top w:val="nil"/>
              <w:left w:val="nil"/>
              <w:bottom w:val="nil"/>
              <w:right w:val="nil"/>
            </w:tcBorders>
            <w:shd w:val="clear" w:color="000000" w:fill="FFFFFF"/>
            <w:noWrap/>
            <w:vAlign w:val="bottom"/>
            <w:hideMark/>
          </w:tcPr>
          <w:p w14:paraId="409864C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93.59%</w:t>
            </w:r>
          </w:p>
        </w:tc>
        <w:tc>
          <w:tcPr>
            <w:tcW w:w="452" w:type="pct"/>
            <w:tcBorders>
              <w:top w:val="nil"/>
              <w:left w:val="nil"/>
              <w:bottom w:val="nil"/>
              <w:right w:val="nil"/>
            </w:tcBorders>
            <w:shd w:val="clear" w:color="000000" w:fill="FFFFFF"/>
            <w:noWrap/>
            <w:vAlign w:val="bottom"/>
            <w:hideMark/>
          </w:tcPr>
          <w:p w14:paraId="316018F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93.59%</w:t>
            </w:r>
          </w:p>
        </w:tc>
      </w:tr>
      <w:tr w:rsidR="0018008E" w:rsidRPr="0018008E" w14:paraId="19C64693" w14:textId="77777777" w:rsidTr="00DD27F1">
        <w:trPr>
          <w:trHeight w:val="227"/>
        </w:trPr>
        <w:tc>
          <w:tcPr>
            <w:tcW w:w="598" w:type="pct"/>
            <w:tcBorders>
              <w:top w:val="nil"/>
              <w:left w:val="nil"/>
              <w:bottom w:val="nil"/>
              <w:right w:val="nil"/>
            </w:tcBorders>
            <w:shd w:val="clear" w:color="000000" w:fill="FFFFFF"/>
            <w:noWrap/>
            <w:vAlign w:val="bottom"/>
            <w:hideMark/>
          </w:tcPr>
          <w:p w14:paraId="7EC90FC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25.09.2026</w:t>
            </w:r>
          </w:p>
        </w:tc>
        <w:tc>
          <w:tcPr>
            <w:tcW w:w="1229" w:type="pct"/>
            <w:tcBorders>
              <w:top w:val="nil"/>
              <w:left w:val="nil"/>
              <w:bottom w:val="nil"/>
              <w:right w:val="nil"/>
            </w:tcBorders>
            <w:shd w:val="clear" w:color="000000" w:fill="FFFFFF"/>
            <w:noWrap/>
            <w:hideMark/>
          </w:tcPr>
          <w:p w14:paraId="026F043D" w14:textId="3F37232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1,109,481,625.88 </w:t>
            </w:r>
          </w:p>
        </w:tc>
        <w:tc>
          <w:tcPr>
            <w:tcW w:w="454" w:type="pct"/>
            <w:tcBorders>
              <w:top w:val="nil"/>
              <w:left w:val="nil"/>
              <w:bottom w:val="nil"/>
              <w:right w:val="nil"/>
            </w:tcBorders>
            <w:shd w:val="clear" w:color="000000" w:fill="FFFFFF"/>
            <w:noWrap/>
            <w:vAlign w:val="bottom"/>
            <w:hideMark/>
          </w:tcPr>
          <w:p w14:paraId="78023B7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89.47%</w:t>
            </w:r>
          </w:p>
        </w:tc>
        <w:tc>
          <w:tcPr>
            <w:tcW w:w="454" w:type="pct"/>
            <w:tcBorders>
              <w:top w:val="nil"/>
              <w:left w:val="nil"/>
              <w:bottom w:val="nil"/>
              <w:right w:val="nil"/>
            </w:tcBorders>
            <w:shd w:val="clear" w:color="000000" w:fill="FFFFFF"/>
            <w:noWrap/>
            <w:vAlign w:val="bottom"/>
            <w:hideMark/>
          </w:tcPr>
          <w:p w14:paraId="08AF99D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89.47%</w:t>
            </w:r>
          </w:p>
        </w:tc>
        <w:tc>
          <w:tcPr>
            <w:tcW w:w="454" w:type="pct"/>
            <w:tcBorders>
              <w:top w:val="nil"/>
              <w:left w:val="nil"/>
              <w:bottom w:val="nil"/>
              <w:right w:val="nil"/>
            </w:tcBorders>
            <w:shd w:val="clear" w:color="000000" w:fill="FFFFFF"/>
            <w:noWrap/>
            <w:vAlign w:val="bottom"/>
            <w:hideMark/>
          </w:tcPr>
          <w:p w14:paraId="53AD058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89.47%</w:t>
            </w:r>
          </w:p>
        </w:tc>
        <w:tc>
          <w:tcPr>
            <w:tcW w:w="454" w:type="pct"/>
            <w:tcBorders>
              <w:top w:val="nil"/>
              <w:left w:val="nil"/>
              <w:bottom w:val="nil"/>
              <w:right w:val="nil"/>
            </w:tcBorders>
            <w:shd w:val="clear" w:color="000000" w:fill="FFFFFF"/>
            <w:noWrap/>
            <w:vAlign w:val="bottom"/>
            <w:hideMark/>
          </w:tcPr>
          <w:p w14:paraId="2FBABA2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89.47%</w:t>
            </w:r>
          </w:p>
        </w:tc>
        <w:tc>
          <w:tcPr>
            <w:tcW w:w="454" w:type="pct"/>
            <w:tcBorders>
              <w:top w:val="nil"/>
              <w:left w:val="nil"/>
              <w:bottom w:val="nil"/>
              <w:right w:val="nil"/>
            </w:tcBorders>
            <w:shd w:val="clear" w:color="000000" w:fill="FFFFFF"/>
            <w:noWrap/>
            <w:vAlign w:val="bottom"/>
            <w:hideMark/>
          </w:tcPr>
          <w:p w14:paraId="2984526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89.47%</w:t>
            </w:r>
          </w:p>
        </w:tc>
        <w:tc>
          <w:tcPr>
            <w:tcW w:w="454" w:type="pct"/>
            <w:tcBorders>
              <w:top w:val="nil"/>
              <w:left w:val="nil"/>
              <w:bottom w:val="nil"/>
              <w:right w:val="nil"/>
            </w:tcBorders>
            <w:shd w:val="clear" w:color="000000" w:fill="FFFFFF"/>
            <w:noWrap/>
            <w:vAlign w:val="bottom"/>
            <w:hideMark/>
          </w:tcPr>
          <w:p w14:paraId="5459B99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89.47%</w:t>
            </w:r>
          </w:p>
        </w:tc>
        <w:tc>
          <w:tcPr>
            <w:tcW w:w="452" w:type="pct"/>
            <w:tcBorders>
              <w:top w:val="nil"/>
              <w:left w:val="nil"/>
              <w:bottom w:val="nil"/>
              <w:right w:val="nil"/>
            </w:tcBorders>
            <w:shd w:val="clear" w:color="000000" w:fill="FFFFFF"/>
            <w:noWrap/>
            <w:vAlign w:val="bottom"/>
            <w:hideMark/>
          </w:tcPr>
          <w:p w14:paraId="1130D77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89.47%</w:t>
            </w:r>
          </w:p>
        </w:tc>
      </w:tr>
      <w:tr w:rsidR="0018008E" w:rsidRPr="0018008E" w14:paraId="00231781" w14:textId="77777777" w:rsidTr="00DD27F1">
        <w:trPr>
          <w:trHeight w:val="227"/>
        </w:trPr>
        <w:tc>
          <w:tcPr>
            <w:tcW w:w="598" w:type="pct"/>
            <w:tcBorders>
              <w:top w:val="nil"/>
              <w:left w:val="nil"/>
              <w:bottom w:val="nil"/>
              <w:right w:val="nil"/>
            </w:tcBorders>
            <w:shd w:val="clear" w:color="000000" w:fill="FFFFFF"/>
            <w:noWrap/>
            <w:vAlign w:val="bottom"/>
            <w:hideMark/>
          </w:tcPr>
          <w:p w14:paraId="668E292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25.10.2026</w:t>
            </w:r>
          </w:p>
        </w:tc>
        <w:tc>
          <w:tcPr>
            <w:tcW w:w="1229" w:type="pct"/>
            <w:tcBorders>
              <w:top w:val="nil"/>
              <w:left w:val="nil"/>
              <w:bottom w:val="nil"/>
              <w:right w:val="nil"/>
            </w:tcBorders>
            <w:shd w:val="clear" w:color="000000" w:fill="FFFFFF"/>
            <w:noWrap/>
            <w:hideMark/>
          </w:tcPr>
          <w:p w14:paraId="76CE90E4" w14:textId="414D764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1,055,349,477.65 </w:t>
            </w:r>
          </w:p>
        </w:tc>
        <w:tc>
          <w:tcPr>
            <w:tcW w:w="454" w:type="pct"/>
            <w:tcBorders>
              <w:top w:val="nil"/>
              <w:left w:val="nil"/>
              <w:bottom w:val="nil"/>
              <w:right w:val="nil"/>
            </w:tcBorders>
            <w:shd w:val="clear" w:color="000000" w:fill="FFFFFF"/>
            <w:noWrap/>
            <w:vAlign w:val="bottom"/>
            <w:hideMark/>
          </w:tcPr>
          <w:p w14:paraId="6D996A1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85.11%</w:t>
            </w:r>
          </w:p>
        </w:tc>
        <w:tc>
          <w:tcPr>
            <w:tcW w:w="454" w:type="pct"/>
            <w:tcBorders>
              <w:top w:val="nil"/>
              <w:left w:val="nil"/>
              <w:bottom w:val="nil"/>
              <w:right w:val="nil"/>
            </w:tcBorders>
            <w:shd w:val="clear" w:color="000000" w:fill="FFFFFF"/>
            <w:noWrap/>
            <w:vAlign w:val="bottom"/>
            <w:hideMark/>
          </w:tcPr>
          <w:p w14:paraId="318810E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85.11%</w:t>
            </w:r>
          </w:p>
        </w:tc>
        <w:tc>
          <w:tcPr>
            <w:tcW w:w="454" w:type="pct"/>
            <w:tcBorders>
              <w:top w:val="nil"/>
              <w:left w:val="nil"/>
              <w:bottom w:val="nil"/>
              <w:right w:val="nil"/>
            </w:tcBorders>
            <w:shd w:val="clear" w:color="000000" w:fill="FFFFFF"/>
            <w:noWrap/>
            <w:vAlign w:val="bottom"/>
            <w:hideMark/>
          </w:tcPr>
          <w:p w14:paraId="4BFC72C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85.11%</w:t>
            </w:r>
          </w:p>
        </w:tc>
        <w:tc>
          <w:tcPr>
            <w:tcW w:w="454" w:type="pct"/>
            <w:tcBorders>
              <w:top w:val="nil"/>
              <w:left w:val="nil"/>
              <w:bottom w:val="nil"/>
              <w:right w:val="nil"/>
            </w:tcBorders>
            <w:shd w:val="clear" w:color="000000" w:fill="FFFFFF"/>
            <w:noWrap/>
            <w:vAlign w:val="bottom"/>
            <w:hideMark/>
          </w:tcPr>
          <w:p w14:paraId="2ECD5EB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85.11%</w:t>
            </w:r>
          </w:p>
        </w:tc>
        <w:tc>
          <w:tcPr>
            <w:tcW w:w="454" w:type="pct"/>
            <w:tcBorders>
              <w:top w:val="nil"/>
              <w:left w:val="nil"/>
              <w:bottom w:val="nil"/>
              <w:right w:val="nil"/>
            </w:tcBorders>
            <w:shd w:val="clear" w:color="000000" w:fill="FFFFFF"/>
            <w:noWrap/>
            <w:vAlign w:val="bottom"/>
            <w:hideMark/>
          </w:tcPr>
          <w:p w14:paraId="17B690E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85.11%</w:t>
            </w:r>
          </w:p>
        </w:tc>
        <w:tc>
          <w:tcPr>
            <w:tcW w:w="454" w:type="pct"/>
            <w:tcBorders>
              <w:top w:val="nil"/>
              <w:left w:val="nil"/>
              <w:bottom w:val="nil"/>
              <w:right w:val="nil"/>
            </w:tcBorders>
            <w:shd w:val="clear" w:color="000000" w:fill="FFFFFF"/>
            <w:noWrap/>
            <w:vAlign w:val="bottom"/>
            <w:hideMark/>
          </w:tcPr>
          <w:p w14:paraId="51E2D22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85.11%</w:t>
            </w:r>
          </w:p>
        </w:tc>
        <w:tc>
          <w:tcPr>
            <w:tcW w:w="452" w:type="pct"/>
            <w:tcBorders>
              <w:top w:val="nil"/>
              <w:left w:val="nil"/>
              <w:bottom w:val="nil"/>
              <w:right w:val="nil"/>
            </w:tcBorders>
            <w:shd w:val="clear" w:color="000000" w:fill="FFFFFF"/>
            <w:noWrap/>
            <w:vAlign w:val="bottom"/>
            <w:hideMark/>
          </w:tcPr>
          <w:p w14:paraId="05A4036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85.11%</w:t>
            </w:r>
          </w:p>
        </w:tc>
      </w:tr>
      <w:tr w:rsidR="0018008E" w:rsidRPr="0018008E" w14:paraId="70B3842D" w14:textId="77777777" w:rsidTr="00DD27F1">
        <w:trPr>
          <w:trHeight w:val="227"/>
        </w:trPr>
        <w:tc>
          <w:tcPr>
            <w:tcW w:w="598" w:type="pct"/>
            <w:tcBorders>
              <w:top w:val="nil"/>
              <w:left w:val="nil"/>
              <w:bottom w:val="nil"/>
              <w:right w:val="nil"/>
            </w:tcBorders>
            <w:shd w:val="clear" w:color="000000" w:fill="FFFFFF"/>
            <w:noWrap/>
            <w:vAlign w:val="bottom"/>
            <w:hideMark/>
          </w:tcPr>
          <w:p w14:paraId="5D49733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25.11.2026</w:t>
            </w:r>
          </w:p>
        </w:tc>
        <w:tc>
          <w:tcPr>
            <w:tcW w:w="1229" w:type="pct"/>
            <w:tcBorders>
              <w:top w:val="nil"/>
              <w:left w:val="nil"/>
              <w:bottom w:val="nil"/>
              <w:right w:val="nil"/>
            </w:tcBorders>
            <w:shd w:val="clear" w:color="000000" w:fill="FFFFFF"/>
            <w:noWrap/>
            <w:hideMark/>
          </w:tcPr>
          <w:p w14:paraId="65D636DC" w14:textId="53C0329A"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1,003,784,444.51 </w:t>
            </w:r>
          </w:p>
        </w:tc>
        <w:tc>
          <w:tcPr>
            <w:tcW w:w="454" w:type="pct"/>
            <w:tcBorders>
              <w:top w:val="nil"/>
              <w:left w:val="nil"/>
              <w:bottom w:val="nil"/>
              <w:right w:val="nil"/>
            </w:tcBorders>
            <w:shd w:val="clear" w:color="000000" w:fill="FFFFFF"/>
            <w:noWrap/>
            <w:vAlign w:val="bottom"/>
            <w:hideMark/>
          </w:tcPr>
          <w:p w14:paraId="6603866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80.95%</w:t>
            </w:r>
          </w:p>
        </w:tc>
        <w:tc>
          <w:tcPr>
            <w:tcW w:w="454" w:type="pct"/>
            <w:tcBorders>
              <w:top w:val="nil"/>
              <w:left w:val="nil"/>
              <w:bottom w:val="nil"/>
              <w:right w:val="nil"/>
            </w:tcBorders>
            <w:shd w:val="clear" w:color="000000" w:fill="FFFFFF"/>
            <w:noWrap/>
            <w:vAlign w:val="bottom"/>
            <w:hideMark/>
          </w:tcPr>
          <w:p w14:paraId="3047767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80.95%</w:t>
            </w:r>
          </w:p>
        </w:tc>
        <w:tc>
          <w:tcPr>
            <w:tcW w:w="454" w:type="pct"/>
            <w:tcBorders>
              <w:top w:val="nil"/>
              <w:left w:val="nil"/>
              <w:bottom w:val="nil"/>
              <w:right w:val="nil"/>
            </w:tcBorders>
            <w:shd w:val="clear" w:color="000000" w:fill="FFFFFF"/>
            <w:noWrap/>
            <w:vAlign w:val="bottom"/>
            <w:hideMark/>
          </w:tcPr>
          <w:p w14:paraId="40982EF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80.95%</w:t>
            </w:r>
          </w:p>
        </w:tc>
        <w:tc>
          <w:tcPr>
            <w:tcW w:w="454" w:type="pct"/>
            <w:tcBorders>
              <w:top w:val="nil"/>
              <w:left w:val="nil"/>
              <w:bottom w:val="nil"/>
              <w:right w:val="nil"/>
            </w:tcBorders>
            <w:shd w:val="clear" w:color="000000" w:fill="FFFFFF"/>
            <w:noWrap/>
            <w:vAlign w:val="bottom"/>
            <w:hideMark/>
          </w:tcPr>
          <w:p w14:paraId="294E5FA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80.95%</w:t>
            </w:r>
          </w:p>
        </w:tc>
        <w:tc>
          <w:tcPr>
            <w:tcW w:w="454" w:type="pct"/>
            <w:tcBorders>
              <w:top w:val="nil"/>
              <w:left w:val="nil"/>
              <w:bottom w:val="nil"/>
              <w:right w:val="nil"/>
            </w:tcBorders>
            <w:shd w:val="clear" w:color="000000" w:fill="FFFFFF"/>
            <w:noWrap/>
            <w:vAlign w:val="bottom"/>
            <w:hideMark/>
          </w:tcPr>
          <w:p w14:paraId="3EB8135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80.95%</w:t>
            </w:r>
          </w:p>
        </w:tc>
        <w:tc>
          <w:tcPr>
            <w:tcW w:w="454" w:type="pct"/>
            <w:tcBorders>
              <w:top w:val="nil"/>
              <w:left w:val="nil"/>
              <w:bottom w:val="nil"/>
              <w:right w:val="nil"/>
            </w:tcBorders>
            <w:shd w:val="clear" w:color="000000" w:fill="FFFFFF"/>
            <w:noWrap/>
            <w:vAlign w:val="bottom"/>
            <w:hideMark/>
          </w:tcPr>
          <w:p w14:paraId="36CA8E4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80.95%</w:t>
            </w:r>
          </w:p>
        </w:tc>
        <w:tc>
          <w:tcPr>
            <w:tcW w:w="452" w:type="pct"/>
            <w:tcBorders>
              <w:top w:val="nil"/>
              <w:left w:val="nil"/>
              <w:bottom w:val="nil"/>
              <w:right w:val="nil"/>
            </w:tcBorders>
            <w:shd w:val="clear" w:color="000000" w:fill="FFFFFF"/>
            <w:noWrap/>
            <w:vAlign w:val="bottom"/>
            <w:hideMark/>
          </w:tcPr>
          <w:p w14:paraId="13C110F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80.95%</w:t>
            </w:r>
          </w:p>
        </w:tc>
      </w:tr>
      <w:tr w:rsidR="0018008E" w:rsidRPr="0018008E" w14:paraId="287AA932" w14:textId="77777777" w:rsidTr="00DD27F1">
        <w:trPr>
          <w:trHeight w:val="227"/>
        </w:trPr>
        <w:tc>
          <w:tcPr>
            <w:tcW w:w="598" w:type="pct"/>
            <w:tcBorders>
              <w:top w:val="nil"/>
              <w:left w:val="nil"/>
              <w:bottom w:val="nil"/>
              <w:right w:val="nil"/>
            </w:tcBorders>
            <w:shd w:val="clear" w:color="000000" w:fill="FFFFFF"/>
            <w:noWrap/>
            <w:vAlign w:val="bottom"/>
            <w:hideMark/>
          </w:tcPr>
          <w:p w14:paraId="31E2AD0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25.12.2026</w:t>
            </w:r>
          </w:p>
        </w:tc>
        <w:tc>
          <w:tcPr>
            <w:tcW w:w="1229" w:type="pct"/>
            <w:tcBorders>
              <w:top w:val="nil"/>
              <w:left w:val="nil"/>
              <w:bottom w:val="nil"/>
              <w:right w:val="nil"/>
            </w:tcBorders>
            <w:shd w:val="clear" w:color="000000" w:fill="FFFFFF"/>
            <w:noWrap/>
            <w:hideMark/>
          </w:tcPr>
          <w:p w14:paraId="6013E68A" w14:textId="0F62147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956,336,851.74 </w:t>
            </w:r>
          </w:p>
        </w:tc>
        <w:tc>
          <w:tcPr>
            <w:tcW w:w="454" w:type="pct"/>
            <w:tcBorders>
              <w:top w:val="nil"/>
              <w:left w:val="nil"/>
              <w:bottom w:val="nil"/>
              <w:right w:val="nil"/>
            </w:tcBorders>
            <w:shd w:val="clear" w:color="000000" w:fill="FFFFFF"/>
            <w:noWrap/>
            <w:vAlign w:val="bottom"/>
            <w:hideMark/>
          </w:tcPr>
          <w:p w14:paraId="76801A8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77.12%</w:t>
            </w:r>
          </w:p>
        </w:tc>
        <w:tc>
          <w:tcPr>
            <w:tcW w:w="454" w:type="pct"/>
            <w:tcBorders>
              <w:top w:val="nil"/>
              <w:left w:val="nil"/>
              <w:bottom w:val="nil"/>
              <w:right w:val="nil"/>
            </w:tcBorders>
            <w:shd w:val="clear" w:color="000000" w:fill="FFFFFF"/>
            <w:noWrap/>
            <w:vAlign w:val="bottom"/>
            <w:hideMark/>
          </w:tcPr>
          <w:p w14:paraId="2B871B3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77.12%</w:t>
            </w:r>
          </w:p>
        </w:tc>
        <w:tc>
          <w:tcPr>
            <w:tcW w:w="454" w:type="pct"/>
            <w:tcBorders>
              <w:top w:val="nil"/>
              <w:left w:val="nil"/>
              <w:bottom w:val="nil"/>
              <w:right w:val="nil"/>
            </w:tcBorders>
            <w:shd w:val="clear" w:color="000000" w:fill="FFFFFF"/>
            <w:noWrap/>
            <w:vAlign w:val="bottom"/>
            <w:hideMark/>
          </w:tcPr>
          <w:p w14:paraId="792CDDC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77.12%</w:t>
            </w:r>
          </w:p>
        </w:tc>
        <w:tc>
          <w:tcPr>
            <w:tcW w:w="454" w:type="pct"/>
            <w:tcBorders>
              <w:top w:val="nil"/>
              <w:left w:val="nil"/>
              <w:bottom w:val="nil"/>
              <w:right w:val="nil"/>
            </w:tcBorders>
            <w:shd w:val="clear" w:color="000000" w:fill="FFFFFF"/>
            <w:noWrap/>
            <w:vAlign w:val="bottom"/>
            <w:hideMark/>
          </w:tcPr>
          <w:p w14:paraId="49452D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77.12%</w:t>
            </w:r>
          </w:p>
        </w:tc>
        <w:tc>
          <w:tcPr>
            <w:tcW w:w="454" w:type="pct"/>
            <w:tcBorders>
              <w:top w:val="nil"/>
              <w:left w:val="nil"/>
              <w:bottom w:val="nil"/>
              <w:right w:val="nil"/>
            </w:tcBorders>
            <w:shd w:val="clear" w:color="000000" w:fill="FFFFFF"/>
            <w:noWrap/>
            <w:vAlign w:val="bottom"/>
            <w:hideMark/>
          </w:tcPr>
          <w:p w14:paraId="7DF7298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77.12%</w:t>
            </w:r>
          </w:p>
        </w:tc>
        <w:tc>
          <w:tcPr>
            <w:tcW w:w="454" w:type="pct"/>
            <w:tcBorders>
              <w:top w:val="nil"/>
              <w:left w:val="nil"/>
              <w:bottom w:val="nil"/>
              <w:right w:val="nil"/>
            </w:tcBorders>
            <w:shd w:val="clear" w:color="000000" w:fill="FFFFFF"/>
            <w:noWrap/>
            <w:vAlign w:val="bottom"/>
            <w:hideMark/>
          </w:tcPr>
          <w:p w14:paraId="0E0129C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77.12%</w:t>
            </w:r>
          </w:p>
        </w:tc>
        <w:tc>
          <w:tcPr>
            <w:tcW w:w="452" w:type="pct"/>
            <w:tcBorders>
              <w:top w:val="nil"/>
              <w:left w:val="nil"/>
              <w:bottom w:val="nil"/>
              <w:right w:val="nil"/>
            </w:tcBorders>
            <w:shd w:val="clear" w:color="000000" w:fill="FFFFFF"/>
            <w:noWrap/>
            <w:vAlign w:val="bottom"/>
            <w:hideMark/>
          </w:tcPr>
          <w:p w14:paraId="5DABF24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77.12%</w:t>
            </w:r>
          </w:p>
        </w:tc>
      </w:tr>
      <w:tr w:rsidR="0018008E" w:rsidRPr="0018008E" w14:paraId="79E7CAA7" w14:textId="77777777" w:rsidTr="00DD27F1">
        <w:trPr>
          <w:trHeight w:val="227"/>
        </w:trPr>
        <w:tc>
          <w:tcPr>
            <w:tcW w:w="598" w:type="pct"/>
            <w:tcBorders>
              <w:top w:val="nil"/>
              <w:left w:val="nil"/>
              <w:bottom w:val="nil"/>
              <w:right w:val="nil"/>
            </w:tcBorders>
            <w:shd w:val="clear" w:color="000000" w:fill="FFFFFF"/>
            <w:noWrap/>
            <w:vAlign w:val="bottom"/>
            <w:hideMark/>
          </w:tcPr>
          <w:p w14:paraId="04B9B25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25.01.2027</w:t>
            </w:r>
          </w:p>
        </w:tc>
        <w:tc>
          <w:tcPr>
            <w:tcW w:w="1229" w:type="pct"/>
            <w:tcBorders>
              <w:top w:val="nil"/>
              <w:left w:val="nil"/>
              <w:bottom w:val="nil"/>
              <w:right w:val="nil"/>
            </w:tcBorders>
            <w:shd w:val="clear" w:color="000000" w:fill="FFFFFF"/>
            <w:noWrap/>
            <w:hideMark/>
          </w:tcPr>
          <w:p w14:paraId="62FC7366" w14:textId="40B8D16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909,016,331.79 </w:t>
            </w:r>
          </w:p>
        </w:tc>
        <w:tc>
          <w:tcPr>
            <w:tcW w:w="454" w:type="pct"/>
            <w:tcBorders>
              <w:top w:val="nil"/>
              <w:left w:val="nil"/>
              <w:bottom w:val="nil"/>
              <w:right w:val="nil"/>
            </w:tcBorders>
            <w:shd w:val="clear" w:color="000000" w:fill="FFFFFF"/>
            <w:noWrap/>
            <w:vAlign w:val="bottom"/>
            <w:hideMark/>
          </w:tcPr>
          <w:p w14:paraId="09E3F33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73.31%</w:t>
            </w:r>
          </w:p>
        </w:tc>
        <w:tc>
          <w:tcPr>
            <w:tcW w:w="454" w:type="pct"/>
            <w:tcBorders>
              <w:top w:val="nil"/>
              <w:left w:val="nil"/>
              <w:bottom w:val="nil"/>
              <w:right w:val="nil"/>
            </w:tcBorders>
            <w:shd w:val="clear" w:color="000000" w:fill="FFFFFF"/>
            <w:noWrap/>
            <w:vAlign w:val="bottom"/>
            <w:hideMark/>
          </w:tcPr>
          <w:p w14:paraId="08F537D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73.31%</w:t>
            </w:r>
          </w:p>
        </w:tc>
        <w:tc>
          <w:tcPr>
            <w:tcW w:w="454" w:type="pct"/>
            <w:tcBorders>
              <w:top w:val="nil"/>
              <w:left w:val="nil"/>
              <w:bottom w:val="nil"/>
              <w:right w:val="nil"/>
            </w:tcBorders>
            <w:shd w:val="clear" w:color="000000" w:fill="FFFFFF"/>
            <w:noWrap/>
            <w:vAlign w:val="bottom"/>
            <w:hideMark/>
          </w:tcPr>
          <w:p w14:paraId="426B8D1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73.31%</w:t>
            </w:r>
          </w:p>
        </w:tc>
        <w:tc>
          <w:tcPr>
            <w:tcW w:w="454" w:type="pct"/>
            <w:tcBorders>
              <w:top w:val="nil"/>
              <w:left w:val="nil"/>
              <w:bottom w:val="nil"/>
              <w:right w:val="nil"/>
            </w:tcBorders>
            <w:shd w:val="clear" w:color="000000" w:fill="FFFFFF"/>
            <w:noWrap/>
            <w:vAlign w:val="bottom"/>
            <w:hideMark/>
          </w:tcPr>
          <w:p w14:paraId="33118E3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73.31%</w:t>
            </w:r>
          </w:p>
        </w:tc>
        <w:tc>
          <w:tcPr>
            <w:tcW w:w="454" w:type="pct"/>
            <w:tcBorders>
              <w:top w:val="nil"/>
              <w:left w:val="nil"/>
              <w:bottom w:val="nil"/>
              <w:right w:val="nil"/>
            </w:tcBorders>
            <w:shd w:val="clear" w:color="000000" w:fill="FFFFFF"/>
            <w:noWrap/>
            <w:vAlign w:val="bottom"/>
            <w:hideMark/>
          </w:tcPr>
          <w:p w14:paraId="4389B76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73.31%</w:t>
            </w:r>
          </w:p>
        </w:tc>
        <w:tc>
          <w:tcPr>
            <w:tcW w:w="454" w:type="pct"/>
            <w:tcBorders>
              <w:top w:val="nil"/>
              <w:left w:val="nil"/>
              <w:bottom w:val="nil"/>
              <w:right w:val="nil"/>
            </w:tcBorders>
            <w:shd w:val="clear" w:color="000000" w:fill="FFFFFF"/>
            <w:noWrap/>
            <w:vAlign w:val="bottom"/>
            <w:hideMark/>
          </w:tcPr>
          <w:p w14:paraId="154E126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73.31%</w:t>
            </w:r>
          </w:p>
        </w:tc>
        <w:tc>
          <w:tcPr>
            <w:tcW w:w="452" w:type="pct"/>
            <w:tcBorders>
              <w:top w:val="nil"/>
              <w:left w:val="nil"/>
              <w:bottom w:val="nil"/>
              <w:right w:val="nil"/>
            </w:tcBorders>
            <w:shd w:val="clear" w:color="000000" w:fill="FFFFFF"/>
            <w:noWrap/>
            <w:vAlign w:val="bottom"/>
            <w:hideMark/>
          </w:tcPr>
          <w:p w14:paraId="6F2502C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73.31%</w:t>
            </w:r>
          </w:p>
        </w:tc>
      </w:tr>
      <w:tr w:rsidR="0018008E" w:rsidRPr="0018008E" w14:paraId="1FD19E7D" w14:textId="77777777" w:rsidTr="00DD27F1">
        <w:trPr>
          <w:trHeight w:val="227"/>
        </w:trPr>
        <w:tc>
          <w:tcPr>
            <w:tcW w:w="598" w:type="pct"/>
            <w:tcBorders>
              <w:top w:val="nil"/>
              <w:left w:val="nil"/>
              <w:bottom w:val="nil"/>
              <w:right w:val="nil"/>
            </w:tcBorders>
            <w:shd w:val="clear" w:color="000000" w:fill="FFFFFF"/>
            <w:noWrap/>
            <w:vAlign w:val="bottom"/>
            <w:hideMark/>
          </w:tcPr>
          <w:p w14:paraId="4C56646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25.02.2027</w:t>
            </w:r>
          </w:p>
        </w:tc>
        <w:tc>
          <w:tcPr>
            <w:tcW w:w="1229" w:type="pct"/>
            <w:tcBorders>
              <w:top w:val="nil"/>
              <w:left w:val="nil"/>
              <w:bottom w:val="nil"/>
              <w:right w:val="nil"/>
            </w:tcBorders>
            <w:shd w:val="clear" w:color="000000" w:fill="FFFFFF"/>
            <w:noWrap/>
            <w:hideMark/>
          </w:tcPr>
          <w:p w14:paraId="29558C85" w14:textId="0D456B81"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856,576,588.16 </w:t>
            </w:r>
          </w:p>
        </w:tc>
        <w:tc>
          <w:tcPr>
            <w:tcW w:w="454" w:type="pct"/>
            <w:tcBorders>
              <w:top w:val="nil"/>
              <w:left w:val="nil"/>
              <w:bottom w:val="nil"/>
              <w:right w:val="nil"/>
            </w:tcBorders>
            <w:shd w:val="clear" w:color="000000" w:fill="FFFFFF"/>
            <w:noWrap/>
            <w:vAlign w:val="bottom"/>
            <w:hideMark/>
          </w:tcPr>
          <w:p w14:paraId="51FC956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69.08%</w:t>
            </w:r>
          </w:p>
        </w:tc>
        <w:tc>
          <w:tcPr>
            <w:tcW w:w="454" w:type="pct"/>
            <w:tcBorders>
              <w:top w:val="nil"/>
              <w:left w:val="nil"/>
              <w:bottom w:val="nil"/>
              <w:right w:val="nil"/>
            </w:tcBorders>
            <w:shd w:val="clear" w:color="000000" w:fill="FFFFFF"/>
            <w:noWrap/>
            <w:vAlign w:val="bottom"/>
            <w:hideMark/>
          </w:tcPr>
          <w:p w14:paraId="61FC1DA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69.08%</w:t>
            </w:r>
          </w:p>
        </w:tc>
        <w:tc>
          <w:tcPr>
            <w:tcW w:w="454" w:type="pct"/>
            <w:tcBorders>
              <w:top w:val="nil"/>
              <w:left w:val="nil"/>
              <w:bottom w:val="nil"/>
              <w:right w:val="nil"/>
            </w:tcBorders>
            <w:shd w:val="clear" w:color="000000" w:fill="FFFFFF"/>
            <w:noWrap/>
            <w:vAlign w:val="bottom"/>
            <w:hideMark/>
          </w:tcPr>
          <w:p w14:paraId="200B7BD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69.08%</w:t>
            </w:r>
          </w:p>
        </w:tc>
        <w:tc>
          <w:tcPr>
            <w:tcW w:w="454" w:type="pct"/>
            <w:tcBorders>
              <w:top w:val="nil"/>
              <w:left w:val="nil"/>
              <w:bottom w:val="nil"/>
              <w:right w:val="nil"/>
            </w:tcBorders>
            <w:shd w:val="clear" w:color="000000" w:fill="FFFFFF"/>
            <w:noWrap/>
            <w:vAlign w:val="bottom"/>
            <w:hideMark/>
          </w:tcPr>
          <w:p w14:paraId="7399F86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69.08%</w:t>
            </w:r>
          </w:p>
        </w:tc>
        <w:tc>
          <w:tcPr>
            <w:tcW w:w="454" w:type="pct"/>
            <w:tcBorders>
              <w:top w:val="nil"/>
              <w:left w:val="nil"/>
              <w:bottom w:val="nil"/>
              <w:right w:val="nil"/>
            </w:tcBorders>
            <w:shd w:val="clear" w:color="000000" w:fill="FFFFFF"/>
            <w:noWrap/>
            <w:vAlign w:val="bottom"/>
            <w:hideMark/>
          </w:tcPr>
          <w:p w14:paraId="74DCAFA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69.08%</w:t>
            </w:r>
          </w:p>
        </w:tc>
        <w:tc>
          <w:tcPr>
            <w:tcW w:w="454" w:type="pct"/>
            <w:tcBorders>
              <w:top w:val="nil"/>
              <w:left w:val="nil"/>
              <w:bottom w:val="nil"/>
              <w:right w:val="nil"/>
            </w:tcBorders>
            <w:shd w:val="clear" w:color="000000" w:fill="FFFFFF"/>
            <w:noWrap/>
            <w:vAlign w:val="bottom"/>
            <w:hideMark/>
          </w:tcPr>
          <w:p w14:paraId="514BD19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69.08%</w:t>
            </w:r>
          </w:p>
        </w:tc>
        <w:tc>
          <w:tcPr>
            <w:tcW w:w="452" w:type="pct"/>
            <w:tcBorders>
              <w:top w:val="nil"/>
              <w:left w:val="nil"/>
              <w:bottom w:val="nil"/>
              <w:right w:val="nil"/>
            </w:tcBorders>
            <w:shd w:val="clear" w:color="000000" w:fill="FFFFFF"/>
            <w:noWrap/>
            <w:vAlign w:val="bottom"/>
            <w:hideMark/>
          </w:tcPr>
          <w:p w14:paraId="64B5718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69.08%</w:t>
            </w:r>
          </w:p>
        </w:tc>
      </w:tr>
      <w:tr w:rsidR="0018008E" w:rsidRPr="0018008E" w14:paraId="2D9951A3" w14:textId="77777777" w:rsidTr="00DD27F1">
        <w:trPr>
          <w:trHeight w:val="227"/>
        </w:trPr>
        <w:tc>
          <w:tcPr>
            <w:tcW w:w="598" w:type="pct"/>
            <w:tcBorders>
              <w:top w:val="nil"/>
              <w:left w:val="nil"/>
              <w:bottom w:val="nil"/>
              <w:right w:val="nil"/>
            </w:tcBorders>
            <w:shd w:val="clear" w:color="000000" w:fill="FFFFFF"/>
            <w:noWrap/>
            <w:vAlign w:val="bottom"/>
            <w:hideMark/>
          </w:tcPr>
          <w:p w14:paraId="47B9F5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25.03.2027</w:t>
            </w:r>
          </w:p>
        </w:tc>
        <w:tc>
          <w:tcPr>
            <w:tcW w:w="1229" w:type="pct"/>
            <w:tcBorders>
              <w:top w:val="nil"/>
              <w:left w:val="nil"/>
              <w:bottom w:val="nil"/>
              <w:right w:val="nil"/>
            </w:tcBorders>
            <w:shd w:val="clear" w:color="000000" w:fill="FFFFFF"/>
            <w:noWrap/>
            <w:hideMark/>
          </w:tcPr>
          <w:p w14:paraId="4413E17E" w14:textId="3B39F19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804,966,762.81 </w:t>
            </w:r>
          </w:p>
        </w:tc>
        <w:tc>
          <w:tcPr>
            <w:tcW w:w="454" w:type="pct"/>
            <w:tcBorders>
              <w:top w:val="nil"/>
              <w:left w:val="nil"/>
              <w:bottom w:val="nil"/>
              <w:right w:val="nil"/>
            </w:tcBorders>
            <w:shd w:val="clear" w:color="000000" w:fill="FFFFFF"/>
            <w:noWrap/>
            <w:vAlign w:val="bottom"/>
            <w:hideMark/>
          </w:tcPr>
          <w:p w14:paraId="49BE763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64.92%</w:t>
            </w:r>
          </w:p>
        </w:tc>
        <w:tc>
          <w:tcPr>
            <w:tcW w:w="454" w:type="pct"/>
            <w:tcBorders>
              <w:top w:val="nil"/>
              <w:left w:val="nil"/>
              <w:bottom w:val="nil"/>
              <w:right w:val="nil"/>
            </w:tcBorders>
            <w:shd w:val="clear" w:color="000000" w:fill="FFFFFF"/>
            <w:noWrap/>
            <w:vAlign w:val="bottom"/>
            <w:hideMark/>
          </w:tcPr>
          <w:p w14:paraId="2AC9F4D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64.92%</w:t>
            </w:r>
          </w:p>
        </w:tc>
        <w:tc>
          <w:tcPr>
            <w:tcW w:w="454" w:type="pct"/>
            <w:tcBorders>
              <w:top w:val="nil"/>
              <w:left w:val="nil"/>
              <w:bottom w:val="nil"/>
              <w:right w:val="nil"/>
            </w:tcBorders>
            <w:shd w:val="clear" w:color="000000" w:fill="FFFFFF"/>
            <w:noWrap/>
            <w:vAlign w:val="bottom"/>
            <w:hideMark/>
          </w:tcPr>
          <w:p w14:paraId="20C2ECA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64.92%</w:t>
            </w:r>
          </w:p>
        </w:tc>
        <w:tc>
          <w:tcPr>
            <w:tcW w:w="454" w:type="pct"/>
            <w:tcBorders>
              <w:top w:val="nil"/>
              <w:left w:val="nil"/>
              <w:bottom w:val="nil"/>
              <w:right w:val="nil"/>
            </w:tcBorders>
            <w:shd w:val="clear" w:color="000000" w:fill="FFFFFF"/>
            <w:noWrap/>
            <w:vAlign w:val="bottom"/>
            <w:hideMark/>
          </w:tcPr>
          <w:p w14:paraId="70FD382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64.92%</w:t>
            </w:r>
          </w:p>
        </w:tc>
        <w:tc>
          <w:tcPr>
            <w:tcW w:w="454" w:type="pct"/>
            <w:tcBorders>
              <w:top w:val="nil"/>
              <w:left w:val="nil"/>
              <w:bottom w:val="nil"/>
              <w:right w:val="nil"/>
            </w:tcBorders>
            <w:shd w:val="clear" w:color="000000" w:fill="FFFFFF"/>
            <w:noWrap/>
            <w:vAlign w:val="bottom"/>
            <w:hideMark/>
          </w:tcPr>
          <w:p w14:paraId="3D61061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64.92%</w:t>
            </w:r>
          </w:p>
        </w:tc>
        <w:tc>
          <w:tcPr>
            <w:tcW w:w="454" w:type="pct"/>
            <w:tcBorders>
              <w:top w:val="nil"/>
              <w:left w:val="nil"/>
              <w:bottom w:val="nil"/>
              <w:right w:val="nil"/>
            </w:tcBorders>
            <w:shd w:val="clear" w:color="000000" w:fill="FFFFFF"/>
            <w:noWrap/>
            <w:vAlign w:val="bottom"/>
            <w:hideMark/>
          </w:tcPr>
          <w:p w14:paraId="4E328D6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64.92%</w:t>
            </w:r>
          </w:p>
        </w:tc>
        <w:tc>
          <w:tcPr>
            <w:tcW w:w="452" w:type="pct"/>
            <w:tcBorders>
              <w:top w:val="nil"/>
              <w:left w:val="nil"/>
              <w:bottom w:val="nil"/>
              <w:right w:val="nil"/>
            </w:tcBorders>
            <w:shd w:val="clear" w:color="000000" w:fill="FFFFFF"/>
            <w:noWrap/>
            <w:vAlign w:val="bottom"/>
            <w:hideMark/>
          </w:tcPr>
          <w:p w14:paraId="04683A8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64.92%</w:t>
            </w:r>
          </w:p>
        </w:tc>
      </w:tr>
      <w:tr w:rsidR="0018008E" w:rsidRPr="0018008E" w14:paraId="0142B122" w14:textId="77777777" w:rsidTr="00DD27F1">
        <w:trPr>
          <w:trHeight w:val="227"/>
        </w:trPr>
        <w:tc>
          <w:tcPr>
            <w:tcW w:w="598" w:type="pct"/>
            <w:tcBorders>
              <w:top w:val="nil"/>
              <w:left w:val="nil"/>
              <w:bottom w:val="nil"/>
              <w:right w:val="nil"/>
            </w:tcBorders>
            <w:shd w:val="clear" w:color="000000" w:fill="FFFFFF"/>
            <w:noWrap/>
            <w:vAlign w:val="bottom"/>
            <w:hideMark/>
          </w:tcPr>
          <w:p w14:paraId="6DDDADD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25.04.2027</w:t>
            </w:r>
          </w:p>
        </w:tc>
        <w:tc>
          <w:tcPr>
            <w:tcW w:w="1229" w:type="pct"/>
            <w:tcBorders>
              <w:top w:val="nil"/>
              <w:left w:val="nil"/>
              <w:bottom w:val="nil"/>
              <w:right w:val="nil"/>
            </w:tcBorders>
            <w:shd w:val="clear" w:color="000000" w:fill="FFFFFF"/>
            <w:noWrap/>
            <w:hideMark/>
          </w:tcPr>
          <w:p w14:paraId="6C62B97D" w14:textId="38F6948F"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760,639,865.63 </w:t>
            </w:r>
          </w:p>
        </w:tc>
        <w:tc>
          <w:tcPr>
            <w:tcW w:w="454" w:type="pct"/>
            <w:tcBorders>
              <w:top w:val="nil"/>
              <w:left w:val="nil"/>
              <w:bottom w:val="nil"/>
              <w:right w:val="nil"/>
            </w:tcBorders>
            <w:shd w:val="clear" w:color="000000" w:fill="FFFFFF"/>
            <w:noWrap/>
            <w:vAlign w:val="bottom"/>
            <w:hideMark/>
          </w:tcPr>
          <w:p w14:paraId="2272ED0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61.34%</w:t>
            </w:r>
          </w:p>
        </w:tc>
        <w:tc>
          <w:tcPr>
            <w:tcW w:w="454" w:type="pct"/>
            <w:tcBorders>
              <w:top w:val="nil"/>
              <w:left w:val="nil"/>
              <w:bottom w:val="nil"/>
              <w:right w:val="nil"/>
            </w:tcBorders>
            <w:shd w:val="clear" w:color="000000" w:fill="FFFFFF"/>
            <w:noWrap/>
            <w:vAlign w:val="bottom"/>
            <w:hideMark/>
          </w:tcPr>
          <w:p w14:paraId="2DFB8EF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61.34%</w:t>
            </w:r>
          </w:p>
        </w:tc>
        <w:tc>
          <w:tcPr>
            <w:tcW w:w="454" w:type="pct"/>
            <w:tcBorders>
              <w:top w:val="nil"/>
              <w:left w:val="nil"/>
              <w:bottom w:val="nil"/>
              <w:right w:val="nil"/>
            </w:tcBorders>
            <w:shd w:val="clear" w:color="000000" w:fill="FFFFFF"/>
            <w:noWrap/>
            <w:vAlign w:val="bottom"/>
            <w:hideMark/>
          </w:tcPr>
          <w:p w14:paraId="26A9664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61.34%</w:t>
            </w:r>
          </w:p>
        </w:tc>
        <w:tc>
          <w:tcPr>
            <w:tcW w:w="454" w:type="pct"/>
            <w:tcBorders>
              <w:top w:val="nil"/>
              <w:left w:val="nil"/>
              <w:bottom w:val="nil"/>
              <w:right w:val="nil"/>
            </w:tcBorders>
            <w:shd w:val="clear" w:color="000000" w:fill="FFFFFF"/>
            <w:noWrap/>
            <w:vAlign w:val="bottom"/>
            <w:hideMark/>
          </w:tcPr>
          <w:p w14:paraId="4BC4F6D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61.34%</w:t>
            </w:r>
          </w:p>
        </w:tc>
        <w:tc>
          <w:tcPr>
            <w:tcW w:w="454" w:type="pct"/>
            <w:tcBorders>
              <w:top w:val="nil"/>
              <w:left w:val="nil"/>
              <w:bottom w:val="nil"/>
              <w:right w:val="nil"/>
            </w:tcBorders>
            <w:shd w:val="clear" w:color="000000" w:fill="FFFFFF"/>
            <w:noWrap/>
            <w:vAlign w:val="bottom"/>
            <w:hideMark/>
          </w:tcPr>
          <w:p w14:paraId="5E3DD85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61.34%</w:t>
            </w:r>
          </w:p>
        </w:tc>
        <w:tc>
          <w:tcPr>
            <w:tcW w:w="454" w:type="pct"/>
            <w:tcBorders>
              <w:top w:val="nil"/>
              <w:left w:val="nil"/>
              <w:bottom w:val="nil"/>
              <w:right w:val="nil"/>
            </w:tcBorders>
            <w:shd w:val="clear" w:color="000000" w:fill="FFFFFF"/>
            <w:noWrap/>
            <w:vAlign w:val="bottom"/>
            <w:hideMark/>
          </w:tcPr>
          <w:p w14:paraId="05A24E3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61.34%</w:t>
            </w:r>
          </w:p>
        </w:tc>
        <w:tc>
          <w:tcPr>
            <w:tcW w:w="452" w:type="pct"/>
            <w:tcBorders>
              <w:top w:val="nil"/>
              <w:left w:val="nil"/>
              <w:bottom w:val="nil"/>
              <w:right w:val="nil"/>
            </w:tcBorders>
            <w:shd w:val="clear" w:color="000000" w:fill="FFFFFF"/>
            <w:noWrap/>
            <w:vAlign w:val="bottom"/>
            <w:hideMark/>
          </w:tcPr>
          <w:p w14:paraId="3E9F531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61.34%</w:t>
            </w:r>
          </w:p>
        </w:tc>
      </w:tr>
      <w:tr w:rsidR="0018008E" w:rsidRPr="0018008E" w14:paraId="6AF8ECC1" w14:textId="77777777" w:rsidTr="00DD27F1">
        <w:trPr>
          <w:trHeight w:val="227"/>
        </w:trPr>
        <w:tc>
          <w:tcPr>
            <w:tcW w:w="598" w:type="pct"/>
            <w:tcBorders>
              <w:top w:val="nil"/>
              <w:left w:val="nil"/>
              <w:bottom w:val="nil"/>
              <w:right w:val="nil"/>
            </w:tcBorders>
            <w:shd w:val="clear" w:color="000000" w:fill="FFFFFF"/>
            <w:noWrap/>
            <w:vAlign w:val="bottom"/>
            <w:hideMark/>
          </w:tcPr>
          <w:p w14:paraId="769225C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25.05.2027</w:t>
            </w:r>
          </w:p>
        </w:tc>
        <w:tc>
          <w:tcPr>
            <w:tcW w:w="1229" w:type="pct"/>
            <w:tcBorders>
              <w:top w:val="nil"/>
              <w:left w:val="nil"/>
              <w:bottom w:val="nil"/>
              <w:right w:val="nil"/>
            </w:tcBorders>
            <w:shd w:val="clear" w:color="000000" w:fill="FFFFFF"/>
            <w:noWrap/>
            <w:hideMark/>
          </w:tcPr>
          <w:p w14:paraId="5FC09850" w14:textId="66AE163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709,089,746.64 </w:t>
            </w:r>
          </w:p>
        </w:tc>
        <w:tc>
          <w:tcPr>
            <w:tcW w:w="454" w:type="pct"/>
            <w:tcBorders>
              <w:top w:val="nil"/>
              <w:left w:val="nil"/>
              <w:bottom w:val="nil"/>
              <w:right w:val="nil"/>
            </w:tcBorders>
            <w:shd w:val="clear" w:color="000000" w:fill="FFFFFF"/>
            <w:noWrap/>
            <w:vAlign w:val="bottom"/>
            <w:hideMark/>
          </w:tcPr>
          <w:p w14:paraId="7AA02A0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57.18%</w:t>
            </w:r>
          </w:p>
        </w:tc>
        <w:tc>
          <w:tcPr>
            <w:tcW w:w="454" w:type="pct"/>
            <w:tcBorders>
              <w:top w:val="nil"/>
              <w:left w:val="nil"/>
              <w:bottom w:val="nil"/>
              <w:right w:val="nil"/>
            </w:tcBorders>
            <w:shd w:val="clear" w:color="000000" w:fill="FFFFFF"/>
            <w:noWrap/>
            <w:vAlign w:val="bottom"/>
            <w:hideMark/>
          </w:tcPr>
          <w:p w14:paraId="6D7916C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57.18%</w:t>
            </w:r>
          </w:p>
        </w:tc>
        <w:tc>
          <w:tcPr>
            <w:tcW w:w="454" w:type="pct"/>
            <w:tcBorders>
              <w:top w:val="nil"/>
              <w:left w:val="nil"/>
              <w:bottom w:val="nil"/>
              <w:right w:val="nil"/>
            </w:tcBorders>
            <w:shd w:val="clear" w:color="000000" w:fill="FFFFFF"/>
            <w:noWrap/>
            <w:vAlign w:val="bottom"/>
            <w:hideMark/>
          </w:tcPr>
          <w:p w14:paraId="596B87A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57.18%</w:t>
            </w:r>
          </w:p>
        </w:tc>
        <w:tc>
          <w:tcPr>
            <w:tcW w:w="454" w:type="pct"/>
            <w:tcBorders>
              <w:top w:val="nil"/>
              <w:left w:val="nil"/>
              <w:bottom w:val="nil"/>
              <w:right w:val="nil"/>
            </w:tcBorders>
            <w:shd w:val="clear" w:color="000000" w:fill="FFFFFF"/>
            <w:noWrap/>
            <w:vAlign w:val="bottom"/>
            <w:hideMark/>
          </w:tcPr>
          <w:p w14:paraId="0D40679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57.18%</w:t>
            </w:r>
          </w:p>
        </w:tc>
        <w:tc>
          <w:tcPr>
            <w:tcW w:w="454" w:type="pct"/>
            <w:tcBorders>
              <w:top w:val="nil"/>
              <w:left w:val="nil"/>
              <w:bottom w:val="nil"/>
              <w:right w:val="nil"/>
            </w:tcBorders>
            <w:shd w:val="clear" w:color="000000" w:fill="FFFFFF"/>
            <w:noWrap/>
            <w:vAlign w:val="bottom"/>
            <w:hideMark/>
          </w:tcPr>
          <w:p w14:paraId="7AD2D5B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57.18%</w:t>
            </w:r>
          </w:p>
        </w:tc>
        <w:tc>
          <w:tcPr>
            <w:tcW w:w="454" w:type="pct"/>
            <w:tcBorders>
              <w:top w:val="nil"/>
              <w:left w:val="nil"/>
              <w:bottom w:val="nil"/>
              <w:right w:val="nil"/>
            </w:tcBorders>
            <w:shd w:val="clear" w:color="000000" w:fill="FFFFFF"/>
            <w:noWrap/>
            <w:vAlign w:val="bottom"/>
            <w:hideMark/>
          </w:tcPr>
          <w:p w14:paraId="055E6AE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57.18%</w:t>
            </w:r>
          </w:p>
        </w:tc>
        <w:tc>
          <w:tcPr>
            <w:tcW w:w="452" w:type="pct"/>
            <w:tcBorders>
              <w:top w:val="nil"/>
              <w:left w:val="nil"/>
              <w:bottom w:val="nil"/>
              <w:right w:val="nil"/>
            </w:tcBorders>
            <w:shd w:val="clear" w:color="000000" w:fill="FFFFFF"/>
            <w:noWrap/>
            <w:vAlign w:val="bottom"/>
            <w:hideMark/>
          </w:tcPr>
          <w:p w14:paraId="1237350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57.18%</w:t>
            </w:r>
          </w:p>
        </w:tc>
      </w:tr>
      <w:tr w:rsidR="0018008E" w:rsidRPr="0018008E" w14:paraId="3DF3750B" w14:textId="77777777" w:rsidTr="00DD27F1">
        <w:trPr>
          <w:trHeight w:val="227"/>
        </w:trPr>
        <w:tc>
          <w:tcPr>
            <w:tcW w:w="598" w:type="pct"/>
            <w:tcBorders>
              <w:top w:val="nil"/>
              <w:left w:val="nil"/>
              <w:bottom w:val="nil"/>
              <w:right w:val="nil"/>
            </w:tcBorders>
            <w:shd w:val="clear" w:color="000000" w:fill="FFFFFF"/>
            <w:noWrap/>
            <w:vAlign w:val="bottom"/>
            <w:hideMark/>
          </w:tcPr>
          <w:p w14:paraId="6A9FAB4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25.06.2027</w:t>
            </w:r>
          </w:p>
        </w:tc>
        <w:tc>
          <w:tcPr>
            <w:tcW w:w="1229" w:type="pct"/>
            <w:tcBorders>
              <w:top w:val="nil"/>
              <w:left w:val="nil"/>
              <w:bottom w:val="nil"/>
              <w:right w:val="nil"/>
            </w:tcBorders>
            <w:shd w:val="clear" w:color="000000" w:fill="FFFFFF"/>
            <w:noWrap/>
            <w:hideMark/>
          </w:tcPr>
          <w:p w14:paraId="0A7BF801" w14:textId="3F96A41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658,312,912.05 </w:t>
            </w:r>
          </w:p>
        </w:tc>
        <w:tc>
          <w:tcPr>
            <w:tcW w:w="454" w:type="pct"/>
            <w:tcBorders>
              <w:top w:val="nil"/>
              <w:left w:val="nil"/>
              <w:bottom w:val="nil"/>
              <w:right w:val="nil"/>
            </w:tcBorders>
            <w:shd w:val="clear" w:color="000000" w:fill="FFFFFF"/>
            <w:noWrap/>
            <w:vAlign w:val="bottom"/>
            <w:hideMark/>
          </w:tcPr>
          <w:p w14:paraId="50E5ECF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53.09%</w:t>
            </w:r>
          </w:p>
        </w:tc>
        <w:tc>
          <w:tcPr>
            <w:tcW w:w="454" w:type="pct"/>
            <w:tcBorders>
              <w:top w:val="nil"/>
              <w:left w:val="nil"/>
              <w:bottom w:val="nil"/>
              <w:right w:val="nil"/>
            </w:tcBorders>
            <w:shd w:val="clear" w:color="000000" w:fill="FFFFFF"/>
            <w:noWrap/>
            <w:vAlign w:val="bottom"/>
            <w:hideMark/>
          </w:tcPr>
          <w:p w14:paraId="1FC0BF3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53.09%</w:t>
            </w:r>
          </w:p>
        </w:tc>
        <w:tc>
          <w:tcPr>
            <w:tcW w:w="454" w:type="pct"/>
            <w:tcBorders>
              <w:top w:val="nil"/>
              <w:left w:val="nil"/>
              <w:bottom w:val="nil"/>
              <w:right w:val="nil"/>
            </w:tcBorders>
            <w:shd w:val="clear" w:color="000000" w:fill="FFFFFF"/>
            <w:noWrap/>
            <w:vAlign w:val="bottom"/>
            <w:hideMark/>
          </w:tcPr>
          <w:p w14:paraId="407346C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53.09%</w:t>
            </w:r>
          </w:p>
        </w:tc>
        <w:tc>
          <w:tcPr>
            <w:tcW w:w="454" w:type="pct"/>
            <w:tcBorders>
              <w:top w:val="nil"/>
              <w:left w:val="nil"/>
              <w:bottom w:val="nil"/>
              <w:right w:val="nil"/>
            </w:tcBorders>
            <w:shd w:val="clear" w:color="000000" w:fill="FFFFFF"/>
            <w:noWrap/>
            <w:vAlign w:val="bottom"/>
            <w:hideMark/>
          </w:tcPr>
          <w:p w14:paraId="216F8F9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53.09%</w:t>
            </w:r>
          </w:p>
        </w:tc>
        <w:tc>
          <w:tcPr>
            <w:tcW w:w="454" w:type="pct"/>
            <w:tcBorders>
              <w:top w:val="nil"/>
              <w:left w:val="nil"/>
              <w:bottom w:val="nil"/>
              <w:right w:val="nil"/>
            </w:tcBorders>
            <w:shd w:val="clear" w:color="000000" w:fill="FFFFFF"/>
            <w:noWrap/>
            <w:vAlign w:val="bottom"/>
            <w:hideMark/>
          </w:tcPr>
          <w:p w14:paraId="4FE5913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53.09%</w:t>
            </w:r>
          </w:p>
        </w:tc>
        <w:tc>
          <w:tcPr>
            <w:tcW w:w="454" w:type="pct"/>
            <w:tcBorders>
              <w:top w:val="nil"/>
              <w:left w:val="nil"/>
              <w:bottom w:val="nil"/>
              <w:right w:val="nil"/>
            </w:tcBorders>
            <w:shd w:val="clear" w:color="000000" w:fill="FFFFFF"/>
            <w:noWrap/>
            <w:vAlign w:val="bottom"/>
            <w:hideMark/>
          </w:tcPr>
          <w:p w14:paraId="3501C02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53.09%</w:t>
            </w:r>
          </w:p>
        </w:tc>
        <w:tc>
          <w:tcPr>
            <w:tcW w:w="452" w:type="pct"/>
            <w:tcBorders>
              <w:top w:val="nil"/>
              <w:left w:val="nil"/>
              <w:bottom w:val="nil"/>
              <w:right w:val="nil"/>
            </w:tcBorders>
            <w:shd w:val="clear" w:color="000000" w:fill="FFFFFF"/>
            <w:noWrap/>
            <w:vAlign w:val="bottom"/>
            <w:hideMark/>
          </w:tcPr>
          <w:p w14:paraId="1F348C3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53.09%</w:t>
            </w:r>
          </w:p>
        </w:tc>
      </w:tr>
      <w:tr w:rsidR="0018008E" w:rsidRPr="0018008E" w14:paraId="21725B94" w14:textId="77777777" w:rsidTr="00DD27F1">
        <w:trPr>
          <w:trHeight w:val="227"/>
        </w:trPr>
        <w:tc>
          <w:tcPr>
            <w:tcW w:w="598" w:type="pct"/>
            <w:tcBorders>
              <w:top w:val="nil"/>
              <w:left w:val="nil"/>
              <w:bottom w:val="nil"/>
              <w:right w:val="nil"/>
            </w:tcBorders>
            <w:shd w:val="clear" w:color="000000" w:fill="FFFFFF"/>
            <w:noWrap/>
            <w:vAlign w:val="bottom"/>
            <w:hideMark/>
          </w:tcPr>
          <w:p w14:paraId="3FDDEBC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25.07.2027</w:t>
            </w:r>
          </w:p>
        </w:tc>
        <w:tc>
          <w:tcPr>
            <w:tcW w:w="1229" w:type="pct"/>
            <w:tcBorders>
              <w:top w:val="nil"/>
              <w:left w:val="nil"/>
              <w:bottom w:val="nil"/>
              <w:right w:val="nil"/>
            </w:tcBorders>
            <w:shd w:val="clear" w:color="000000" w:fill="FFFFFF"/>
            <w:noWrap/>
            <w:hideMark/>
          </w:tcPr>
          <w:p w14:paraId="3FAB27C1" w14:textId="11216F4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618,437,616.83 </w:t>
            </w:r>
          </w:p>
        </w:tc>
        <w:tc>
          <w:tcPr>
            <w:tcW w:w="454" w:type="pct"/>
            <w:tcBorders>
              <w:top w:val="nil"/>
              <w:left w:val="nil"/>
              <w:bottom w:val="nil"/>
              <w:right w:val="nil"/>
            </w:tcBorders>
            <w:shd w:val="clear" w:color="000000" w:fill="FFFFFF"/>
            <w:noWrap/>
            <w:vAlign w:val="bottom"/>
            <w:hideMark/>
          </w:tcPr>
          <w:p w14:paraId="2420F79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49.87%</w:t>
            </w:r>
          </w:p>
        </w:tc>
        <w:tc>
          <w:tcPr>
            <w:tcW w:w="454" w:type="pct"/>
            <w:tcBorders>
              <w:top w:val="nil"/>
              <w:left w:val="nil"/>
              <w:bottom w:val="nil"/>
              <w:right w:val="nil"/>
            </w:tcBorders>
            <w:shd w:val="clear" w:color="000000" w:fill="FFFFFF"/>
            <w:noWrap/>
            <w:vAlign w:val="bottom"/>
            <w:hideMark/>
          </w:tcPr>
          <w:p w14:paraId="1FC866C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49.87%</w:t>
            </w:r>
          </w:p>
        </w:tc>
        <w:tc>
          <w:tcPr>
            <w:tcW w:w="454" w:type="pct"/>
            <w:tcBorders>
              <w:top w:val="nil"/>
              <w:left w:val="nil"/>
              <w:bottom w:val="nil"/>
              <w:right w:val="nil"/>
            </w:tcBorders>
            <w:shd w:val="clear" w:color="000000" w:fill="FFFFFF"/>
            <w:noWrap/>
            <w:vAlign w:val="bottom"/>
            <w:hideMark/>
          </w:tcPr>
          <w:p w14:paraId="661CB0B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49.87%</w:t>
            </w:r>
          </w:p>
        </w:tc>
        <w:tc>
          <w:tcPr>
            <w:tcW w:w="454" w:type="pct"/>
            <w:tcBorders>
              <w:top w:val="nil"/>
              <w:left w:val="nil"/>
              <w:bottom w:val="nil"/>
              <w:right w:val="nil"/>
            </w:tcBorders>
            <w:shd w:val="clear" w:color="000000" w:fill="FFFFFF"/>
            <w:noWrap/>
            <w:vAlign w:val="bottom"/>
            <w:hideMark/>
          </w:tcPr>
          <w:p w14:paraId="75B4726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49.87%</w:t>
            </w:r>
          </w:p>
        </w:tc>
        <w:tc>
          <w:tcPr>
            <w:tcW w:w="454" w:type="pct"/>
            <w:tcBorders>
              <w:top w:val="nil"/>
              <w:left w:val="nil"/>
              <w:bottom w:val="nil"/>
              <w:right w:val="nil"/>
            </w:tcBorders>
            <w:shd w:val="clear" w:color="000000" w:fill="FFFFFF"/>
            <w:noWrap/>
            <w:vAlign w:val="bottom"/>
            <w:hideMark/>
          </w:tcPr>
          <w:p w14:paraId="269611B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49.87%</w:t>
            </w:r>
          </w:p>
        </w:tc>
        <w:tc>
          <w:tcPr>
            <w:tcW w:w="454" w:type="pct"/>
            <w:tcBorders>
              <w:top w:val="nil"/>
              <w:left w:val="nil"/>
              <w:bottom w:val="nil"/>
              <w:right w:val="nil"/>
            </w:tcBorders>
            <w:shd w:val="clear" w:color="000000" w:fill="FFFFFF"/>
            <w:noWrap/>
            <w:vAlign w:val="bottom"/>
            <w:hideMark/>
          </w:tcPr>
          <w:p w14:paraId="6633799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49.87%</w:t>
            </w:r>
          </w:p>
        </w:tc>
        <w:tc>
          <w:tcPr>
            <w:tcW w:w="452" w:type="pct"/>
            <w:tcBorders>
              <w:top w:val="nil"/>
              <w:left w:val="nil"/>
              <w:bottom w:val="nil"/>
              <w:right w:val="nil"/>
            </w:tcBorders>
            <w:shd w:val="clear" w:color="000000" w:fill="FFFFFF"/>
            <w:noWrap/>
            <w:vAlign w:val="bottom"/>
            <w:hideMark/>
          </w:tcPr>
          <w:p w14:paraId="5FCB9DD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49.87%</w:t>
            </w:r>
          </w:p>
        </w:tc>
      </w:tr>
      <w:tr w:rsidR="0018008E" w:rsidRPr="0018008E" w14:paraId="3ED9F448" w14:textId="77777777" w:rsidTr="00DD27F1">
        <w:trPr>
          <w:trHeight w:val="227"/>
        </w:trPr>
        <w:tc>
          <w:tcPr>
            <w:tcW w:w="598" w:type="pct"/>
            <w:tcBorders>
              <w:top w:val="nil"/>
              <w:left w:val="nil"/>
              <w:bottom w:val="nil"/>
              <w:right w:val="nil"/>
            </w:tcBorders>
            <w:shd w:val="clear" w:color="000000" w:fill="FFFFFF"/>
            <w:noWrap/>
            <w:vAlign w:val="bottom"/>
            <w:hideMark/>
          </w:tcPr>
          <w:p w14:paraId="3B3011E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25.08.2027</w:t>
            </w:r>
          </w:p>
        </w:tc>
        <w:tc>
          <w:tcPr>
            <w:tcW w:w="1229" w:type="pct"/>
            <w:tcBorders>
              <w:top w:val="nil"/>
              <w:left w:val="nil"/>
              <w:bottom w:val="nil"/>
              <w:right w:val="nil"/>
            </w:tcBorders>
            <w:shd w:val="clear" w:color="000000" w:fill="FFFFFF"/>
            <w:noWrap/>
            <w:hideMark/>
          </w:tcPr>
          <w:p w14:paraId="3E2AF221" w14:textId="4AB6D2B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579,478,407.96 </w:t>
            </w:r>
          </w:p>
        </w:tc>
        <w:tc>
          <w:tcPr>
            <w:tcW w:w="454" w:type="pct"/>
            <w:tcBorders>
              <w:top w:val="nil"/>
              <w:left w:val="nil"/>
              <w:bottom w:val="nil"/>
              <w:right w:val="nil"/>
            </w:tcBorders>
            <w:shd w:val="clear" w:color="000000" w:fill="FFFFFF"/>
            <w:noWrap/>
            <w:vAlign w:val="bottom"/>
            <w:hideMark/>
          </w:tcPr>
          <w:p w14:paraId="1097AC7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46.73%</w:t>
            </w:r>
          </w:p>
        </w:tc>
        <w:tc>
          <w:tcPr>
            <w:tcW w:w="454" w:type="pct"/>
            <w:tcBorders>
              <w:top w:val="nil"/>
              <w:left w:val="nil"/>
              <w:bottom w:val="nil"/>
              <w:right w:val="nil"/>
            </w:tcBorders>
            <w:shd w:val="clear" w:color="000000" w:fill="FFFFFF"/>
            <w:noWrap/>
            <w:vAlign w:val="bottom"/>
            <w:hideMark/>
          </w:tcPr>
          <w:p w14:paraId="25C007D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46.73%</w:t>
            </w:r>
          </w:p>
        </w:tc>
        <w:tc>
          <w:tcPr>
            <w:tcW w:w="454" w:type="pct"/>
            <w:tcBorders>
              <w:top w:val="nil"/>
              <w:left w:val="nil"/>
              <w:bottom w:val="nil"/>
              <w:right w:val="nil"/>
            </w:tcBorders>
            <w:shd w:val="clear" w:color="000000" w:fill="FFFFFF"/>
            <w:noWrap/>
            <w:vAlign w:val="bottom"/>
            <w:hideMark/>
          </w:tcPr>
          <w:p w14:paraId="52FA1FF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46.73%</w:t>
            </w:r>
          </w:p>
        </w:tc>
        <w:tc>
          <w:tcPr>
            <w:tcW w:w="454" w:type="pct"/>
            <w:tcBorders>
              <w:top w:val="nil"/>
              <w:left w:val="nil"/>
              <w:bottom w:val="nil"/>
              <w:right w:val="nil"/>
            </w:tcBorders>
            <w:shd w:val="clear" w:color="000000" w:fill="FFFFFF"/>
            <w:noWrap/>
            <w:vAlign w:val="bottom"/>
            <w:hideMark/>
          </w:tcPr>
          <w:p w14:paraId="60AA3F6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46.73%</w:t>
            </w:r>
          </w:p>
        </w:tc>
        <w:tc>
          <w:tcPr>
            <w:tcW w:w="454" w:type="pct"/>
            <w:tcBorders>
              <w:top w:val="nil"/>
              <w:left w:val="nil"/>
              <w:bottom w:val="nil"/>
              <w:right w:val="nil"/>
            </w:tcBorders>
            <w:shd w:val="clear" w:color="000000" w:fill="FFFFFF"/>
            <w:noWrap/>
            <w:vAlign w:val="bottom"/>
            <w:hideMark/>
          </w:tcPr>
          <w:p w14:paraId="7E4EE3A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46.73%</w:t>
            </w:r>
          </w:p>
        </w:tc>
        <w:tc>
          <w:tcPr>
            <w:tcW w:w="454" w:type="pct"/>
            <w:tcBorders>
              <w:top w:val="nil"/>
              <w:left w:val="nil"/>
              <w:bottom w:val="nil"/>
              <w:right w:val="nil"/>
            </w:tcBorders>
            <w:shd w:val="clear" w:color="000000" w:fill="FFFFFF"/>
            <w:noWrap/>
            <w:vAlign w:val="bottom"/>
            <w:hideMark/>
          </w:tcPr>
          <w:p w14:paraId="33804EF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46.73%</w:t>
            </w:r>
          </w:p>
        </w:tc>
        <w:tc>
          <w:tcPr>
            <w:tcW w:w="452" w:type="pct"/>
            <w:tcBorders>
              <w:top w:val="nil"/>
              <w:left w:val="nil"/>
              <w:bottom w:val="nil"/>
              <w:right w:val="nil"/>
            </w:tcBorders>
            <w:shd w:val="clear" w:color="000000" w:fill="FFFFFF"/>
            <w:noWrap/>
            <w:vAlign w:val="bottom"/>
            <w:hideMark/>
          </w:tcPr>
          <w:p w14:paraId="5C6236B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46.73%</w:t>
            </w:r>
          </w:p>
        </w:tc>
      </w:tr>
      <w:tr w:rsidR="0018008E" w:rsidRPr="0018008E" w14:paraId="38ABE2E6" w14:textId="77777777" w:rsidTr="00DD27F1">
        <w:trPr>
          <w:trHeight w:val="227"/>
        </w:trPr>
        <w:tc>
          <w:tcPr>
            <w:tcW w:w="598" w:type="pct"/>
            <w:tcBorders>
              <w:top w:val="nil"/>
              <w:left w:val="nil"/>
              <w:bottom w:val="nil"/>
              <w:right w:val="nil"/>
            </w:tcBorders>
            <w:shd w:val="clear" w:color="000000" w:fill="FFFFFF"/>
            <w:noWrap/>
            <w:vAlign w:val="bottom"/>
            <w:hideMark/>
          </w:tcPr>
          <w:p w14:paraId="4A7D33E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25.09.2027</w:t>
            </w:r>
          </w:p>
        </w:tc>
        <w:tc>
          <w:tcPr>
            <w:tcW w:w="1229" w:type="pct"/>
            <w:tcBorders>
              <w:top w:val="nil"/>
              <w:left w:val="nil"/>
              <w:bottom w:val="nil"/>
              <w:right w:val="nil"/>
            </w:tcBorders>
            <w:shd w:val="clear" w:color="000000" w:fill="FFFFFF"/>
            <w:noWrap/>
            <w:hideMark/>
          </w:tcPr>
          <w:p w14:paraId="403D75F8" w14:textId="62BF24E7"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538,277,908.39 </w:t>
            </w:r>
          </w:p>
        </w:tc>
        <w:tc>
          <w:tcPr>
            <w:tcW w:w="454" w:type="pct"/>
            <w:tcBorders>
              <w:top w:val="nil"/>
              <w:left w:val="nil"/>
              <w:bottom w:val="nil"/>
              <w:right w:val="nil"/>
            </w:tcBorders>
            <w:shd w:val="clear" w:color="000000" w:fill="FFFFFF"/>
            <w:noWrap/>
            <w:vAlign w:val="bottom"/>
            <w:hideMark/>
          </w:tcPr>
          <w:p w14:paraId="10E37C6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43.41%</w:t>
            </w:r>
          </w:p>
        </w:tc>
        <w:tc>
          <w:tcPr>
            <w:tcW w:w="454" w:type="pct"/>
            <w:tcBorders>
              <w:top w:val="nil"/>
              <w:left w:val="nil"/>
              <w:bottom w:val="nil"/>
              <w:right w:val="nil"/>
            </w:tcBorders>
            <w:shd w:val="clear" w:color="000000" w:fill="FFFFFF"/>
            <w:noWrap/>
            <w:vAlign w:val="bottom"/>
            <w:hideMark/>
          </w:tcPr>
          <w:p w14:paraId="0227E53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43.41%</w:t>
            </w:r>
          </w:p>
        </w:tc>
        <w:tc>
          <w:tcPr>
            <w:tcW w:w="454" w:type="pct"/>
            <w:tcBorders>
              <w:top w:val="nil"/>
              <w:left w:val="nil"/>
              <w:bottom w:val="nil"/>
              <w:right w:val="nil"/>
            </w:tcBorders>
            <w:shd w:val="clear" w:color="000000" w:fill="FFFFFF"/>
            <w:noWrap/>
            <w:vAlign w:val="bottom"/>
            <w:hideMark/>
          </w:tcPr>
          <w:p w14:paraId="4F9237F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43.41%</w:t>
            </w:r>
          </w:p>
        </w:tc>
        <w:tc>
          <w:tcPr>
            <w:tcW w:w="454" w:type="pct"/>
            <w:tcBorders>
              <w:top w:val="nil"/>
              <w:left w:val="nil"/>
              <w:bottom w:val="nil"/>
              <w:right w:val="nil"/>
            </w:tcBorders>
            <w:shd w:val="clear" w:color="000000" w:fill="FFFFFF"/>
            <w:noWrap/>
            <w:vAlign w:val="bottom"/>
            <w:hideMark/>
          </w:tcPr>
          <w:p w14:paraId="377AD52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43.41%</w:t>
            </w:r>
          </w:p>
        </w:tc>
        <w:tc>
          <w:tcPr>
            <w:tcW w:w="454" w:type="pct"/>
            <w:tcBorders>
              <w:top w:val="nil"/>
              <w:left w:val="nil"/>
              <w:bottom w:val="nil"/>
              <w:right w:val="nil"/>
            </w:tcBorders>
            <w:shd w:val="clear" w:color="000000" w:fill="FFFFFF"/>
            <w:noWrap/>
            <w:vAlign w:val="bottom"/>
            <w:hideMark/>
          </w:tcPr>
          <w:p w14:paraId="7E502DC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43.41%</w:t>
            </w:r>
          </w:p>
        </w:tc>
        <w:tc>
          <w:tcPr>
            <w:tcW w:w="454" w:type="pct"/>
            <w:tcBorders>
              <w:top w:val="nil"/>
              <w:left w:val="nil"/>
              <w:bottom w:val="nil"/>
              <w:right w:val="nil"/>
            </w:tcBorders>
            <w:shd w:val="clear" w:color="000000" w:fill="FFFFFF"/>
            <w:noWrap/>
            <w:vAlign w:val="bottom"/>
            <w:hideMark/>
          </w:tcPr>
          <w:p w14:paraId="64F8373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43.41%</w:t>
            </w:r>
          </w:p>
        </w:tc>
        <w:tc>
          <w:tcPr>
            <w:tcW w:w="452" w:type="pct"/>
            <w:tcBorders>
              <w:top w:val="nil"/>
              <w:left w:val="nil"/>
              <w:bottom w:val="nil"/>
              <w:right w:val="nil"/>
            </w:tcBorders>
            <w:shd w:val="clear" w:color="000000" w:fill="FFFFFF"/>
            <w:noWrap/>
            <w:vAlign w:val="bottom"/>
            <w:hideMark/>
          </w:tcPr>
          <w:p w14:paraId="216B9E7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43.41%</w:t>
            </w:r>
          </w:p>
        </w:tc>
      </w:tr>
      <w:tr w:rsidR="0018008E" w:rsidRPr="0018008E" w14:paraId="571D555E" w14:textId="77777777" w:rsidTr="00DD27F1">
        <w:trPr>
          <w:trHeight w:val="227"/>
        </w:trPr>
        <w:tc>
          <w:tcPr>
            <w:tcW w:w="598" w:type="pct"/>
            <w:tcBorders>
              <w:top w:val="nil"/>
              <w:left w:val="nil"/>
              <w:bottom w:val="nil"/>
              <w:right w:val="nil"/>
            </w:tcBorders>
            <w:shd w:val="clear" w:color="000000" w:fill="FFFFFF"/>
            <w:noWrap/>
            <w:vAlign w:val="bottom"/>
            <w:hideMark/>
          </w:tcPr>
          <w:p w14:paraId="352C61F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25.10.2027</w:t>
            </w:r>
          </w:p>
        </w:tc>
        <w:tc>
          <w:tcPr>
            <w:tcW w:w="1229" w:type="pct"/>
            <w:tcBorders>
              <w:top w:val="nil"/>
              <w:left w:val="nil"/>
              <w:bottom w:val="nil"/>
              <w:right w:val="nil"/>
            </w:tcBorders>
            <w:shd w:val="clear" w:color="000000" w:fill="FFFFFF"/>
            <w:noWrap/>
            <w:hideMark/>
          </w:tcPr>
          <w:p w14:paraId="02B6A3AA" w14:textId="59F78B0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496,312,699.71 </w:t>
            </w:r>
          </w:p>
        </w:tc>
        <w:tc>
          <w:tcPr>
            <w:tcW w:w="454" w:type="pct"/>
            <w:tcBorders>
              <w:top w:val="nil"/>
              <w:left w:val="nil"/>
              <w:bottom w:val="nil"/>
              <w:right w:val="nil"/>
            </w:tcBorders>
            <w:shd w:val="clear" w:color="000000" w:fill="FFFFFF"/>
            <w:noWrap/>
            <w:vAlign w:val="bottom"/>
            <w:hideMark/>
          </w:tcPr>
          <w:p w14:paraId="33B151F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40.03%</w:t>
            </w:r>
          </w:p>
        </w:tc>
        <w:tc>
          <w:tcPr>
            <w:tcW w:w="454" w:type="pct"/>
            <w:tcBorders>
              <w:top w:val="nil"/>
              <w:left w:val="nil"/>
              <w:bottom w:val="nil"/>
              <w:right w:val="nil"/>
            </w:tcBorders>
            <w:shd w:val="clear" w:color="000000" w:fill="FFFFFF"/>
            <w:noWrap/>
            <w:vAlign w:val="bottom"/>
            <w:hideMark/>
          </w:tcPr>
          <w:p w14:paraId="34A1C30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40.03%</w:t>
            </w:r>
          </w:p>
        </w:tc>
        <w:tc>
          <w:tcPr>
            <w:tcW w:w="454" w:type="pct"/>
            <w:tcBorders>
              <w:top w:val="nil"/>
              <w:left w:val="nil"/>
              <w:bottom w:val="nil"/>
              <w:right w:val="nil"/>
            </w:tcBorders>
            <w:shd w:val="clear" w:color="000000" w:fill="FFFFFF"/>
            <w:noWrap/>
            <w:vAlign w:val="bottom"/>
            <w:hideMark/>
          </w:tcPr>
          <w:p w14:paraId="3CC3B5A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40.03%</w:t>
            </w:r>
          </w:p>
        </w:tc>
        <w:tc>
          <w:tcPr>
            <w:tcW w:w="454" w:type="pct"/>
            <w:tcBorders>
              <w:top w:val="nil"/>
              <w:left w:val="nil"/>
              <w:bottom w:val="nil"/>
              <w:right w:val="nil"/>
            </w:tcBorders>
            <w:shd w:val="clear" w:color="000000" w:fill="FFFFFF"/>
            <w:noWrap/>
            <w:vAlign w:val="bottom"/>
            <w:hideMark/>
          </w:tcPr>
          <w:p w14:paraId="3B1D179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40.03%</w:t>
            </w:r>
          </w:p>
        </w:tc>
        <w:tc>
          <w:tcPr>
            <w:tcW w:w="454" w:type="pct"/>
            <w:tcBorders>
              <w:top w:val="nil"/>
              <w:left w:val="nil"/>
              <w:bottom w:val="nil"/>
              <w:right w:val="nil"/>
            </w:tcBorders>
            <w:shd w:val="clear" w:color="000000" w:fill="FFFFFF"/>
            <w:noWrap/>
            <w:vAlign w:val="bottom"/>
            <w:hideMark/>
          </w:tcPr>
          <w:p w14:paraId="661EFE1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40.03%</w:t>
            </w:r>
          </w:p>
        </w:tc>
        <w:tc>
          <w:tcPr>
            <w:tcW w:w="454" w:type="pct"/>
            <w:tcBorders>
              <w:top w:val="nil"/>
              <w:left w:val="nil"/>
              <w:bottom w:val="nil"/>
              <w:right w:val="nil"/>
            </w:tcBorders>
            <w:shd w:val="clear" w:color="000000" w:fill="FFFFFF"/>
            <w:noWrap/>
            <w:vAlign w:val="bottom"/>
            <w:hideMark/>
          </w:tcPr>
          <w:p w14:paraId="4E0639A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40.03%</w:t>
            </w:r>
          </w:p>
        </w:tc>
        <w:tc>
          <w:tcPr>
            <w:tcW w:w="452" w:type="pct"/>
            <w:tcBorders>
              <w:top w:val="nil"/>
              <w:left w:val="nil"/>
              <w:bottom w:val="nil"/>
              <w:right w:val="nil"/>
            </w:tcBorders>
            <w:shd w:val="clear" w:color="000000" w:fill="FFFFFF"/>
            <w:noWrap/>
            <w:vAlign w:val="bottom"/>
            <w:hideMark/>
          </w:tcPr>
          <w:p w14:paraId="5FDDB2B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40.03%</w:t>
            </w:r>
          </w:p>
        </w:tc>
      </w:tr>
      <w:tr w:rsidR="0018008E" w:rsidRPr="0018008E" w14:paraId="26EDB1C5" w14:textId="77777777" w:rsidTr="00DD27F1">
        <w:trPr>
          <w:trHeight w:val="227"/>
        </w:trPr>
        <w:tc>
          <w:tcPr>
            <w:tcW w:w="598" w:type="pct"/>
            <w:tcBorders>
              <w:top w:val="nil"/>
              <w:left w:val="nil"/>
              <w:bottom w:val="nil"/>
              <w:right w:val="nil"/>
            </w:tcBorders>
            <w:shd w:val="clear" w:color="000000" w:fill="FFFFFF"/>
            <w:noWrap/>
            <w:vAlign w:val="bottom"/>
            <w:hideMark/>
          </w:tcPr>
          <w:p w14:paraId="1B60D6E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25.11.2027</w:t>
            </w:r>
          </w:p>
        </w:tc>
        <w:tc>
          <w:tcPr>
            <w:tcW w:w="1229" w:type="pct"/>
            <w:tcBorders>
              <w:top w:val="nil"/>
              <w:left w:val="nil"/>
              <w:bottom w:val="nil"/>
              <w:right w:val="nil"/>
            </w:tcBorders>
            <w:shd w:val="clear" w:color="000000" w:fill="FFFFFF"/>
            <w:noWrap/>
            <w:hideMark/>
          </w:tcPr>
          <w:p w14:paraId="6D21615D" w14:textId="089CA47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454,557,156.27 </w:t>
            </w:r>
          </w:p>
        </w:tc>
        <w:tc>
          <w:tcPr>
            <w:tcW w:w="454" w:type="pct"/>
            <w:tcBorders>
              <w:top w:val="nil"/>
              <w:left w:val="nil"/>
              <w:bottom w:val="nil"/>
              <w:right w:val="nil"/>
            </w:tcBorders>
            <w:shd w:val="clear" w:color="000000" w:fill="FFFFFF"/>
            <w:noWrap/>
            <w:vAlign w:val="bottom"/>
            <w:hideMark/>
          </w:tcPr>
          <w:p w14:paraId="34A119E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36.66%</w:t>
            </w:r>
          </w:p>
        </w:tc>
        <w:tc>
          <w:tcPr>
            <w:tcW w:w="454" w:type="pct"/>
            <w:tcBorders>
              <w:top w:val="nil"/>
              <w:left w:val="nil"/>
              <w:bottom w:val="nil"/>
              <w:right w:val="nil"/>
            </w:tcBorders>
            <w:shd w:val="clear" w:color="000000" w:fill="FFFFFF"/>
            <w:noWrap/>
            <w:vAlign w:val="bottom"/>
            <w:hideMark/>
          </w:tcPr>
          <w:p w14:paraId="236AB89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36.66%</w:t>
            </w:r>
          </w:p>
        </w:tc>
        <w:tc>
          <w:tcPr>
            <w:tcW w:w="454" w:type="pct"/>
            <w:tcBorders>
              <w:top w:val="nil"/>
              <w:left w:val="nil"/>
              <w:bottom w:val="nil"/>
              <w:right w:val="nil"/>
            </w:tcBorders>
            <w:shd w:val="clear" w:color="000000" w:fill="FFFFFF"/>
            <w:noWrap/>
            <w:vAlign w:val="bottom"/>
            <w:hideMark/>
          </w:tcPr>
          <w:p w14:paraId="50372E6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36.66%</w:t>
            </w:r>
          </w:p>
        </w:tc>
        <w:tc>
          <w:tcPr>
            <w:tcW w:w="454" w:type="pct"/>
            <w:tcBorders>
              <w:top w:val="nil"/>
              <w:left w:val="nil"/>
              <w:bottom w:val="nil"/>
              <w:right w:val="nil"/>
            </w:tcBorders>
            <w:shd w:val="clear" w:color="000000" w:fill="FFFFFF"/>
            <w:noWrap/>
            <w:vAlign w:val="bottom"/>
            <w:hideMark/>
          </w:tcPr>
          <w:p w14:paraId="6FFBE0D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36.66%</w:t>
            </w:r>
          </w:p>
        </w:tc>
        <w:tc>
          <w:tcPr>
            <w:tcW w:w="454" w:type="pct"/>
            <w:tcBorders>
              <w:top w:val="nil"/>
              <w:left w:val="nil"/>
              <w:bottom w:val="nil"/>
              <w:right w:val="nil"/>
            </w:tcBorders>
            <w:shd w:val="clear" w:color="000000" w:fill="FFFFFF"/>
            <w:noWrap/>
            <w:vAlign w:val="bottom"/>
            <w:hideMark/>
          </w:tcPr>
          <w:p w14:paraId="2CED4D2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36.66%</w:t>
            </w:r>
          </w:p>
        </w:tc>
        <w:tc>
          <w:tcPr>
            <w:tcW w:w="454" w:type="pct"/>
            <w:tcBorders>
              <w:top w:val="nil"/>
              <w:left w:val="nil"/>
              <w:bottom w:val="nil"/>
              <w:right w:val="nil"/>
            </w:tcBorders>
            <w:shd w:val="clear" w:color="000000" w:fill="FFFFFF"/>
            <w:noWrap/>
            <w:vAlign w:val="bottom"/>
            <w:hideMark/>
          </w:tcPr>
          <w:p w14:paraId="26B5C21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36.66%</w:t>
            </w:r>
          </w:p>
        </w:tc>
        <w:tc>
          <w:tcPr>
            <w:tcW w:w="452" w:type="pct"/>
            <w:tcBorders>
              <w:top w:val="nil"/>
              <w:left w:val="nil"/>
              <w:bottom w:val="nil"/>
              <w:right w:val="nil"/>
            </w:tcBorders>
            <w:shd w:val="clear" w:color="000000" w:fill="FFFFFF"/>
            <w:noWrap/>
            <w:vAlign w:val="bottom"/>
            <w:hideMark/>
          </w:tcPr>
          <w:p w14:paraId="25E3959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36.66%</w:t>
            </w:r>
          </w:p>
        </w:tc>
      </w:tr>
      <w:tr w:rsidR="0018008E" w:rsidRPr="0018008E" w14:paraId="3A2DEA94" w14:textId="77777777" w:rsidTr="00DD27F1">
        <w:trPr>
          <w:trHeight w:val="227"/>
        </w:trPr>
        <w:tc>
          <w:tcPr>
            <w:tcW w:w="598" w:type="pct"/>
            <w:tcBorders>
              <w:top w:val="nil"/>
              <w:left w:val="nil"/>
              <w:bottom w:val="nil"/>
              <w:right w:val="nil"/>
            </w:tcBorders>
            <w:shd w:val="clear" w:color="000000" w:fill="FFFFFF"/>
            <w:noWrap/>
            <w:vAlign w:val="bottom"/>
            <w:hideMark/>
          </w:tcPr>
          <w:p w14:paraId="07C9A11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25.12.2027</w:t>
            </w:r>
          </w:p>
        </w:tc>
        <w:tc>
          <w:tcPr>
            <w:tcW w:w="1229" w:type="pct"/>
            <w:tcBorders>
              <w:top w:val="nil"/>
              <w:left w:val="nil"/>
              <w:bottom w:val="nil"/>
              <w:right w:val="nil"/>
            </w:tcBorders>
            <w:shd w:val="clear" w:color="000000" w:fill="FFFFFF"/>
            <w:noWrap/>
            <w:hideMark/>
          </w:tcPr>
          <w:p w14:paraId="5D35D6FB" w14:textId="7C5D5F49"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418,764,848.69 </w:t>
            </w:r>
          </w:p>
        </w:tc>
        <w:tc>
          <w:tcPr>
            <w:tcW w:w="454" w:type="pct"/>
            <w:tcBorders>
              <w:top w:val="nil"/>
              <w:left w:val="nil"/>
              <w:bottom w:val="nil"/>
              <w:right w:val="nil"/>
            </w:tcBorders>
            <w:shd w:val="clear" w:color="000000" w:fill="FFFFFF"/>
            <w:noWrap/>
            <w:vAlign w:val="bottom"/>
            <w:hideMark/>
          </w:tcPr>
          <w:p w14:paraId="75853D0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33.77%</w:t>
            </w:r>
          </w:p>
        </w:tc>
        <w:tc>
          <w:tcPr>
            <w:tcW w:w="454" w:type="pct"/>
            <w:tcBorders>
              <w:top w:val="nil"/>
              <w:left w:val="nil"/>
              <w:bottom w:val="nil"/>
              <w:right w:val="nil"/>
            </w:tcBorders>
            <w:shd w:val="clear" w:color="000000" w:fill="FFFFFF"/>
            <w:noWrap/>
            <w:vAlign w:val="bottom"/>
            <w:hideMark/>
          </w:tcPr>
          <w:p w14:paraId="13838B0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33.77%</w:t>
            </w:r>
          </w:p>
        </w:tc>
        <w:tc>
          <w:tcPr>
            <w:tcW w:w="454" w:type="pct"/>
            <w:tcBorders>
              <w:top w:val="nil"/>
              <w:left w:val="nil"/>
              <w:bottom w:val="nil"/>
              <w:right w:val="nil"/>
            </w:tcBorders>
            <w:shd w:val="clear" w:color="000000" w:fill="FFFFFF"/>
            <w:noWrap/>
            <w:vAlign w:val="bottom"/>
            <w:hideMark/>
          </w:tcPr>
          <w:p w14:paraId="3878DEF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33.77%</w:t>
            </w:r>
          </w:p>
        </w:tc>
        <w:tc>
          <w:tcPr>
            <w:tcW w:w="454" w:type="pct"/>
            <w:tcBorders>
              <w:top w:val="nil"/>
              <w:left w:val="nil"/>
              <w:bottom w:val="nil"/>
              <w:right w:val="nil"/>
            </w:tcBorders>
            <w:shd w:val="clear" w:color="000000" w:fill="FFFFFF"/>
            <w:noWrap/>
            <w:vAlign w:val="bottom"/>
            <w:hideMark/>
          </w:tcPr>
          <w:p w14:paraId="100E5A4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33.77%</w:t>
            </w:r>
          </w:p>
        </w:tc>
        <w:tc>
          <w:tcPr>
            <w:tcW w:w="454" w:type="pct"/>
            <w:tcBorders>
              <w:top w:val="nil"/>
              <w:left w:val="nil"/>
              <w:bottom w:val="nil"/>
              <w:right w:val="nil"/>
            </w:tcBorders>
            <w:shd w:val="clear" w:color="000000" w:fill="FFFFFF"/>
            <w:noWrap/>
            <w:vAlign w:val="bottom"/>
            <w:hideMark/>
          </w:tcPr>
          <w:p w14:paraId="11AA70F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33.77%</w:t>
            </w:r>
          </w:p>
        </w:tc>
        <w:tc>
          <w:tcPr>
            <w:tcW w:w="454" w:type="pct"/>
            <w:tcBorders>
              <w:top w:val="nil"/>
              <w:left w:val="nil"/>
              <w:bottom w:val="nil"/>
              <w:right w:val="nil"/>
            </w:tcBorders>
            <w:shd w:val="clear" w:color="000000" w:fill="FFFFFF"/>
            <w:noWrap/>
            <w:vAlign w:val="bottom"/>
            <w:hideMark/>
          </w:tcPr>
          <w:p w14:paraId="52BCBAC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33.77%</w:t>
            </w:r>
          </w:p>
        </w:tc>
        <w:tc>
          <w:tcPr>
            <w:tcW w:w="452" w:type="pct"/>
            <w:tcBorders>
              <w:top w:val="nil"/>
              <w:left w:val="nil"/>
              <w:bottom w:val="nil"/>
              <w:right w:val="nil"/>
            </w:tcBorders>
            <w:shd w:val="clear" w:color="000000" w:fill="FFFFFF"/>
            <w:noWrap/>
            <w:vAlign w:val="bottom"/>
            <w:hideMark/>
          </w:tcPr>
          <w:p w14:paraId="2D553DB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33.77%</w:t>
            </w:r>
          </w:p>
        </w:tc>
      </w:tr>
      <w:tr w:rsidR="0018008E" w:rsidRPr="0018008E" w14:paraId="7593B892" w14:textId="77777777" w:rsidTr="00DD27F1">
        <w:trPr>
          <w:trHeight w:val="227"/>
        </w:trPr>
        <w:tc>
          <w:tcPr>
            <w:tcW w:w="598" w:type="pct"/>
            <w:tcBorders>
              <w:top w:val="nil"/>
              <w:left w:val="nil"/>
              <w:bottom w:val="nil"/>
              <w:right w:val="nil"/>
            </w:tcBorders>
            <w:shd w:val="clear" w:color="000000" w:fill="FFFFFF"/>
            <w:noWrap/>
            <w:vAlign w:val="bottom"/>
            <w:hideMark/>
          </w:tcPr>
          <w:p w14:paraId="0E8CF9B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25.01.2028</w:t>
            </w:r>
          </w:p>
        </w:tc>
        <w:tc>
          <w:tcPr>
            <w:tcW w:w="1229" w:type="pct"/>
            <w:tcBorders>
              <w:top w:val="nil"/>
              <w:left w:val="nil"/>
              <w:bottom w:val="nil"/>
              <w:right w:val="nil"/>
            </w:tcBorders>
            <w:shd w:val="clear" w:color="000000" w:fill="FFFFFF"/>
            <w:noWrap/>
            <w:hideMark/>
          </w:tcPr>
          <w:p w14:paraId="5154EC66" w14:textId="251D645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382,054,631.62 </w:t>
            </w:r>
          </w:p>
        </w:tc>
        <w:tc>
          <w:tcPr>
            <w:tcW w:w="454" w:type="pct"/>
            <w:tcBorders>
              <w:top w:val="nil"/>
              <w:left w:val="nil"/>
              <w:bottom w:val="nil"/>
              <w:right w:val="nil"/>
            </w:tcBorders>
            <w:shd w:val="clear" w:color="000000" w:fill="FFFFFF"/>
            <w:noWrap/>
            <w:vAlign w:val="bottom"/>
            <w:hideMark/>
          </w:tcPr>
          <w:p w14:paraId="41FDD5C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30.81%</w:t>
            </w:r>
          </w:p>
        </w:tc>
        <w:tc>
          <w:tcPr>
            <w:tcW w:w="454" w:type="pct"/>
            <w:tcBorders>
              <w:top w:val="nil"/>
              <w:left w:val="nil"/>
              <w:bottom w:val="nil"/>
              <w:right w:val="nil"/>
            </w:tcBorders>
            <w:shd w:val="clear" w:color="000000" w:fill="FFFFFF"/>
            <w:noWrap/>
            <w:vAlign w:val="bottom"/>
            <w:hideMark/>
          </w:tcPr>
          <w:p w14:paraId="41FE18A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30.81%</w:t>
            </w:r>
          </w:p>
        </w:tc>
        <w:tc>
          <w:tcPr>
            <w:tcW w:w="454" w:type="pct"/>
            <w:tcBorders>
              <w:top w:val="nil"/>
              <w:left w:val="nil"/>
              <w:bottom w:val="nil"/>
              <w:right w:val="nil"/>
            </w:tcBorders>
            <w:shd w:val="clear" w:color="000000" w:fill="FFFFFF"/>
            <w:noWrap/>
            <w:vAlign w:val="bottom"/>
            <w:hideMark/>
          </w:tcPr>
          <w:p w14:paraId="4C04290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30.81%</w:t>
            </w:r>
          </w:p>
        </w:tc>
        <w:tc>
          <w:tcPr>
            <w:tcW w:w="454" w:type="pct"/>
            <w:tcBorders>
              <w:top w:val="nil"/>
              <w:left w:val="nil"/>
              <w:bottom w:val="nil"/>
              <w:right w:val="nil"/>
            </w:tcBorders>
            <w:shd w:val="clear" w:color="000000" w:fill="FFFFFF"/>
            <w:noWrap/>
            <w:vAlign w:val="bottom"/>
            <w:hideMark/>
          </w:tcPr>
          <w:p w14:paraId="56A6455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30.81%</w:t>
            </w:r>
          </w:p>
        </w:tc>
        <w:tc>
          <w:tcPr>
            <w:tcW w:w="454" w:type="pct"/>
            <w:tcBorders>
              <w:top w:val="nil"/>
              <w:left w:val="nil"/>
              <w:bottom w:val="nil"/>
              <w:right w:val="nil"/>
            </w:tcBorders>
            <w:shd w:val="clear" w:color="000000" w:fill="FFFFFF"/>
            <w:noWrap/>
            <w:vAlign w:val="bottom"/>
            <w:hideMark/>
          </w:tcPr>
          <w:p w14:paraId="43BEC7A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30.81%</w:t>
            </w:r>
          </w:p>
        </w:tc>
        <w:tc>
          <w:tcPr>
            <w:tcW w:w="454" w:type="pct"/>
            <w:tcBorders>
              <w:top w:val="nil"/>
              <w:left w:val="nil"/>
              <w:bottom w:val="nil"/>
              <w:right w:val="nil"/>
            </w:tcBorders>
            <w:shd w:val="clear" w:color="000000" w:fill="FFFFFF"/>
            <w:noWrap/>
            <w:vAlign w:val="bottom"/>
            <w:hideMark/>
          </w:tcPr>
          <w:p w14:paraId="08FD986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30.81%</w:t>
            </w:r>
          </w:p>
        </w:tc>
        <w:tc>
          <w:tcPr>
            <w:tcW w:w="452" w:type="pct"/>
            <w:tcBorders>
              <w:top w:val="nil"/>
              <w:left w:val="nil"/>
              <w:bottom w:val="nil"/>
              <w:right w:val="nil"/>
            </w:tcBorders>
            <w:shd w:val="clear" w:color="000000" w:fill="FFFFFF"/>
            <w:noWrap/>
            <w:vAlign w:val="bottom"/>
            <w:hideMark/>
          </w:tcPr>
          <w:p w14:paraId="03CD49C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30.81%</w:t>
            </w:r>
          </w:p>
        </w:tc>
      </w:tr>
      <w:tr w:rsidR="0018008E" w:rsidRPr="0018008E" w14:paraId="71E132D8" w14:textId="77777777" w:rsidTr="00DD27F1">
        <w:trPr>
          <w:trHeight w:val="227"/>
        </w:trPr>
        <w:tc>
          <w:tcPr>
            <w:tcW w:w="598" w:type="pct"/>
            <w:tcBorders>
              <w:top w:val="nil"/>
              <w:left w:val="nil"/>
              <w:bottom w:val="nil"/>
              <w:right w:val="nil"/>
            </w:tcBorders>
            <w:shd w:val="clear" w:color="000000" w:fill="FFFFFF"/>
            <w:noWrap/>
            <w:vAlign w:val="bottom"/>
            <w:hideMark/>
          </w:tcPr>
          <w:p w14:paraId="3F1CA71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25.02.2028</w:t>
            </w:r>
          </w:p>
        </w:tc>
        <w:tc>
          <w:tcPr>
            <w:tcW w:w="1229" w:type="pct"/>
            <w:tcBorders>
              <w:top w:val="nil"/>
              <w:left w:val="nil"/>
              <w:bottom w:val="nil"/>
              <w:right w:val="nil"/>
            </w:tcBorders>
            <w:shd w:val="clear" w:color="000000" w:fill="FFFFFF"/>
            <w:noWrap/>
            <w:hideMark/>
          </w:tcPr>
          <w:p w14:paraId="4943B091" w14:textId="73A00C8A"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347,104,243.61 </w:t>
            </w:r>
          </w:p>
        </w:tc>
        <w:tc>
          <w:tcPr>
            <w:tcW w:w="454" w:type="pct"/>
            <w:tcBorders>
              <w:top w:val="nil"/>
              <w:left w:val="nil"/>
              <w:bottom w:val="nil"/>
              <w:right w:val="nil"/>
            </w:tcBorders>
            <w:shd w:val="clear" w:color="000000" w:fill="FFFFFF"/>
            <w:noWrap/>
            <w:vAlign w:val="bottom"/>
            <w:hideMark/>
          </w:tcPr>
          <w:p w14:paraId="44D98AE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27.99%</w:t>
            </w:r>
          </w:p>
        </w:tc>
        <w:tc>
          <w:tcPr>
            <w:tcW w:w="454" w:type="pct"/>
            <w:tcBorders>
              <w:top w:val="nil"/>
              <w:left w:val="nil"/>
              <w:bottom w:val="nil"/>
              <w:right w:val="nil"/>
            </w:tcBorders>
            <w:shd w:val="clear" w:color="000000" w:fill="FFFFFF"/>
            <w:noWrap/>
            <w:vAlign w:val="bottom"/>
            <w:hideMark/>
          </w:tcPr>
          <w:p w14:paraId="68B1E2A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27.99%</w:t>
            </w:r>
          </w:p>
        </w:tc>
        <w:tc>
          <w:tcPr>
            <w:tcW w:w="454" w:type="pct"/>
            <w:tcBorders>
              <w:top w:val="nil"/>
              <w:left w:val="nil"/>
              <w:bottom w:val="nil"/>
              <w:right w:val="nil"/>
            </w:tcBorders>
            <w:shd w:val="clear" w:color="000000" w:fill="FFFFFF"/>
            <w:noWrap/>
            <w:vAlign w:val="bottom"/>
            <w:hideMark/>
          </w:tcPr>
          <w:p w14:paraId="0B50353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27.99%</w:t>
            </w:r>
          </w:p>
        </w:tc>
        <w:tc>
          <w:tcPr>
            <w:tcW w:w="454" w:type="pct"/>
            <w:tcBorders>
              <w:top w:val="nil"/>
              <w:left w:val="nil"/>
              <w:bottom w:val="nil"/>
              <w:right w:val="nil"/>
            </w:tcBorders>
            <w:shd w:val="clear" w:color="000000" w:fill="FFFFFF"/>
            <w:noWrap/>
            <w:vAlign w:val="bottom"/>
            <w:hideMark/>
          </w:tcPr>
          <w:p w14:paraId="1F16936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27.99%</w:t>
            </w:r>
          </w:p>
        </w:tc>
        <w:tc>
          <w:tcPr>
            <w:tcW w:w="454" w:type="pct"/>
            <w:tcBorders>
              <w:top w:val="nil"/>
              <w:left w:val="nil"/>
              <w:bottom w:val="nil"/>
              <w:right w:val="nil"/>
            </w:tcBorders>
            <w:shd w:val="clear" w:color="000000" w:fill="FFFFFF"/>
            <w:noWrap/>
            <w:vAlign w:val="bottom"/>
            <w:hideMark/>
          </w:tcPr>
          <w:p w14:paraId="40221CD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27.99%</w:t>
            </w:r>
          </w:p>
        </w:tc>
        <w:tc>
          <w:tcPr>
            <w:tcW w:w="454" w:type="pct"/>
            <w:tcBorders>
              <w:top w:val="nil"/>
              <w:left w:val="nil"/>
              <w:bottom w:val="nil"/>
              <w:right w:val="nil"/>
            </w:tcBorders>
            <w:shd w:val="clear" w:color="000000" w:fill="FFFFFF"/>
            <w:noWrap/>
            <w:vAlign w:val="bottom"/>
            <w:hideMark/>
          </w:tcPr>
          <w:p w14:paraId="77B8CA4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27.99%</w:t>
            </w:r>
          </w:p>
        </w:tc>
        <w:tc>
          <w:tcPr>
            <w:tcW w:w="452" w:type="pct"/>
            <w:tcBorders>
              <w:top w:val="nil"/>
              <w:left w:val="nil"/>
              <w:bottom w:val="nil"/>
              <w:right w:val="nil"/>
            </w:tcBorders>
            <w:shd w:val="clear" w:color="000000" w:fill="FFFFFF"/>
            <w:noWrap/>
            <w:vAlign w:val="bottom"/>
            <w:hideMark/>
          </w:tcPr>
          <w:p w14:paraId="0734064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27.99%</w:t>
            </w:r>
          </w:p>
        </w:tc>
      </w:tr>
      <w:tr w:rsidR="0018008E" w:rsidRPr="0018008E" w14:paraId="49459D13" w14:textId="77777777" w:rsidTr="00DD27F1">
        <w:trPr>
          <w:trHeight w:val="227"/>
        </w:trPr>
        <w:tc>
          <w:tcPr>
            <w:tcW w:w="598" w:type="pct"/>
            <w:tcBorders>
              <w:top w:val="nil"/>
              <w:left w:val="nil"/>
              <w:bottom w:val="nil"/>
              <w:right w:val="nil"/>
            </w:tcBorders>
            <w:shd w:val="clear" w:color="000000" w:fill="FFFFFF"/>
            <w:noWrap/>
            <w:vAlign w:val="bottom"/>
            <w:hideMark/>
          </w:tcPr>
          <w:p w14:paraId="676887F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25.03.2028</w:t>
            </w:r>
          </w:p>
        </w:tc>
        <w:tc>
          <w:tcPr>
            <w:tcW w:w="1229" w:type="pct"/>
            <w:tcBorders>
              <w:top w:val="nil"/>
              <w:left w:val="nil"/>
              <w:bottom w:val="nil"/>
              <w:right w:val="nil"/>
            </w:tcBorders>
            <w:shd w:val="clear" w:color="000000" w:fill="FFFFFF"/>
            <w:noWrap/>
            <w:hideMark/>
          </w:tcPr>
          <w:p w14:paraId="30362179" w14:textId="5E0DF24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313,000,654.86 </w:t>
            </w:r>
          </w:p>
        </w:tc>
        <w:tc>
          <w:tcPr>
            <w:tcW w:w="454" w:type="pct"/>
            <w:tcBorders>
              <w:top w:val="nil"/>
              <w:left w:val="nil"/>
              <w:bottom w:val="nil"/>
              <w:right w:val="nil"/>
            </w:tcBorders>
            <w:shd w:val="clear" w:color="000000" w:fill="FFFFFF"/>
            <w:noWrap/>
            <w:vAlign w:val="bottom"/>
            <w:hideMark/>
          </w:tcPr>
          <w:p w14:paraId="27AEDEA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25.24%</w:t>
            </w:r>
          </w:p>
        </w:tc>
        <w:tc>
          <w:tcPr>
            <w:tcW w:w="454" w:type="pct"/>
            <w:tcBorders>
              <w:top w:val="nil"/>
              <w:left w:val="nil"/>
              <w:bottom w:val="nil"/>
              <w:right w:val="nil"/>
            </w:tcBorders>
            <w:shd w:val="clear" w:color="000000" w:fill="FFFFFF"/>
            <w:noWrap/>
            <w:vAlign w:val="bottom"/>
            <w:hideMark/>
          </w:tcPr>
          <w:p w14:paraId="7AA048E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25.24%</w:t>
            </w:r>
          </w:p>
        </w:tc>
        <w:tc>
          <w:tcPr>
            <w:tcW w:w="454" w:type="pct"/>
            <w:tcBorders>
              <w:top w:val="nil"/>
              <w:left w:val="nil"/>
              <w:bottom w:val="nil"/>
              <w:right w:val="nil"/>
            </w:tcBorders>
            <w:shd w:val="clear" w:color="000000" w:fill="FFFFFF"/>
            <w:noWrap/>
            <w:vAlign w:val="bottom"/>
            <w:hideMark/>
          </w:tcPr>
          <w:p w14:paraId="721A253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25.24%</w:t>
            </w:r>
          </w:p>
        </w:tc>
        <w:tc>
          <w:tcPr>
            <w:tcW w:w="454" w:type="pct"/>
            <w:tcBorders>
              <w:top w:val="nil"/>
              <w:left w:val="nil"/>
              <w:bottom w:val="nil"/>
              <w:right w:val="nil"/>
            </w:tcBorders>
            <w:shd w:val="clear" w:color="000000" w:fill="FFFFFF"/>
            <w:noWrap/>
            <w:vAlign w:val="bottom"/>
            <w:hideMark/>
          </w:tcPr>
          <w:p w14:paraId="701220D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25.24%</w:t>
            </w:r>
          </w:p>
        </w:tc>
        <w:tc>
          <w:tcPr>
            <w:tcW w:w="454" w:type="pct"/>
            <w:tcBorders>
              <w:top w:val="nil"/>
              <w:left w:val="nil"/>
              <w:bottom w:val="nil"/>
              <w:right w:val="nil"/>
            </w:tcBorders>
            <w:shd w:val="clear" w:color="000000" w:fill="FFFFFF"/>
            <w:noWrap/>
            <w:vAlign w:val="bottom"/>
            <w:hideMark/>
          </w:tcPr>
          <w:p w14:paraId="0281E58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25.24%</w:t>
            </w:r>
          </w:p>
        </w:tc>
        <w:tc>
          <w:tcPr>
            <w:tcW w:w="454" w:type="pct"/>
            <w:tcBorders>
              <w:top w:val="nil"/>
              <w:left w:val="nil"/>
              <w:bottom w:val="nil"/>
              <w:right w:val="nil"/>
            </w:tcBorders>
            <w:shd w:val="clear" w:color="000000" w:fill="FFFFFF"/>
            <w:noWrap/>
            <w:vAlign w:val="bottom"/>
            <w:hideMark/>
          </w:tcPr>
          <w:p w14:paraId="4C4FC37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25.24%</w:t>
            </w:r>
          </w:p>
        </w:tc>
        <w:tc>
          <w:tcPr>
            <w:tcW w:w="452" w:type="pct"/>
            <w:tcBorders>
              <w:top w:val="nil"/>
              <w:left w:val="nil"/>
              <w:bottom w:val="nil"/>
              <w:right w:val="nil"/>
            </w:tcBorders>
            <w:shd w:val="clear" w:color="000000" w:fill="FFFFFF"/>
            <w:noWrap/>
            <w:vAlign w:val="bottom"/>
            <w:hideMark/>
          </w:tcPr>
          <w:p w14:paraId="2B0A680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25.24%</w:t>
            </w:r>
          </w:p>
        </w:tc>
      </w:tr>
      <w:tr w:rsidR="0018008E" w:rsidRPr="0018008E" w14:paraId="4E322705" w14:textId="77777777" w:rsidTr="00DD27F1">
        <w:trPr>
          <w:trHeight w:val="227"/>
        </w:trPr>
        <w:tc>
          <w:tcPr>
            <w:tcW w:w="598" w:type="pct"/>
            <w:tcBorders>
              <w:top w:val="nil"/>
              <w:left w:val="nil"/>
              <w:bottom w:val="nil"/>
              <w:right w:val="nil"/>
            </w:tcBorders>
            <w:shd w:val="clear" w:color="000000" w:fill="FFFFFF"/>
            <w:noWrap/>
            <w:vAlign w:val="bottom"/>
            <w:hideMark/>
          </w:tcPr>
          <w:p w14:paraId="0EA7B52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25.04.2028</w:t>
            </w:r>
          </w:p>
        </w:tc>
        <w:tc>
          <w:tcPr>
            <w:tcW w:w="1229" w:type="pct"/>
            <w:tcBorders>
              <w:top w:val="nil"/>
              <w:left w:val="nil"/>
              <w:bottom w:val="nil"/>
              <w:right w:val="nil"/>
            </w:tcBorders>
            <w:shd w:val="clear" w:color="000000" w:fill="FFFFFF"/>
            <w:noWrap/>
            <w:hideMark/>
          </w:tcPr>
          <w:p w14:paraId="52DD4513" w14:textId="5814A09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282,831,533.87 </w:t>
            </w:r>
          </w:p>
        </w:tc>
        <w:tc>
          <w:tcPr>
            <w:tcW w:w="454" w:type="pct"/>
            <w:tcBorders>
              <w:top w:val="nil"/>
              <w:left w:val="nil"/>
              <w:bottom w:val="nil"/>
              <w:right w:val="nil"/>
            </w:tcBorders>
            <w:shd w:val="clear" w:color="000000" w:fill="FFFFFF"/>
            <w:noWrap/>
            <w:vAlign w:val="bottom"/>
            <w:hideMark/>
          </w:tcPr>
          <w:p w14:paraId="0DAFD4A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22.81%</w:t>
            </w:r>
          </w:p>
        </w:tc>
        <w:tc>
          <w:tcPr>
            <w:tcW w:w="454" w:type="pct"/>
            <w:tcBorders>
              <w:top w:val="nil"/>
              <w:left w:val="nil"/>
              <w:bottom w:val="nil"/>
              <w:right w:val="nil"/>
            </w:tcBorders>
            <w:shd w:val="clear" w:color="000000" w:fill="FFFFFF"/>
            <w:noWrap/>
            <w:vAlign w:val="bottom"/>
            <w:hideMark/>
          </w:tcPr>
          <w:p w14:paraId="2D7EC47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22.81%</w:t>
            </w:r>
          </w:p>
        </w:tc>
        <w:tc>
          <w:tcPr>
            <w:tcW w:w="454" w:type="pct"/>
            <w:tcBorders>
              <w:top w:val="nil"/>
              <w:left w:val="nil"/>
              <w:bottom w:val="nil"/>
              <w:right w:val="nil"/>
            </w:tcBorders>
            <w:shd w:val="clear" w:color="000000" w:fill="FFFFFF"/>
            <w:noWrap/>
            <w:vAlign w:val="bottom"/>
            <w:hideMark/>
          </w:tcPr>
          <w:p w14:paraId="7343FE5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22.81%</w:t>
            </w:r>
          </w:p>
        </w:tc>
        <w:tc>
          <w:tcPr>
            <w:tcW w:w="454" w:type="pct"/>
            <w:tcBorders>
              <w:top w:val="nil"/>
              <w:left w:val="nil"/>
              <w:bottom w:val="nil"/>
              <w:right w:val="nil"/>
            </w:tcBorders>
            <w:shd w:val="clear" w:color="000000" w:fill="FFFFFF"/>
            <w:noWrap/>
            <w:vAlign w:val="bottom"/>
            <w:hideMark/>
          </w:tcPr>
          <w:p w14:paraId="12814C2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22.81%</w:t>
            </w:r>
          </w:p>
        </w:tc>
        <w:tc>
          <w:tcPr>
            <w:tcW w:w="454" w:type="pct"/>
            <w:tcBorders>
              <w:top w:val="nil"/>
              <w:left w:val="nil"/>
              <w:bottom w:val="nil"/>
              <w:right w:val="nil"/>
            </w:tcBorders>
            <w:shd w:val="clear" w:color="000000" w:fill="FFFFFF"/>
            <w:noWrap/>
            <w:vAlign w:val="bottom"/>
            <w:hideMark/>
          </w:tcPr>
          <w:p w14:paraId="0552B05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22.81%</w:t>
            </w:r>
          </w:p>
        </w:tc>
        <w:tc>
          <w:tcPr>
            <w:tcW w:w="454" w:type="pct"/>
            <w:tcBorders>
              <w:top w:val="nil"/>
              <w:left w:val="nil"/>
              <w:bottom w:val="nil"/>
              <w:right w:val="nil"/>
            </w:tcBorders>
            <w:shd w:val="clear" w:color="000000" w:fill="FFFFFF"/>
            <w:noWrap/>
            <w:vAlign w:val="bottom"/>
            <w:hideMark/>
          </w:tcPr>
          <w:p w14:paraId="5044848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22.81%</w:t>
            </w:r>
          </w:p>
        </w:tc>
        <w:tc>
          <w:tcPr>
            <w:tcW w:w="452" w:type="pct"/>
            <w:tcBorders>
              <w:top w:val="nil"/>
              <w:left w:val="nil"/>
              <w:bottom w:val="nil"/>
              <w:right w:val="nil"/>
            </w:tcBorders>
            <w:shd w:val="clear" w:color="000000" w:fill="FFFFFF"/>
            <w:noWrap/>
            <w:vAlign w:val="bottom"/>
            <w:hideMark/>
          </w:tcPr>
          <w:p w14:paraId="6F9BFC7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22.81%</w:t>
            </w:r>
          </w:p>
        </w:tc>
      </w:tr>
      <w:tr w:rsidR="0018008E" w:rsidRPr="0018008E" w14:paraId="26CED078" w14:textId="77777777" w:rsidTr="00DD27F1">
        <w:trPr>
          <w:trHeight w:val="227"/>
        </w:trPr>
        <w:tc>
          <w:tcPr>
            <w:tcW w:w="598" w:type="pct"/>
            <w:tcBorders>
              <w:top w:val="nil"/>
              <w:left w:val="nil"/>
              <w:bottom w:val="nil"/>
              <w:right w:val="nil"/>
            </w:tcBorders>
            <w:shd w:val="clear" w:color="000000" w:fill="FFFFFF"/>
            <w:noWrap/>
            <w:vAlign w:val="bottom"/>
            <w:hideMark/>
          </w:tcPr>
          <w:p w14:paraId="750FBBF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25.05.2028</w:t>
            </w:r>
          </w:p>
        </w:tc>
        <w:tc>
          <w:tcPr>
            <w:tcW w:w="1229" w:type="pct"/>
            <w:tcBorders>
              <w:top w:val="nil"/>
              <w:left w:val="nil"/>
              <w:bottom w:val="nil"/>
              <w:right w:val="nil"/>
            </w:tcBorders>
            <w:shd w:val="clear" w:color="000000" w:fill="FFFFFF"/>
            <w:noWrap/>
            <w:hideMark/>
          </w:tcPr>
          <w:p w14:paraId="77AAC1B4" w14:textId="2A61213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252,011,657.62 </w:t>
            </w:r>
          </w:p>
        </w:tc>
        <w:tc>
          <w:tcPr>
            <w:tcW w:w="454" w:type="pct"/>
            <w:tcBorders>
              <w:top w:val="nil"/>
              <w:left w:val="nil"/>
              <w:bottom w:val="nil"/>
              <w:right w:val="nil"/>
            </w:tcBorders>
            <w:shd w:val="clear" w:color="000000" w:fill="FFFFFF"/>
            <w:noWrap/>
            <w:vAlign w:val="bottom"/>
            <w:hideMark/>
          </w:tcPr>
          <w:p w14:paraId="6CD6019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20.32%</w:t>
            </w:r>
          </w:p>
        </w:tc>
        <w:tc>
          <w:tcPr>
            <w:tcW w:w="454" w:type="pct"/>
            <w:tcBorders>
              <w:top w:val="nil"/>
              <w:left w:val="nil"/>
              <w:bottom w:val="nil"/>
              <w:right w:val="nil"/>
            </w:tcBorders>
            <w:shd w:val="clear" w:color="000000" w:fill="FFFFFF"/>
            <w:noWrap/>
            <w:vAlign w:val="bottom"/>
            <w:hideMark/>
          </w:tcPr>
          <w:p w14:paraId="6908BB2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20.32%</w:t>
            </w:r>
          </w:p>
        </w:tc>
        <w:tc>
          <w:tcPr>
            <w:tcW w:w="454" w:type="pct"/>
            <w:tcBorders>
              <w:top w:val="nil"/>
              <w:left w:val="nil"/>
              <w:bottom w:val="nil"/>
              <w:right w:val="nil"/>
            </w:tcBorders>
            <w:shd w:val="clear" w:color="000000" w:fill="FFFFFF"/>
            <w:noWrap/>
            <w:vAlign w:val="bottom"/>
            <w:hideMark/>
          </w:tcPr>
          <w:p w14:paraId="0F0190C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20.32%</w:t>
            </w:r>
          </w:p>
        </w:tc>
        <w:tc>
          <w:tcPr>
            <w:tcW w:w="454" w:type="pct"/>
            <w:tcBorders>
              <w:top w:val="nil"/>
              <w:left w:val="nil"/>
              <w:bottom w:val="nil"/>
              <w:right w:val="nil"/>
            </w:tcBorders>
            <w:shd w:val="clear" w:color="000000" w:fill="FFFFFF"/>
            <w:noWrap/>
            <w:vAlign w:val="bottom"/>
            <w:hideMark/>
          </w:tcPr>
          <w:p w14:paraId="4A1BFD8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20.32%</w:t>
            </w:r>
          </w:p>
        </w:tc>
        <w:tc>
          <w:tcPr>
            <w:tcW w:w="454" w:type="pct"/>
            <w:tcBorders>
              <w:top w:val="nil"/>
              <w:left w:val="nil"/>
              <w:bottom w:val="nil"/>
              <w:right w:val="nil"/>
            </w:tcBorders>
            <w:shd w:val="clear" w:color="000000" w:fill="FFFFFF"/>
            <w:noWrap/>
            <w:vAlign w:val="bottom"/>
            <w:hideMark/>
          </w:tcPr>
          <w:p w14:paraId="2EDB139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20.32%</w:t>
            </w:r>
          </w:p>
        </w:tc>
        <w:tc>
          <w:tcPr>
            <w:tcW w:w="454" w:type="pct"/>
            <w:tcBorders>
              <w:top w:val="nil"/>
              <w:left w:val="nil"/>
              <w:bottom w:val="nil"/>
              <w:right w:val="nil"/>
            </w:tcBorders>
            <w:shd w:val="clear" w:color="000000" w:fill="FFFFFF"/>
            <w:noWrap/>
            <w:vAlign w:val="bottom"/>
            <w:hideMark/>
          </w:tcPr>
          <w:p w14:paraId="258A797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20.32%</w:t>
            </w:r>
          </w:p>
        </w:tc>
        <w:tc>
          <w:tcPr>
            <w:tcW w:w="452" w:type="pct"/>
            <w:tcBorders>
              <w:top w:val="nil"/>
              <w:left w:val="nil"/>
              <w:bottom w:val="nil"/>
              <w:right w:val="nil"/>
            </w:tcBorders>
            <w:shd w:val="clear" w:color="000000" w:fill="FFFFFF"/>
            <w:noWrap/>
            <w:vAlign w:val="bottom"/>
            <w:hideMark/>
          </w:tcPr>
          <w:p w14:paraId="4C63AC1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20.32%</w:t>
            </w:r>
          </w:p>
        </w:tc>
      </w:tr>
      <w:tr w:rsidR="0018008E" w:rsidRPr="0018008E" w14:paraId="4C312201" w14:textId="77777777" w:rsidTr="00DD27F1">
        <w:trPr>
          <w:trHeight w:val="227"/>
        </w:trPr>
        <w:tc>
          <w:tcPr>
            <w:tcW w:w="598" w:type="pct"/>
            <w:tcBorders>
              <w:top w:val="nil"/>
              <w:left w:val="nil"/>
              <w:bottom w:val="nil"/>
              <w:right w:val="nil"/>
            </w:tcBorders>
            <w:shd w:val="clear" w:color="000000" w:fill="FFFFFF"/>
            <w:noWrap/>
            <w:vAlign w:val="bottom"/>
            <w:hideMark/>
          </w:tcPr>
          <w:p w14:paraId="67204F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25.06.2028</w:t>
            </w:r>
          </w:p>
        </w:tc>
        <w:tc>
          <w:tcPr>
            <w:tcW w:w="1229" w:type="pct"/>
            <w:tcBorders>
              <w:top w:val="nil"/>
              <w:left w:val="nil"/>
              <w:bottom w:val="nil"/>
              <w:right w:val="nil"/>
            </w:tcBorders>
            <w:shd w:val="clear" w:color="000000" w:fill="FFFFFF"/>
            <w:noWrap/>
            <w:hideMark/>
          </w:tcPr>
          <w:p w14:paraId="5D9E8A80" w14:textId="6B44E1F9"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221,826,821.78 </w:t>
            </w:r>
          </w:p>
        </w:tc>
        <w:tc>
          <w:tcPr>
            <w:tcW w:w="454" w:type="pct"/>
            <w:tcBorders>
              <w:top w:val="nil"/>
              <w:left w:val="nil"/>
              <w:bottom w:val="nil"/>
              <w:right w:val="nil"/>
            </w:tcBorders>
            <w:shd w:val="clear" w:color="000000" w:fill="FFFFFF"/>
            <w:noWrap/>
            <w:vAlign w:val="bottom"/>
            <w:hideMark/>
          </w:tcPr>
          <w:p w14:paraId="26342FB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17.89%</w:t>
            </w:r>
          </w:p>
        </w:tc>
        <w:tc>
          <w:tcPr>
            <w:tcW w:w="454" w:type="pct"/>
            <w:tcBorders>
              <w:top w:val="nil"/>
              <w:left w:val="nil"/>
              <w:bottom w:val="nil"/>
              <w:right w:val="nil"/>
            </w:tcBorders>
            <w:shd w:val="clear" w:color="000000" w:fill="FFFFFF"/>
            <w:noWrap/>
            <w:vAlign w:val="bottom"/>
            <w:hideMark/>
          </w:tcPr>
          <w:p w14:paraId="3B1813F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17.89%</w:t>
            </w:r>
          </w:p>
        </w:tc>
        <w:tc>
          <w:tcPr>
            <w:tcW w:w="454" w:type="pct"/>
            <w:tcBorders>
              <w:top w:val="nil"/>
              <w:left w:val="nil"/>
              <w:bottom w:val="nil"/>
              <w:right w:val="nil"/>
            </w:tcBorders>
            <w:shd w:val="clear" w:color="000000" w:fill="FFFFFF"/>
            <w:noWrap/>
            <w:vAlign w:val="bottom"/>
            <w:hideMark/>
          </w:tcPr>
          <w:p w14:paraId="25C2CE5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17.89%</w:t>
            </w:r>
          </w:p>
        </w:tc>
        <w:tc>
          <w:tcPr>
            <w:tcW w:w="454" w:type="pct"/>
            <w:tcBorders>
              <w:top w:val="nil"/>
              <w:left w:val="nil"/>
              <w:bottom w:val="nil"/>
              <w:right w:val="nil"/>
            </w:tcBorders>
            <w:shd w:val="clear" w:color="000000" w:fill="FFFFFF"/>
            <w:noWrap/>
            <w:vAlign w:val="bottom"/>
            <w:hideMark/>
          </w:tcPr>
          <w:p w14:paraId="3D7195E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17.89%</w:t>
            </w:r>
          </w:p>
        </w:tc>
        <w:tc>
          <w:tcPr>
            <w:tcW w:w="454" w:type="pct"/>
            <w:tcBorders>
              <w:top w:val="nil"/>
              <w:left w:val="nil"/>
              <w:bottom w:val="nil"/>
              <w:right w:val="nil"/>
            </w:tcBorders>
            <w:shd w:val="clear" w:color="000000" w:fill="FFFFFF"/>
            <w:noWrap/>
            <w:vAlign w:val="bottom"/>
            <w:hideMark/>
          </w:tcPr>
          <w:p w14:paraId="4990734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17.89%</w:t>
            </w:r>
          </w:p>
        </w:tc>
        <w:tc>
          <w:tcPr>
            <w:tcW w:w="454" w:type="pct"/>
            <w:tcBorders>
              <w:top w:val="nil"/>
              <w:left w:val="nil"/>
              <w:bottom w:val="nil"/>
              <w:right w:val="nil"/>
            </w:tcBorders>
            <w:shd w:val="clear" w:color="000000" w:fill="FFFFFF"/>
            <w:noWrap/>
            <w:vAlign w:val="bottom"/>
            <w:hideMark/>
          </w:tcPr>
          <w:p w14:paraId="45A3DCD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17.89%</w:t>
            </w:r>
          </w:p>
        </w:tc>
        <w:tc>
          <w:tcPr>
            <w:tcW w:w="452" w:type="pct"/>
            <w:tcBorders>
              <w:top w:val="nil"/>
              <w:left w:val="nil"/>
              <w:bottom w:val="nil"/>
              <w:right w:val="nil"/>
            </w:tcBorders>
            <w:shd w:val="clear" w:color="000000" w:fill="FFFFFF"/>
            <w:noWrap/>
            <w:vAlign w:val="bottom"/>
            <w:hideMark/>
          </w:tcPr>
          <w:p w14:paraId="3A5AE5D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17.89%</w:t>
            </w:r>
          </w:p>
        </w:tc>
      </w:tr>
      <w:tr w:rsidR="0018008E" w:rsidRPr="0018008E" w14:paraId="05C88175" w14:textId="77777777" w:rsidTr="00DD27F1">
        <w:trPr>
          <w:trHeight w:val="227"/>
        </w:trPr>
        <w:tc>
          <w:tcPr>
            <w:tcW w:w="598" w:type="pct"/>
            <w:tcBorders>
              <w:top w:val="nil"/>
              <w:left w:val="nil"/>
              <w:bottom w:val="nil"/>
              <w:right w:val="nil"/>
            </w:tcBorders>
            <w:shd w:val="clear" w:color="000000" w:fill="FFFFFF"/>
            <w:noWrap/>
            <w:vAlign w:val="bottom"/>
            <w:hideMark/>
          </w:tcPr>
          <w:p w14:paraId="13F26E9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25.07.2028</w:t>
            </w:r>
          </w:p>
        </w:tc>
        <w:tc>
          <w:tcPr>
            <w:tcW w:w="1229" w:type="pct"/>
            <w:tcBorders>
              <w:top w:val="nil"/>
              <w:left w:val="nil"/>
              <w:bottom w:val="nil"/>
              <w:right w:val="nil"/>
            </w:tcBorders>
            <w:shd w:val="clear" w:color="000000" w:fill="FFFFFF"/>
            <w:noWrap/>
            <w:hideMark/>
          </w:tcPr>
          <w:p w14:paraId="56892B63" w14:textId="4C9DEBD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200,742,482.15 </w:t>
            </w:r>
          </w:p>
        </w:tc>
        <w:tc>
          <w:tcPr>
            <w:tcW w:w="454" w:type="pct"/>
            <w:tcBorders>
              <w:top w:val="nil"/>
              <w:left w:val="nil"/>
              <w:bottom w:val="nil"/>
              <w:right w:val="nil"/>
            </w:tcBorders>
            <w:shd w:val="clear" w:color="000000" w:fill="FFFFFF"/>
            <w:noWrap/>
            <w:vAlign w:val="bottom"/>
            <w:hideMark/>
          </w:tcPr>
          <w:p w14:paraId="675245F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16.19%</w:t>
            </w:r>
          </w:p>
        </w:tc>
        <w:tc>
          <w:tcPr>
            <w:tcW w:w="454" w:type="pct"/>
            <w:tcBorders>
              <w:top w:val="nil"/>
              <w:left w:val="nil"/>
              <w:bottom w:val="nil"/>
              <w:right w:val="nil"/>
            </w:tcBorders>
            <w:shd w:val="clear" w:color="000000" w:fill="FFFFFF"/>
            <w:noWrap/>
            <w:vAlign w:val="bottom"/>
            <w:hideMark/>
          </w:tcPr>
          <w:p w14:paraId="5A52D5C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16.19%</w:t>
            </w:r>
          </w:p>
        </w:tc>
        <w:tc>
          <w:tcPr>
            <w:tcW w:w="454" w:type="pct"/>
            <w:tcBorders>
              <w:top w:val="nil"/>
              <w:left w:val="nil"/>
              <w:bottom w:val="nil"/>
              <w:right w:val="nil"/>
            </w:tcBorders>
            <w:shd w:val="clear" w:color="000000" w:fill="FFFFFF"/>
            <w:noWrap/>
            <w:vAlign w:val="bottom"/>
            <w:hideMark/>
          </w:tcPr>
          <w:p w14:paraId="36DFB38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16.19%</w:t>
            </w:r>
          </w:p>
        </w:tc>
        <w:tc>
          <w:tcPr>
            <w:tcW w:w="454" w:type="pct"/>
            <w:tcBorders>
              <w:top w:val="nil"/>
              <w:left w:val="nil"/>
              <w:bottom w:val="nil"/>
              <w:right w:val="nil"/>
            </w:tcBorders>
            <w:shd w:val="clear" w:color="000000" w:fill="FFFFFF"/>
            <w:noWrap/>
            <w:vAlign w:val="bottom"/>
            <w:hideMark/>
          </w:tcPr>
          <w:p w14:paraId="3EF6BDB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16.19%</w:t>
            </w:r>
          </w:p>
        </w:tc>
        <w:tc>
          <w:tcPr>
            <w:tcW w:w="454" w:type="pct"/>
            <w:tcBorders>
              <w:top w:val="nil"/>
              <w:left w:val="nil"/>
              <w:bottom w:val="nil"/>
              <w:right w:val="nil"/>
            </w:tcBorders>
            <w:shd w:val="clear" w:color="000000" w:fill="FFFFFF"/>
            <w:noWrap/>
            <w:vAlign w:val="bottom"/>
            <w:hideMark/>
          </w:tcPr>
          <w:p w14:paraId="1AD8415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16.19%</w:t>
            </w:r>
          </w:p>
        </w:tc>
        <w:tc>
          <w:tcPr>
            <w:tcW w:w="454" w:type="pct"/>
            <w:tcBorders>
              <w:top w:val="nil"/>
              <w:left w:val="nil"/>
              <w:bottom w:val="nil"/>
              <w:right w:val="nil"/>
            </w:tcBorders>
            <w:shd w:val="clear" w:color="000000" w:fill="FFFFFF"/>
            <w:noWrap/>
            <w:vAlign w:val="bottom"/>
            <w:hideMark/>
          </w:tcPr>
          <w:p w14:paraId="754F5AC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16.19%</w:t>
            </w:r>
          </w:p>
        </w:tc>
        <w:tc>
          <w:tcPr>
            <w:tcW w:w="452" w:type="pct"/>
            <w:tcBorders>
              <w:top w:val="nil"/>
              <w:left w:val="nil"/>
              <w:bottom w:val="nil"/>
              <w:right w:val="nil"/>
            </w:tcBorders>
            <w:shd w:val="clear" w:color="000000" w:fill="FFFFFF"/>
            <w:noWrap/>
            <w:vAlign w:val="bottom"/>
            <w:hideMark/>
          </w:tcPr>
          <w:p w14:paraId="0059882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16.19%</w:t>
            </w:r>
          </w:p>
        </w:tc>
      </w:tr>
      <w:tr w:rsidR="0018008E" w:rsidRPr="0018008E" w14:paraId="3490C4FA" w14:textId="77777777" w:rsidTr="00DD27F1">
        <w:trPr>
          <w:trHeight w:val="227"/>
        </w:trPr>
        <w:tc>
          <w:tcPr>
            <w:tcW w:w="598" w:type="pct"/>
            <w:tcBorders>
              <w:top w:val="nil"/>
              <w:left w:val="nil"/>
              <w:bottom w:val="nil"/>
              <w:right w:val="nil"/>
            </w:tcBorders>
            <w:shd w:val="clear" w:color="000000" w:fill="FFFFFF"/>
            <w:noWrap/>
            <w:vAlign w:val="bottom"/>
            <w:hideMark/>
          </w:tcPr>
          <w:p w14:paraId="781B17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25.08.2028</w:t>
            </w:r>
          </w:p>
        </w:tc>
        <w:tc>
          <w:tcPr>
            <w:tcW w:w="1229" w:type="pct"/>
            <w:tcBorders>
              <w:top w:val="nil"/>
              <w:left w:val="nil"/>
              <w:bottom w:val="nil"/>
              <w:right w:val="nil"/>
            </w:tcBorders>
            <w:shd w:val="clear" w:color="000000" w:fill="FFFFFF"/>
            <w:noWrap/>
            <w:hideMark/>
          </w:tcPr>
          <w:p w14:paraId="4269576D" w14:textId="616E786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181,595,984.66 </w:t>
            </w:r>
          </w:p>
        </w:tc>
        <w:tc>
          <w:tcPr>
            <w:tcW w:w="454" w:type="pct"/>
            <w:tcBorders>
              <w:top w:val="nil"/>
              <w:left w:val="nil"/>
              <w:bottom w:val="nil"/>
              <w:right w:val="nil"/>
            </w:tcBorders>
            <w:shd w:val="clear" w:color="000000" w:fill="FFFFFF"/>
            <w:noWrap/>
            <w:vAlign w:val="bottom"/>
            <w:hideMark/>
          </w:tcPr>
          <w:p w14:paraId="5E4BCE0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14.64%</w:t>
            </w:r>
          </w:p>
        </w:tc>
        <w:tc>
          <w:tcPr>
            <w:tcW w:w="454" w:type="pct"/>
            <w:tcBorders>
              <w:top w:val="nil"/>
              <w:left w:val="nil"/>
              <w:bottom w:val="nil"/>
              <w:right w:val="nil"/>
            </w:tcBorders>
            <w:shd w:val="clear" w:color="000000" w:fill="FFFFFF"/>
            <w:noWrap/>
            <w:vAlign w:val="bottom"/>
            <w:hideMark/>
          </w:tcPr>
          <w:p w14:paraId="1D2BF62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14.64%</w:t>
            </w:r>
          </w:p>
        </w:tc>
        <w:tc>
          <w:tcPr>
            <w:tcW w:w="454" w:type="pct"/>
            <w:tcBorders>
              <w:top w:val="nil"/>
              <w:left w:val="nil"/>
              <w:bottom w:val="nil"/>
              <w:right w:val="nil"/>
            </w:tcBorders>
            <w:shd w:val="clear" w:color="000000" w:fill="FFFFFF"/>
            <w:noWrap/>
            <w:vAlign w:val="bottom"/>
            <w:hideMark/>
          </w:tcPr>
          <w:p w14:paraId="3A8F099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14.64%</w:t>
            </w:r>
          </w:p>
        </w:tc>
        <w:tc>
          <w:tcPr>
            <w:tcW w:w="454" w:type="pct"/>
            <w:tcBorders>
              <w:top w:val="nil"/>
              <w:left w:val="nil"/>
              <w:bottom w:val="nil"/>
              <w:right w:val="nil"/>
            </w:tcBorders>
            <w:shd w:val="clear" w:color="000000" w:fill="FFFFFF"/>
            <w:noWrap/>
            <w:vAlign w:val="bottom"/>
            <w:hideMark/>
          </w:tcPr>
          <w:p w14:paraId="1C6EB98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14.64%</w:t>
            </w:r>
          </w:p>
        </w:tc>
        <w:tc>
          <w:tcPr>
            <w:tcW w:w="454" w:type="pct"/>
            <w:tcBorders>
              <w:top w:val="nil"/>
              <w:left w:val="nil"/>
              <w:bottom w:val="nil"/>
              <w:right w:val="nil"/>
            </w:tcBorders>
            <w:shd w:val="clear" w:color="000000" w:fill="FFFFFF"/>
            <w:noWrap/>
            <w:vAlign w:val="bottom"/>
            <w:hideMark/>
          </w:tcPr>
          <w:p w14:paraId="5ED005D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14.64%</w:t>
            </w:r>
          </w:p>
        </w:tc>
        <w:tc>
          <w:tcPr>
            <w:tcW w:w="454" w:type="pct"/>
            <w:tcBorders>
              <w:top w:val="nil"/>
              <w:left w:val="nil"/>
              <w:bottom w:val="nil"/>
              <w:right w:val="nil"/>
            </w:tcBorders>
            <w:shd w:val="clear" w:color="000000" w:fill="FFFFFF"/>
            <w:noWrap/>
            <w:vAlign w:val="bottom"/>
            <w:hideMark/>
          </w:tcPr>
          <w:p w14:paraId="6D7D2A3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14.64%</w:t>
            </w:r>
          </w:p>
        </w:tc>
        <w:tc>
          <w:tcPr>
            <w:tcW w:w="452" w:type="pct"/>
            <w:tcBorders>
              <w:top w:val="nil"/>
              <w:left w:val="nil"/>
              <w:bottom w:val="nil"/>
              <w:right w:val="nil"/>
            </w:tcBorders>
            <w:shd w:val="clear" w:color="000000" w:fill="FFFFFF"/>
            <w:noWrap/>
            <w:vAlign w:val="bottom"/>
            <w:hideMark/>
          </w:tcPr>
          <w:p w14:paraId="75C8D49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14.64%</w:t>
            </w:r>
          </w:p>
        </w:tc>
      </w:tr>
      <w:tr w:rsidR="0018008E" w:rsidRPr="0018008E" w14:paraId="51DA2414" w14:textId="77777777" w:rsidTr="00DD27F1">
        <w:trPr>
          <w:trHeight w:val="227"/>
        </w:trPr>
        <w:tc>
          <w:tcPr>
            <w:tcW w:w="598" w:type="pct"/>
            <w:tcBorders>
              <w:top w:val="nil"/>
              <w:left w:val="nil"/>
              <w:bottom w:val="nil"/>
              <w:right w:val="nil"/>
            </w:tcBorders>
            <w:shd w:val="clear" w:color="000000" w:fill="FFFFFF"/>
            <w:noWrap/>
            <w:vAlign w:val="bottom"/>
            <w:hideMark/>
          </w:tcPr>
          <w:p w14:paraId="30E18B1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25.09.2028</w:t>
            </w:r>
          </w:p>
        </w:tc>
        <w:tc>
          <w:tcPr>
            <w:tcW w:w="1229" w:type="pct"/>
            <w:tcBorders>
              <w:top w:val="nil"/>
              <w:left w:val="nil"/>
              <w:bottom w:val="nil"/>
              <w:right w:val="nil"/>
            </w:tcBorders>
            <w:shd w:val="clear" w:color="000000" w:fill="FFFFFF"/>
            <w:noWrap/>
            <w:hideMark/>
          </w:tcPr>
          <w:p w14:paraId="57A24DF1" w14:textId="660D7EE0"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162,311,303.86 </w:t>
            </w:r>
          </w:p>
        </w:tc>
        <w:tc>
          <w:tcPr>
            <w:tcW w:w="454" w:type="pct"/>
            <w:tcBorders>
              <w:top w:val="nil"/>
              <w:left w:val="nil"/>
              <w:bottom w:val="nil"/>
              <w:right w:val="nil"/>
            </w:tcBorders>
            <w:shd w:val="clear" w:color="000000" w:fill="FFFFFF"/>
            <w:noWrap/>
            <w:vAlign w:val="bottom"/>
            <w:hideMark/>
          </w:tcPr>
          <w:p w14:paraId="08950D2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13.09%</w:t>
            </w:r>
          </w:p>
        </w:tc>
        <w:tc>
          <w:tcPr>
            <w:tcW w:w="454" w:type="pct"/>
            <w:tcBorders>
              <w:top w:val="nil"/>
              <w:left w:val="nil"/>
              <w:bottom w:val="nil"/>
              <w:right w:val="nil"/>
            </w:tcBorders>
            <w:shd w:val="clear" w:color="000000" w:fill="FFFFFF"/>
            <w:noWrap/>
            <w:vAlign w:val="bottom"/>
            <w:hideMark/>
          </w:tcPr>
          <w:p w14:paraId="5926CC5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13.09%</w:t>
            </w:r>
          </w:p>
        </w:tc>
        <w:tc>
          <w:tcPr>
            <w:tcW w:w="454" w:type="pct"/>
            <w:tcBorders>
              <w:top w:val="nil"/>
              <w:left w:val="nil"/>
              <w:bottom w:val="nil"/>
              <w:right w:val="nil"/>
            </w:tcBorders>
            <w:shd w:val="clear" w:color="000000" w:fill="FFFFFF"/>
            <w:noWrap/>
            <w:vAlign w:val="bottom"/>
            <w:hideMark/>
          </w:tcPr>
          <w:p w14:paraId="4079F56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13.09%</w:t>
            </w:r>
          </w:p>
        </w:tc>
        <w:tc>
          <w:tcPr>
            <w:tcW w:w="454" w:type="pct"/>
            <w:tcBorders>
              <w:top w:val="nil"/>
              <w:left w:val="nil"/>
              <w:bottom w:val="nil"/>
              <w:right w:val="nil"/>
            </w:tcBorders>
            <w:shd w:val="clear" w:color="000000" w:fill="FFFFFF"/>
            <w:noWrap/>
            <w:vAlign w:val="bottom"/>
            <w:hideMark/>
          </w:tcPr>
          <w:p w14:paraId="21C85B6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13.09%</w:t>
            </w:r>
          </w:p>
        </w:tc>
        <w:tc>
          <w:tcPr>
            <w:tcW w:w="454" w:type="pct"/>
            <w:tcBorders>
              <w:top w:val="nil"/>
              <w:left w:val="nil"/>
              <w:bottom w:val="nil"/>
              <w:right w:val="nil"/>
            </w:tcBorders>
            <w:shd w:val="clear" w:color="000000" w:fill="FFFFFF"/>
            <w:noWrap/>
            <w:vAlign w:val="bottom"/>
            <w:hideMark/>
          </w:tcPr>
          <w:p w14:paraId="1E67DA0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13.09%</w:t>
            </w:r>
          </w:p>
        </w:tc>
        <w:tc>
          <w:tcPr>
            <w:tcW w:w="454" w:type="pct"/>
            <w:tcBorders>
              <w:top w:val="nil"/>
              <w:left w:val="nil"/>
              <w:bottom w:val="nil"/>
              <w:right w:val="nil"/>
            </w:tcBorders>
            <w:shd w:val="clear" w:color="000000" w:fill="FFFFFF"/>
            <w:noWrap/>
            <w:vAlign w:val="bottom"/>
            <w:hideMark/>
          </w:tcPr>
          <w:p w14:paraId="11244DA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13.09%</w:t>
            </w:r>
          </w:p>
        </w:tc>
        <w:tc>
          <w:tcPr>
            <w:tcW w:w="452" w:type="pct"/>
            <w:tcBorders>
              <w:top w:val="nil"/>
              <w:left w:val="nil"/>
              <w:bottom w:val="nil"/>
              <w:right w:val="nil"/>
            </w:tcBorders>
            <w:shd w:val="clear" w:color="000000" w:fill="FFFFFF"/>
            <w:noWrap/>
            <w:vAlign w:val="bottom"/>
            <w:hideMark/>
          </w:tcPr>
          <w:p w14:paraId="38C3FD5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13.09%</w:t>
            </w:r>
          </w:p>
        </w:tc>
      </w:tr>
      <w:tr w:rsidR="0018008E" w:rsidRPr="0018008E" w14:paraId="6883DEF2" w14:textId="77777777" w:rsidTr="00DD27F1">
        <w:trPr>
          <w:trHeight w:val="227"/>
        </w:trPr>
        <w:tc>
          <w:tcPr>
            <w:tcW w:w="598" w:type="pct"/>
            <w:tcBorders>
              <w:top w:val="nil"/>
              <w:left w:val="nil"/>
              <w:bottom w:val="nil"/>
              <w:right w:val="nil"/>
            </w:tcBorders>
            <w:shd w:val="clear" w:color="000000" w:fill="FFFFFF"/>
            <w:noWrap/>
            <w:vAlign w:val="bottom"/>
            <w:hideMark/>
          </w:tcPr>
          <w:p w14:paraId="38A705A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25.10.2028</w:t>
            </w:r>
          </w:p>
        </w:tc>
        <w:tc>
          <w:tcPr>
            <w:tcW w:w="1229" w:type="pct"/>
            <w:tcBorders>
              <w:top w:val="nil"/>
              <w:left w:val="nil"/>
              <w:bottom w:val="nil"/>
              <w:right w:val="nil"/>
            </w:tcBorders>
            <w:shd w:val="clear" w:color="000000" w:fill="FFFFFF"/>
            <w:noWrap/>
            <w:hideMark/>
          </w:tcPr>
          <w:p w14:paraId="7A91CC0F" w14:textId="2EC93C7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141,931,332.16 </w:t>
            </w:r>
          </w:p>
        </w:tc>
        <w:tc>
          <w:tcPr>
            <w:tcW w:w="454" w:type="pct"/>
            <w:tcBorders>
              <w:top w:val="nil"/>
              <w:left w:val="nil"/>
              <w:bottom w:val="nil"/>
              <w:right w:val="nil"/>
            </w:tcBorders>
            <w:shd w:val="clear" w:color="000000" w:fill="FFFFFF"/>
            <w:noWrap/>
            <w:vAlign w:val="bottom"/>
            <w:hideMark/>
          </w:tcPr>
          <w:p w14:paraId="464E52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11.45%</w:t>
            </w:r>
          </w:p>
        </w:tc>
        <w:tc>
          <w:tcPr>
            <w:tcW w:w="454" w:type="pct"/>
            <w:tcBorders>
              <w:top w:val="nil"/>
              <w:left w:val="nil"/>
              <w:bottom w:val="nil"/>
              <w:right w:val="nil"/>
            </w:tcBorders>
            <w:shd w:val="clear" w:color="000000" w:fill="FFFFFF"/>
            <w:noWrap/>
            <w:vAlign w:val="bottom"/>
            <w:hideMark/>
          </w:tcPr>
          <w:p w14:paraId="45B4B7B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11.45%</w:t>
            </w:r>
          </w:p>
        </w:tc>
        <w:tc>
          <w:tcPr>
            <w:tcW w:w="454" w:type="pct"/>
            <w:tcBorders>
              <w:top w:val="nil"/>
              <w:left w:val="nil"/>
              <w:bottom w:val="nil"/>
              <w:right w:val="nil"/>
            </w:tcBorders>
            <w:shd w:val="clear" w:color="000000" w:fill="FFFFFF"/>
            <w:noWrap/>
            <w:vAlign w:val="bottom"/>
            <w:hideMark/>
          </w:tcPr>
          <w:p w14:paraId="40F88FA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11.45%</w:t>
            </w:r>
          </w:p>
        </w:tc>
        <w:tc>
          <w:tcPr>
            <w:tcW w:w="454" w:type="pct"/>
            <w:tcBorders>
              <w:top w:val="nil"/>
              <w:left w:val="nil"/>
              <w:bottom w:val="nil"/>
              <w:right w:val="nil"/>
            </w:tcBorders>
            <w:shd w:val="clear" w:color="000000" w:fill="FFFFFF"/>
            <w:noWrap/>
            <w:vAlign w:val="bottom"/>
            <w:hideMark/>
          </w:tcPr>
          <w:p w14:paraId="1AAB6E3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11.45%</w:t>
            </w:r>
          </w:p>
        </w:tc>
        <w:tc>
          <w:tcPr>
            <w:tcW w:w="454" w:type="pct"/>
            <w:tcBorders>
              <w:top w:val="nil"/>
              <w:left w:val="nil"/>
              <w:bottom w:val="nil"/>
              <w:right w:val="nil"/>
            </w:tcBorders>
            <w:shd w:val="clear" w:color="000000" w:fill="FFFFFF"/>
            <w:noWrap/>
            <w:vAlign w:val="bottom"/>
            <w:hideMark/>
          </w:tcPr>
          <w:p w14:paraId="3DAFA2B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11.45%</w:t>
            </w:r>
          </w:p>
        </w:tc>
        <w:tc>
          <w:tcPr>
            <w:tcW w:w="454" w:type="pct"/>
            <w:tcBorders>
              <w:top w:val="nil"/>
              <w:left w:val="nil"/>
              <w:bottom w:val="nil"/>
              <w:right w:val="nil"/>
            </w:tcBorders>
            <w:shd w:val="clear" w:color="000000" w:fill="FFFFFF"/>
            <w:noWrap/>
            <w:vAlign w:val="bottom"/>
            <w:hideMark/>
          </w:tcPr>
          <w:p w14:paraId="16035BC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11.45%</w:t>
            </w:r>
          </w:p>
        </w:tc>
        <w:tc>
          <w:tcPr>
            <w:tcW w:w="452" w:type="pct"/>
            <w:tcBorders>
              <w:top w:val="nil"/>
              <w:left w:val="nil"/>
              <w:bottom w:val="nil"/>
              <w:right w:val="nil"/>
            </w:tcBorders>
            <w:shd w:val="clear" w:color="000000" w:fill="FFFFFF"/>
            <w:noWrap/>
            <w:vAlign w:val="bottom"/>
            <w:hideMark/>
          </w:tcPr>
          <w:p w14:paraId="19E45B0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11.45%</w:t>
            </w:r>
          </w:p>
        </w:tc>
      </w:tr>
      <w:tr w:rsidR="0018008E" w:rsidRPr="0018008E" w14:paraId="6960F7A4" w14:textId="77777777" w:rsidTr="00DD27F1">
        <w:trPr>
          <w:trHeight w:val="227"/>
        </w:trPr>
        <w:tc>
          <w:tcPr>
            <w:tcW w:w="598" w:type="pct"/>
            <w:tcBorders>
              <w:top w:val="nil"/>
              <w:left w:val="nil"/>
              <w:bottom w:val="nil"/>
              <w:right w:val="nil"/>
            </w:tcBorders>
            <w:shd w:val="clear" w:color="000000" w:fill="FFFFFF"/>
            <w:noWrap/>
            <w:vAlign w:val="bottom"/>
            <w:hideMark/>
          </w:tcPr>
          <w:p w14:paraId="260CE2D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25.11.2028</w:t>
            </w:r>
          </w:p>
        </w:tc>
        <w:tc>
          <w:tcPr>
            <w:tcW w:w="1229" w:type="pct"/>
            <w:tcBorders>
              <w:top w:val="nil"/>
              <w:left w:val="nil"/>
              <w:bottom w:val="nil"/>
              <w:right w:val="nil"/>
            </w:tcBorders>
            <w:shd w:val="clear" w:color="000000" w:fill="FFFFFF"/>
            <w:noWrap/>
            <w:hideMark/>
          </w:tcPr>
          <w:p w14:paraId="57677F1D" w14:textId="79210940"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884650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A24DA8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2DFE86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2E360D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807763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14E355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1060B73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64E96DA7" w14:textId="77777777" w:rsidTr="00DD27F1">
        <w:trPr>
          <w:trHeight w:val="227"/>
        </w:trPr>
        <w:tc>
          <w:tcPr>
            <w:tcW w:w="598" w:type="pct"/>
            <w:tcBorders>
              <w:top w:val="nil"/>
              <w:left w:val="nil"/>
              <w:bottom w:val="nil"/>
              <w:right w:val="nil"/>
            </w:tcBorders>
            <w:shd w:val="clear" w:color="000000" w:fill="FFFFFF"/>
            <w:noWrap/>
            <w:vAlign w:val="bottom"/>
            <w:hideMark/>
          </w:tcPr>
          <w:p w14:paraId="48093FC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25.12.2028</w:t>
            </w:r>
          </w:p>
        </w:tc>
        <w:tc>
          <w:tcPr>
            <w:tcW w:w="1229" w:type="pct"/>
            <w:tcBorders>
              <w:top w:val="nil"/>
              <w:left w:val="nil"/>
              <w:bottom w:val="nil"/>
              <w:right w:val="nil"/>
            </w:tcBorders>
            <w:shd w:val="clear" w:color="000000" w:fill="FFFFFF"/>
            <w:noWrap/>
            <w:hideMark/>
          </w:tcPr>
          <w:p w14:paraId="25E13A32" w14:textId="036CD7A9"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C8255C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F215CF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DF7D62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7E07EE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A701B0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9CA02E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5DF5C6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879258C" w14:textId="77777777" w:rsidTr="00DD27F1">
        <w:trPr>
          <w:trHeight w:val="227"/>
        </w:trPr>
        <w:tc>
          <w:tcPr>
            <w:tcW w:w="598" w:type="pct"/>
            <w:tcBorders>
              <w:top w:val="nil"/>
              <w:left w:val="nil"/>
              <w:bottom w:val="nil"/>
              <w:right w:val="nil"/>
            </w:tcBorders>
            <w:shd w:val="clear" w:color="000000" w:fill="FFFFFF"/>
            <w:noWrap/>
            <w:vAlign w:val="bottom"/>
            <w:hideMark/>
          </w:tcPr>
          <w:p w14:paraId="6A20986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25.01.2029</w:t>
            </w:r>
          </w:p>
        </w:tc>
        <w:tc>
          <w:tcPr>
            <w:tcW w:w="1229" w:type="pct"/>
            <w:tcBorders>
              <w:top w:val="nil"/>
              <w:left w:val="nil"/>
              <w:bottom w:val="nil"/>
              <w:right w:val="nil"/>
            </w:tcBorders>
            <w:shd w:val="clear" w:color="000000" w:fill="FFFFFF"/>
            <w:noWrap/>
            <w:hideMark/>
          </w:tcPr>
          <w:p w14:paraId="7F828C9D" w14:textId="019A282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E5958E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4B43EC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1D84BB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1DE01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CF415C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AF466C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D170DC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242B6954" w14:textId="77777777" w:rsidTr="00DD27F1">
        <w:trPr>
          <w:trHeight w:val="227"/>
        </w:trPr>
        <w:tc>
          <w:tcPr>
            <w:tcW w:w="598" w:type="pct"/>
            <w:tcBorders>
              <w:top w:val="nil"/>
              <w:left w:val="nil"/>
              <w:bottom w:val="nil"/>
              <w:right w:val="nil"/>
            </w:tcBorders>
            <w:shd w:val="clear" w:color="000000" w:fill="FFFFFF"/>
            <w:noWrap/>
            <w:vAlign w:val="bottom"/>
            <w:hideMark/>
          </w:tcPr>
          <w:p w14:paraId="6AA24EE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25.02.2029</w:t>
            </w:r>
          </w:p>
        </w:tc>
        <w:tc>
          <w:tcPr>
            <w:tcW w:w="1229" w:type="pct"/>
            <w:tcBorders>
              <w:top w:val="nil"/>
              <w:left w:val="nil"/>
              <w:bottom w:val="nil"/>
              <w:right w:val="nil"/>
            </w:tcBorders>
            <w:shd w:val="clear" w:color="000000" w:fill="FFFFFF"/>
            <w:noWrap/>
            <w:hideMark/>
          </w:tcPr>
          <w:p w14:paraId="6FBA45CA" w14:textId="1203AED3"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8144DF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DFFF90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001B53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C9215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B4499B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1CA457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7D8D3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33806F3" w14:textId="77777777" w:rsidTr="00DD27F1">
        <w:trPr>
          <w:trHeight w:val="227"/>
        </w:trPr>
        <w:tc>
          <w:tcPr>
            <w:tcW w:w="598" w:type="pct"/>
            <w:tcBorders>
              <w:top w:val="nil"/>
              <w:left w:val="nil"/>
              <w:bottom w:val="nil"/>
              <w:right w:val="nil"/>
            </w:tcBorders>
            <w:shd w:val="clear" w:color="000000" w:fill="FFFFFF"/>
            <w:noWrap/>
            <w:vAlign w:val="bottom"/>
            <w:hideMark/>
          </w:tcPr>
          <w:p w14:paraId="3074838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25.03.2029</w:t>
            </w:r>
          </w:p>
        </w:tc>
        <w:tc>
          <w:tcPr>
            <w:tcW w:w="1229" w:type="pct"/>
            <w:tcBorders>
              <w:top w:val="nil"/>
              <w:left w:val="nil"/>
              <w:bottom w:val="nil"/>
              <w:right w:val="nil"/>
            </w:tcBorders>
            <w:shd w:val="clear" w:color="000000" w:fill="FFFFFF"/>
            <w:noWrap/>
            <w:hideMark/>
          </w:tcPr>
          <w:p w14:paraId="00E67484" w14:textId="325686C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4108E5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A31AE1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EF1ACA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87A16A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EC4678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FC5665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52F4C50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9336FCD" w14:textId="77777777" w:rsidTr="00DD27F1">
        <w:trPr>
          <w:trHeight w:val="227"/>
        </w:trPr>
        <w:tc>
          <w:tcPr>
            <w:tcW w:w="598" w:type="pct"/>
            <w:tcBorders>
              <w:top w:val="nil"/>
              <w:left w:val="nil"/>
              <w:bottom w:val="nil"/>
              <w:right w:val="nil"/>
            </w:tcBorders>
            <w:shd w:val="clear" w:color="000000" w:fill="FFFFFF"/>
            <w:noWrap/>
            <w:vAlign w:val="bottom"/>
            <w:hideMark/>
          </w:tcPr>
          <w:p w14:paraId="676F447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25.04.2029</w:t>
            </w:r>
          </w:p>
        </w:tc>
        <w:tc>
          <w:tcPr>
            <w:tcW w:w="1229" w:type="pct"/>
            <w:tcBorders>
              <w:top w:val="nil"/>
              <w:left w:val="nil"/>
              <w:bottom w:val="nil"/>
              <w:right w:val="nil"/>
            </w:tcBorders>
            <w:shd w:val="clear" w:color="000000" w:fill="FFFFFF"/>
            <w:noWrap/>
            <w:hideMark/>
          </w:tcPr>
          <w:p w14:paraId="32A32955" w14:textId="3C7D797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875650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AB11A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75A337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A7578C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7A66F1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7016DB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5CDA2E6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74DDA21" w14:textId="77777777" w:rsidTr="00DD27F1">
        <w:trPr>
          <w:trHeight w:val="227"/>
        </w:trPr>
        <w:tc>
          <w:tcPr>
            <w:tcW w:w="598" w:type="pct"/>
            <w:tcBorders>
              <w:top w:val="nil"/>
              <w:left w:val="nil"/>
              <w:bottom w:val="nil"/>
              <w:right w:val="nil"/>
            </w:tcBorders>
            <w:shd w:val="clear" w:color="000000" w:fill="FFFFFF"/>
            <w:noWrap/>
            <w:vAlign w:val="bottom"/>
            <w:hideMark/>
          </w:tcPr>
          <w:p w14:paraId="0554D66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25.05.2029</w:t>
            </w:r>
          </w:p>
        </w:tc>
        <w:tc>
          <w:tcPr>
            <w:tcW w:w="1229" w:type="pct"/>
            <w:tcBorders>
              <w:top w:val="nil"/>
              <w:left w:val="nil"/>
              <w:bottom w:val="nil"/>
              <w:right w:val="nil"/>
            </w:tcBorders>
            <w:shd w:val="clear" w:color="000000" w:fill="FFFFFF"/>
            <w:noWrap/>
            <w:hideMark/>
          </w:tcPr>
          <w:p w14:paraId="22B1F979" w14:textId="34AA95E7"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0BC587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499DDC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DDF4A9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A3CFDB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0DD0E5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B7B414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283D9F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0ABA5545" w14:textId="77777777" w:rsidTr="00DD27F1">
        <w:trPr>
          <w:trHeight w:val="227"/>
        </w:trPr>
        <w:tc>
          <w:tcPr>
            <w:tcW w:w="598" w:type="pct"/>
            <w:tcBorders>
              <w:top w:val="nil"/>
              <w:left w:val="nil"/>
              <w:bottom w:val="nil"/>
              <w:right w:val="nil"/>
            </w:tcBorders>
            <w:shd w:val="clear" w:color="000000" w:fill="FFFFFF"/>
            <w:noWrap/>
            <w:vAlign w:val="bottom"/>
            <w:hideMark/>
          </w:tcPr>
          <w:p w14:paraId="00B6186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25.06.2029</w:t>
            </w:r>
          </w:p>
        </w:tc>
        <w:tc>
          <w:tcPr>
            <w:tcW w:w="1229" w:type="pct"/>
            <w:tcBorders>
              <w:top w:val="nil"/>
              <w:left w:val="nil"/>
              <w:bottom w:val="nil"/>
              <w:right w:val="nil"/>
            </w:tcBorders>
            <w:shd w:val="clear" w:color="000000" w:fill="FFFFFF"/>
            <w:noWrap/>
            <w:hideMark/>
          </w:tcPr>
          <w:p w14:paraId="64D3F1ED" w14:textId="0F4586DA"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1F4F34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D24E7F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BE3E96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17D621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227FD9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3396F4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7D6E478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CC73BA4" w14:textId="77777777" w:rsidTr="00DD27F1">
        <w:trPr>
          <w:trHeight w:val="227"/>
        </w:trPr>
        <w:tc>
          <w:tcPr>
            <w:tcW w:w="598" w:type="pct"/>
            <w:tcBorders>
              <w:top w:val="nil"/>
              <w:left w:val="nil"/>
              <w:bottom w:val="nil"/>
              <w:right w:val="nil"/>
            </w:tcBorders>
            <w:shd w:val="clear" w:color="000000" w:fill="FFFFFF"/>
            <w:noWrap/>
            <w:vAlign w:val="bottom"/>
            <w:hideMark/>
          </w:tcPr>
          <w:p w14:paraId="2965E21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25.07.2029</w:t>
            </w:r>
          </w:p>
        </w:tc>
        <w:tc>
          <w:tcPr>
            <w:tcW w:w="1229" w:type="pct"/>
            <w:tcBorders>
              <w:top w:val="nil"/>
              <w:left w:val="nil"/>
              <w:bottom w:val="nil"/>
              <w:right w:val="nil"/>
            </w:tcBorders>
            <w:shd w:val="clear" w:color="000000" w:fill="FFFFFF"/>
            <w:noWrap/>
            <w:hideMark/>
          </w:tcPr>
          <w:p w14:paraId="449FD577" w14:textId="79531B0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2CCFDC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D30F3C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A0487A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AD62A7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528655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9C5487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07B145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FE4DD7C" w14:textId="77777777" w:rsidTr="00DD27F1">
        <w:trPr>
          <w:trHeight w:val="227"/>
        </w:trPr>
        <w:tc>
          <w:tcPr>
            <w:tcW w:w="598" w:type="pct"/>
            <w:tcBorders>
              <w:top w:val="nil"/>
              <w:left w:val="nil"/>
              <w:bottom w:val="nil"/>
              <w:right w:val="nil"/>
            </w:tcBorders>
            <w:shd w:val="clear" w:color="000000" w:fill="FFFFFF"/>
            <w:noWrap/>
            <w:vAlign w:val="bottom"/>
            <w:hideMark/>
          </w:tcPr>
          <w:p w14:paraId="0248091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25.08.2029</w:t>
            </w:r>
          </w:p>
        </w:tc>
        <w:tc>
          <w:tcPr>
            <w:tcW w:w="1229" w:type="pct"/>
            <w:tcBorders>
              <w:top w:val="nil"/>
              <w:left w:val="nil"/>
              <w:bottom w:val="nil"/>
              <w:right w:val="nil"/>
            </w:tcBorders>
            <w:shd w:val="clear" w:color="000000" w:fill="FFFFFF"/>
            <w:noWrap/>
            <w:hideMark/>
          </w:tcPr>
          <w:p w14:paraId="2090F98B" w14:textId="0441DB5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4C2029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1EA5B6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6C27F7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EA1301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8BF4BE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DCFE3C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B62946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6FB4E52A" w14:textId="77777777" w:rsidTr="00DD27F1">
        <w:trPr>
          <w:trHeight w:val="227"/>
        </w:trPr>
        <w:tc>
          <w:tcPr>
            <w:tcW w:w="598" w:type="pct"/>
            <w:tcBorders>
              <w:top w:val="nil"/>
              <w:left w:val="nil"/>
              <w:bottom w:val="nil"/>
              <w:right w:val="nil"/>
            </w:tcBorders>
            <w:shd w:val="clear" w:color="000000" w:fill="FFFFFF"/>
            <w:noWrap/>
            <w:vAlign w:val="bottom"/>
            <w:hideMark/>
          </w:tcPr>
          <w:p w14:paraId="4A11A76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25.09.2029</w:t>
            </w:r>
          </w:p>
        </w:tc>
        <w:tc>
          <w:tcPr>
            <w:tcW w:w="1229" w:type="pct"/>
            <w:tcBorders>
              <w:top w:val="nil"/>
              <w:left w:val="nil"/>
              <w:bottom w:val="nil"/>
              <w:right w:val="nil"/>
            </w:tcBorders>
            <w:shd w:val="clear" w:color="000000" w:fill="FFFFFF"/>
            <w:noWrap/>
            <w:hideMark/>
          </w:tcPr>
          <w:p w14:paraId="224FED97" w14:textId="6D87E713"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6F5A852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EB33E6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D6EAED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A3666D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4132B4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E711ED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74B8C6F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773B396" w14:textId="77777777" w:rsidTr="00DD27F1">
        <w:trPr>
          <w:trHeight w:val="227"/>
        </w:trPr>
        <w:tc>
          <w:tcPr>
            <w:tcW w:w="598" w:type="pct"/>
            <w:tcBorders>
              <w:top w:val="nil"/>
              <w:left w:val="nil"/>
              <w:bottom w:val="nil"/>
              <w:right w:val="nil"/>
            </w:tcBorders>
            <w:shd w:val="clear" w:color="000000" w:fill="FFFFFF"/>
            <w:noWrap/>
            <w:vAlign w:val="bottom"/>
            <w:hideMark/>
          </w:tcPr>
          <w:p w14:paraId="09C85F6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25.10.2029</w:t>
            </w:r>
          </w:p>
        </w:tc>
        <w:tc>
          <w:tcPr>
            <w:tcW w:w="1229" w:type="pct"/>
            <w:tcBorders>
              <w:top w:val="nil"/>
              <w:left w:val="nil"/>
              <w:bottom w:val="nil"/>
              <w:right w:val="nil"/>
            </w:tcBorders>
            <w:shd w:val="clear" w:color="000000" w:fill="FFFFFF"/>
            <w:noWrap/>
            <w:hideMark/>
          </w:tcPr>
          <w:p w14:paraId="67003ECA" w14:textId="11B8C1A3"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F75C5D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432B52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85B4A1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13545E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3C816B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E1D771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B6E099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6C4FDD1B" w14:textId="77777777" w:rsidTr="00DD27F1">
        <w:trPr>
          <w:trHeight w:val="227"/>
        </w:trPr>
        <w:tc>
          <w:tcPr>
            <w:tcW w:w="598" w:type="pct"/>
            <w:tcBorders>
              <w:top w:val="nil"/>
              <w:left w:val="nil"/>
              <w:bottom w:val="nil"/>
              <w:right w:val="nil"/>
            </w:tcBorders>
            <w:shd w:val="clear" w:color="000000" w:fill="FFFFFF"/>
            <w:noWrap/>
            <w:vAlign w:val="bottom"/>
            <w:hideMark/>
          </w:tcPr>
          <w:p w14:paraId="6CBD5C6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25.11.2029</w:t>
            </w:r>
          </w:p>
        </w:tc>
        <w:tc>
          <w:tcPr>
            <w:tcW w:w="1229" w:type="pct"/>
            <w:tcBorders>
              <w:top w:val="nil"/>
              <w:left w:val="nil"/>
              <w:bottom w:val="nil"/>
              <w:right w:val="nil"/>
            </w:tcBorders>
            <w:shd w:val="clear" w:color="000000" w:fill="FFFFFF"/>
            <w:noWrap/>
            <w:hideMark/>
          </w:tcPr>
          <w:p w14:paraId="378DDBBE" w14:textId="77E935E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833CE1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675CF1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096D94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619976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ED185B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70366C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788A4A4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276253DC" w14:textId="77777777" w:rsidTr="00DD27F1">
        <w:trPr>
          <w:trHeight w:val="227"/>
        </w:trPr>
        <w:tc>
          <w:tcPr>
            <w:tcW w:w="598" w:type="pct"/>
            <w:tcBorders>
              <w:top w:val="nil"/>
              <w:left w:val="nil"/>
              <w:bottom w:val="nil"/>
              <w:right w:val="nil"/>
            </w:tcBorders>
            <w:shd w:val="clear" w:color="000000" w:fill="FFFFFF"/>
            <w:noWrap/>
            <w:vAlign w:val="bottom"/>
            <w:hideMark/>
          </w:tcPr>
          <w:p w14:paraId="4EE23CE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25.12.2029</w:t>
            </w:r>
          </w:p>
        </w:tc>
        <w:tc>
          <w:tcPr>
            <w:tcW w:w="1229" w:type="pct"/>
            <w:tcBorders>
              <w:top w:val="nil"/>
              <w:left w:val="nil"/>
              <w:bottom w:val="nil"/>
              <w:right w:val="nil"/>
            </w:tcBorders>
            <w:shd w:val="clear" w:color="000000" w:fill="FFFFFF"/>
            <w:noWrap/>
            <w:hideMark/>
          </w:tcPr>
          <w:p w14:paraId="58468F7A" w14:textId="48C58E6C"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5FB324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0C5C54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E2D568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C5D8C4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BDB56B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89A529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135E655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53A71FB8" w14:textId="77777777" w:rsidTr="00DD27F1">
        <w:trPr>
          <w:trHeight w:val="227"/>
        </w:trPr>
        <w:tc>
          <w:tcPr>
            <w:tcW w:w="598" w:type="pct"/>
            <w:tcBorders>
              <w:top w:val="nil"/>
              <w:left w:val="nil"/>
              <w:bottom w:val="nil"/>
              <w:right w:val="nil"/>
            </w:tcBorders>
            <w:shd w:val="clear" w:color="000000" w:fill="FFFFFF"/>
            <w:noWrap/>
            <w:vAlign w:val="bottom"/>
            <w:hideMark/>
          </w:tcPr>
          <w:p w14:paraId="0237DA9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25.01.2030</w:t>
            </w:r>
          </w:p>
        </w:tc>
        <w:tc>
          <w:tcPr>
            <w:tcW w:w="1229" w:type="pct"/>
            <w:tcBorders>
              <w:top w:val="nil"/>
              <w:left w:val="nil"/>
              <w:bottom w:val="nil"/>
              <w:right w:val="nil"/>
            </w:tcBorders>
            <w:shd w:val="clear" w:color="000000" w:fill="FFFFFF"/>
            <w:noWrap/>
            <w:hideMark/>
          </w:tcPr>
          <w:p w14:paraId="33C8B6A2" w14:textId="5DF5A55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613230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73444B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B3C497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2DC1EA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191734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400D0A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1E523AD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CCE40C4" w14:textId="77777777" w:rsidTr="00DD27F1">
        <w:trPr>
          <w:trHeight w:val="227"/>
        </w:trPr>
        <w:tc>
          <w:tcPr>
            <w:tcW w:w="598" w:type="pct"/>
            <w:tcBorders>
              <w:top w:val="nil"/>
              <w:left w:val="nil"/>
              <w:bottom w:val="nil"/>
              <w:right w:val="nil"/>
            </w:tcBorders>
            <w:shd w:val="clear" w:color="000000" w:fill="FFFFFF"/>
            <w:noWrap/>
            <w:vAlign w:val="bottom"/>
            <w:hideMark/>
          </w:tcPr>
          <w:p w14:paraId="4D78ADB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25.02.2030</w:t>
            </w:r>
          </w:p>
        </w:tc>
        <w:tc>
          <w:tcPr>
            <w:tcW w:w="1229" w:type="pct"/>
            <w:tcBorders>
              <w:top w:val="nil"/>
              <w:left w:val="nil"/>
              <w:bottom w:val="nil"/>
              <w:right w:val="nil"/>
            </w:tcBorders>
            <w:shd w:val="clear" w:color="000000" w:fill="FFFFFF"/>
            <w:noWrap/>
            <w:hideMark/>
          </w:tcPr>
          <w:p w14:paraId="29ADE19C" w14:textId="33D5E2B6"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EB4EF1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E463CB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79545F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4AA527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529DC5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1F607C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469492B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16DC72D" w14:textId="77777777" w:rsidTr="00DD27F1">
        <w:trPr>
          <w:trHeight w:val="227"/>
        </w:trPr>
        <w:tc>
          <w:tcPr>
            <w:tcW w:w="598" w:type="pct"/>
            <w:tcBorders>
              <w:top w:val="nil"/>
              <w:left w:val="nil"/>
              <w:bottom w:val="nil"/>
              <w:right w:val="nil"/>
            </w:tcBorders>
            <w:shd w:val="clear" w:color="000000" w:fill="FFFFFF"/>
            <w:noWrap/>
            <w:vAlign w:val="bottom"/>
            <w:hideMark/>
          </w:tcPr>
          <w:p w14:paraId="1F976C7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25.03.2030</w:t>
            </w:r>
          </w:p>
        </w:tc>
        <w:tc>
          <w:tcPr>
            <w:tcW w:w="1229" w:type="pct"/>
            <w:tcBorders>
              <w:top w:val="nil"/>
              <w:left w:val="nil"/>
              <w:bottom w:val="nil"/>
              <w:right w:val="nil"/>
            </w:tcBorders>
            <w:shd w:val="clear" w:color="000000" w:fill="FFFFFF"/>
            <w:noWrap/>
            <w:hideMark/>
          </w:tcPr>
          <w:p w14:paraId="0F288266" w14:textId="2F67389C"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01F37E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8AF8EC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20437B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6D92FE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50FB05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5EE053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74B5E5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64D0372D" w14:textId="77777777" w:rsidTr="00DD27F1">
        <w:trPr>
          <w:trHeight w:val="227"/>
        </w:trPr>
        <w:tc>
          <w:tcPr>
            <w:tcW w:w="598" w:type="pct"/>
            <w:tcBorders>
              <w:top w:val="nil"/>
              <w:left w:val="nil"/>
              <w:bottom w:val="nil"/>
              <w:right w:val="nil"/>
            </w:tcBorders>
            <w:shd w:val="clear" w:color="000000" w:fill="FFFFFF"/>
            <w:noWrap/>
            <w:vAlign w:val="bottom"/>
            <w:hideMark/>
          </w:tcPr>
          <w:p w14:paraId="1B7EF85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25.04.2030</w:t>
            </w:r>
          </w:p>
        </w:tc>
        <w:tc>
          <w:tcPr>
            <w:tcW w:w="1229" w:type="pct"/>
            <w:tcBorders>
              <w:top w:val="nil"/>
              <w:left w:val="nil"/>
              <w:bottom w:val="nil"/>
              <w:right w:val="nil"/>
            </w:tcBorders>
            <w:shd w:val="clear" w:color="000000" w:fill="FFFFFF"/>
            <w:noWrap/>
            <w:hideMark/>
          </w:tcPr>
          <w:p w14:paraId="710915B6" w14:textId="25F38001"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492E29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20BEE9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ECDA72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292136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900267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5D0BCA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3E35F6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048F01F8" w14:textId="77777777" w:rsidTr="00DD27F1">
        <w:trPr>
          <w:trHeight w:val="227"/>
        </w:trPr>
        <w:tc>
          <w:tcPr>
            <w:tcW w:w="598" w:type="pct"/>
            <w:tcBorders>
              <w:top w:val="nil"/>
              <w:left w:val="nil"/>
              <w:bottom w:val="nil"/>
              <w:right w:val="nil"/>
            </w:tcBorders>
            <w:shd w:val="clear" w:color="000000" w:fill="FFFFFF"/>
            <w:noWrap/>
            <w:vAlign w:val="bottom"/>
            <w:hideMark/>
          </w:tcPr>
          <w:p w14:paraId="22E1B91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25.05.2030</w:t>
            </w:r>
          </w:p>
        </w:tc>
        <w:tc>
          <w:tcPr>
            <w:tcW w:w="1229" w:type="pct"/>
            <w:tcBorders>
              <w:top w:val="nil"/>
              <w:left w:val="nil"/>
              <w:bottom w:val="nil"/>
              <w:right w:val="nil"/>
            </w:tcBorders>
            <w:shd w:val="clear" w:color="000000" w:fill="FFFFFF"/>
            <w:noWrap/>
            <w:hideMark/>
          </w:tcPr>
          <w:p w14:paraId="4886E8AC" w14:textId="09827D3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A98DA3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4F9222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49F79B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50E76D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6F20A0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E773B9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F358DD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3BC4CD8" w14:textId="77777777" w:rsidTr="00DD27F1">
        <w:trPr>
          <w:trHeight w:val="227"/>
        </w:trPr>
        <w:tc>
          <w:tcPr>
            <w:tcW w:w="598" w:type="pct"/>
            <w:tcBorders>
              <w:top w:val="nil"/>
              <w:left w:val="nil"/>
              <w:bottom w:val="nil"/>
              <w:right w:val="nil"/>
            </w:tcBorders>
            <w:shd w:val="clear" w:color="000000" w:fill="FFFFFF"/>
            <w:noWrap/>
            <w:vAlign w:val="bottom"/>
            <w:hideMark/>
          </w:tcPr>
          <w:p w14:paraId="7D4B358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25.06.2030</w:t>
            </w:r>
          </w:p>
        </w:tc>
        <w:tc>
          <w:tcPr>
            <w:tcW w:w="1229" w:type="pct"/>
            <w:tcBorders>
              <w:top w:val="nil"/>
              <w:left w:val="nil"/>
              <w:bottom w:val="nil"/>
              <w:right w:val="nil"/>
            </w:tcBorders>
            <w:shd w:val="clear" w:color="000000" w:fill="FFFFFF"/>
            <w:noWrap/>
            <w:hideMark/>
          </w:tcPr>
          <w:p w14:paraId="49522D60" w14:textId="6E0A21BC"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0A39CE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FC752B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CBDEA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CCEF36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A5BC14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D13AAD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68E14A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247E63B" w14:textId="77777777" w:rsidTr="00DD27F1">
        <w:trPr>
          <w:trHeight w:val="227"/>
        </w:trPr>
        <w:tc>
          <w:tcPr>
            <w:tcW w:w="598" w:type="pct"/>
            <w:tcBorders>
              <w:top w:val="nil"/>
              <w:left w:val="nil"/>
              <w:bottom w:val="nil"/>
              <w:right w:val="nil"/>
            </w:tcBorders>
            <w:shd w:val="clear" w:color="000000" w:fill="FFFFFF"/>
            <w:noWrap/>
            <w:vAlign w:val="bottom"/>
            <w:hideMark/>
          </w:tcPr>
          <w:p w14:paraId="19DD016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25.07.2030</w:t>
            </w:r>
          </w:p>
        </w:tc>
        <w:tc>
          <w:tcPr>
            <w:tcW w:w="1229" w:type="pct"/>
            <w:tcBorders>
              <w:top w:val="nil"/>
              <w:left w:val="nil"/>
              <w:bottom w:val="nil"/>
              <w:right w:val="nil"/>
            </w:tcBorders>
            <w:shd w:val="clear" w:color="000000" w:fill="FFFFFF"/>
            <w:noWrap/>
            <w:hideMark/>
          </w:tcPr>
          <w:p w14:paraId="4E8C1E97" w14:textId="15BD0E1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07E73F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E331D1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9F0309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E85931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5677DB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E4FACF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1AAD8B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20C20EB1" w14:textId="77777777" w:rsidTr="00DD27F1">
        <w:trPr>
          <w:trHeight w:val="227"/>
        </w:trPr>
        <w:tc>
          <w:tcPr>
            <w:tcW w:w="598" w:type="pct"/>
            <w:tcBorders>
              <w:top w:val="nil"/>
              <w:left w:val="nil"/>
              <w:bottom w:val="nil"/>
              <w:right w:val="nil"/>
            </w:tcBorders>
            <w:shd w:val="clear" w:color="000000" w:fill="FFFFFF"/>
            <w:noWrap/>
            <w:vAlign w:val="bottom"/>
            <w:hideMark/>
          </w:tcPr>
          <w:p w14:paraId="6B58167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25.08.2030</w:t>
            </w:r>
          </w:p>
        </w:tc>
        <w:tc>
          <w:tcPr>
            <w:tcW w:w="1229" w:type="pct"/>
            <w:tcBorders>
              <w:top w:val="nil"/>
              <w:left w:val="nil"/>
              <w:bottom w:val="nil"/>
              <w:right w:val="nil"/>
            </w:tcBorders>
            <w:shd w:val="clear" w:color="000000" w:fill="FFFFFF"/>
            <w:noWrap/>
            <w:hideMark/>
          </w:tcPr>
          <w:p w14:paraId="2D61AF97" w14:textId="10D1D49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799F2B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80165E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8AECEF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547C71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DAD3E2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A37447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54AC70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B7B9831" w14:textId="77777777" w:rsidTr="00DD27F1">
        <w:trPr>
          <w:trHeight w:val="227"/>
        </w:trPr>
        <w:tc>
          <w:tcPr>
            <w:tcW w:w="598" w:type="pct"/>
            <w:tcBorders>
              <w:top w:val="nil"/>
              <w:left w:val="nil"/>
              <w:bottom w:val="nil"/>
              <w:right w:val="nil"/>
            </w:tcBorders>
            <w:shd w:val="clear" w:color="000000" w:fill="FFFFFF"/>
            <w:noWrap/>
            <w:vAlign w:val="bottom"/>
            <w:hideMark/>
          </w:tcPr>
          <w:p w14:paraId="4FBA6A2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25.09.2030</w:t>
            </w:r>
          </w:p>
        </w:tc>
        <w:tc>
          <w:tcPr>
            <w:tcW w:w="1229" w:type="pct"/>
            <w:tcBorders>
              <w:top w:val="nil"/>
              <w:left w:val="nil"/>
              <w:bottom w:val="nil"/>
              <w:right w:val="nil"/>
            </w:tcBorders>
            <w:shd w:val="clear" w:color="000000" w:fill="FFFFFF"/>
            <w:noWrap/>
            <w:hideMark/>
          </w:tcPr>
          <w:p w14:paraId="3D872971" w14:textId="5CD51E43"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54DB4A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11789D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F10A30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C4BF34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8C1B90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AE4E6A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1A71D16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F049CF0" w14:textId="77777777" w:rsidTr="00DD27F1">
        <w:trPr>
          <w:trHeight w:val="227"/>
        </w:trPr>
        <w:tc>
          <w:tcPr>
            <w:tcW w:w="598" w:type="pct"/>
            <w:tcBorders>
              <w:top w:val="nil"/>
              <w:left w:val="nil"/>
              <w:bottom w:val="nil"/>
              <w:right w:val="nil"/>
            </w:tcBorders>
            <w:shd w:val="clear" w:color="000000" w:fill="FFFFFF"/>
            <w:noWrap/>
            <w:vAlign w:val="bottom"/>
            <w:hideMark/>
          </w:tcPr>
          <w:p w14:paraId="6F8A4A9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25.10.2030</w:t>
            </w:r>
          </w:p>
        </w:tc>
        <w:tc>
          <w:tcPr>
            <w:tcW w:w="1229" w:type="pct"/>
            <w:tcBorders>
              <w:top w:val="nil"/>
              <w:left w:val="nil"/>
              <w:bottom w:val="nil"/>
              <w:right w:val="nil"/>
            </w:tcBorders>
            <w:shd w:val="clear" w:color="000000" w:fill="FFFFFF"/>
            <w:noWrap/>
            <w:hideMark/>
          </w:tcPr>
          <w:p w14:paraId="275D7FCB" w14:textId="76F6CAC6"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8FC53E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32BB7D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F393ED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22BFE9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CD1D95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98ACDB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D01F44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F840891" w14:textId="77777777" w:rsidTr="00DD27F1">
        <w:trPr>
          <w:trHeight w:val="227"/>
        </w:trPr>
        <w:tc>
          <w:tcPr>
            <w:tcW w:w="598" w:type="pct"/>
            <w:tcBorders>
              <w:top w:val="nil"/>
              <w:left w:val="nil"/>
              <w:bottom w:val="nil"/>
              <w:right w:val="nil"/>
            </w:tcBorders>
            <w:shd w:val="clear" w:color="000000" w:fill="FFFFFF"/>
            <w:noWrap/>
            <w:vAlign w:val="bottom"/>
            <w:hideMark/>
          </w:tcPr>
          <w:p w14:paraId="0F055A9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25.11.2030</w:t>
            </w:r>
          </w:p>
        </w:tc>
        <w:tc>
          <w:tcPr>
            <w:tcW w:w="1229" w:type="pct"/>
            <w:tcBorders>
              <w:top w:val="nil"/>
              <w:left w:val="nil"/>
              <w:bottom w:val="nil"/>
              <w:right w:val="nil"/>
            </w:tcBorders>
            <w:shd w:val="clear" w:color="000000" w:fill="FFFFFF"/>
            <w:noWrap/>
            <w:hideMark/>
          </w:tcPr>
          <w:p w14:paraId="5B7002B4" w14:textId="74CE175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3249CA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E9B077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C7A34A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7439F8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84BA70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9539F2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80E168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0B908079" w14:textId="77777777" w:rsidTr="00DD27F1">
        <w:trPr>
          <w:trHeight w:val="227"/>
        </w:trPr>
        <w:tc>
          <w:tcPr>
            <w:tcW w:w="598" w:type="pct"/>
            <w:tcBorders>
              <w:top w:val="nil"/>
              <w:left w:val="nil"/>
              <w:bottom w:val="nil"/>
              <w:right w:val="nil"/>
            </w:tcBorders>
            <w:shd w:val="clear" w:color="000000" w:fill="FFFFFF"/>
            <w:noWrap/>
            <w:vAlign w:val="bottom"/>
            <w:hideMark/>
          </w:tcPr>
          <w:p w14:paraId="0749B1B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25.12.2030</w:t>
            </w:r>
          </w:p>
        </w:tc>
        <w:tc>
          <w:tcPr>
            <w:tcW w:w="1229" w:type="pct"/>
            <w:tcBorders>
              <w:top w:val="nil"/>
              <w:left w:val="nil"/>
              <w:bottom w:val="nil"/>
              <w:right w:val="nil"/>
            </w:tcBorders>
            <w:shd w:val="clear" w:color="000000" w:fill="FFFFFF"/>
            <w:noWrap/>
            <w:hideMark/>
          </w:tcPr>
          <w:p w14:paraId="313389E1" w14:textId="2162904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13D52C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89CA40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C4DB2A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BCB922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BB2A1B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EF277C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6EA74D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74B0C39" w14:textId="77777777" w:rsidTr="00DD27F1">
        <w:trPr>
          <w:trHeight w:val="227"/>
        </w:trPr>
        <w:tc>
          <w:tcPr>
            <w:tcW w:w="598" w:type="pct"/>
            <w:tcBorders>
              <w:top w:val="nil"/>
              <w:left w:val="nil"/>
              <w:bottom w:val="nil"/>
              <w:right w:val="nil"/>
            </w:tcBorders>
            <w:shd w:val="clear" w:color="000000" w:fill="FFFFFF"/>
            <w:noWrap/>
            <w:vAlign w:val="bottom"/>
            <w:hideMark/>
          </w:tcPr>
          <w:p w14:paraId="419D4FD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25.01.2031</w:t>
            </w:r>
          </w:p>
        </w:tc>
        <w:tc>
          <w:tcPr>
            <w:tcW w:w="1229" w:type="pct"/>
            <w:tcBorders>
              <w:top w:val="nil"/>
              <w:left w:val="nil"/>
              <w:bottom w:val="nil"/>
              <w:right w:val="nil"/>
            </w:tcBorders>
            <w:shd w:val="clear" w:color="000000" w:fill="FFFFFF"/>
            <w:noWrap/>
            <w:hideMark/>
          </w:tcPr>
          <w:p w14:paraId="4B0BBEB2" w14:textId="5D455FEF"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C9F8E3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0201F9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B679EA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13DF6C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13144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A1DC74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7372D46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26E7B6C" w14:textId="77777777" w:rsidTr="00DD27F1">
        <w:trPr>
          <w:trHeight w:val="227"/>
        </w:trPr>
        <w:tc>
          <w:tcPr>
            <w:tcW w:w="598" w:type="pct"/>
            <w:tcBorders>
              <w:top w:val="nil"/>
              <w:left w:val="nil"/>
              <w:bottom w:val="nil"/>
              <w:right w:val="nil"/>
            </w:tcBorders>
            <w:shd w:val="clear" w:color="000000" w:fill="FFFFFF"/>
            <w:noWrap/>
            <w:vAlign w:val="bottom"/>
            <w:hideMark/>
          </w:tcPr>
          <w:p w14:paraId="35209EF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25.02.2031</w:t>
            </w:r>
          </w:p>
        </w:tc>
        <w:tc>
          <w:tcPr>
            <w:tcW w:w="1229" w:type="pct"/>
            <w:tcBorders>
              <w:top w:val="nil"/>
              <w:left w:val="nil"/>
              <w:bottom w:val="nil"/>
              <w:right w:val="nil"/>
            </w:tcBorders>
            <w:shd w:val="clear" w:color="000000" w:fill="FFFFFF"/>
            <w:noWrap/>
            <w:hideMark/>
          </w:tcPr>
          <w:p w14:paraId="3F7FC678" w14:textId="497E4ED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3EDC7C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416037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B90EFB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247F09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CE6309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5E2F93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F80273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655FA596" w14:textId="77777777" w:rsidTr="00DD27F1">
        <w:trPr>
          <w:trHeight w:val="227"/>
        </w:trPr>
        <w:tc>
          <w:tcPr>
            <w:tcW w:w="598" w:type="pct"/>
            <w:tcBorders>
              <w:top w:val="nil"/>
              <w:left w:val="nil"/>
              <w:bottom w:val="nil"/>
              <w:right w:val="nil"/>
            </w:tcBorders>
            <w:shd w:val="clear" w:color="000000" w:fill="FFFFFF"/>
            <w:noWrap/>
            <w:vAlign w:val="bottom"/>
            <w:hideMark/>
          </w:tcPr>
          <w:p w14:paraId="5381A86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25.03.2031</w:t>
            </w:r>
          </w:p>
        </w:tc>
        <w:tc>
          <w:tcPr>
            <w:tcW w:w="1229" w:type="pct"/>
            <w:tcBorders>
              <w:top w:val="nil"/>
              <w:left w:val="nil"/>
              <w:bottom w:val="nil"/>
              <w:right w:val="nil"/>
            </w:tcBorders>
            <w:shd w:val="clear" w:color="000000" w:fill="FFFFFF"/>
            <w:noWrap/>
            <w:hideMark/>
          </w:tcPr>
          <w:p w14:paraId="3026BD9B" w14:textId="0DA40B2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944A7A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9E0319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8DB671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40EB32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2FB91D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815F70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4DB2F4A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A20D916" w14:textId="77777777" w:rsidTr="00DD27F1">
        <w:trPr>
          <w:trHeight w:val="227"/>
        </w:trPr>
        <w:tc>
          <w:tcPr>
            <w:tcW w:w="598" w:type="pct"/>
            <w:tcBorders>
              <w:top w:val="nil"/>
              <w:left w:val="nil"/>
              <w:bottom w:val="nil"/>
              <w:right w:val="nil"/>
            </w:tcBorders>
            <w:shd w:val="clear" w:color="000000" w:fill="FFFFFF"/>
            <w:noWrap/>
            <w:vAlign w:val="bottom"/>
            <w:hideMark/>
          </w:tcPr>
          <w:p w14:paraId="216045A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25.04.2031</w:t>
            </w:r>
          </w:p>
        </w:tc>
        <w:tc>
          <w:tcPr>
            <w:tcW w:w="1229" w:type="pct"/>
            <w:tcBorders>
              <w:top w:val="nil"/>
              <w:left w:val="nil"/>
              <w:bottom w:val="nil"/>
              <w:right w:val="nil"/>
            </w:tcBorders>
            <w:shd w:val="clear" w:color="000000" w:fill="FFFFFF"/>
            <w:noWrap/>
            <w:hideMark/>
          </w:tcPr>
          <w:p w14:paraId="055C1F0A" w14:textId="694C26E9"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A1F652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1793F1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375799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CC59C5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40ADE2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FF9CC1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D16AE1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ADE06BE" w14:textId="77777777" w:rsidTr="00DD27F1">
        <w:trPr>
          <w:trHeight w:val="227"/>
        </w:trPr>
        <w:tc>
          <w:tcPr>
            <w:tcW w:w="598" w:type="pct"/>
            <w:tcBorders>
              <w:top w:val="nil"/>
              <w:left w:val="nil"/>
              <w:bottom w:val="nil"/>
              <w:right w:val="nil"/>
            </w:tcBorders>
            <w:shd w:val="clear" w:color="000000" w:fill="FFFFFF"/>
            <w:noWrap/>
            <w:vAlign w:val="bottom"/>
            <w:hideMark/>
          </w:tcPr>
          <w:p w14:paraId="7934CDD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25.05.2031</w:t>
            </w:r>
          </w:p>
        </w:tc>
        <w:tc>
          <w:tcPr>
            <w:tcW w:w="1229" w:type="pct"/>
            <w:tcBorders>
              <w:top w:val="nil"/>
              <w:left w:val="nil"/>
              <w:bottom w:val="nil"/>
              <w:right w:val="nil"/>
            </w:tcBorders>
            <w:shd w:val="clear" w:color="000000" w:fill="FFFFFF"/>
            <w:noWrap/>
            <w:hideMark/>
          </w:tcPr>
          <w:p w14:paraId="79CADCA5" w14:textId="297DB9BF"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67F90D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6E54FE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637B7E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297B27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0A7A35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A329F2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310140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F2F8384" w14:textId="77777777" w:rsidTr="00DD27F1">
        <w:trPr>
          <w:trHeight w:val="227"/>
        </w:trPr>
        <w:tc>
          <w:tcPr>
            <w:tcW w:w="598" w:type="pct"/>
            <w:tcBorders>
              <w:top w:val="nil"/>
              <w:left w:val="nil"/>
              <w:bottom w:val="nil"/>
              <w:right w:val="nil"/>
            </w:tcBorders>
            <w:shd w:val="clear" w:color="000000" w:fill="FFFFFF"/>
            <w:noWrap/>
            <w:vAlign w:val="bottom"/>
            <w:hideMark/>
          </w:tcPr>
          <w:p w14:paraId="32B5A6E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25.06.2031</w:t>
            </w:r>
          </w:p>
        </w:tc>
        <w:tc>
          <w:tcPr>
            <w:tcW w:w="1229" w:type="pct"/>
            <w:tcBorders>
              <w:top w:val="nil"/>
              <w:left w:val="nil"/>
              <w:bottom w:val="nil"/>
              <w:right w:val="nil"/>
            </w:tcBorders>
            <w:shd w:val="clear" w:color="000000" w:fill="FFFFFF"/>
            <w:noWrap/>
            <w:hideMark/>
          </w:tcPr>
          <w:p w14:paraId="7DD1AE55" w14:textId="574BACF3"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019E3B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C41F8F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9F8DD9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B59DD1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183C9A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7DB964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1E22269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B4C5983" w14:textId="77777777" w:rsidTr="00DD27F1">
        <w:trPr>
          <w:trHeight w:val="227"/>
        </w:trPr>
        <w:tc>
          <w:tcPr>
            <w:tcW w:w="598" w:type="pct"/>
            <w:tcBorders>
              <w:top w:val="nil"/>
              <w:left w:val="nil"/>
              <w:bottom w:val="nil"/>
              <w:right w:val="nil"/>
            </w:tcBorders>
            <w:shd w:val="clear" w:color="000000" w:fill="FFFFFF"/>
            <w:noWrap/>
            <w:vAlign w:val="bottom"/>
            <w:hideMark/>
          </w:tcPr>
          <w:p w14:paraId="7CD520D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25.07.2031</w:t>
            </w:r>
          </w:p>
        </w:tc>
        <w:tc>
          <w:tcPr>
            <w:tcW w:w="1229" w:type="pct"/>
            <w:tcBorders>
              <w:top w:val="nil"/>
              <w:left w:val="nil"/>
              <w:bottom w:val="nil"/>
              <w:right w:val="nil"/>
            </w:tcBorders>
            <w:shd w:val="clear" w:color="000000" w:fill="FFFFFF"/>
            <w:noWrap/>
            <w:hideMark/>
          </w:tcPr>
          <w:p w14:paraId="1758BECE" w14:textId="0D36DAF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29CA66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EA86E6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EA0F72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0359B4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393016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9A8D97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DAC051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6378CD80" w14:textId="77777777" w:rsidTr="00DD27F1">
        <w:trPr>
          <w:trHeight w:val="227"/>
        </w:trPr>
        <w:tc>
          <w:tcPr>
            <w:tcW w:w="598" w:type="pct"/>
            <w:tcBorders>
              <w:top w:val="nil"/>
              <w:left w:val="nil"/>
              <w:bottom w:val="nil"/>
              <w:right w:val="nil"/>
            </w:tcBorders>
            <w:shd w:val="clear" w:color="000000" w:fill="FFFFFF"/>
            <w:noWrap/>
            <w:vAlign w:val="bottom"/>
            <w:hideMark/>
          </w:tcPr>
          <w:p w14:paraId="7B12D0B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lastRenderedPageBreak/>
              <w:t>25.08.2031</w:t>
            </w:r>
          </w:p>
        </w:tc>
        <w:tc>
          <w:tcPr>
            <w:tcW w:w="1229" w:type="pct"/>
            <w:tcBorders>
              <w:top w:val="nil"/>
              <w:left w:val="nil"/>
              <w:bottom w:val="nil"/>
              <w:right w:val="nil"/>
            </w:tcBorders>
            <w:shd w:val="clear" w:color="000000" w:fill="FFFFFF"/>
            <w:noWrap/>
            <w:hideMark/>
          </w:tcPr>
          <w:p w14:paraId="1BDE5D1E" w14:textId="0C7A2246"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CA710F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0423E4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85CEBC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FCD5EF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4C052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11EDBD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57E4114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4B01F4E" w14:textId="77777777" w:rsidTr="00DD27F1">
        <w:trPr>
          <w:trHeight w:val="227"/>
        </w:trPr>
        <w:tc>
          <w:tcPr>
            <w:tcW w:w="598" w:type="pct"/>
            <w:tcBorders>
              <w:top w:val="nil"/>
              <w:left w:val="nil"/>
              <w:bottom w:val="nil"/>
              <w:right w:val="nil"/>
            </w:tcBorders>
            <w:shd w:val="clear" w:color="000000" w:fill="FFFFFF"/>
            <w:noWrap/>
            <w:vAlign w:val="bottom"/>
            <w:hideMark/>
          </w:tcPr>
          <w:p w14:paraId="2C70A47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25.09.2031</w:t>
            </w:r>
          </w:p>
        </w:tc>
        <w:tc>
          <w:tcPr>
            <w:tcW w:w="1229" w:type="pct"/>
            <w:tcBorders>
              <w:top w:val="nil"/>
              <w:left w:val="nil"/>
              <w:bottom w:val="nil"/>
              <w:right w:val="nil"/>
            </w:tcBorders>
            <w:shd w:val="clear" w:color="000000" w:fill="FFFFFF"/>
            <w:noWrap/>
            <w:hideMark/>
          </w:tcPr>
          <w:p w14:paraId="7862DB9F" w14:textId="44819F49"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39053E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2EFA98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F48378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086FD7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5B6029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28E1E3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12A09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666B1001" w14:textId="77777777" w:rsidTr="00DD27F1">
        <w:trPr>
          <w:trHeight w:val="227"/>
        </w:trPr>
        <w:tc>
          <w:tcPr>
            <w:tcW w:w="598" w:type="pct"/>
            <w:tcBorders>
              <w:top w:val="nil"/>
              <w:left w:val="nil"/>
              <w:bottom w:val="nil"/>
              <w:right w:val="nil"/>
            </w:tcBorders>
            <w:shd w:val="clear" w:color="000000" w:fill="FFFFFF"/>
            <w:noWrap/>
            <w:vAlign w:val="bottom"/>
            <w:hideMark/>
          </w:tcPr>
          <w:p w14:paraId="33ADC02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25.10.2031</w:t>
            </w:r>
          </w:p>
        </w:tc>
        <w:tc>
          <w:tcPr>
            <w:tcW w:w="1229" w:type="pct"/>
            <w:tcBorders>
              <w:top w:val="nil"/>
              <w:left w:val="nil"/>
              <w:bottom w:val="nil"/>
              <w:right w:val="nil"/>
            </w:tcBorders>
            <w:shd w:val="clear" w:color="000000" w:fill="FFFFFF"/>
            <w:noWrap/>
            <w:hideMark/>
          </w:tcPr>
          <w:p w14:paraId="2BB0EAFD" w14:textId="3BC894C7"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D33B17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32B2B7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A2F784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A25316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FE51A7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334AC7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6C9CA8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50485DBF" w14:textId="77777777" w:rsidTr="00DD27F1">
        <w:trPr>
          <w:trHeight w:val="227"/>
        </w:trPr>
        <w:tc>
          <w:tcPr>
            <w:tcW w:w="598" w:type="pct"/>
            <w:tcBorders>
              <w:top w:val="nil"/>
              <w:left w:val="nil"/>
              <w:bottom w:val="nil"/>
              <w:right w:val="nil"/>
            </w:tcBorders>
            <w:shd w:val="clear" w:color="000000" w:fill="FFFFFF"/>
            <w:noWrap/>
            <w:vAlign w:val="bottom"/>
            <w:hideMark/>
          </w:tcPr>
          <w:p w14:paraId="3451DF5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25.11.2031</w:t>
            </w:r>
          </w:p>
        </w:tc>
        <w:tc>
          <w:tcPr>
            <w:tcW w:w="1229" w:type="pct"/>
            <w:tcBorders>
              <w:top w:val="nil"/>
              <w:left w:val="nil"/>
              <w:bottom w:val="nil"/>
              <w:right w:val="nil"/>
            </w:tcBorders>
            <w:shd w:val="clear" w:color="000000" w:fill="FFFFFF"/>
            <w:noWrap/>
            <w:hideMark/>
          </w:tcPr>
          <w:p w14:paraId="43F1D270" w14:textId="1900674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F22F79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B82359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D4E25A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A08B05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A611C7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A8E09E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61EA26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4891A71" w14:textId="77777777" w:rsidTr="00DD27F1">
        <w:trPr>
          <w:trHeight w:val="227"/>
        </w:trPr>
        <w:tc>
          <w:tcPr>
            <w:tcW w:w="598" w:type="pct"/>
            <w:tcBorders>
              <w:top w:val="nil"/>
              <w:left w:val="nil"/>
              <w:bottom w:val="nil"/>
              <w:right w:val="nil"/>
            </w:tcBorders>
            <w:shd w:val="clear" w:color="000000" w:fill="FFFFFF"/>
            <w:noWrap/>
            <w:vAlign w:val="bottom"/>
            <w:hideMark/>
          </w:tcPr>
          <w:p w14:paraId="0341418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25.12.2031</w:t>
            </w:r>
          </w:p>
        </w:tc>
        <w:tc>
          <w:tcPr>
            <w:tcW w:w="1229" w:type="pct"/>
            <w:tcBorders>
              <w:top w:val="nil"/>
              <w:left w:val="nil"/>
              <w:bottom w:val="nil"/>
              <w:right w:val="nil"/>
            </w:tcBorders>
            <w:shd w:val="clear" w:color="000000" w:fill="FFFFFF"/>
            <w:noWrap/>
            <w:hideMark/>
          </w:tcPr>
          <w:p w14:paraId="797C9DE7" w14:textId="3F876949"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CC2A56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2501BF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64E7BE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BF3E8D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7395CF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EB08B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55E4C5E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DEFC499" w14:textId="77777777" w:rsidTr="00DD27F1">
        <w:trPr>
          <w:trHeight w:val="227"/>
        </w:trPr>
        <w:tc>
          <w:tcPr>
            <w:tcW w:w="598" w:type="pct"/>
            <w:tcBorders>
              <w:top w:val="nil"/>
              <w:left w:val="nil"/>
              <w:bottom w:val="nil"/>
              <w:right w:val="nil"/>
            </w:tcBorders>
            <w:shd w:val="clear" w:color="000000" w:fill="FFFFFF"/>
            <w:noWrap/>
            <w:vAlign w:val="bottom"/>
            <w:hideMark/>
          </w:tcPr>
          <w:p w14:paraId="5AC82DA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25.01.2032</w:t>
            </w:r>
          </w:p>
        </w:tc>
        <w:tc>
          <w:tcPr>
            <w:tcW w:w="1229" w:type="pct"/>
            <w:tcBorders>
              <w:top w:val="nil"/>
              <w:left w:val="nil"/>
              <w:bottom w:val="nil"/>
              <w:right w:val="nil"/>
            </w:tcBorders>
            <w:shd w:val="clear" w:color="000000" w:fill="FFFFFF"/>
            <w:noWrap/>
            <w:hideMark/>
          </w:tcPr>
          <w:p w14:paraId="4C8B4564" w14:textId="48DEE27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5F1E73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C410E2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6C9368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03DA7C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85AECE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33FA2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B49EC0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565684B1" w14:textId="77777777" w:rsidTr="00DD27F1">
        <w:trPr>
          <w:trHeight w:val="227"/>
        </w:trPr>
        <w:tc>
          <w:tcPr>
            <w:tcW w:w="598" w:type="pct"/>
            <w:tcBorders>
              <w:top w:val="nil"/>
              <w:left w:val="nil"/>
              <w:bottom w:val="nil"/>
              <w:right w:val="nil"/>
            </w:tcBorders>
            <w:shd w:val="clear" w:color="000000" w:fill="FFFFFF"/>
            <w:noWrap/>
            <w:vAlign w:val="bottom"/>
            <w:hideMark/>
          </w:tcPr>
          <w:p w14:paraId="1255F11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25.02.2032</w:t>
            </w:r>
          </w:p>
        </w:tc>
        <w:tc>
          <w:tcPr>
            <w:tcW w:w="1229" w:type="pct"/>
            <w:tcBorders>
              <w:top w:val="nil"/>
              <w:left w:val="nil"/>
              <w:bottom w:val="nil"/>
              <w:right w:val="nil"/>
            </w:tcBorders>
            <w:shd w:val="clear" w:color="000000" w:fill="FFFFFF"/>
            <w:noWrap/>
            <w:hideMark/>
          </w:tcPr>
          <w:p w14:paraId="060E81C2" w14:textId="29A30457"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5949BC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12848B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17AED1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3E6B6A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4F9944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5B98A4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9FAD1F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80799FA" w14:textId="77777777" w:rsidTr="00DD27F1">
        <w:trPr>
          <w:trHeight w:val="227"/>
        </w:trPr>
        <w:tc>
          <w:tcPr>
            <w:tcW w:w="598" w:type="pct"/>
            <w:tcBorders>
              <w:top w:val="nil"/>
              <w:left w:val="nil"/>
              <w:bottom w:val="nil"/>
              <w:right w:val="nil"/>
            </w:tcBorders>
            <w:shd w:val="clear" w:color="000000" w:fill="FFFFFF"/>
            <w:noWrap/>
            <w:vAlign w:val="bottom"/>
            <w:hideMark/>
          </w:tcPr>
          <w:p w14:paraId="502D537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25.03.2032</w:t>
            </w:r>
          </w:p>
        </w:tc>
        <w:tc>
          <w:tcPr>
            <w:tcW w:w="1229" w:type="pct"/>
            <w:tcBorders>
              <w:top w:val="nil"/>
              <w:left w:val="nil"/>
              <w:bottom w:val="nil"/>
              <w:right w:val="nil"/>
            </w:tcBorders>
            <w:shd w:val="clear" w:color="000000" w:fill="FFFFFF"/>
            <w:noWrap/>
            <w:hideMark/>
          </w:tcPr>
          <w:p w14:paraId="75E7DBE9" w14:textId="6DEA42E9"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AEC781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CC92E7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D08E9C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9FCF02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796BE5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D121C0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5ACAFAE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2AF08FF" w14:textId="77777777" w:rsidTr="00DD27F1">
        <w:trPr>
          <w:trHeight w:val="227"/>
        </w:trPr>
        <w:tc>
          <w:tcPr>
            <w:tcW w:w="598" w:type="pct"/>
            <w:tcBorders>
              <w:top w:val="nil"/>
              <w:left w:val="nil"/>
              <w:bottom w:val="nil"/>
              <w:right w:val="nil"/>
            </w:tcBorders>
            <w:shd w:val="clear" w:color="000000" w:fill="FFFFFF"/>
            <w:noWrap/>
            <w:vAlign w:val="bottom"/>
            <w:hideMark/>
          </w:tcPr>
          <w:p w14:paraId="16AAD88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25.04.2032</w:t>
            </w:r>
          </w:p>
        </w:tc>
        <w:tc>
          <w:tcPr>
            <w:tcW w:w="1229" w:type="pct"/>
            <w:tcBorders>
              <w:top w:val="nil"/>
              <w:left w:val="nil"/>
              <w:bottom w:val="nil"/>
              <w:right w:val="nil"/>
            </w:tcBorders>
            <w:shd w:val="clear" w:color="000000" w:fill="FFFFFF"/>
            <w:noWrap/>
            <w:hideMark/>
          </w:tcPr>
          <w:p w14:paraId="33424CB3" w14:textId="4F15E58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18540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00FEC6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DED931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E30F1D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6BA6AB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89CF5B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88BB51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2B737B1" w14:textId="77777777" w:rsidTr="00DD27F1">
        <w:trPr>
          <w:trHeight w:val="227"/>
        </w:trPr>
        <w:tc>
          <w:tcPr>
            <w:tcW w:w="598" w:type="pct"/>
            <w:tcBorders>
              <w:top w:val="nil"/>
              <w:left w:val="nil"/>
              <w:bottom w:val="nil"/>
              <w:right w:val="nil"/>
            </w:tcBorders>
            <w:shd w:val="clear" w:color="000000" w:fill="FFFFFF"/>
            <w:noWrap/>
            <w:vAlign w:val="bottom"/>
            <w:hideMark/>
          </w:tcPr>
          <w:p w14:paraId="3FF9101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25.05.2032</w:t>
            </w:r>
          </w:p>
        </w:tc>
        <w:tc>
          <w:tcPr>
            <w:tcW w:w="1229" w:type="pct"/>
            <w:tcBorders>
              <w:top w:val="nil"/>
              <w:left w:val="nil"/>
              <w:bottom w:val="nil"/>
              <w:right w:val="nil"/>
            </w:tcBorders>
            <w:shd w:val="clear" w:color="000000" w:fill="FFFFFF"/>
            <w:noWrap/>
            <w:hideMark/>
          </w:tcPr>
          <w:p w14:paraId="50EAA967" w14:textId="1613095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571C1F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82AE9A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151E1F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D55983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7BD62B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7805C7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2675F1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0D00DD4B" w14:textId="77777777" w:rsidTr="00DD27F1">
        <w:trPr>
          <w:trHeight w:val="227"/>
        </w:trPr>
        <w:tc>
          <w:tcPr>
            <w:tcW w:w="598" w:type="pct"/>
            <w:tcBorders>
              <w:top w:val="nil"/>
              <w:left w:val="nil"/>
              <w:bottom w:val="nil"/>
              <w:right w:val="nil"/>
            </w:tcBorders>
            <w:shd w:val="clear" w:color="000000" w:fill="FFFFFF"/>
            <w:noWrap/>
            <w:vAlign w:val="bottom"/>
            <w:hideMark/>
          </w:tcPr>
          <w:p w14:paraId="39E0485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25.06.2032</w:t>
            </w:r>
          </w:p>
        </w:tc>
        <w:tc>
          <w:tcPr>
            <w:tcW w:w="1229" w:type="pct"/>
            <w:tcBorders>
              <w:top w:val="nil"/>
              <w:left w:val="nil"/>
              <w:bottom w:val="nil"/>
              <w:right w:val="nil"/>
            </w:tcBorders>
            <w:shd w:val="clear" w:color="000000" w:fill="FFFFFF"/>
            <w:noWrap/>
            <w:hideMark/>
          </w:tcPr>
          <w:p w14:paraId="6C43C635" w14:textId="735A294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F17DD9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19C808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BFCC94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BC2DF7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E03D27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3ACF65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D7357E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BD7A9D2" w14:textId="77777777" w:rsidTr="00DD27F1">
        <w:trPr>
          <w:trHeight w:val="227"/>
        </w:trPr>
        <w:tc>
          <w:tcPr>
            <w:tcW w:w="598" w:type="pct"/>
            <w:tcBorders>
              <w:top w:val="nil"/>
              <w:left w:val="nil"/>
              <w:bottom w:val="nil"/>
              <w:right w:val="nil"/>
            </w:tcBorders>
            <w:shd w:val="clear" w:color="000000" w:fill="FFFFFF"/>
            <w:noWrap/>
            <w:vAlign w:val="bottom"/>
            <w:hideMark/>
          </w:tcPr>
          <w:p w14:paraId="7536309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25.07.2032</w:t>
            </w:r>
          </w:p>
        </w:tc>
        <w:tc>
          <w:tcPr>
            <w:tcW w:w="1229" w:type="pct"/>
            <w:tcBorders>
              <w:top w:val="nil"/>
              <w:left w:val="nil"/>
              <w:bottom w:val="nil"/>
              <w:right w:val="nil"/>
            </w:tcBorders>
            <w:shd w:val="clear" w:color="000000" w:fill="FFFFFF"/>
            <w:noWrap/>
            <w:hideMark/>
          </w:tcPr>
          <w:p w14:paraId="3AF28FA8" w14:textId="64EE0DA9"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67DFD7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A71AB7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5CC3AB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6F55EB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E3E687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B3A97F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41E4A69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D6C1EE8" w14:textId="77777777" w:rsidTr="00DD27F1">
        <w:trPr>
          <w:trHeight w:val="227"/>
        </w:trPr>
        <w:tc>
          <w:tcPr>
            <w:tcW w:w="598" w:type="pct"/>
            <w:tcBorders>
              <w:top w:val="nil"/>
              <w:left w:val="nil"/>
              <w:bottom w:val="nil"/>
              <w:right w:val="nil"/>
            </w:tcBorders>
            <w:shd w:val="clear" w:color="000000" w:fill="FFFFFF"/>
            <w:noWrap/>
            <w:vAlign w:val="bottom"/>
            <w:hideMark/>
          </w:tcPr>
          <w:p w14:paraId="1B9ADB9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25.08.2032</w:t>
            </w:r>
          </w:p>
        </w:tc>
        <w:tc>
          <w:tcPr>
            <w:tcW w:w="1229" w:type="pct"/>
            <w:tcBorders>
              <w:top w:val="nil"/>
              <w:left w:val="nil"/>
              <w:bottom w:val="nil"/>
              <w:right w:val="nil"/>
            </w:tcBorders>
            <w:shd w:val="clear" w:color="000000" w:fill="FFFFFF"/>
            <w:noWrap/>
            <w:hideMark/>
          </w:tcPr>
          <w:p w14:paraId="1EE81FD5" w14:textId="1B8F054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A19E34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E30FDC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8846CC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B4CB0B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824CB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69FD7F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D2D499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2F3BC8B2" w14:textId="77777777" w:rsidTr="00DD27F1">
        <w:trPr>
          <w:trHeight w:val="227"/>
        </w:trPr>
        <w:tc>
          <w:tcPr>
            <w:tcW w:w="598" w:type="pct"/>
            <w:tcBorders>
              <w:top w:val="nil"/>
              <w:left w:val="nil"/>
              <w:bottom w:val="nil"/>
              <w:right w:val="nil"/>
            </w:tcBorders>
            <w:shd w:val="clear" w:color="000000" w:fill="FFFFFF"/>
            <w:noWrap/>
            <w:vAlign w:val="bottom"/>
            <w:hideMark/>
          </w:tcPr>
          <w:p w14:paraId="37EAA56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25.09.2032</w:t>
            </w:r>
          </w:p>
        </w:tc>
        <w:tc>
          <w:tcPr>
            <w:tcW w:w="1229" w:type="pct"/>
            <w:tcBorders>
              <w:top w:val="nil"/>
              <w:left w:val="nil"/>
              <w:bottom w:val="nil"/>
              <w:right w:val="nil"/>
            </w:tcBorders>
            <w:shd w:val="clear" w:color="000000" w:fill="FFFFFF"/>
            <w:noWrap/>
            <w:hideMark/>
          </w:tcPr>
          <w:p w14:paraId="3FD7B197" w14:textId="58C967E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0C4B38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5288C2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F947D0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E8DEB8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591A6C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FB73EF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3F73F1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266B7BF2" w14:textId="77777777" w:rsidTr="00DD27F1">
        <w:trPr>
          <w:trHeight w:val="227"/>
        </w:trPr>
        <w:tc>
          <w:tcPr>
            <w:tcW w:w="598" w:type="pct"/>
            <w:tcBorders>
              <w:top w:val="nil"/>
              <w:left w:val="nil"/>
              <w:bottom w:val="nil"/>
              <w:right w:val="nil"/>
            </w:tcBorders>
            <w:shd w:val="clear" w:color="000000" w:fill="FFFFFF"/>
            <w:noWrap/>
            <w:vAlign w:val="bottom"/>
            <w:hideMark/>
          </w:tcPr>
          <w:p w14:paraId="238F13C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25.10.2032</w:t>
            </w:r>
          </w:p>
        </w:tc>
        <w:tc>
          <w:tcPr>
            <w:tcW w:w="1229" w:type="pct"/>
            <w:tcBorders>
              <w:top w:val="nil"/>
              <w:left w:val="nil"/>
              <w:bottom w:val="nil"/>
              <w:right w:val="nil"/>
            </w:tcBorders>
            <w:shd w:val="clear" w:color="000000" w:fill="FFFFFF"/>
            <w:noWrap/>
            <w:hideMark/>
          </w:tcPr>
          <w:p w14:paraId="42F5AAB4" w14:textId="41A4DCB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65A2A23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B3513B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E42D64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52370D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BAC6B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0ACA77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AA065B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2A47468B" w14:textId="77777777" w:rsidTr="00DD27F1">
        <w:trPr>
          <w:trHeight w:val="227"/>
        </w:trPr>
        <w:tc>
          <w:tcPr>
            <w:tcW w:w="598" w:type="pct"/>
            <w:tcBorders>
              <w:top w:val="nil"/>
              <w:left w:val="nil"/>
              <w:bottom w:val="nil"/>
              <w:right w:val="nil"/>
            </w:tcBorders>
            <w:shd w:val="clear" w:color="000000" w:fill="FFFFFF"/>
            <w:noWrap/>
            <w:vAlign w:val="bottom"/>
            <w:hideMark/>
          </w:tcPr>
          <w:p w14:paraId="047EB18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25.11.2032</w:t>
            </w:r>
          </w:p>
        </w:tc>
        <w:tc>
          <w:tcPr>
            <w:tcW w:w="1229" w:type="pct"/>
            <w:tcBorders>
              <w:top w:val="nil"/>
              <w:left w:val="nil"/>
              <w:bottom w:val="nil"/>
              <w:right w:val="nil"/>
            </w:tcBorders>
            <w:shd w:val="clear" w:color="000000" w:fill="FFFFFF"/>
            <w:noWrap/>
            <w:hideMark/>
          </w:tcPr>
          <w:p w14:paraId="0B6E68BC" w14:textId="6CB44EB7"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5B4A71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E7B49C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AC9BC5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84A60A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86A5F1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3CF350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F31F31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B742332" w14:textId="77777777" w:rsidTr="00DD27F1">
        <w:trPr>
          <w:trHeight w:val="227"/>
        </w:trPr>
        <w:tc>
          <w:tcPr>
            <w:tcW w:w="598" w:type="pct"/>
            <w:tcBorders>
              <w:top w:val="nil"/>
              <w:left w:val="nil"/>
              <w:bottom w:val="nil"/>
              <w:right w:val="nil"/>
            </w:tcBorders>
            <w:shd w:val="clear" w:color="000000" w:fill="FFFFFF"/>
            <w:noWrap/>
            <w:vAlign w:val="bottom"/>
            <w:hideMark/>
          </w:tcPr>
          <w:p w14:paraId="0B6A1B2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25.12.2032</w:t>
            </w:r>
          </w:p>
        </w:tc>
        <w:tc>
          <w:tcPr>
            <w:tcW w:w="1229" w:type="pct"/>
            <w:tcBorders>
              <w:top w:val="nil"/>
              <w:left w:val="nil"/>
              <w:bottom w:val="nil"/>
              <w:right w:val="nil"/>
            </w:tcBorders>
            <w:shd w:val="clear" w:color="000000" w:fill="FFFFFF"/>
            <w:noWrap/>
            <w:hideMark/>
          </w:tcPr>
          <w:p w14:paraId="009FE2FD" w14:textId="5C3CB47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0D3AC2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37FF60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F0EA0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F30664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ED0286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2ABC2D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125E01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5FEE4EB" w14:textId="77777777" w:rsidTr="00DD27F1">
        <w:trPr>
          <w:trHeight w:val="227"/>
        </w:trPr>
        <w:tc>
          <w:tcPr>
            <w:tcW w:w="598" w:type="pct"/>
            <w:tcBorders>
              <w:top w:val="nil"/>
              <w:left w:val="nil"/>
              <w:bottom w:val="nil"/>
              <w:right w:val="nil"/>
            </w:tcBorders>
            <w:shd w:val="clear" w:color="000000" w:fill="FFFFFF"/>
            <w:noWrap/>
            <w:vAlign w:val="bottom"/>
            <w:hideMark/>
          </w:tcPr>
          <w:p w14:paraId="7177069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25.01.2033</w:t>
            </w:r>
          </w:p>
        </w:tc>
        <w:tc>
          <w:tcPr>
            <w:tcW w:w="1229" w:type="pct"/>
            <w:tcBorders>
              <w:top w:val="nil"/>
              <w:left w:val="nil"/>
              <w:bottom w:val="nil"/>
              <w:right w:val="nil"/>
            </w:tcBorders>
            <w:shd w:val="clear" w:color="000000" w:fill="FFFFFF"/>
            <w:noWrap/>
            <w:hideMark/>
          </w:tcPr>
          <w:p w14:paraId="7E457984" w14:textId="1FE35DE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A53BE0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9AEF7B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8626FD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36959B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BA33CF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0676D4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AD845E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67BF2DF6" w14:textId="77777777" w:rsidTr="00DD27F1">
        <w:trPr>
          <w:trHeight w:val="227"/>
        </w:trPr>
        <w:tc>
          <w:tcPr>
            <w:tcW w:w="598" w:type="pct"/>
            <w:tcBorders>
              <w:top w:val="nil"/>
              <w:left w:val="nil"/>
              <w:bottom w:val="nil"/>
              <w:right w:val="nil"/>
            </w:tcBorders>
            <w:shd w:val="clear" w:color="000000" w:fill="FFFFFF"/>
            <w:noWrap/>
            <w:vAlign w:val="bottom"/>
            <w:hideMark/>
          </w:tcPr>
          <w:p w14:paraId="5EA0ED1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25.02.2033</w:t>
            </w:r>
          </w:p>
        </w:tc>
        <w:tc>
          <w:tcPr>
            <w:tcW w:w="1229" w:type="pct"/>
            <w:tcBorders>
              <w:top w:val="nil"/>
              <w:left w:val="nil"/>
              <w:bottom w:val="nil"/>
              <w:right w:val="nil"/>
            </w:tcBorders>
            <w:shd w:val="clear" w:color="000000" w:fill="FFFFFF"/>
            <w:noWrap/>
            <w:hideMark/>
          </w:tcPr>
          <w:p w14:paraId="5EB3ECB5" w14:textId="7095E3E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78CD0C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032CAF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7A07F8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349412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C561AB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E4C91C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A80BC2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4A3E396" w14:textId="77777777" w:rsidTr="00DD27F1">
        <w:trPr>
          <w:trHeight w:val="227"/>
        </w:trPr>
        <w:tc>
          <w:tcPr>
            <w:tcW w:w="598" w:type="pct"/>
            <w:tcBorders>
              <w:top w:val="nil"/>
              <w:left w:val="nil"/>
              <w:bottom w:val="nil"/>
              <w:right w:val="nil"/>
            </w:tcBorders>
            <w:shd w:val="clear" w:color="000000" w:fill="FFFFFF"/>
            <w:noWrap/>
            <w:vAlign w:val="bottom"/>
            <w:hideMark/>
          </w:tcPr>
          <w:p w14:paraId="2C5311A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25.03.2033</w:t>
            </w:r>
          </w:p>
        </w:tc>
        <w:tc>
          <w:tcPr>
            <w:tcW w:w="1229" w:type="pct"/>
            <w:tcBorders>
              <w:top w:val="nil"/>
              <w:left w:val="nil"/>
              <w:bottom w:val="nil"/>
              <w:right w:val="nil"/>
            </w:tcBorders>
            <w:shd w:val="clear" w:color="000000" w:fill="FFFFFF"/>
            <w:noWrap/>
            <w:hideMark/>
          </w:tcPr>
          <w:p w14:paraId="09D83079" w14:textId="4155A46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5C8436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ECEE87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2B9D8F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EC5D94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72DF05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86AB24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4046BBE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B8BD2A4" w14:textId="77777777" w:rsidTr="00DD27F1">
        <w:trPr>
          <w:trHeight w:val="227"/>
        </w:trPr>
        <w:tc>
          <w:tcPr>
            <w:tcW w:w="598" w:type="pct"/>
            <w:tcBorders>
              <w:top w:val="nil"/>
              <w:left w:val="nil"/>
              <w:bottom w:val="nil"/>
              <w:right w:val="nil"/>
            </w:tcBorders>
            <w:shd w:val="clear" w:color="000000" w:fill="FFFFFF"/>
            <w:noWrap/>
            <w:vAlign w:val="bottom"/>
            <w:hideMark/>
          </w:tcPr>
          <w:p w14:paraId="4E5EDAB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25.04.2033</w:t>
            </w:r>
          </w:p>
        </w:tc>
        <w:tc>
          <w:tcPr>
            <w:tcW w:w="1229" w:type="pct"/>
            <w:tcBorders>
              <w:top w:val="nil"/>
              <w:left w:val="nil"/>
              <w:bottom w:val="nil"/>
              <w:right w:val="nil"/>
            </w:tcBorders>
            <w:shd w:val="clear" w:color="000000" w:fill="FFFFFF"/>
            <w:noWrap/>
            <w:hideMark/>
          </w:tcPr>
          <w:p w14:paraId="27F8930A" w14:textId="0D9020B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62DBF3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40CD5D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B73F8B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B1A328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710D3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B838F9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129617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93D9423" w14:textId="77777777" w:rsidTr="00DD27F1">
        <w:trPr>
          <w:trHeight w:val="227"/>
        </w:trPr>
        <w:tc>
          <w:tcPr>
            <w:tcW w:w="598" w:type="pct"/>
            <w:tcBorders>
              <w:top w:val="nil"/>
              <w:left w:val="nil"/>
              <w:bottom w:val="nil"/>
              <w:right w:val="nil"/>
            </w:tcBorders>
            <w:shd w:val="clear" w:color="000000" w:fill="FFFFFF"/>
            <w:noWrap/>
            <w:vAlign w:val="bottom"/>
            <w:hideMark/>
          </w:tcPr>
          <w:p w14:paraId="5E1CA5F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25.05.2033</w:t>
            </w:r>
          </w:p>
        </w:tc>
        <w:tc>
          <w:tcPr>
            <w:tcW w:w="1229" w:type="pct"/>
            <w:tcBorders>
              <w:top w:val="nil"/>
              <w:left w:val="nil"/>
              <w:bottom w:val="nil"/>
              <w:right w:val="nil"/>
            </w:tcBorders>
            <w:shd w:val="clear" w:color="000000" w:fill="FFFFFF"/>
            <w:noWrap/>
            <w:hideMark/>
          </w:tcPr>
          <w:p w14:paraId="0C1793AE" w14:textId="6D44C40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F892E5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CC4697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60E152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54E51B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8A2679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96D2B4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C23173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5B44D799" w14:textId="77777777" w:rsidTr="00DD27F1">
        <w:trPr>
          <w:trHeight w:val="227"/>
        </w:trPr>
        <w:tc>
          <w:tcPr>
            <w:tcW w:w="598" w:type="pct"/>
            <w:tcBorders>
              <w:top w:val="nil"/>
              <w:left w:val="nil"/>
              <w:bottom w:val="nil"/>
              <w:right w:val="nil"/>
            </w:tcBorders>
            <w:shd w:val="clear" w:color="000000" w:fill="FFFFFF"/>
            <w:noWrap/>
            <w:vAlign w:val="bottom"/>
            <w:hideMark/>
          </w:tcPr>
          <w:p w14:paraId="6A68B46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25.06.2033</w:t>
            </w:r>
          </w:p>
        </w:tc>
        <w:tc>
          <w:tcPr>
            <w:tcW w:w="1229" w:type="pct"/>
            <w:tcBorders>
              <w:top w:val="nil"/>
              <w:left w:val="nil"/>
              <w:bottom w:val="nil"/>
              <w:right w:val="nil"/>
            </w:tcBorders>
            <w:shd w:val="clear" w:color="000000" w:fill="FFFFFF"/>
            <w:noWrap/>
            <w:hideMark/>
          </w:tcPr>
          <w:p w14:paraId="4DDD4A93" w14:textId="02214ACA"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D82D8F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FCA8DB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8AA92D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2D0569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D979F7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CCDC80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D7EF9E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86DD48A" w14:textId="77777777" w:rsidTr="00DD27F1">
        <w:trPr>
          <w:trHeight w:val="227"/>
        </w:trPr>
        <w:tc>
          <w:tcPr>
            <w:tcW w:w="598" w:type="pct"/>
            <w:tcBorders>
              <w:top w:val="nil"/>
              <w:left w:val="nil"/>
              <w:bottom w:val="nil"/>
              <w:right w:val="nil"/>
            </w:tcBorders>
            <w:shd w:val="clear" w:color="000000" w:fill="FFFFFF"/>
            <w:noWrap/>
            <w:vAlign w:val="bottom"/>
            <w:hideMark/>
          </w:tcPr>
          <w:p w14:paraId="7B0FDE8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25.07.2033</w:t>
            </w:r>
          </w:p>
        </w:tc>
        <w:tc>
          <w:tcPr>
            <w:tcW w:w="1229" w:type="pct"/>
            <w:tcBorders>
              <w:top w:val="nil"/>
              <w:left w:val="nil"/>
              <w:bottom w:val="nil"/>
              <w:right w:val="nil"/>
            </w:tcBorders>
            <w:shd w:val="clear" w:color="000000" w:fill="FFFFFF"/>
            <w:noWrap/>
            <w:hideMark/>
          </w:tcPr>
          <w:p w14:paraId="2AD8A1A2" w14:textId="523EDFC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3BD8D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9EA7CE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3C6B17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892EC4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77E8B7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CBA7A1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8EA1D2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99ECA3E" w14:textId="77777777" w:rsidTr="00DD27F1">
        <w:trPr>
          <w:trHeight w:val="227"/>
        </w:trPr>
        <w:tc>
          <w:tcPr>
            <w:tcW w:w="598" w:type="pct"/>
            <w:tcBorders>
              <w:top w:val="nil"/>
              <w:left w:val="nil"/>
              <w:bottom w:val="nil"/>
              <w:right w:val="nil"/>
            </w:tcBorders>
            <w:shd w:val="clear" w:color="000000" w:fill="FFFFFF"/>
            <w:noWrap/>
            <w:vAlign w:val="bottom"/>
            <w:hideMark/>
          </w:tcPr>
          <w:p w14:paraId="487F646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25.08.2033</w:t>
            </w:r>
          </w:p>
        </w:tc>
        <w:tc>
          <w:tcPr>
            <w:tcW w:w="1229" w:type="pct"/>
            <w:tcBorders>
              <w:top w:val="nil"/>
              <w:left w:val="nil"/>
              <w:bottom w:val="nil"/>
              <w:right w:val="nil"/>
            </w:tcBorders>
            <w:shd w:val="clear" w:color="000000" w:fill="FFFFFF"/>
            <w:noWrap/>
            <w:hideMark/>
          </w:tcPr>
          <w:p w14:paraId="5A3BE569" w14:textId="511CB30F"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6DCE21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2DB146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9AA912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F8F67E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B92B20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5C3D86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552EEC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CDF36D2" w14:textId="77777777" w:rsidTr="00DD27F1">
        <w:trPr>
          <w:trHeight w:val="227"/>
        </w:trPr>
        <w:tc>
          <w:tcPr>
            <w:tcW w:w="598" w:type="pct"/>
            <w:tcBorders>
              <w:top w:val="nil"/>
              <w:left w:val="nil"/>
              <w:bottom w:val="nil"/>
              <w:right w:val="nil"/>
            </w:tcBorders>
            <w:shd w:val="clear" w:color="000000" w:fill="FFFFFF"/>
            <w:noWrap/>
            <w:vAlign w:val="bottom"/>
            <w:hideMark/>
          </w:tcPr>
          <w:p w14:paraId="6BC17BB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25.09.2033</w:t>
            </w:r>
          </w:p>
        </w:tc>
        <w:tc>
          <w:tcPr>
            <w:tcW w:w="1229" w:type="pct"/>
            <w:tcBorders>
              <w:top w:val="nil"/>
              <w:left w:val="nil"/>
              <w:bottom w:val="nil"/>
              <w:right w:val="nil"/>
            </w:tcBorders>
            <w:shd w:val="clear" w:color="000000" w:fill="FFFFFF"/>
            <w:noWrap/>
            <w:hideMark/>
          </w:tcPr>
          <w:p w14:paraId="78B441D1" w14:textId="550E336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64DF86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84006B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B4DD51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3F4F24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6FF71A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0B8B24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89BD24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5013B2FE" w14:textId="77777777" w:rsidTr="00DD27F1">
        <w:trPr>
          <w:trHeight w:val="227"/>
        </w:trPr>
        <w:tc>
          <w:tcPr>
            <w:tcW w:w="598" w:type="pct"/>
            <w:tcBorders>
              <w:top w:val="nil"/>
              <w:left w:val="nil"/>
              <w:bottom w:val="nil"/>
              <w:right w:val="nil"/>
            </w:tcBorders>
            <w:shd w:val="clear" w:color="000000" w:fill="FFFFFF"/>
            <w:noWrap/>
            <w:vAlign w:val="bottom"/>
            <w:hideMark/>
          </w:tcPr>
          <w:p w14:paraId="1A47239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25.10.2033</w:t>
            </w:r>
          </w:p>
        </w:tc>
        <w:tc>
          <w:tcPr>
            <w:tcW w:w="1229" w:type="pct"/>
            <w:tcBorders>
              <w:top w:val="nil"/>
              <w:left w:val="nil"/>
              <w:bottom w:val="nil"/>
              <w:right w:val="nil"/>
            </w:tcBorders>
            <w:shd w:val="clear" w:color="000000" w:fill="FFFFFF"/>
            <w:noWrap/>
            <w:hideMark/>
          </w:tcPr>
          <w:p w14:paraId="362DBAF7" w14:textId="1CD6879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36A5E6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2B4C35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BB6378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87DBB0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A7C7B6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4969D9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4128AA2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9A525FC" w14:textId="77777777" w:rsidTr="00DD27F1">
        <w:trPr>
          <w:trHeight w:val="227"/>
        </w:trPr>
        <w:tc>
          <w:tcPr>
            <w:tcW w:w="598" w:type="pct"/>
            <w:tcBorders>
              <w:top w:val="nil"/>
              <w:left w:val="nil"/>
              <w:bottom w:val="nil"/>
              <w:right w:val="nil"/>
            </w:tcBorders>
            <w:shd w:val="clear" w:color="000000" w:fill="FFFFFF"/>
            <w:noWrap/>
            <w:vAlign w:val="bottom"/>
            <w:hideMark/>
          </w:tcPr>
          <w:p w14:paraId="1EC68F8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25.11.2033</w:t>
            </w:r>
          </w:p>
        </w:tc>
        <w:tc>
          <w:tcPr>
            <w:tcW w:w="1229" w:type="pct"/>
            <w:tcBorders>
              <w:top w:val="nil"/>
              <w:left w:val="nil"/>
              <w:bottom w:val="nil"/>
              <w:right w:val="nil"/>
            </w:tcBorders>
            <w:shd w:val="clear" w:color="000000" w:fill="FFFFFF"/>
            <w:noWrap/>
            <w:hideMark/>
          </w:tcPr>
          <w:p w14:paraId="427D9619" w14:textId="6D1C0318"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66F4055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A7CABC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BD793D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8506E8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0AE45A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8B3127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8D8A10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D7D199C" w14:textId="77777777" w:rsidTr="00DD27F1">
        <w:trPr>
          <w:trHeight w:val="227"/>
        </w:trPr>
        <w:tc>
          <w:tcPr>
            <w:tcW w:w="598" w:type="pct"/>
            <w:tcBorders>
              <w:top w:val="nil"/>
              <w:left w:val="nil"/>
              <w:bottom w:val="nil"/>
              <w:right w:val="nil"/>
            </w:tcBorders>
            <w:shd w:val="clear" w:color="000000" w:fill="FFFFFF"/>
            <w:noWrap/>
            <w:vAlign w:val="bottom"/>
            <w:hideMark/>
          </w:tcPr>
          <w:p w14:paraId="4FAF1C1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25.12.2033</w:t>
            </w:r>
          </w:p>
        </w:tc>
        <w:tc>
          <w:tcPr>
            <w:tcW w:w="1229" w:type="pct"/>
            <w:tcBorders>
              <w:top w:val="nil"/>
              <w:left w:val="nil"/>
              <w:bottom w:val="nil"/>
              <w:right w:val="nil"/>
            </w:tcBorders>
            <w:shd w:val="clear" w:color="000000" w:fill="FFFFFF"/>
            <w:noWrap/>
            <w:hideMark/>
          </w:tcPr>
          <w:p w14:paraId="0BD5C620" w14:textId="66AF90C0"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31E615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F89046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67B777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9A27D4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9ACC1F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39B05C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D38F78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101C757C" w14:textId="77777777" w:rsidTr="00DD27F1">
        <w:trPr>
          <w:trHeight w:val="227"/>
        </w:trPr>
        <w:tc>
          <w:tcPr>
            <w:tcW w:w="598" w:type="pct"/>
            <w:tcBorders>
              <w:top w:val="nil"/>
              <w:left w:val="nil"/>
              <w:bottom w:val="nil"/>
              <w:right w:val="nil"/>
            </w:tcBorders>
            <w:shd w:val="clear" w:color="000000" w:fill="FFFFFF"/>
            <w:noWrap/>
            <w:vAlign w:val="bottom"/>
            <w:hideMark/>
          </w:tcPr>
          <w:p w14:paraId="534C638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25.01.2034</w:t>
            </w:r>
          </w:p>
        </w:tc>
        <w:tc>
          <w:tcPr>
            <w:tcW w:w="1229" w:type="pct"/>
            <w:tcBorders>
              <w:top w:val="nil"/>
              <w:left w:val="nil"/>
              <w:bottom w:val="nil"/>
              <w:right w:val="nil"/>
            </w:tcBorders>
            <w:shd w:val="clear" w:color="000000" w:fill="FFFFFF"/>
            <w:noWrap/>
            <w:hideMark/>
          </w:tcPr>
          <w:p w14:paraId="3492A3BC" w14:textId="7850F847"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8A0228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259C74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93F8D3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61A6D2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EDB0F2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4E1CAD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52ED13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0F2C6DED" w14:textId="77777777" w:rsidTr="00DD27F1">
        <w:trPr>
          <w:trHeight w:val="227"/>
        </w:trPr>
        <w:tc>
          <w:tcPr>
            <w:tcW w:w="598" w:type="pct"/>
            <w:tcBorders>
              <w:top w:val="nil"/>
              <w:left w:val="nil"/>
              <w:bottom w:val="nil"/>
              <w:right w:val="nil"/>
            </w:tcBorders>
            <w:shd w:val="clear" w:color="000000" w:fill="FFFFFF"/>
            <w:noWrap/>
            <w:vAlign w:val="bottom"/>
            <w:hideMark/>
          </w:tcPr>
          <w:p w14:paraId="2ED3D55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25.02.2034</w:t>
            </w:r>
          </w:p>
        </w:tc>
        <w:tc>
          <w:tcPr>
            <w:tcW w:w="1229" w:type="pct"/>
            <w:tcBorders>
              <w:top w:val="nil"/>
              <w:left w:val="nil"/>
              <w:bottom w:val="nil"/>
              <w:right w:val="nil"/>
            </w:tcBorders>
            <w:shd w:val="clear" w:color="000000" w:fill="FFFFFF"/>
            <w:noWrap/>
            <w:hideMark/>
          </w:tcPr>
          <w:p w14:paraId="0FAD16EC" w14:textId="5551B686"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7E550FC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04C5B4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C55AB8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DA2F90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038028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FC569B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7375F45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99451F5" w14:textId="77777777" w:rsidTr="00DD27F1">
        <w:trPr>
          <w:trHeight w:val="227"/>
        </w:trPr>
        <w:tc>
          <w:tcPr>
            <w:tcW w:w="598" w:type="pct"/>
            <w:tcBorders>
              <w:top w:val="nil"/>
              <w:left w:val="nil"/>
              <w:bottom w:val="nil"/>
              <w:right w:val="nil"/>
            </w:tcBorders>
            <w:shd w:val="clear" w:color="000000" w:fill="FFFFFF"/>
            <w:noWrap/>
            <w:vAlign w:val="bottom"/>
            <w:hideMark/>
          </w:tcPr>
          <w:p w14:paraId="3681E45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25.03.2034</w:t>
            </w:r>
          </w:p>
        </w:tc>
        <w:tc>
          <w:tcPr>
            <w:tcW w:w="1229" w:type="pct"/>
            <w:tcBorders>
              <w:top w:val="nil"/>
              <w:left w:val="nil"/>
              <w:bottom w:val="nil"/>
              <w:right w:val="nil"/>
            </w:tcBorders>
            <w:shd w:val="clear" w:color="000000" w:fill="FFFFFF"/>
            <w:noWrap/>
            <w:hideMark/>
          </w:tcPr>
          <w:p w14:paraId="302246EF" w14:textId="3AD420E6"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E080A6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584DC0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4F8D52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915006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5BCFF6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E9DFA2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D92F38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B730261" w14:textId="77777777" w:rsidTr="00DD27F1">
        <w:trPr>
          <w:trHeight w:val="227"/>
        </w:trPr>
        <w:tc>
          <w:tcPr>
            <w:tcW w:w="598" w:type="pct"/>
            <w:tcBorders>
              <w:top w:val="nil"/>
              <w:left w:val="nil"/>
              <w:bottom w:val="nil"/>
              <w:right w:val="nil"/>
            </w:tcBorders>
            <w:shd w:val="clear" w:color="000000" w:fill="FFFFFF"/>
            <w:noWrap/>
            <w:vAlign w:val="bottom"/>
            <w:hideMark/>
          </w:tcPr>
          <w:p w14:paraId="4A1929C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25.04.2034</w:t>
            </w:r>
          </w:p>
        </w:tc>
        <w:tc>
          <w:tcPr>
            <w:tcW w:w="1229" w:type="pct"/>
            <w:tcBorders>
              <w:top w:val="nil"/>
              <w:left w:val="nil"/>
              <w:bottom w:val="nil"/>
              <w:right w:val="nil"/>
            </w:tcBorders>
            <w:shd w:val="clear" w:color="000000" w:fill="FFFFFF"/>
            <w:noWrap/>
            <w:hideMark/>
          </w:tcPr>
          <w:p w14:paraId="42638D6E" w14:textId="76FEF8CF"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035974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2F8F18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356C27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26FA2E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FC956E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A18A83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EFA82A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5D9C9C2E" w14:textId="77777777" w:rsidTr="00DD27F1">
        <w:trPr>
          <w:trHeight w:val="227"/>
        </w:trPr>
        <w:tc>
          <w:tcPr>
            <w:tcW w:w="598" w:type="pct"/>
            <w:tcBorders>
              <w:top w:val="nil"/>
              <w:left w:val="nil"/>
              <w:bottom w:val="nil"/>
              <w:right w:val="nil"/>
            </w:tcBorders>
            <w:shd w:val="clear" w:color="000000" w:fill="FFFFFF"/>
            <w:noWrap/>
            <w:vAlign w:val="bottom"/>
            <w:hideMark/>
          </w:tcPr>
          <w:p w14:paraId="462F288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25.05.2034</w:t>
            </w:r>
          </w:p>
        </w:tc>
        <w:tc>
          <w:tcPr>
            <w:tcW w:w="1229" w:type="pct"/>
            <w:tcBorders>
              <w:top w:val="nil"/>
              <w:left w:val="nil"/>
              <w:bottom w:val="nil"/>
              <w:right w:val="nil"/>
            </w:tcBorders>
            <w:shd w:val="clear" w:color="000000" w:fill="FFFFFF"/>
            <w:noWrap/>
            <w:hideMark/>
          </w:tcPr>
          <w:p w14:paraId="1A332627" w14:textId="2E9C1490"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74B6ED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3E85C0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41ECF7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D0A8D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8D7F6D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025154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9AE451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0A55A86" w14:textId="77777777" w:rsidTr="00DD27F1">
        <w:trPr>
          <w:trHeight w:val="227"/>
        </w:trPr>
        <w:tc>
          <w:tcPr>
            <w:tcW w:w="598" w:type="pct"/>
            <w:tcBorders>
              <w:top w:val="nil"/>
              <w:left w:val="nil"/>
              <w:bottom w:val="nil"/>
              <w:right w:val="nil"/>
            </w:tcBorders>
            <w:shd w:val="clear" w:color="000000" w:fill="FFFFFF"/>
            <w:noWrap/>
            <w:vAlign w:val="bottom"/>
            <w:hideMark/>
          </w:tcPr>
          <w:p w14:paraId="5C2065F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25.06.2034</w:t>
            </w:r>
          </w:p>
        </w:tc>
        <w:tc>
          <w:tcPr>
            <w:tcW w:w="1229" w:type="pct"/>
            <w:tcBorders>
              <w:top w:val="nil"/>
              <w:left w:val="nil"/>
              <w:bottom w:val="nil"/>
              <w:right w:val="nil"/>
            </w:tcBorders>
            <w:shd w:val="clear" w:color="000000" w:fill="FFFFFF"/>
            <w:noWrap/>
            <w:hideMark/>
          </w:tcPr>
          <w:p w14:paraId="61F51CC8" w14:textId="34CD996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35E134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B155BF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D76B54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E16343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4DF369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23E39A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836FD7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B419865" w14:textId="77777777" w:rsidTr="00DD27F1">
        <w:trPr>
          <w:trHeight w:val="227"/>
        </w:trPr>
        <w:tc>
          <w:tcPr>
            <w:tcW w:w="598" w:type="pct"/>
            <w:tcBorders>
              <w:top w:val="nil"/>
              <w:left w:val="nil"/>
              <w:bottom w:val="nil"/>
              <w:right w:val="nil"/>
            </w:tcBorders>
            <w:shd w:val="clear" w:color="000000" w:fill="FFFFFF"/>
            <w:noWrap/>
            <w:vAlign w:val="bottom"/>
            <w:hideMark/>
          </w:tcPr>
          <w:p w14:paraId="228EA04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25.07.2034</w:t>
            </w:r>
          </w:p>
        </w:tc>
        <w:tc>
          <w:tcPr>
            <w:tcW w:w="1229" w:type="pct"/>
            <w:tcBorders>
              <w:top w:val="nil"/>
              <w:left w:val="nil"/>
              <w:bottom w:val="nil"/>
              <w:right w:val="nil"/>
            </w:tcBorders>
            <w:shd w:val="clear" w:color="000000" w:fill="FFFFFF"/>
            <w:noWrap/>
            <w:hideMark/>
          </w:tcPr>
          <w:p w14:paraId="54A84060" w14:textId="4E83BE8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5BA88A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018559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098582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F7B736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E0784D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1803C6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F9AA89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B8A69CB" w14:textId="77777777" w:rsidTr="00DD27F1">
        <w:trPr>
          <w:trHeight w:val="227"/>
        </w:trPr>
        <w:tc>
          <w:tcPr>
            <w:tcW w:w="598" w:type="pct"/>
            <w:tcBorders>
              <w:top w:val="nil"/>
              <w:left w:val="nil"/>
              <w:bottom w:val="nil"/>
              <w:right w:val="nil"/>
            </w:tcBorders>
            <w:shd w:val="clear" w:color="000000" w:fill="FFFFFF"/>
            <w:noWrap/>
            <w:vAlign w:val="bottom"/>
            <w:hideMark/>
          </w:tcPr>
          <w:p w14:paraId="5E802CB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25.08.2034</w:t>
            </w:r>
          </w:p>
        </w:tc>
        <w:tc>
          <w:tcPr>
            <w:tcW w:w="1229" w:type="pct"/>
            <w:tcBorders>
              <w:top w:val="nil"/>
              <w:left w:val="nil"/>
              <w:bottom w:val="nil"/>
              <w:right w:val="nil"/>
            </w:tcBorders>
            <w:shd w:val="clear" w:color="000000" w:fill="FFFFFF"/>
            <w:noWrap/>
            <w:hideMark/>
          </w:tcPr>
          <w:p w14:paraId="76412486" w14:textId="2F30B89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3C232F0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CCFED3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FCD4B3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1CBB28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E8CE9A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EED0BE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6EF75E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24D406BF" w14:textId="77777777" w:rsidTr="00DD27F1">
        <w:trPr>
          <w:trHeight w:val="227"/>
        </w:trPr>
        <w:tc>
          <w:tcPr>
            <w:tcW w:w="598" w:type="pct"/>
            <w:tcBorders>
              <w:top w:val="nil"/>
              <w:left w:val="nil"/>
              <w:bottom w:val="nil"/>
              <w:right w:val="nil"/>
            </w:tcBorders>
            <w:shd w:val="clear" w:color="000000" w:fill="FFFFFF"/>
            <w:noWrap/>
            <w:vAlign w:val="bottom"/>
            <w:hideMark/>
          </w:tcPr>
          <w:p w14:paraId="180972E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25.09.2034</w:t>
            </w:r>
          </w:p>
        </w:tc>
        <w:tc>
          <w:tcPr>
            <w:tcW w:w="1229" w:type="pct"/>
            <w:tcBorders>
              <w:top w:val="nil"/>
              <w:left w:val="nil"/>
              <w:bottom w:val="nil"/>
              <w:right w:val="nil"/>
            </w:tcBorders>
            <w:shd w:val="clear" w:color="000000" w:fill="FFFFFF"/>
            <w:noWrap/>
            <w:hideMark/>
          </w:tcPr>
          <w:p w14:paraId="3D89DFCF" w14:textId="7B25CB7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6D5BE48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95A470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7640F3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4A7AC6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F8EEBC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8F8EA6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5045E7A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54E63DD8" w14:textId="77777777" w:rsidTr="00DD27F1">
        <w:trPr>
          <w:trHeight w:val="227"/>
        </w:trPr>
        <w:tc>
          <w:tcPr>
            <w:tcW w:w="598" w:type="pct"/>
            <w:tcBorders>
              <w:top w:val="nil"/>
              <w:left w:val="nil"/>
              <w:bottom w:val="nil"/>
              <w:right w:val="nil"/>
            </w:tcBorders>
            <w:shd w:val="clear" w:color="000000" w:fill="FFFFFF"/>
            <w:noWrap/>
            <w:vAlign w:val="bottom"/>
            <w:hideMark/>
          </w:tcPr>
          <w:p w14:paraId="75139F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25.10.2034</w:t>
            </w:r>
          </w:p>
        </w:tc>
        <w:tc>
          <w:tcPr>
            <w:tcW w:w="1229" w:type="pct"/>
            <w:tcBorders>
              <w:top w:val="nil"/>
              <w:left w:val="nil"/>
              <w:bottom w:val="nil"/>
              <w:right w:val="nil"/>
            </w:tcBorders>
            <w:shd w:val="clear" w:color="000000" w:fill="FFFFFF"/>
            <w:noWrap/>
            <w:hideMark/>
          </w:tcPr>
          <w:p w14:paraId="0CDB1B11" w14:textId="73FAD1C4"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CAA10C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3516AB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577EDE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4EFC28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D07045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13F7B1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7B610AB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6ACC986" w14:textId="77777777" w:rsidTr="00DD27F1">
        <w:trPr>
          <w:trHeight w:val="227"/>
        </w:trPr>
        <w:tc>
          <w:tcPr>
            <w:tcW w:w="598" w:type="pct"/>
            <w:tcBorders>
              <w:top w:val="nil"/>
              <w:left w:val="nil"/>
              <w:bottom w:val="nil"/>
              <w:right w:val="nil"/>
            </w:tcBorders>
            <w:shd w:val="clear" w:color="000000" w:fill="FFFFFF"/>
            <w:noWrap/>
            <w:vAlign w:val="bottom"/>
            <w:hideMark/>
          </w:tcPr>
          <w:p w14:paraId="1FDF619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25.11.2034</w:t>
            </w:r>
          </w:p>
        </w:tc>
        <w:tc>
          <w:tcPr>
            <w:tcW w:w="1229" w:type="pct"/>
            <w:tcBorders>
              <w:top w:val="nil"/>
              <w:left w:val="nil"/>
              <w:bottom w:val="nil"/>
              <w:right w:val="nil"/>
            </w:tcBorders>
            <w:shd w:val="clear" w:color="000000" w:fill="FFFFFF"/>
            <w:noWrap/>
            <w:hideMark/>
          </w:tcPr>
          <w:p w14:paraId="57B064DA" w14:textId="784E480E"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519EE7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EDE1AF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9BCE6A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EEA1AD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614997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F4FA77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3DD886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0FF8F9A9" w14:textId="77777777" w:rsidTr="00DD27F1">
        <w:trPr>
          <w:trHeight w:val="227"/>
        </w:trPr>
        <w:tc>
          <w:tcPr>
            <w:tcW w:w="598" w:type="pct"/>
            <w:tcBorders>
              <w:top w:val="nil"/>
              <w:left w:val="nil"/>
              <w:bottom w:val="nil"/>
              <w:right w:val="nil"/>
            </w:tcBorders>
            <w:shd w:val="clear" w:color="000000" w:fill="FFFFFF"/>
            <w:noWrap/>
            <w:vAlign w:val="bottom"/>
            <w:hideMark/>
          </w:tcPr>
          <w:p w14:paraId="1DBBD82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25.12.2034</w:t>
            </w:r>
          </w:p>
        </w:tc>
        <w:tc>
          <w:tcPr>
            <w:tcW w:w="1229" w:type="pct"/>
            <w:tcBorders>
              <w:top w:val="nil"/>
              <w:left w:val="nil"/>
              <w:bottom w:val="nil"/>
              <w:right w:val="nil"/>
            </w:tcBorders>
            <w:shd w:val="clear" w:color="000000" w:fill="FFFFFF"/>
            <w:noWrap/>
            <w:hideMark/>
          </w:tcPr>
          <w:p w14:paraId="4A60D631" w14:textId="6E2F4B07"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005F73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FE98B2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D8D8F9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ACABC37"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EA38FC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3D0953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3F8845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3998BC6A" w14:textId="77777777" w:rsidTr="00DD27F1">
        <w:trPr>
          <w:trHeight w:val="227"/>
        </w:trPr>
        <w:tc>
          <w:tcPr>
            <w:tcW w:w="598" w:type="pct"/>
            <w:tcBorders>
              <w:top w:val="nil"/>
              <w:left w:val="nil"/>
              <w:bottom w:val="nil"/>
              <w:right w:val="nil"/>
            </w:tcBorders>
            <w:shd w:val="clear" w:color="000000" w:fill="FFFFFF"/>
            <w:noWrap/>
            <w:vAlign w:val="bottom"/>
            <w:hideMark/>
          </w:tcPr>
          <w:p w14:paraId="5D8E80E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25.01.2035</w:t>
            </w:r>
          </w:p>
        </w:tc>
        <w:tc>
          <w:tcPr>
            <w:tcW w:w="1229" w:type="pct"/>
            <w:tcBorders>
              <w:top w:val="nil"/>
              <w:left w:val="nil"/>
              <w:bottom w:val="nil"/>
              <w:right w:val="nil"/>
            </w:tcBorders>
            <w:shd w:val="clear" w:color="000000" w:fill="FFFFFF"/>
            <w:noWrap/>
            <w:hideMark/>
          </w:tcPr>
          <w:p w14:paraId="3EF38305" w14:textId="275E34D2"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EF628A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481DC8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4F6867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091E92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8AB9B5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A74698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6F01F81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01EAA431" w14:textId="77777777" w:rsidTr="00DD27F1">
        <w:trPr>
          <w:trHeight w:val="227"/>
        </w:trPr>
        <w:tc>
          <w:tcPr>
            <w:tcW w:w="598" w:type="pct"/>
            <w:tcBorders>
              <w:top w:val="nil"/>
              <w:left w:val="nil"/>
              <w:bottom w:val="nil"/>
              <w:right w:val="nil"/>
            </w:tcBorders>
            <w:shd w:val="clear" w:color="000000" w:fill="FFFFFF"/>
            <w:noWrap/>
            <w:vAlign w:val="bottom"/>
            <w:hideMark/>
          </w:tcPr>
          <w:p w14:paraId="338111C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25.02.2035</w:t>
            </w:r>
          </w:p>
        </w:tc>
        <w:tc>
          <w:tcPr>
            <w:tcW w:w="1229" w:type="pct"/>
            <w:tcBorders>
              <w:top w:val="nil"/>
              <w:left w:val="nil"/>
              <w:bottom w:val="nil"/>
              <w:right w:val="nil"/>
            </w:tcBorders>
            <w:shd w:val="clear" w:color="000000" w:fill="FFFFFF"/>
            <w:noWrap/>
            <w:hideMark/>
          </w:tcPr>
          <w:p w14:paraId="79943FB5" w14:textId="641D17B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475CEDF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32266F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9D4CEB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40B638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3F50C9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AF1476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254C79D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0CC0FB65" w14:textId="77777777" w:rsidTr="00DD27F1">
        <w:trPr>
          <w:trHeight w:val="227"/>
        </w:trPr>
        <w:tc>
          <w:tcPr>
            <w:tcW w:w="598" w:type="pct"/>
            <w:tcBorders>
              <w:top w:val="nil"/>
              <w:left w:val="nil"/>
              <w:bottom w:val="nil"/>
              <w:right w:val="nil"/>
            </w:tcBorders>
            <w:shd w:val="clear" w:color="000000" w:fill="FFFFFF"/>
            <w:noWrap/>
            <w:vAlign w:val="bottom"/>
            <w:hideMark/>
          </w:tcPr>
          <w:p w14:paraId="21A9AE0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25.03.2035</w:t>
            </w:r>
          </w:p>
        </w:tc>
        <w:tc>
          <w:tcPr>
            <w:tcW w:w="1229" w:type="pct"/>
            <w:tcBorders>
              <w:top w:val="nil"/>
              <w:left w:val="nil"/>
              <w:bottom w:val="nil"/>
              <w:right w:val="nil"/>
            </w:tcBorders>
            <w:shd w:val="clear" w:color="000000" w:fill="FFFFFF"/>
            <w:noWrap/>
            <w:hideMark/>
          </w:tcPr>
          <w:p w14:paraId="05867EFE" w14:textId="4B23562B"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13C29A1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2B9E003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77BA0C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CD4388F"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48A6AE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D33755D"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0A2A1DAC"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90BBDA1" w14:textId="77777777" w:rsidTr="00DD27F1">
        <w:trPr>
          <w:trHeight w:val="227"/>
        </w:trPr>
        <w:tc>
          <w:tcPr>
            <w:tcW w:w="598" w:type="pct"/>
            <w:tcBorders>
              <w:top w:val="nil"/>
              <w:left w:val="nil"/>
              <w:bottom w:val="nil"/>
              <w:right w:val="nil"/>
            </w:tcBorders>
            <w:shd w:val="clear" w:color="000000" w:fill="FFFFFF"/>
            <w:noWrap/>
            <w:vAlign w:val="bottom"/>
            <w:hideMark/>
          </w:tcPr>
          <w:p w14:paraId="6279161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25.04.2035</w:t>
            </w:r>
          </w:p>
        </w:tc>
        <w:tc>
          <w:tcPr>
            <w:tcW w:w="1229" w:type="pct"/>
            <w:tcBorders>
              <w:top w:val="nil"/>
              <w:left w:val="nil"/>
              <w:bottom w:val="nil"/>
              <w:right w:val="nil"/>
            </w:tcBorders>
            <w:shd w:val="clear" w:color="000000" w:fill="FFFFFF"/>
            <w:noWrap/>
            <w:hideMark/>
          </w:tcPr>
          <w:p w14:paraId="5A51B710" w14:textId="25AD7A2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0BE8D5E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E63BB43"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5313F53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FB262B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982FC3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112F17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7EC57AF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4D9549A3" w14:textId="77777777" w:rsidTr="00DD27F1">
        <w:trPr>
          <w:trHeight w:val="227"/>
        </w:trPr>
        <w:tc>
          <w:tcPr>
            <w:tcW w:w="598" w:type="pct"/>
            <w:tcBorders>
              <w:top w:val="nil"/>
              <w:left w:val="nil"/>
              <w:bottom w:val="nil"/>
              <w:right w:val="nil"/>
            </w:tcBorders>
            <w:shd w:val="clear" w:color="000000" w:fill="FFFFFF"/>
            <w:noWrap/>
            <w:vAlign w:val="bottom"/>
            <w:hideMark/>
          </w:tcPr>
          <w:p w14:paraId="5276D095"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25.05.2035</w:t>
            </w:r>
          </w:p>
        </w:tc>
        <w:tc>
          <w:tcPr>
            <w:tcW w:w="1229" w:type="pct"/>
            <w:tcBorders>
              <w:top w:val="nil"/>
              <w:left w:val="nil"/>
              <w:bottom w:val="nil"/>
              <w:right w:val="nil"/>
            </w:tcBorders>
            <w:shd w:val="clear" w:color="000000" w:fill="FFFFFF"/>
            <w:noWrap/>
            <w:hideMark/>
          </w:tcPr>
          <w:p w14:paraId="332CD127" w14:textId="0B34DFED"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596083A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6A7B09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4A2EE55A"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4218CA2"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161CDBA6"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6C233D0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1EE83711"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r w:rsidR="0018008E" w:rsidRPr="0018008E" w14:paraId="7B7AF764" w14:textId="77777777" w:rsidTr="00DD27F1">
        <w:trPr>
          <w:trHeight w:val="227"/>
        </w:trPr>
        <w:tc>
          <w:tcPr>
            <w:tcW w:w="598" w:type="pct"/>
            <w:tcBorders>
              <w:top w:val="nil"/>
              <w:left w:val="nil"/>
              <w:bottom w:val="nil"/>
              <w:right w:val="nil"/>
            </w:tcBorders>
            <w:shd w:val="clear" w:color="000000" w:fill="FFFFFF"/>
            <w:noWrap/>
            <w:vAlign w:val="bottom"/>
            <w:hideMark/>
          </w:tcPr>
          <w:p w14:paraId="7336D07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25.06.2035</w:t>
            </w:r>
          </w:p>
        </w:tc>
        <w:tc>
          <w:tcPr>
            <w:tcW w:w="1229" w:type="pct"/>
            <w:tcBorders>
              <w:top w:val="nil"/>
              <w:left w:val="nil"/>
              <w:bottom w:val="nil"/>
              <w:right w:val="nil"/>
            </w:tcBorders>
            <w:shd w:val="clear" w:color="000000" w:fill="FFFFFF"/>
            <w:noWrap/>
            <w:hideMark/>
          </w:tcPr>
          <w:p w14:paraId="18E89F21" w14:textId="067F36D5" w:rsidR="0018008E" w:rsidRPr="00DD27F1" w:rsidRDefault="0018008E" w:rsidP="0018008E">
            <w:pPr>
              <w:spacing w:line="240" w:lineRule="auto"/>
              <w:jc w:val="left"/>
              <w:rPr>
                <w:rFonts w:cs="Arial"/>
                <w:color w:val="000000"/>
                <w:sz w:val="16"/>
                <w:szCs w:val="16"/>
                <w:lang w:val="de-DE" w:eastAsia="de-DE"/>
              </w:rPr>
            </w:pPr>
            <w:r w:rsidRPr="00DD27F1">
              <w:rPr>
                <w:rFonts w:cs="Arial"/>
                <w:sz w:val="16"/>
                <w:szCs w:val="16"/>
              </w:rPr>
              <w:t xml:space="preserve"> -   </w:t>
            </w:r>
          </w:p>
        </w:tc>
        <w:tc>
          <w:tcPr>
            <w:tcW w:w="454" w:type="pct"/>
            <w:tcBorders>
              <w:top w:val="nil"/>
              <w:left w:val="nil"/>
              <w:bottom w:val="nil"/>
              <w:right w:val="nil"/>
            </w:tcBorders>
            <w:shd w:val="clear" w:color="000000" w:fill="FFFFFF"/>
            <w:noWrap/>
            <w:vAlign w:val="bottom"/>
            <w:hideMark/>
          </w:tcPr>
          <w:p w14:paraId="2F2D817E"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FCD83B4"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A4294CB"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3752E1B9"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01AA55F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4" w:type="pct"/>
            <w:tcBorders>
              <w:top w:val="nil"/>
              <w:left w:val="nil"/>
              <w:bottom w:val="nil"/>
              <w:right w:val="nil"/>
            </w:tcBorders>
            <w:shd w:val="clear" w:color="000000" w:fill="FFFFFF"/>
            <w:noWrap/>
            <w:vAlign w:val="bottom"/>
            <w:hideMark/>
          </w:tcPr>
          <w:p w14:paraId="7EB0C3D0"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c>
          <w:tcPr>
            <w:tcW w:w="452" w:type="pct"/>
            <w:tcBorders>
              <w:top w:val="nil"/>
              <w:left w:val="nil"/>
              <w:bottom w:val="nil"/>
              <w:right w:val="nil"/>
            </w:tcBorders>
            <w:shd w:val="clear" w:color="000000" w:fill="FFFFFF"/>
            <w:noWrap/>
            <w:vAlign w:val="bottom"/>
            <w:hideMark/>
          </w:tcPr>
          <w:p w14:paraId="5E54EFA8" w14:textId="77777777" w:rsidR="0018008E" w:rsidRPr="00DD27F1" w:rsidRDefault="0018008E" w:rsidP="0018008E">
            <w:pPr>
              <w:spacing w:line="240" w:lineRule="auto"/>
              <w:jc w:val="right"/>
              <w:rPr>
                <w:rFonts w:cs="Arial"/>
                <w:color w:val="000000"/>
                <w:sz w:val="16"/>
                <w:szCs w:val="16"/>
                <w:lang w:val="de-DE" w:eastAsia="de-DE"/>
              </w:rPr>
            </w:pPr>
            <w:r w:rsidRPr="00DD27F1">
              <w:rPr>
                <w:rFonts w:cs="Arial"/>
                <w:color w:val="000000"/>
                <w:sz w:val="16"/>
                <w:szCs w:val="16"/>
                <w:lang w:val="de-DE" w:eastAsia="de-DE"/>
              </w:rPr>
              <w:t>0.00%</w:t>
            </w:r>
          </w:p>
        </w:tc>
      </w:tr>
    </w:tbl>
    <w:p w14:paraId="1204ED01" w14:textId="24D722D6" w:rsidR="009F6E91" w:rsidRPr="00D427D8" w:rsidRDefault="009F6E91" w:rsidP="00EF7333">
      <w:pPr>
        <w:pStyle w:val="Body1"/>
      </w:pPr>
    </w:p>
    <w:p w14:paraId="6204E8F2" w14:textId="77777777" w:rsidR="009F6E91" w:rsidRPr="00D427D8" w:rsidRDefault="009F6E91" w:rsidP="00EF7333">
      <w:pPr>
        <w:pStyle w:val="Body1"/>
      </w:pPr>
      <w:r w:rsidRPr="00D427D8">
        <w:br w:type="page"/>
      </w:r>
    </w:p>
    <w:p w14:paraId="716984D8" w14:textId="77777777" w:rsidR="009F6E91" w:rsidRPr="00D427D8" w:rsidRDefault="009F6E91" w:rsidP="009F27A6">
      <w:pPr>
        <w:pStyle w:val="CentredHeading"/>
      </w:pPr>
      <w:bookmarkStart w:id="83" w:name="_Toc194046503"/>
      <w:bookmarkStart w:id="84" w:name="_Toc198539662"/>
      <w:r w:rsidRPr="00D427D8">
        <w:lastRenderedPageBreak/>
        <w:t>RATING OF THE NOTES</w:t>
      </w:r>
      <w:bookmarkEnd w:id="83"/>
      <w:bookmarkEnd w:id="84"/>
    </w:p>
    <w:p w14:paraId="781A591D" w14:textId="77777777" w:rsidR="009F6E91" w:rsidRPr="00D427D8" w:rsidRDefault="009F6E91" w:rsidP="009F6E91">
      <w:pPr>
        <w:pStyle w:val="Body1"/>
      </w:pPr>
      <w:r w:rsidRPr="00D427D8">
        <w:t>It is expected that:</w:t>
      </w:r>
    </w:p>
    <w:p w14:paraId="6F3A526A" w14:textId="5000242D" w:rsidR="00D70F65" w:rsidRPr="00D427D8" w:rsidRDefault="00D70F65" w:rsidP="00D70F65">
      <w:pPr>
        <w:pStyle w:val="Level3"/>
        <w:numPr>
          <w:ilvl w:val="2"/>
          <w:numId w:val="21"/>
        </w:numPr>
      </w:pPr>
      <w:r w:rsidRPr="00D427D8">
        <w:t>the Class A Notes will, when issued, be assigned a public rating of "[</w:t>
      </w:r>
      <w:r>
        <w:rPr>
          <w:rFonts w:cs="Arial"/>
        </w:rPr>
        <w:t>AAA</w:t>
      </w:r>
      <w:r w:rsidRPr="00D427D8">
        <w:t>](sf)" by DBRS and "</w:t>
      </w:r>
      <w:r>
        <w:rPr>
          <w:rFonts w:cs="Arial"/>
        </w:rPr>
        <w:t>Aaa</w:t>
      </w:r>
      <w:r w:rsidRPr="00D427D8">
        <w:t xml:space="preserve"> (sf)" from Moody's; (see the paragraphs headed "</w:t>
      </w:r>
      <w:r w:rsidRPr="00D427D8">
        <w:rPr>
          <w:i/>
        </w:rPr>
        <w:t>Rating of the Notes</w:t>
      </w:r>
      <w:r w:rsidRPr="00D427D8">
        <w:t>");</w:t>
      </w:r>
    </w:p>
    <w:p w14:paraId="2B788CB8" w14:textId="212796F7" w:rsidR="00D70F65" w:rsidRPr="00D427D8" w:rsidRDefault="00D70F65" w:rsidP="00D70F65">
      <w:pPr>
        <w:pStyle w:val="Level3"/>
      </w:pPr>
      <w:r w:rsidRPr="00D427D8">
        <w:t>the Class B Notes will, when issued, be assigned a public rating of "[</w:t>
      </w:r>
      <w:r>
        <w:rPr>
          <w:rFonts w:cs="Arial"/>
        </w:rPr>
        <w:t>AA</w:t>
      </w:r>
      <w:r w:rsidRPr="00D427D8">
        <w:t>](sf)" by DBRS and "</w:t>
      </w:r>
      <w:r>
        <w:rPr>
          <w:rFonts w:cs="Arial"/>
        </w:rPr>
        <w:t>Aa2</w:t>
      </w:r>
      <w:r w:rsidRPr="00D427D8">
        <w:t xml:space="preserve"> (sf)" from Moody's; (see the paragraphs headed "</w:t>
      </w:r>
      <w:r w:rsidRPr="00D427D8">
        <w:rPr>
          <w:i/>
        </w:rPr>
        <w:t>Rating of the Notes</w:t>
      </w:r>
      <w:r w:rsidRPr="00D427D8">
        <w:t>");</w:t>
      </w:r>
    </w:p>
    <w:p w14:paraId="4ABB2B03" w14:textId="7FB53221" w:rsidR="00D70F65" w:rsidRPr="00D427D8" w:rsidRDefault="00D70F65" w:rsidP="00D70F65">
      <w:pPr>
        <w:pStyle w:val="Level3"/>
      </w:pPr>
      <w:r w:rsidRPr="00D427D8">
        <w:t>the Class C Notes will, when issued, be assigned a public rating of "[</w:t>
      </w:r>
      <w:r>
        <w:rPr>
          <w:rFonts w:cs="Arial"/>
        </w:rPr>
        <w:t>A</w:t>
      </w:r>
      <w:r w:rsidRPr="00D427D8">
        <w:t>](sf)" by DBRS and "</w:t>
      </w:r>
      <w:r>
        <w:rPr>
          <w:rFonts w:cs="Arial"/>
        </w:rPr>
        <w:t>A</w:t>
      </w:r>
      <w:r w:rsidR="00A42D68">
        <w:t>1</w:t>
      </w:r>
      <w:r w:rsidRPr="00D427D8">
        <w:t xml:space="preserve"> (sf)" from Moody's; (see the paragraphs headed "</w:t>
      </w:r>
      <w:r w:rsidRPr="00D427D8">
        <w:rPr>
          <w:i/>
        </w:rPr>
        <w:t>Rating of the Notes</w:t>
      </w:r>
      <w:r w:rsidRPr="00D427D8">
        <w:t>");</w:t>
      </w:r>
    </w:p>
    <w:p w14:paraId="096DE676" w14:textId="51D78B5E" w:rsidR="00D70F65" w:rsidRPr="00D427D8" w:rsidRDefault="00D70F65" w:rsidP="00D70F65">
      <w:pPr>
        <w:pStyle w:val="Level3"/>
      </w:pPr>
      <w:r w:rsidRPr="00D427D8">
        <w:t>the Class D Notes will, when issued, be assigned a public rating of "[</w:t>
      </w:r>
      <w:r>
        <w:rPr>
          <w:rFonts w:cs="Arial"/>
        </w:rPr>
        <w:t>BBB(high)</w:t>
      </w:r>
      <w:r w:rsidRPr="00D427D8">
        <w:t>](sf)" by DBRS and "</w:t>
      </w:r>
      <w:r>
        <w:rPr>
          <w:rFonts w:cs="Arial"/>
        </w:rPr>
        <w:t>Baa</w:t>
      </w:r>
      <w:r w:rsidR="00A42D68">
        <w:t>1</w:t>
      </w:r>
      <w:r w:rsidRPr="00D427D8">
        <w:t xml:space="preserve"> (sf)" from Moody's; (see the paragraphs headed "</w:t>
      </w:r>
      <w:r w:rsidRPr="00D427D8">
        <w:rPr>
          <w:i/>
        </w:rPr>
        <w:t>Rating of the Notes</w:t>
      </w:r>
      <w:r w:rsidRPr="00D427D8">
        <w:t>");</w:t>
      </w:r>
    </w:p>
    <w:p w14:paraId="582F0493" w14:textId="0FBA8A45" w:rsidR="00D70F65" w:rsidRPr="00D427D8" w:rsidRDefault="00D70F65" w:rsidP="00D70F65">
      <w:pPr>
        <w:pStyle w:val="Level3"/>
      </w:pPr>
      <w:r w:rsidRPr="00D427D8">
        <w:t>the Class E Notes will, when issued, be assigned a public rating of "[</w:t>
      </w:r>
      <w:r>
        <w:t>BB(high)</w:t>
      </w:r>
      <w:r w:rsidRPr="00D427D8">
        <w:t>](sf)" by DBRS and "</w:t>
      </w:r>
      <w:r w:rsidR="00C7143B" w:rsidRPr="00D427D8">
        <w:rPr>
          <w:szCs w:val="16"/>
        </w:rPr>
        <w:t>Ba1</w:t>
      </w:r>
      <w:r w:rsidRPr="00D427D8">
        <w:t xml:space="preserve"> (sf)" from Moody's; (see the paragraphs headed "</w:t>
      </w:r>
      <w:r w:rsidRPr="00D427D8">
        <w:rPr>
          <w:i/>
        </w:rPr>
        <w:t>Rating of the Notes</w:t>
      </w:r>
      <w:r w:rsidRPr="00D427D8">
        <w:t>");</w:t>
      </w:r>
    </w:p>
    <w:p w14:paraId="1ECF4EBA" w14:textId="673D4C2E" w:rsidR="00D70F65" w:rsidRPr="00D427D8" w:rsidRDefault="00D70F65" w:rsidP="00D70F65">
      <w:pPr>
        <w:pStyle w:val="Level3"/>
      </w:pPr>
      <w:r w:rsidRPr="00D427D8">
        <w:t>the Class F Notes will, when issued, be assigned a public rating of "[</w:t>
      </w:r>
      <w:r>
        <w:rPr>
          <w:rFonts w:cs="Arial"/>
        </w:rPr>
        <w:t>B(high)</w:t>
      </w:r>
      <w:r w:rsidRPr="00D427D8">
        <w:t>](sf)" by DBRS and "</w:t>
      </w:r>
      <w:r w:rsidR="00C7143B">
        <w:rPr>
          <w:rFonts w:cs="Arial"/>
        </w:rPr>
        <w:t>Ba</w:t>
      </w:r>
      <w:r w:rsidRPr="00D427D8">
        <w:t>] (sf)" from Moody's; (see the paragraphs headed "</w:t>
      </w:r>
      <w:r w:rsidRPr="00D427D8">
        <w:rPr>
          <w:i/>
        </w:rPr>
        <w:t>Rating of the Notes</w:t>
      </w:r>
      <w:r w:rsidRPr="00D427D8">
        <w:t>");</w:t>
      </w:r>
    </w:p>
    <w:p w14:paraId="1EA18DDB" w14:textId="67EC0BC9" w:rsidR="009F6E91" w:rsidRPr="00D427D8" w:rsidRDefault="009F6E91" w:rsidP="009F6E91">
      <w:pPr>
        <w:pStyle w:val="Body1"/>
      </w:pPr>
      <w:r w:rsidRPr="00D427D8">
        <w:t xml:space="preserve">The rating of </w:t>
      </w:r>
      <w:r w:rsidR="00EF7333" w:rsidRPr="00D427D8">
        <w:t>"</w:t>
      </w:r>
      <w:r w:rsidRPr="00D427D8">
        <w:t>[</w:t>
      </w:r>
      <w:r w:rsidR="00D70F65">
        <w:t>AAA</w:t>
      </w:r>
      <w:r w:rsidRPr="00D427D8">
        <w:t>] (sf)</w:t>
      </w:r>
      <w:r w:rsidR="00EF7333" w:rsidRPr="00D427D8">
        <w:t>"</w:t>
      </w:r>
      <w:r w:rsidRPr="00D427D8">
        <w:t xml:space="preserve"> is the </w:t>
      </w:r>
      <w:r w:rsidR="00624B20">
        <w:t xml:space="preserve">highest </w:t>
      </w:r>
      <w:r w:rsidRPr="00D427D8">
        <w:t xml:space="preserve">rating DBRS and </w:t>
      </w:r>
      <w:r w:rsidR="00EF7333" w:rsidRPr="00D427D8">
        <w:t>"</w:t>
      </w:r>
      <w:r w:rsidR="00D70F65">
        <w:t>Aaa</w:t>
      </w:r>
      <w:r w:rsidRPr="00D427D8">
        <w:t xml:space="preserve"> (sf)</w:t>
      </w:r>
      <w:r w:rsidR="00EF7333" w:rsidRPr="00D427D8">
        <w:t>"</w:t>
      </w:r>
      <w:r w:rsidRPr="00D427D8">
        <w:t xml:space="preserve"> is the </w:t>
      </w:r>
      <w:r w:rsidR="00624B20">
        <w:t xml:space="preserve">highest </w:t>
      </w:r>
      <w:r w:rsidRPr="00D427D8">
        <w:t>rating Moody</w:t>
      </w:r>
      <w:r w:rsidR="00EF7333" w:rsidRPr="00D427D8">
        <w:t>'</w:t>
      </w:r>
      <w:r w:rsidRPr="00D427D8">
        <w:t xml:space="preserve">s assigns to long term debts. The suffix </w:t>
      </w:r>
      <w:r w:rsidR="00EF7333" w:rsidRPr="00D427D8">
        <w:t>"</w:t>
      </w:r>
      <w:r w:rsidRPr="00D427D8">
        <w:t>sf</w:t>
      </w:r>
      <w:r w:rsidR="00EF7333" w:rsidRPr="00D427D8">
        <w:t>"</w:t>
      </w:r>
      <w:r w:rsidRPr="00D427D8">
        <w:t xml:space="preserve"> denotes an issue that is a structured finance transaction.</w:t>
      </w:r>
    </w:p>
    <w:p w14:paraId="36CBD291" w14:textId="7099B037" w:rsidR="009F6E91" w:rsidRPr="00D427D8" w:rsidRDefault="009F6E91" w:rsidP="009F6E91">
      <w:pPr>
        <w:pStyle w:val="Body1"/>
      </w:pPr>
      <w:r w:rsidRPr="00D427D8">
        <w:t xml:space="preserve">The rating of </w:t>
      </w:r>
      <w:r w:rsidR="00EF7333" w:rsidRPr="00D427D8">
        <w:t>"</w:t>
      </w:r>
      <w:r w:rsidRPr="00D427D8">
        <w:t>[</w:t>
      </w:r>
      <w:r w:rsidR="00D70F65">
        <w:t>AA</w:t>
      </w:r>
      <w:r w:rsidRPr="00D427D8">
        <w:t>] (sf)</w:t>
      </w:r>
      <w:r w:rsidR="00EF7333" w:rsidRPr="00D427D8">
        <w:t>"</w:t>
      </w:r>
      <w:r w:rsidRPr="00D427D8">
        <w:t xml:space="preserve"> is the </w:t>
      </w:r>
      <w:r w:rsidR="00624B20">
        <w:t xml:space="preserve">third highest </w:t>
      </w:r>
      <w:r w:rsidRPr="00D427D8">
        <w:t xml:space="preserve">rating DBRS and </w:t>
      </w:r>
      <w:r w:rsidR="00EF7333" w:rsidRPr="00D427D8">
        <w:t>"</w:t>
      </w:r>
      <w:r w:rsidR="00D70F65">
        <w:t>Aa2</w:t>
      </w:r>
      <w:r w:rsidRPr="00D427D8">
        <w:t xml:space="preserve"> (sf)</w:t>
      </w:r>
      <w:r w:rsidR="00EF7333" w:rsidRPr="00D427D8">
        <w:t>"</w:t>
      </w:r>
      <w:r w:rsidRPr="00D427D8">
        <w:t xml:space="preserve"> is the </w:t>
      </w:r>
      <w:r w:rsidR="00624B20">
        <w:t xml:space="preserve">third highest </w:t>
      </w:r>
      <w:r w:rsidRPr="00D427D8">
        <w:t>rating Moody</w:t>
      </w:r>
      <w:r w:rsidR="00EF7333" w:rsidRPr="00D427D8">
        <w:t>'</w:t>
      </w:r>
      <w:r w:rsidRPr="00D427D8">
        <w:t xml:space="preserve">s assigns to long term debts. The suffix </w:t>
      </w:r>
      <w:r w:rsidR="00EF7333" w:rsidRPr="00D427D8">
        <w:t>"</w:t>
      </w:r>
      <w:r w:rsidRPr="00D427D8">
        <w:t>sf</w:t>
      </w:r>
      <w:r w:rsidR="00EF7333" w:rsidRPr="00D427D8">
        <w:t>"</w:t>
      </w:r>
      <w:r w:rsidRPr="00D427D8">
        <w:t xml:space="preserve"> denotes an issue that is a structured finance transaction.</w:t>
      </w:r>
    </w:p>
    <w:p w14:paraId="4459CD82" w14:textId="20BFA892" w:rsidR="009F6E91" w:rsidRPr="00D427D8" w:rsidRDefault="009F6E91" w:rsidP="009F6E91">
      <w:pPr>
        <w:pStyle w:val="Body1"/>
      </w:pPr>
      <w:r w:rsidRPr="00D427D8">
        <w:t xml:space="preserve">The rating of </w:t>
      </w:r>
      <w:r w:rsidR="00EF7333" w:rsidRPr="00D427D8">
        <w:t>"</w:t>
      </w:r>
      <w:r w:rsidRPr="00D427D8">
        <w:t>[</w:t>
      </w:r>
      <w:r w:rsidR="00D70F65">
        <w:t>A</w:t>
      </w:r>
      <w:r w:rsidRPr="00D427D8">
        <w:t>] (sf)</w:t>
      </w:r>
      <w:r w:rsidR="00EF7333" w:rsidRPr="00D427D8">
        <w:t>"</w:t>
      </w:r>
      <w:r w:rsidRPr="00D427D8">
        <w:t xml:space="preserve"> is the </w:t>
      </w:r>
      <w:r w:rsidR="00624B20">
        <w:t>sixth highest</w:t>
      </w:r>
      <w:r w:rsidR="00624B20" w:rsidRPr="00D427D8">
        <w:t xml:space="preserve"> </w:t>
      </w:r>
      <w:r w:rsidRPr="00D427D8">
        <w:t xml:space="preserve">rating DBRS and </w:t>
      </w:r>
      <w:r w:rsidR="00EF7333" w:rsidRPr="00D427D8">
        <w:t>"</w:t>
      </w:r>
      <w:r w:rsidR="00D70F65">
        <w:t>A</w:t>
      </w:r>
      <w:r w:rsidR="00A42D68">
        <w:t>1</w:t>
      </w:r>
      <w:r w:rsidRPr="00D427D8">
        <w:t xml:space="preserve"> (sf)</w:t>
      </w:r>
      <w:r w:rsidR="00EF7333" w:rsidRPr="00D427D8">
        <w:t>"</w:t>
      </w:r>
      <w:r w:rsidRPr="00D427D8">
        <w:t xml:space="preserve"> is </w:t>
      </w:r>
      <w:r w:rsidR="00624B20" w:rsidRPr="00D427D8">
        <w:t xml:space="preserve">the </w:t>
      </w:r>
      <w:r w:rsidR="00A42D68">
        <w:t>fifth</w:t>
      </w:r>
      <w:r w:rsidR="00624B20">
        <w:t xml:space="preserve"> highest</w:t>
      </w:r>
      <w:r w:rsidR="00624B20" w:rsidRPr="00D427D8">
        <w:t xml:space="preserve"> </w:t>
      </w:r>
      <w:r w:rsidRPr="00D427D8">
        <w:t>rating Moody</w:t>
      </w:r>
      <w:r w:rsidR="00EF7333" w:rsidRPr="00D427D8">
        <w:t>'</w:t>
      </w:r>
      <w:r w:rsidRPr="00D427D8">
        <w:t xml:space="preserve">s assigns to long term debts. The suffix </w:t>
      </w:r>
      <w:r w:rsidR="00EF7333" w:rsidRPr="00D427D8">
        <w:t>"</w:t>
      </w:r>
      <w:r w:rsidRPr="00D427D8">
        <w:t>sf</w:t>
      </w:r>
      <w:r w:rsidR="00EF7333" w:rsidRPr="00D427D8">
        <w:t>"</w:t>
      </w:r>
      <w:r w:rsidRPr="00D427D8">
        <w:t xml:space="preserve"> denotes an issue that is a structured finance transaction.</w:t>
      </w:r>
    </w:p>
    <w:p w14:paraId="442DBCFB" w14:textId="2F78D7D2" w:rsidR="009F6E91" w:rsidRPr="00D427D8" w:rsidRDefault="009F6E91" w:rsidP="009F6E91">
      <w:pPr>
        <w:pStyle w:val="Body1"/>
      </w:pPr>
      <w:r w:rsidRPr="00D427D8">
        <w:t xml:space="preserve">The rating of </w:t>
      </w:r>
      <w:r w:rsidR="00EF7333" w:rsidRPr="00D427D8">
        <w:t>"</w:t>
      </w:r>
      <w:r w:rsidRPr="00D427D8">
        <w:t>[</w:t>
      </w:r>
      <w:r w:rsidR="00D70F65">
        <w:t>BBB(high)</w:t>
      </w:r>
      <w:r w:rsidRPr="00D427D8">
        <w:t>] (sf)</w:t>
      </w:r>
      <w:r w:rsidR="00EF7333" w:rsidRPr="00D427D8">
        <w:t>"</w:t>
      </w:r>
      <w:r w:rsidRPr="00D427D8">
        <w:t xml:space="preserve"> is the </w:t>
      </w:r>
      <w:r w:rsidR="00624B20">
        <w:t>seventh highest</w:t>
      </w:r>
      <w:r w:rsidR="00624B20" w:rsidRPr="00D427D8">
        <w:t xml:space="preserve"> </w:t>
      </w:r>
      <w:r w:rsidRPr="00D427D8">
        <w:t xml:space="preserve">rating DBRS and </w:t>
      </w:r>
      <w:r w:rsidR="00EF7333" w:rsidRPr="00D427D8">
        <w:t>"</w:t>
      </w:r>
      <w:r w:rsidR="00D70F65">
        <w:t>Baa</w:t>
      </w:r>
      <w:r w:rsidR="00A42D68">
        <w:t xml:space="preserve">1 </w:t>
      </w:r>
      <w:r w:rsidRPr="00D427D8">
        <w:t>(sf)</w:t>
      </w:r>
      <w:r w:rsidR="00EF7333" w:rsidRPr="00D427D8">
        <w:t>"</w:t>
      </w:r>
      <w:r w:rsidRPr="00D427D8">
        <w:t xml:space="preserve"> is the </w:t>
      </w:r>
      <w:r w:rsidR="00A42D68">
        <w:t>eighth</w:t>
      </w:r>
      <w:r w:rsidR="00624B20">
        <w:t xml:space="preserve"> highest</w:t>
      </w:r>
      <w:r w:rsidR="00624B20" w:rsidRPr="00D427D8">
        <w:t xml:space="preserve"> </w:t>
      </w:r>
      <w:r w:rsidRPr="00D427D8">
        <w:t>rating Moody</w:t>
      </w:r>
      <w:r w:rsidR="00EF7333" w:rsidRPr="00D427D8">
        <w:t>'</w:t>
      </w:r>
      <w:r w:rsidRPr="00D427D8">
        <w:t xml:space="preserve">s assigns to long term debts. The suffix </w:t>
      </w:r>
      <w:r w:rsidR="00EF7333" w:rsidRPr="00D427D8">
        <w:t>"</w:t>
      </w:r>
      <w:r w:rsidRPr="00D427D8">
        <w:t>sf</w:t>
      </w:r>
      <w:r w:rsidR="00EF7333" w:rsidRPr="00D427D8">
        <w:t>"</w:t>
      </w:r>
      <w:r w:rsidRPr="00D427D8">
        <w:t xml:space="preserve"> denotes an issue that is a structured finance transaction.</w:t>
      </w:r>
    </w:p>
    <w:p w14:paraId="29B7D156" w14:textId="54C026CE" w:rsidR="009F6E91" w:rsidRPr="00D427D8" w:rsidRDefault="009F6E91" w:rsidP="009F6E91">
      <w:pPr>
        <w:pStyle w:val="Body1"/>
      </w:pPr>
      <w:r w:rsidRPr="00D427D8">
        <w:t xml:space="preserve">The rating of </w:t>
      </w:r>
      <w:r w:rsidR="00EF7333" w:rsidRPr="00D427D8">
        <w:t>"</w:t>
      </w:r>
      <w:r w:rsidR="00D70F65" w:rsidRPr="00D427D8">
        <w:t>[</w:t>
      </w:r>
      <w:r w:rsidR="00D70F65">
        <w:t>BB(high)</w:t>
      </w:r>
      <w:r w:rsidR="00D70F65" w:rsidRPr="00D427D8">
        <w:t xml:space="preserve">] </w:t>
      </w:r>
      <w:r w:rsidRPr="00D427D8">
        <w:t>(sf)</w:t>
      </w:r>
      <w:r w:rsidR="00EF7333" w:rsidRPr="00D427D8">
        <w:t>"</w:t>
      </w:r>
      <w:r w:rsidRPr="00D427D8">
        <w:t xml:space="preserve"> is the </w:t>
      </w:r>
      <w:r w:rsidR="00624B20">
        <w:t xml:space="preserve">tenth highest </w:t>
      </w:r>
      <w:r w:rsidRPr="00D427D8">
        <w:t xml:space="preserve">rating DBRS and </w:t>
      </w:r>
      <w:r w:rsidR="00EF7333" w:rsidRPr="00D427D8">
        <w:t>"</w:t>
      </w:r>
      <w:r w:rsidR="00C7143B" w:rsidRPr="00D427D8">
        <w:rPr>
          <w:szCs w:val="16"/>
        </w:rPr>
        <w:t>Ba1</w:t>
      </w:r>
      <w:r w:rsidRPr="00D427D8">
        <w:t xml:space="preserve"> (sf)</w:t>
      </w:r>
      <w:r w:rsidR="00EF7333" w:rsidRPr="00D427D8">
        <w:t>"</w:t>
      </w:r>
      <w:r w:rsidRPr="00D427D8">
        <w:t xml:space="preserve"> is the </w:t>
      </w:r>
      <w:r w:rsidR="00624B20">
        <w:t>eleventh highest</w:t>
      </w:r>
      <w:r w:rsidR="00624B20" w:rsidRPr="00D427D8">
        <w:t xml:space="preserve"> </w:t>
      </w:r>
      <w:r w:rsidRPr="00D427D8">
        <w:t>rating Moody</w:t>
      </w:r>
      <w:r w:rsidR="00EF7333" w:rsidRPr="00D427D8">
        <w:t>'</w:t>
      </w:r>
      <w:r w:rsidRPr="00D427D8">
        <w:t xml:space="preserve">s assigns to long term debts. The suffix </w:t>
      </w:r>
      <w:r w:rsidR="00EF7333" w:rsidRPr="00D427D8">
        <w:t>"</w:t>
      </w:r>
      <w:r w:rsidRPr="00D427D8">
        <w:t>sf</w:t>
      </w:r>
      <w:r w:rsidR="00EF7333" w:rsidRPr="00D427D8">
        <w:t>"</w:t>
      </w:r>
      <w:r w:rsidRPr="00D427D8">
        <w:t xml:space="preserve"> denotes an issue that is a structured finance transaction.</w:t>
      </w:r>
    </w:p>
    <w:p w14:paraId="0BE69627" w14:textId="3A6C53B1" w:rsidR="009F6E91" w:rsidRPr="00D427D8" w:rsidRDefault="009F6E91" w:rsidP="009F6E91">
      <w:pPr>
        <w:pStyle w:val="Body1"/>
      </w:pPr>
      <w:r w:rsidRPr="00D427D8">
        <w:t xml:space="preserve">The rating of </w:t>
      </w:r>
      <w:r w:rsidR="00EF7333" w:rsidRPr="00D427D8">
        <w:t>"</w:t>
      </w:r>
      <w:r w:rsidR="00D70F65" w:rsidRPr="00D427D8">
        <w:t>[</w:t>
      </w:r>
      <w:r w:rsidR="00D70F65">
        <w:t>B(high)</w:t>
      </w:r>
      <w:r w:rsidR="00D70F65" w:rsidRPr="00D427D8">
        <w:t xml:space="preserve">] </w:t>
      </w:r>
      <w:r w:rsidRPr="00D427D8">
        <w:t>(sf)</w:t>
      </w:r>
      <w:r w:rsidR="00EF7333" w:rsidRPr="00D427D8">
        <w:t>"</w:t>
      </w:r>
      <w:r w:rsidRPr="00D427D8">
        <w:t xml:space="preserve"> is the </w:t>
      </w:r>
      <w:r w:rsidR="00624B20">
        <w:t>fourteenth highest</w:t>
      </w:r>
      <w:r w:rsidR="00624B20" w:rsidRPr="00D427D8">
        <w:t xml:space="preserve"> </w:t>
      </w:r>
      <w:r w:rsidRPr="00D427D8">
        <w:t xml:space="preserve">rating DBRS and </w:t>
      </w:r>
      <w:r w:rsidR="00EF7333" w:rsidRPr="00D427D8">
        <w:t>"</w:t>
      </w:r>
      <w:r w:rsidR="00C7143B">
        <w:t>Ba2</w:t>
      </w:r>
      <w:r w:rsidRPr="00D427D8">
        <w:t xml:space="preserve"> (sf)</w:t>
      </w:r>
      <w:r w:rsidR="00EF7333" w:rsidRPr="00D427D8">
        <w:t>"</w:t>
      </w:r>
      <w:r w:rsidRPr="00D427D8">
        <w:t xml:space="preserve"> is the </w:t>
      </w:r>
      <w:r w:rsidR="00624B20">
        <w:t xml:space="preserve">twelfth highest </w:t>
      </w:r>
      <w:r w:rsidRPr="00D427D8">
        <w:t>rating Moody</w:t>
      </w:r>
      <w:r w:rsidR="00EF7333" w:rsidRPr="00D427D8">
        <w:t>'</w:t>
      </w:r>
      <w:r w:rsidRPr="00D427D8">
        <w:t xml:space="preserve">s assigns to long term debts. The suffix </w:t>
      </w:r>
      <w:r w:rsidR="00EF7333" w:rsidRPr="00D427D8">
        <w:t>"</w:t>
      </w:r>
      <w:r w:rsidRPr="00D427D8">
        <w:t>sf</w:t>
      </w:r>
      <w:r w:rsidR="00EF7333" w:rsidRPr="00D427D8">
        <w:t>"</w:t>
      </w:r>
      <w:r w:rsidRPr="00D427D8">
        <w:t xml:space="preserve"> denotes an issue that is a structured finance transaction.</w:t>
      </w:r>
    </w:p>
    <w:p w14:paraId="281B1BB4" w14:textId="495CF6A9" w:rsidR="009F6E91" w:rsidRPr="00D427D8" w:rsidRDefault="009F6E91" w:rsidP="009F6E91">
      <w:pPr>
        <w:pStyle w:val="Body1"/>
      </w:pPr>
      <w:r w:rsidRPr="00D427D8">
        <w:t>In accordance with the UK CRA Regulation, the credit ratings assigned to the Notes by Moody</w:t>
      </w:r>
      <w:r w:rsidR="00EF7333" w:rsidRPr="00D427D8">
        <w:t>'</w:t>
      </w:r>
      <w:r w:rsidRPr="00D427D8">
        <w:t xml:space="preserve">s and DBRS will be endorsed by </w:t>
      </w:r>
      <w:r w:rsidRPr="00D427D8">
        <w:rPr>
          <w:bCs/>
          <w:color w:val="000000" w:themeColor="text1"/>
        </w:rPr>
        <w:t>Moody</w:t>
      </w:r>
      <w:r w:rsidR="00EF7333" w:rsidRPr="00D427D8">
        <w:rPr>
          <w:bCs/>
          <w:color w:val="000000" w:themeColor="text1"/>
        </w:rPr>
        <w:t>'</w:t>
      </w:r>
      <w:r w:rsidRPr="00D427D8">
        <w:rPr>
          <w:bCs/>
          <w:color w:val="000000" w:themeColor="text1"/>
        </w:rPr>
        <w:t>s Investor Services Limited</w:t>
      </w:r>
      <w:r w:rsidRPr="00D427D8">
        <w:t xml:space="preserve"> and DBRS Ratings Limited, as applicable, being rating agencies which are registered with the Financial Conduct Authority.</w:t>
      </w:r>
    </w:p>
    <w:p w14:paraId="33029172" w14:textId="684E8DB1" w:rsidR="009F6E91" w:rsidRPr="00D427D8" w:rsidRDefault="009F6E91" w:rsidP="009F6E91">
      <w:pPr>
        <w:pStyle w:val="Body1"/>
      </w:pPr>
      <w:r w:rsidRPr="00D427D8">
        <w:t>It is a condition of the issue of the Notes that the Notes receive the ratings indicated above. The ratings assigned by the Rating Agencies to the Notes address (a) full and timely payment to the Noteholders of the most senior class of Notes of any interest due on each Distribution Date and (b) full payment of principal by the Final Legal Maturity Date. The ratings assigned by the Rating Agencies to the Class A Notes, the Class B Notes, the Class C Notes, the Class D Notes, the Class E Notes and the Class F Notes address the receipt by any Class A Noteholder, Class B Noteholder, Class C Noteholder, Class D Noteholder, Class E Noteholder and Class F Noteholder of principal by the Final Legal Maturity Date. The Rating Agencies</w:t>
      </w:r>
      <w:r w:rsidR="00EF7333" w:rsidRPr="00D427D8">
        <w:t>'</w:t>
      </w:r>
      <w:r w:rsidRPr="00D427D8">
        <w:t xml:space="preserve"> ratings take into consideration the characteristics of the Receivables and the current structural, legal, tax and Issuer-related aspects associated with the relevant Classes of Rated Notes. The ratings do not address the possibility that the Noteholders might suffer a lower than expected yield due to prepayments.</w:t>
      </w:r>
    </w:p>
    <w:p w14:paraId="0492A014" w14:textId="77777777" w:rsidR="009F6E91" w:rsidRPr="00D427D8" w:rsidRDefault="009F6E91" w:rsidP="009F6E91">
      <w:pPr>
        <w:pStyle w:val="Body1"/>
      </w:pPr>
      <w:r w:rsidRPr="00D427D8">
        <w:t>A security rating is not a recommendation to buy, sell or hold securities and may be subject to revision, suspension or withdrawal by the Rating Agencies at any time. If the ratings initially assigned to the relevant Classes of Rated Notes by the Rating Agencies are subsequently withdrawn or lowered for any reason, no person or entity is obliged to provide any additional support or credit enhancement with respect to any Class of Rated Notes.</w:t>
      </w:r>
    </w:p>
    <w:p w14:paraId="0813D4B1" w14:textId="77777777" w:rsidR="009F6E91" w:rsidRPr="00D427D8" w:rsidRDefault="009F6E91" w:rsidP="009F6E91">
      <w:pPr>
        <w:pStyle w:val="Body1"/>
      </w:pPr>
      <w:r w:rsidRPr="00D427D8">
        <w:lastRenderedPageBreak/>
        <w:t>The Issuer has not requested a rating of the Rated Notes by any rating agencies other than the rating by the Rating Agencies of the relevant Classes of Rated Notes. There can be no assurance, however, as to whether any other rating agency will rate the relevant Classes of Rated Notes or, if it does, what rating would be assigned by such other rating agency. The rating assigned to the relevant Classes of Rated Notes by such other rating agency could be lower than the ratings assigned by the Rating Agencies.</w:t>
      </w:r>
    </w:p>
    <w:p w14:paraId="7BD35154" w14:textId="77777777" w:rsidR="009F6E91" w:rsidRPr="00D427D8" w:rsidRDefault="009F6E91" w:rsidP="00EF7333">
      <w:pPr>
        <w:pStyle w:val="Body1"/>
      </w:pPr>
      <w:r w:rsidRPr="00D427D8">
        <w:br w:type="page"/>
      </w:r>
    </w:p>
    <w:p w14:paraId="74E40B35" w14:textId="77777777" w:rsidR="009F6E91" w:rsidRPr="00D427D8" w:rsidRDefault="009F6E91" w:rsidP="009F27A6">
      <w:pPr>
        <w:pStyle w:val="CentredHeading"/>
      </w:pPr>
      <w:bookmarkStart w:id="85" w:name="_Toc194046504"/>
      <w:bookmarkStart w:id="86" w:name="_Toc198539663"/>
      <w:r w:rsidRPr="00D427D8">
        <w:lastRenderedPageBreak/>
        <w:t>VERIFICATION BY PCS</w:t>
      </w:r>
      <w:bookmarkEnd w:id="85"/>
      <w:bookmarkEnd w:id="86"/>
    </w:p>
    <w:p w14:paraId="6B8EEEA8" w14:textId="488D459A" w:rsidR="009F6E91" w:rsidRPr="00D427D8" w:rsidRDefault="009F6E91" w:rsidP="009F6E91">
      <w:pPr>
        <w:pStyle w:val="Body1"/>
      </w:pPr>
      <w:r w:rsidRPr="00D427D8">
        <w:t xml:space="preserve">This Transaction has been verified by </w:t>
      </w:r>
      <w:bookmarkStart w:id="87" w:name="_Hlk145925782"/>
      <w:r w:rsidRPr="00D427D8">
        <w:t xml:space="preserve">Prime Collateralised Securities (PCS) EU SAS </w:t>
      </w:r>
      <w:bookmarkEnd w:id="87"/>
      <w:r w:rsidRPr="00D427D8">
        <w:t>(</w:t>
      </w:r>
      <w:r w:rsidR="00EF7333" w:rsidRPr="00D427D8">
        <w:t>"</w:t>
      </w:r>
      <w:r w:rsidRPr="00D427D8">
        <w:rPr>
          <w:rStyle w:val="BoldText"/>
        </w:rPr>
        <w:t>PCS</w:t>
      </w:r>
      <w:r w:rsidR="00EF7333" w:rsidRPr="00D427D8">
        <w:t>"</w:t>
      </w:r>
      <w:r w:rsidRPr="00D427D8">
        <w:t xml:space="preserve">) to assess compliance of the Notes with the criteria set forth in the CRR regarding STS securitisations and the criteria set forth in the LCR Delegated Regulation regarding STS-securitisations that are Level 2B securitisations. There can be no assurance that the Notes will receive the CRR Assessment and/or the LCR Assessment (either before issuance or at any time thereafter) and that CRR is complied with. In addition, an application has been made to for the Securitisation to receive a report from PCS verifying compliance with the criteria stemming from Articles 18, 19, 20, 21 and 22 of the EU Securitisation Regulation (the </w:t>
      </w:r>
      <w:r w:rsidR="00EF7333" w:rsidRPr="00D427D8">
        <w:t>"</w:t>
      </w:r>
      <w:r w:rsidRPr="00D427D8">
        <w:rPr>
          <w:rStyle w:val="BoldText"/>
        </w:rPr>
        <w:t>STS Verification</w:t>
      </w:r>
      <w:r w:rsidR="00EF7333" w:rsidRPr="00D427D8">
        <w:t>"</w:t>
      </w:r>
      <w:r w:rsidRPr="00D427D8">
        <w:t>). There can be no assurance that the STS Verification shall not, under any circumstances, affect the liability of Stellantis Bank (as the originator for the purposes of the EU Securitisation Regulation) and the Issuer (as the SSPE for the purposes of the EU Securitisation Regulation) in respect of their legal obligations under the EU Securitisation Regulation, nor shall it affect the obligations imposed on institutional investors as set out in Article 5 of the EU Securitisation Regulation.</w:t>
      </w:r>
    </w:p>
    <w:p w14:paraId="65668D5A" w14:textId="26DA7F68" w:rsidR="009F6E91" w:rsidRPr="00D427D8" w:rsidRDefault="009F6E91" w:rsidP="009F6E91">
      <w:pPr>
        <w:pStyle w:val="Body1"/>
      </w:pPr>
      <w:r w:rsidRPr="00D427D8">
        <w:t xml:space="preserve">The STS Verification is provided by PCS. The STS Verification is not a recommendation to buy, sell or hold securities, is not investment advice whether generally or as defined under Markets in Financial Instruments Directive (2004/39/EC) and is not a credit rating whether generally or as defined under the Credit Rating Agency Regulation (1060/2009/EC) or Section 3(a) of the United States Securities Exchange Act of 1934 (as amended). PCS is not an </w:t>
      </w:r>
      <w:r w:rsidR="00EF7333" w:rsidRPr="00D427D8">
        <w:t>"</w:t>
      </w:r>
      <w:r w:rsidRPr="00D427D8">
        <w:t>expert</w:t>
      </w:r>
      <w:r w:rsidR="00EF7333" w:rsidRPr="00D427D8">
        <w:t>"</w:t>
      </w:r>
      <w:r w:rsidRPr="00D427D8">
        <w:t xml:space="preserve"> as defined in the Securities Act.</w:t>
      </w:r>
    </w:p>
    <w:p w14:paraId="2A49AC4F" w14:textId="77777777" w:rsidR="009F6E91" w:rsidRPr="00D427D8" w:rsidRDefault="009F6E91" w:rsidP="009F6E91">
      <w:pPr>
        <w:pStyle w:val="Body1"/>
      </w:pPr>
      <w:r w:rsidRPr="00D427D8">
        <w:t xml:space="preserve">PCS is not a law firm and nothing in the STS Verification constitutes legal advice in any jurisdiction. PCS is authorised by the French </w:t>
      </w:r>
      <w:r w:rsidRPr="00D427D8">
        <w:rPr>
          <w:i/>
          <w:iCs/>
        </w:rPr>
        <w:t>Autorité des Marchés Financiers</w:t>
      </w:r>
      <w:r w:rsidRPr="00D427D8">
        <w:t>, pursuant to Article 28 of the EU Securitisation Regulation, to act as a third party verifying STS compliance. This authorisation covers STS Verifications in the European Union.</w:t>
      </w:r>
    </w:p>
    <w:p w14:paraId="67641AC7" w14:textId="77777777" w:rsidR="009F6E91" w:rsidRPr="00D427D8" w:rsidRDefault="009F6E91" w:rsidP="009F6E91">
      <w:pPr>
        <w:pStyle w:val="Body1"/>
      </w:pPr>
      <w:r w:rsidRPr="00D427D8">
        <w:t>By providing the STS Verification in respect of any securities PCS does not express any views about the creditworthiness of the Notes or their suitability for any existing or potential investor or as to whether there will be a ready, liquid market for the Notes. Investors should conduct their own research regarding the nature of the STS Verification and must read the information set out in http://pcsmarket.org. In the provision of the STS Verification, PCS has based its decision on information provided directly and indirectly by the Seller. PCS does not undertake its own direct verification of the underlying facts stated in the prospectus, deal sheet, documentation or certificates for the Notes and the completion of the STS Verification is not a confirmation or implication that the information provided by or on behalf of the Seller as part of the STS Verification is accurate or complete.</w:t>
      </w:r>
    </w:p>
    <w:p w14:paraId="06643A75" w14:textId="4F396C61" w:rsidR="009F6E91" w:rsidRPr="00D427D8" w:rsidRDefault="009F6E91" w:rsidP="009F6E91">
      <w:pPr>
        <w:pStyle w:val="Body1"/>
      </w:pPr>
      <w:r w:rsidRPr="00D427D8">
        <w:t xml:space="preserve">In completing an STS Verification, PCS bases its analysis on the STS criteria appearing in Articles 19 to 22 of the EU Securitisation Regulation together with, if relevant, the appropriate provisions of Article 43, (together, the </w:t>
      </w:r>
      <w:r w:rsidR="00EF7333" w:rsidRPr="00D427D8">
        <w:t>"</w:t>
      </w:r>
      <w:r w:rsidRPr="00D427D8">
        <w:rPr>
          <w:rStyle w:val="BoldText"/>
        </w:rPr>
        <w:t>STS Criteria</w:t>
      </w:r>
      <w:r w:rsidR="00EF7333" w:rsidRPr="00D427D8">
        <w:t>"</w:t>
      </w:r>
      <w:r w:rsidRPr="00D427D8">
        <w:t>). Unless specifically mentioned in the STS Verification, PCS relies on the English version of the EU Securitisation Regulation. In addition, Article 19(2) of the EU Securitisation Regulation requires the European Banking Authorities, from time to time, to issue guidelines and recommendations interpreting the STS criteria. The EBA has issued the EBA STS Guidelines Non-ABCP Securitisations. The task of interpreting individual STS Criteria rests with national competent authorities (</w:t>
      </w:r>
      <w:r w:rsidR="00EF7333" w:rsidRPr="00D427D8">
        <w:t>"</w:t>
      </w:r>
      <w:r w:rsidRPr="00D427D8">
        <w:rPr>
          <w:rStyle w:val="BoldText"/>
        </w:rPr>
        <w:t>NCAs</w:t>
      </w:r>
      <w:r w:rsidR="00EF7333" w:rsidRPr="00D427D8">
        <w:t>"</w:t>
      </w:r>
      <w:r w:rsidRPr="00D427D8">
        <w:t>). Any NCA may publish or otherwise publicly disseminate from time to time interpretations of specific criteria (</w:t>
      </w:r>
      <w:r w:rsidR="00EF7333" w:rsidRPr="00D427D8">
        <w:t>"</w:t>
      </w:r>
      <w:r w:rsidRPr="00D427D8">
        <w:rPr>
          <w:rStyle w:val="BoldText"/>
        </w:rPr>
        <w:t>NCA Interpretations</w:t>
      </w:r>
      <w:r w:rsidR="00EF7333" w:rsidRPr="00D427D8">
        <w:t>"</w:t>
      </w:r>
      <w:r w:rsidRPr="00D427D8">
        <w:t>). The STS criteria, as drafted in the EU Securitisation Regulation, are subject to a potentially wide variety of interpretations. In compiling an STS Verification, PCS uses its discretion to interpret the STS criteria based on (a) the text of the EU Securitisation Regulation, (b) any relevant guidelines issued by EBA and (c) any relevant NCA Interpretation. There can be no guarantees that any regulatory authority or any court of law interpreting the STS criteria will agree with the interpretation of PCS. There can be no guarantees that any future guidelines issued by EBA or NCA Interpretations may not differ in their approach from those used by PCS in interpreting any STS criterion prior to the issuance of such new guideline or interpretation. In particular, guidelines issued by EBA are not binding on any NCA. There can be no guarantees that any interpretation by any NCA will be the same as that set out in the EBA Guidelines and therefore used, prior to the publication of such NCA interpretation, by PCS in completing an STS Verification. Although PCS will use all reasonable endeavours to ascertain the position of any relevant NCA as to STS criteria interpretation, PCS cannot guarantee that it will have been made aware of any NCA interpretation in cases where such interpretation has not been officially published by the relevant NCA. Accordingly, the provision of an STS Verification is only an opinion by PCS and not a statement of fact. It is not a guarantee or warranty that any national competent authority, court, investor or any other person will accept the STS status of the relevant securitisation.</w:t>
      </w:r>
    </w:p>
    <w:p w14:paraId="4E235F23" w14:textId="695FB4FD" w:rsidR="009F6E91" w:rsidRPr="00D427D8" w:rsidRDefault="009F6E91" w:rsidP="009F6E91">
      <w:pPr>
        <w:pStyle w:val="Body1"/>
      </w:pPr>
      <w:r w:rsidRPr="00D427D8">
        <w:lastRenderedPageBreak/>
        <w:t>The task of interpreting individual CRR criteria, liquidity coverage ratio (LCR) criteria as well as the final determination of the capital required by a bank to allocate for any investment or the type of assets it may put in its LCR pool rests with prudential authorities supervising any European bank. The CRR and LCR criteria, as drafted in the CRR and the LCR Delegated Regulation, are subject to a potentially wide variety of interpretations. In compiling a CRR Assessment or a LCR Assessment, PCS uses its discretion to interpret the CRR and LCR criteria based on the text of the CRR, and any relevant and public interpretation by the EBA. Although PCS believes its interpretations reflect a reasonable approach, there can be no guarantees that any prudential authority or any court of law interpreting the CRR and LCR criteria will agree with the PCS interpretation. PCS also draws attention to the fact that, in assessing capital requirements and the composition of any bank</w:t>
      </w:r>
      <w:r w:rsidR="00EF7333" w:rsidRPr="00D427D8">
        <w:t>'</w:t>
      </w:r>
      <w:r w:rsidRPr="00D427D8">
        <w:t>s LCR pool, prudential regulators possess wide discretions.</w:t>
      </w:r>
    </w:p>
    <w:p w14:paraId="3E05AA3E" w14:textId="716C2ADD" w:rsidR="009F6E91" w:rsidRPr="00D427D8" w:rsidRDefault="009F6E91" w:rsidP="009F6E91">
      <w:pPr>
        <w:pStyle w:val="Body1"/>
      </w:pPr>
      <w:r w:rsidRPr="00D427D8">
        <w:t>Accordingly, when performing a CRR Assessment / LCR Assessment, PCS is not confirming or indicating that the securitisation the subject of such assessment will be allowed to have lower capital allocated to it under CRR or that it will be eligible to be part of any bank</w:t>
      </w:r>
      <w:r w:rsidR="00EF7333" w:rsidRPr="00D427D8">
        <w:t>'</w:t>
      </w:r>
      <w:r w:rsidRPr="00D427D8">
        <w:t>s LCR pool. PCS is merely addressing the specific CRR/LCR criteria and determining whether, in PCS</w:t>
      </w:r>
      <w:r w:rsidR="00EF7333" w:rsidRPr="00D427D8">
        <w:t>'</w:t>
      </w:r>
      <w:r w:rsidRPr="00D427D8">
        <w:t xml:space="preserve"> opinion, these criteria have been met.</w:t>
      </w:r>
    </w:p>
    <w:p w14:paraId="7A60CEE8" w14:textId="77777777" w:rsidR="009F6E91" w:rsidRPr="00D427D8" w:rsidRDefault="009F6E91" w:rsidP="009F6E91">
      <w:pPr>
        <w:pStyle w:val="Body1"/>
      </w:pPr>
      <w:r w:rsidRPr="00D427D8">
        <w:t>Therefore, no investor should rely on a CRR Assessment or a LCR Assessment in determining the status of any securitisation in relation to capital requirements or liquidity cover ratio pools and must make its own determination. All PCS Services speak only as of the date on which they are issued. PCS has no obligation to monitor (nor any intention to monitor) any securitisation the subject of any PCS Service. PCS has no obligation and does not undertake to update any PCS Service to account for (a) any change of law or regulatory interpretation or (b) any act or failure to act by any person relating to those STS Criteria that speak to actions taking place following the close of any transaction such as, without limitation, the obligation to continue to provide certain mandated information.</w:t>
      </w:r>
    </w:p>
    <w:p w14:paraId="6EEE97EF" w14:textId="77777777" w:rsidR="009F6E91" w:rsidRPr="00D427D8" w:rsidRDefault="009F6E91" w:rsidP="00EF7333">
      <w:pPr>
        <w:pStyle w:val="Body1"/>
      </w:pPr>
      <w:r w:rsidRPr="00D427D8">
        <w:br w:type="page"/>
      </w:r>
    </w:p>
    <w:p w14:paraId="26BE684C" w14:textId="787FF275" w:rsidR="00171041" w:rsidRPr="009A4683" w:rsidRDefault="00171041" w:rsidP="009A4683">
      <w:pPr>
        <w:pStyle w:val="CentredHeading"/>
      </w:pPr>
      <w:bookmarkStart w:id="88" w:name="_Toc19525595"/>
      <w:bookmarkStart w:id="89" w:name="_Toc141968491"/>
      <w:bookmarkStart w:id="90" w:name="_Toc191922530"/>
      <w:bookmarkStart w:id="91" w:name="_Toc198539664"/>
      <w:r w:rsidRPr="009A4683">
        <w:lastRenderedPageBreak/>
        <w:t>THE SELLER, THE SERVICER</w:t>
      </w:r>
      <w:bookmarkEnd w:id="88"/>
      <w:bookmarkEnd w:id="89"/>
      <w:r w:rsidRPr="009A4683">
        <w:t xml:space="preserve"> AND THE LEASE RECEIVABLES</w:t>
      </w:r>
      <w:bookmarkEnd w:id="90"/>
      <w:bookmarkEnd w:id="91"/>
    </w:p>
    <w:p w14:paraId="04BB9B70" w14:textId="77777777" w:rsidR="009A4683" w:rsidRPr="009A4683" w:rsidRDefault="009A4683" w:rsidP="009A4683">
      <w:pPr>
        <w:pStyle w:val="Body1"/>
        <w:rPr>
          <w:b/>
        </w:rPr>
      </w:pPr>
      <w:bookmarkStart w:id="92" w:name="_Toc19525596"/>
      <w:bookmarkStart w:id="93" w:name="_Toc51256617"/>
      <w:bookmarkStart w:id="94" w:name="_Toc81943099"/>
      <w:bookmarkStart w:id="95" w:name="_Toc141968492"/>
      <w:bookmarkStart w:id="96" w:name="_Toc141968776"/>
      <w:r w:rsidRPr="009A4683">
        <w:rPr>
          <w:b/>
        </w:rPr>
        <w:t>Corporate Information and Business Purpose</w:t>
      </w:r>
      <w:bookmarkEnd w:id="92"/>
      <w:bookmarkEnd w:id="93"/>
      <w:bookmarkEnd w:id="94"/>
      <w:bookmarkEnd w:id="95"/>
      <w:bookmarkEnd w:id="96"/>
      <w:r w:rsidRPr="009A4683">
        <w:rPr>
          <w:b/>
        </w:rPr>
        <w:t xml:space="preserve"> </w:t>
      </w:r>
    </w:p>
    <w:p w14:paraId="2C46BF8D" w14:textId="77777777" w:rsidR="009A4683" w:rsidRPr="009A4683" w:rsidRDefault="009A4683" w:rsidP="009A4683">
      <w:pPr>
        <w:pStyle w:val="Body1"/>
      </w:pPr>
      <w:r w:rsidRPr="009A4683">
        <w:t>Stellantis Bank S.A., formerly known as Opel Bank S.A., is registered with the Trade and Companies Register of Versailles, France under number 562 068 684, with its registered office at 2, boulevard de l'Europe, 78300 Poissy, France and in the context of the Securitisation is acting through its German branch (“</w:t>
      </w:r>
      <w:r w:rsidRPr="009A4683">
        <w:rPr>
          <w:b/>
          <w:bCs/>
        </w:rPr>
        <w:t>Stellantis Bank</w:t>
      </w:r>
      <w:r w:rsidRPr="009A4683">
        <w:t>”) with its business address at Siemensstraße 10, 63263 Neu-Isenburg, Germany. Stellantis Bank operates under a banking licence, and is subject to regulation by the European Central Bank.</w:t>
      </w:r>
    </w:p>
    <w:p w14:paraId="312F4FFA" w14:textId="597EAA7A" w:rsidR="009A4683" w:rsidRPr="009A4683" w:rsidRDefault="009A4683" w:rsidP="009A4683">
      <w:pPr>
        <w:pStyle w:val="Body1"/>
      </w:pPr>
      <w:r w:rsidRPr="009A4683">
        <w:t xml:space="preserve">Pursuant to Stellantis Bank's management report for the financial year ending on 31 December 2024 the company's total assets amounted to EUR 14.6 </w:t>
      </w:r>
      <w:r w:rsidR="003A5952">
        <w:t>bn</w:t>
      </w:r>
      <w:r w:rsidRPr="009A4683">
        <w:t xml:space="preserve"> on 31 December 2024 with a profit before tax  of EUR 130</w:t>
      </w:r>
      <w:r w:rsidR="003A5952">
        <w:t>m.</w:t>
      </w:r>
      <w:r w:rsidRPr="009A4683">
        <w:t xml:space="preserve"> </w:t>
      </w:r>
    </w:p>
    <w:p w14:paraId="7F1BF5CB" w14:textId="77777777" w:rsidR="009A4683" w:rsidRPr="009A4683" w:rsidRDefault="009A4683" w:rsidP="009A4683">
      <w:pPr>
        <w:pStyle w:val="Body1"/>
      </w:pPr>
      <w:r w:rsidRPr="009A4683">
        <w:t>Stellantis Bank (formerly Opel Bank SA, German branch) was part of the financial services operations of General Motor Company ("</w:t>
      </w:r>
      <w:r w:rsidRPr="009A4683">
        <w:rPr>
          <w:b/>
          <w:bCs/>
        </w:rPr>
        <w:t>GM</w:t>
      </w:r>
      <w:r w:rsidRPr="009A4683">
        <w:t>") in Europe. In 2017 GM sold its European automotive business to PSA Group ("</w:t>
      </w:r>
      <w:r w:rsidRPr="009A4683">
        <w:rPr>
          <w:b/>
          <w:bCs/>
        </w:rPr>
        <w:t>PSA</w:t>
      </w:r>
      <w:r w:rsidRPr="009A4683">
        <w:t xml:space="preserve">"). On 31 October 2017 GM sold also its European financial services operations to PSA. PSA cooperates with a finance partner and has set up an equal joint venture between Banque PSA S.A. (since renamed Stellantis Financial Services S.A.) and BNP Paribas Personal Finance S.A. The parent company of such joint venture is Stellantis Bank S.A. On 2 November 2024, PSA Bank Deutschland GmbH was merged into Stellantis Bank by means of a cross-border merger. </w:t>
      </w:r>
    </w:p>
    <w:p w14:paraId="6EB173FD" w14:textId="77777777" w:rsidR="009A4683" w:rsidRPr="009A4683" w:rsidRDefault="009A4683" w:rsidP="009A4683">
      <w:pPr>
        <w:pStyle w:val="Body1"/>
      </w:pPr>
      <w:r w:rsidRPr="009A4683">
        <w:t xml:space="preserve">As at the date of this Prospectus, Stellantis Bank S.A. provides a wide variety of automotive financial services to and through Stellantis franchised dealers in the UK, Germany and Austria. Stellantis Bank S.A. also provides financial services through and to dealers not affiliated with Stellantis, and to and through other dealers in which franchised Stellantis dealers have an interest, and in each case to the customers of those dealers. </w:t>
      </w:r>
    </w:p>
    <w:p w14:paraId="28BBABDF" w14:textId="77777777" w:rsidR="009A4683" w:rsidRPr="009A4683" w:rsidRDefault="009A4683" w:rsidP="009A4683">
      <w:pPr>
        <w:pStyle w:val="Body1"/>
      </w:pPr>
      <w:r w:rsidRPr="009A4683">
        <w:t>Stellantis Bank's core business is the wholesale and retail automotive financing in Germany.</w:t>
      </w:r>
    </w:p>
    <w:p w14:paraId="42BD4056" w14:textId="77777777" w:rsidR="009A4683" w:rsidRPr="009A4683" w:rsidRDefault="009A4683" w:rsidP="009A4683">
      <w:pPr>
        <w:pStyle w:val="Body1"/>
        <w:rPr>
          <w:b/>
        </w:rPr>
      </w:pPr>
      <w:bookmarkStart w:id="97" w:name="_Toc19525597"/>
      <w:bookmarkStart w:id="98" w:name="_Toc51256618"/>
      <w:bookmarkStart w:id="99" w:name="_Toc81943100"/>
      <w:bookmarkStart w:id="100" w:name="_Toc141968493"/>
      <w:bookmarkStart w:id="101" w:name="_Toc141968777"/>
      <w:r w:rsidRPr="009A4683">
        <w:rPr>
          <w:b/>
        </w:rPr>
        <w:t>Origination and Securitisation Experience</w:t>
      </w:r>
      <w:bookmarkEnd w:id="97"/>
      <w:bookmarkEnd w:id="98"/>
      <w:bookmarkEnd w:id="99"/>
      <w:bookmarkEnd w:id="100"/>
      <w:bookmarkEnd w:id="101"/>
    </w:p>
    <w:p w14:paraId="7159F12A" w14:textId="77777777" w:rsidR="009A4683" w:rsidRPr="009A4683" w:rsidRDefault="009A4683" w:rsidP="009A4683">
      <w:pPr>
        <w:pStyle w:val="Body1"/>
      </w:pPr>
      <w:r w:rsidRPr="009A4683">
        <w:t>One of the main purposes of Stellantis Bank (formerly Opel Bank SA, German branch) for at least five years has been the origination, servicing and underwriting of loan receivables of a similar nature to those securitised under this Securitisation. The members of its management body and the senior staff of Stellantis Bank have adequate knowledge and skills in originating, servicing and underwriting loan receivables, similar to the Receivables purchased by the Issuer, gained through years of practice and continuing education. The members of the management body and Stellantis Bank's senior staff have been appropriately involved within the governance structure of the functions of originating, servicing and underwriting of the Receivables purchased by the Issuer. Stellantis Bank S.A. is licensed by the ACPR as a credit institution in France. Stellantis Bank, German branch, benefits from the passporting of Stellantis Bank's banking licence. Furthermore, Stellantis Bank has been engaged in securitising assets since 2005, as one means of financing its on-going operations. Stellantis Bank has been securitising receivables generated from retail vehicle instalment sale contracts, lease receivables and residual values, and loans to retailers secured by retailer inventories. Stellantis Bank's assessment of the Lessee's creditworthiness meets the requirements set out in Article 8 of Directive 2008/48/EC or paragraphs 1 to 4, point (a) of paragraph 5, and paragraph 6 of Article 18 of Directive 2014/17/EU.</w:t>
      </w:r>
    </w:p>
    <w:p w14:paraId="2285D4DE" w14:textId="77777777" w:rsidR="009A4683" w:rsidRPr="009A4683" w:rsidRDefault="009A4683" w:rsidP="009A4683">
      <w:pPr>
        <w:pStyle w:val="Body1"/>
      </w:pPr>
      <w:r w:rsidRPr="009A4683">
        <w:t xml:space="preserve">Stellantis Bank securitise assets to obtain regulatory capital relief and because the securitisation market can potentially provide the securitising company with a source of lower cost of funding diversified funding among different markets and investors, and can provide additional liquidity. </w:t>
      </w:r>
    </w:p>
    <w:p w14:paraId="0343FED3" w14:textId="77777777" w:rsidR="009A4683" w:rsidRPr="009A4683" w:rsidRDefault="009A4683" w:rsidP="009A4683">
      <w:pPr>
        <w:pStyle w:val="Body1"/>
      </w:pPr>
      <w:r w:rsidRPr="009A4683">
        <w:t>Stellantis Bank or any of its affiliates will not be obligated to make or otherwise guarantee any principal, interest or other payment on the Notes.</w:t>
      </w:r>
    </w:p>
    <w:p w14:paraId="6293A4A4" w14:textId="77777777" w:rsidR="009A4683" w:rsidRPr="009A4683" w:rsidRDefault="009A4683" w:rsidP="009A4683">
      <w:pPr>
        <w:pStyle w:val="Body1"/>
      </w:pPr>
      <w:r w:rsidRPr="009A4683">
        <w:t>When Stellantis Bank or an affiliate securitises assets, it generally retains an interest in the sold assets. These interests may take the form of asset-backed securities, including senior and subordinated interests in the form of investment grade, non-investment grade, or unrated securities or other forms of subordination.</w:t>
      </w:r>
    </w:p>
    <w:p w14:paraId="55200610" w14:textId="77777777" w:rsidR="009A4683" w:rsidRPr="009A4683" w:rsidRDefault="009A4683" w:rsidP="009A4683">
      <w:pPr>
        <w:pStyle w:val="Body1"/>
      </w:pPr>
      <w:r w:rsidRPr="009A4683">
        <w:t xml:space="preserve">Stellantis Bank will be the servicer of the Receivables sold to the Issuer in return for a fee and other amounts payable in accordance with the Servicing Agreement (described below). Stellantis Bank will be responsible </w:t>
      </w:r>
      <w:r w:rsidRPr="009A4683">
        <w:lastRenderedPageBreak/>
        <w:t>for paying the costs of the Issuer, legal fees of certain Transaction Parties, Rating Agencies fees for rating the relevant Classes of Rated Notes and other transaction costs.</w:t>
      </w:r>
    </w:p>
    <w:p w14:paraId="48958687" w14:textId="77777777" w:rsidR="009A4683" w:rsidRPr="009A4683" w:rsidRDefault="009A4683" w:rsidP="009A4683">
      <w:pPr>
        <w:pStyle w:val="Body1"/>
        <w:rPr>
          <w:b/>
        </w:rPr>
      </w:pPr>
      <w:bookmarkStart w:id="102" w:name="_Toc19525601"/>
      <w:bookmarkStart w:id="103" w:name="_Toc51256622"/>
      <w:bookmarkStart w:id="104" w:name="_Toc81943104"/>
      <w:bookmarkStart w:id="105" w:name="_Toc141968497"/>
      <w:bookmarkStart w:id="106" w:name="_Toc141968781"/>
      <w:r w:rsidRPr="009A4683">
        <w:rPr>
          <w:b/>
        </w:rPr>
        <w:t xml:space="preserve">The Lease </w:t>
      </w:r>
      <w:bookmarkEnd w:id="102"/>
      <w:bookmarkEnd w:id="103"/>
      <w:bookmarkEnd w:id="104"/>
      <w:bookmarkEnd w:id="105"/>
      <w:bookmarkEnd w:id="106"/>
      <w:r w:rsidRPr="009A4683">
        <w:rPr>
          <w:b/>
        </w:rPr>
        <w:t>Agreements</w:t>
      </w:r>
    </w:p>
    <w:p w14:paraId="2B56C668" w14:textId="77777777" w:rsidR="009A4683" w:rsidRPr="009A4683" w:rsidRDefault="009A4683" w:rsidP="009A4683">
      <w:pPr>
        <w:pStyle w:val="Body1"/>
      </w:pPr>
      <w:r w:rsidRPr="009A4683">
        <w:t>The Receivables that will be assigned to the Issuer by the Seller are receivables which have been originated by the Seller under German law auto lease agreements with the Lessees. The Lease Agreements have been entered into by the Seller with the help of Stellantis dealers as intermediaries and generally contain Stellantis Bank's terms and conditions of the Lease.</w:t>
      </w:r>
    </w:p>
    <w:p w14:paraId="3B0643B2" w14:textId="14AAABCA" w:rsidR="009A4683" w:rsidRPr="009A4683" w:rsidRDefault="009A4683" w:rsidP="009A4683">
      <w:pPr>
        <w:pStyle w:val="Body1"/>
      </w:pPr>
      <w:r w:rsidRPr="009A4683">
        <w:t>The Leased Vehicles are mainly new or used Stellantis Brands vehicles and to a minor extent new or used vehicles of other brands.</w:t>
      </w:r>
    </w:p>
    <w:p w14:paraId="7A5FDB2D" w14:textId="77777777" w:rsidR="009A4683" w:rsidRPr="009A4683" w:rsidRDefault="009A4683" w:rsidP="009A4683">
      <w:pPr>
        <w:pStyle w:val="Body1"/>
      </w:pPr>
      <w:r w:rsidRPr="009A4683">
        <w:t>On the Closing Date the Seller will, and on each Further Purchase Date the Seller may, sell and assign Receivables together with the related Expectancy Rights to the Issuer in accordance with the Receivables Purchase Agreement and the Expectancy Rights Purchase Agreement described in "</w:t>
      </w:r>
      <w:r w:rsidRPr="009A4683">
        <w:rPr>
          <w:i/>
        </w:rPr>
        <w:t>Description of Certain Transaction Documents</w:t>
      </w:r>
      <w:r w:rsidRPr="009A4683">
        <w:t>"</w:t>
      </w:r>
      <w:r w:rsidRPr="009A4683">
        <w:rPr>
          <w:i/>
        </w:rPr>
        <w:t>.</w:t>
      </w:r>
      <w:r w:rsidRPr="009A4683">
        <w:t xml:space="preserve"> As security for the existence and performance by the Borrowers of the Receivables the Seller will assign and transfer certain security rights and interests as Seller Collateral to the Issuer. The Seller will also make representations to the Issuer in respect of the Receivables.</w:t>
      </w:r>
    </w:p>
    <w:p w14:paraId="4A68538B" w14:textId="77777777" w:rsidR="009A4683" w:rsidRPr="009A4683" w:rsidRDefault="009A4683" w:rsidP="009A4683">
      <w:pPr>
        <w:pStyle w:val="Body1"/>
      </w:pPr>
      <w:r w:rsidRPr="009A4683">
        <w:t>These representations are described further in "</w:t>
      </w:r>
      <w:r w:rsidRPr="009A4683">
        <w:rPr>
          <w:i/>
        </w:rPr>
        <w:t>Description of Certain Transaction Documents – Receivables Purchase Agreement</w:t>
      </w:r>
      <w:r w:rsidRPr="009A4683">
        <w:t>"</w:t>
      </w:r>
      <w:r w:rsidRPr="009A4683">
        <w:rPr>
          <w:i/>
        </w:rPr>
        <w:t>.</w:t>
      </w:r>
    </w:p>
    <w:p w14:paraId="1F59E1A0" w14:textId="77777777" w:rsidR="009A4683" w:rsidRPr="009A4683" w:rsidRDefault="009A4683" w:rsidP="009A4683">
      <w:pPr>
        <w:pStyle w:val="Body1"/>
      </w:pPr>
      <w:r w:rsidRPr="009A4683">
        <w:t>The auto-lease product range encompasses Kilometre Contracts and RW Contracts. Both have a maximum term of 60 months.</w:t>
      </w:r>
    </w:p>
    <w:p w14:paraId="563180B4" w14:textId="77777777" w:rsidR="009A4683" w:rsidRPr="009A4683" w:rsidRDefault="009A4683" w:rsidP="009A4683">
      <w:pPr>
        <w:pStyle w:val="Body1"/>
      </w:pPr>
      <w:r w:rsidRPr="009A4683">
        <w:t>The difference between a Kilometre Contract and a RW Contract lies in the arrangements with respect to the final invoice after the return of the car. With a Kilometre Contract the Lessee agrees to be liable for over-mileage, damage and excessive wear, etc whereas in a RW Contract the lessee is liable for the difference between the Contractual Residual Value and the value of the car as determined by an independent appraiser.</w:t>
      </w:r>
    </w:p>
    <w:p w14:paraId="44236177" w14:textId="77777777" w:rsidR="009A4683" w:rsidRPr="009A4683" w:rsidRDefault="009A4683" w:rsidP="009A4683">
      <w:pPr>
        <w:pStyle w:val="Body1"/>
        <w:rPr>
          <w:b/>
        </w:rPr>
      </w:pPr>
      <w:r w:rsidRPr="009A4683">
        <w:rPr>
          <w:b/>
        </w:rPr>
        <w:t>Services</w:t>
      </w:r>
    </w:p>
    <w:p w14:paraId="1C5EF789" w14:textId="77777777" w:rsidR="009A4683" w:rsidRPr="009A4683" w:rsidRDefault="009A4683" w:rsidP="009A4683">
      <w:pPr>
        <w:pStyle w:val="Body1"/>
      </w:pPr>
      <w:r w:rsidRPr="009A4683">
        <w:t xml:space="preserve">Stellantis Bank offers maintenance services like full service leases, and warranty extensions. These services are offered on behalf of the vehicle distribution companies or dealers in contracts separate from the financing contracts. Services are not part of the securitisation. </w:t>
      </w:r>
    </w:p>
    <w:p w14:paraId="024B0C6E" w14:textId="77777777" w:rsidR="009A4683" w:rsidRPr="009A4683" w:rsidRDefault="009A4683" w:rsidP="009A4683">
      <w:pPr>
        <w:pStyle w:val="Body1"/>
        <w:rPr>
          <w:b/>
        </w:rPr>
      </w:pPr>
      <w:r w:rsidRPr="009A4683">
        <w:rPr>
          <w:b/>
        </w:rPr>
        <w:t>Leased Vehicle Put Option</w:t>
      </w:r>
    </w:p>
    <w:p w14:paraId="14287A48" w14:textId="77777777" w:rsidR="009A4683" w:rsidRPr="009A4683" w:rsidRDefault="009A4683" w:rsidP="009A4683">
      <w:pPr>
        <w:pStyle w:val="Body1"/>
      </w:pPr>
      <w:r w:rsidRPr="009A4683">
        <w:t>For each leasing contract an agreement between the respective new car dealer, agent or the respective Stellantis Brand and Stellantis Bank exists, regarding the course of action at the end of contract. This agreement states that the dealer (or the brand) is obliged to buy the car at the end of the contract. The agreement is part of the contractual documents and is signed by the dealer at the moment when the leasing contract is signed by the final customer.</w:t>
      </w:r>
    </w:p>
    <w:p w14:paraId="6FE7D6FA" w14:textId="77777777" w:rsidR="009A4683" w:rsidRPr="009A4683" w:rsidRDefault="009A4683" w:rsidP="009A4683">
      <w:pPr>
        <w:pStyle w:val="Body1"/>
      </w:pPr>
      <w:r w:rsidRPr="009A4683">
        <w:t>The respective Stellantis Brand has signed a general contract to repurchase the car at maturity in case the Stellantis Brand has been named as repurchaser at the beginning of the contract. This agreement is a substantial part of the documents which mandatorily must be on hand before the contract is paid-out to the dealer.</w:t>
      </w:r>
    </w:p>
    <w:p w14:paraId="2C2F15DB" w14:textId="77777777" w:rsidR="009A4683" w:rsidRPr="009A4683" w:rsidRDefault="009A4683" w:rsidP="009A4683">
      <w:pPr>
        <w:pStyle w:val="Body1"/>
      </w:pPr>
      <w:r w:rsidRPr="009A4683">
        <w:t xml:space="preserve">Stellantis Bank has the right but not the obligation to sell the car to the respective dealer (respective Stellantis Brand) at the end of the contract but the dealer (or the </w:t>
      </w:r>
      <w:bookmarkStart w:id="107" w:name="_Hlk174023362"/>
      <w:r w:rsidRPr="009A4683">
        <w:t xml:space="preserve">Stellantis </w:t>
      </w:r>
      <w:bookmarkEnd w:id="107"/>
      <w:r w:rsidRPr="009A4683">
        <w:t>Brand) is obliged to buy the car from Stellantis Bank, if Stellantis Bank wants to sell the vehicle to such dealer (or the Stellantis Brand) (Leased Vehicle Put Option: Stellantis Bank sells all cars to the respective dealer as long as such dealer stays within the Stellantis network).</w:t>
      </w:r>
    </w:p>
    <w:p w14:paraId="25662EBA" w14:textId="77777777" w:rsidR="009A4683" w:rsidRPr="009A4683" w:rsidRDefault="009A4683" w:rsidP="009A4683">
      <w:pPr>
        <w:pStyle w:val="Body1"/>
      </w:pPr>
      <w:r w:rsidRPr="009A4683">
        <w:t>In the event of bankruptcy of the dealer, the buyback obligations are transferred to other dealers. If the respective dealer does not remain in the Stellantis network and the buyback obligations cannot be transferred, Stellantis Bank sells the car to other dealers or on the free market.</w:t>
      </w:r>
    </w:p>
    <w:p w14:paraId="5C1B69F0" w14:textId="77777777" w:rsidR="009A4683" w:rsidRPr="009A4683" w:rsidRDefault="009A4683" w:rsidP="009A4683">
      <w:pPr>
        <w:pStyle w:val="Body1"/>
        <w:rPr>
          <w:b/>
        </w:rPr>
      </w:pPr>
      <w:r w:rsidRPr="009A4683">
        <w:rPr>
          <w:b/>
        </w:rPr>
        <w:t>Residual Value Setting</w:t>
      </w:r>
    </w:p>
    <w:p w14:paraId="22BC0A42" w14:textId="77777777" w:rsidR="009A4683" w:rsidRPr="009A4683" w:rsidRDefault="009A4683" w:rsidP="009A4683">
      <w:pPr>
        <w:pStyle w:val="Body1"/>
      </w:pPr>
      <w:r w:rsidRPr="009A4683">
        <w:lastRenderedPageBreak/>
        <w:t>Although the core residual value risk is transferred to the dealer as described above, the setting of the residual value remains an integral part of Stellantis Bank's underwriting policy.</w:t>
      </w:r>
    </w:p>
    <w:p w14:paraId="22E2594D" w14:textId="77777777" w:rsidR="009A4683" w:rsidRPr="009A4683" w:rsidRDefault="009A4683" w:rsidP="009A4683">
      <w:pPr>
        <w:pStyle w:val="Body1"/>
      </w:pPr>
      <w:r w:rsidRPr="009A4683">
        <w:t>The residual value setting is the responsibility of Marketing on the front-office side and Risk Steering on the back-office side.</w:t>
      </w:r>
    </w:p>
    <w:p w14:paraId="608891D9" w14:textId="4F1A11C6" w:rsidR="009A4683" w:rsidRPr="009A4683" w:rsidRDefault="009A4683" w:rsidP="009A4683">
      <w:pPr>
        <w:pStyle w:val="Body1"/>
      </w:pPr>
      <w:r w:rsidRPr="009A4683">
        <w:t>The</w:t>
      </w:r>
      <w:r w:rsidR="003A5952">
        <w:t xml:space="preserve"> </w:t>
      </w:r>
      <w:r w:rsidRPr="009A4683">
        <w:t>residual values for “New” Stellantis Brand vehicles are discussed quarterly in a Residual Value Committee held with the brands. Participants from the bank are from Risk and Marketing Department</w:t>
      </w:r>
      <w:r w:rsidR="003A5952">
        <w:t>.</w:t>
      </w:r>
    </w:p>
    <w:p w14:paraId="7250187B" w14:textId="77777777" w:rsidR="009A4683" w:rsidRPr="009A4683" w:rsidRDefault="009A4683" w:rsidP="009A4683">
      <w:pPr>
        <w:pStyle w:val="Body1"/>
      </w:pPr>
      <w:r w:rsidRPr="009A4683">
        <w:t xml:space="preserve">Residual value experts of the brands make the residual value proposals. Their opinion is based on residual value predictions for Stellantis Brand cars and their competitors by: Deutsche Automobil Treuhand GmbH (DAT) and EuroTax Schwacke (ETS). </w:t>
      </w:r>
    </w:p>
    <w:p w14:paraId="05C8210C" w14:textId="77777777" w:rsidR="009A4683" w:rsidRPr="009A4683" w:rsidRDefault="009A4683" w:rsidP="009A4683">
      <w:pPr>
        <w:pStyle w:val="Body1"/>
      </w:pPr>
      <w:r w:rsidRPr="009A4683">
        <w:t>Additional information is used from external studies on the car market and its future development, further information from the Stellantis Brands (remarketing figures, customer structure, planned volume, age of the car and plans for its successor), Stellantis Bank, feedback from press and market.</w:t>
      </w:r>
    </w:p>
    <w:p w14:paraId="69A86E4C" w14:textId="77777777" w:rsidR="009A4683" w:rsidRPr="009A4683" w:rsidRDefault="009A4683" w:rsidP="009A4683">
      <w:pPr>
        <w:pStyle w:val="Body1"/>
      </w:pPr>
      <w:r w:rsidRPr="009A4683">
        <w:t>This information is made available to all committee members before the respective committee takes place. Front- (Marketing) and back-office (Risk Steering) of Stellantis Bank as well as other responsible areas of the brands then analyse the quality or accuracy of the proposals and form an opinion. In order to be able to ensure that the proposed residual values are in line with the market and are prudent, Risk Steering receives also the information that was available to the residual value experts of the brands and may, if necessary, consult other data sources.</w:t>
      </w:r>
    </w:p>
    <w:p w14:paraId="775CEF1D" w14:textId="77777777" w:rsidR="004A70D0" w:rsidRPr="009A4683" w:rsidRDefault="004A70D0" w:rsidP="004A70D0">
      <w:pPr>
        <w:pStyle w:val="Body1"/>
      </w:pPr>
      <w:r w:rsidRPr="009A4683">
        <w:t>After the first months in production, the residual values are challenged automatically, following the same process as all the other existing models with quarterly review.</w:t>
      </w:r>
    </w:p>
    <w:p w14:paraId="434E3015" w14:textId="77777777" w:rsidR="004A70D0" w:rsidRPr="009A4683" w:rsidRDefault="004A70D0" w:rsidP="004A70D0">
      <w:pPr>
        <w:pStyle w:val="Body1"/>
      </w:pPr>
      <w:r w:rsidRPr="009A4683">
        <w:t>The proposal of Stellantis Brand’s Residual Value Committee is reviewed and approved within an internal Stellantis Bank RVC pre-committee. The RVC pre-</w:t>
      </w:r>
      <w:r>
        <w:t>c</w:t>
      </w:r>
      <w:r w:rsidRPr="009A4683">
        <w:t>ommittee consists of Regular Members which are the MD, CRO, Marketing Director, Head of Retail Risk and the Performance Manager.</w:t>
      </w:r>
    </w:p>
    <w:p w14:paraId="29977BE8" w14:textId="77777777" w:rsidR="004A70D0" w:rsidRPr="009A4683" w:rsidRDefault="004A70D0" w:rsidP="004A70D0">
      <w:pPr>
        <w:pStyle w:val="Body1"/>
      </w:pPr>
      <w:r w:rsidRPr="009A4683">
        <w:t xml:space="preserve">The dealer has the ability to reduce the residual value (but without going lower than 10% of the sales price in accordance with German law). Since July 2024, the dealer cannot increase the Residual Value above the limit set by the Residual Value </w:t>
      </w:r>
      <w:r>
        <w:t>C</w:t>
      </w:r>
      <w:r w:rsidRPr="009A4683">
        <w:t xml:space="preserve">ommittee. Prior to that the </w:t>
      </w:r>
      <w:r>
        <w:t>r</w:t>
      </w:r>
      <w:r w:rsidRPr="009A4683">
        <w:t xml:space="preserve">esidual </w:t>
      </w:r>
      <w:r>
        <w:t>v</w:t>
      </w:r>
      <w:r w:rsidRPr="009A4683">
        <w:t xml:space="preserve">alue could be increased by up to 600bps.The residual value for </w:t>
      </w:r>
      <w:r>
        <w:t>u</w:t>
      </w:r>
      <w:r w:rsidRPr="009A4683">
        <w:t>sed cars is set by the bank based on the DAT forecast data with two pricing grids used that are differentiated by the age of the vehicle at the start of the financing period, either up to 30 months or more than 30 months. Other considerations are contractual mileage and a maximum term of 72 months.</w:t>
      </w:r>
    </w:p>
    <w:p w14:paraId="71BF1524" w14:textId="72A28842" w:rsidR="009A4683" w:rsidRDefault="004A70D0" w:rsidP="009A4683">
      <w:pPr>
        <w:pStyle w:val="Body1"/>
      </w:pPr>
      <w:r w:rsidRPr="009A4683">
        <w:t xml:space="preserve">With less granularity in the approach to setting residual values on </w:t>
      </w:r>
      <w:r>
        <w:t>u</w:t>
      </w:r>
      <w:r w:rsidRPr="009A4683">
        <w:t xml:space="preserve">sed cars, the dealer has some flexibility in the final offer to the customer. The dealer can reduce the residual value to a minimum of 10% and can increase the residual value by up to 600bps on vehicles aged up to 30 months at origination and 300bps if the vehicle is older than 30 months. </w:t>
      </w:r>
      <w:r w:rsidR="009A4683" w:rsidRPr="009A4683">
        <w:t xml:space="preserve"> </w:t>
      </w:r>
    </w:p>
    <w:p w14:paraId="6EF1E56A" w14:textId="77777777" w:rsidR="009A4683" w:rsidRDefault="009A4683">
      <w:r>
        <w:br w:type="page"/>
      </w:r>
    </w:p>
    <w:p w14:paraId="4A9AFB57" w14:textId="77777777" w:rsidR="009A4683" w:rsidRPr="009A4683" w:rsidRDefault="009A4683" w:rsidP="009A4683">
      <w:pPr>
        <w:pStyle w:val="Body1"/>
        <w:rPr>
          <w:b/>
        </w:rPr>
      </w:pPr>
      <w:r w:rsidRPr="009A4683">
        <w:rPr>
          <w:b/>
        </w:rPr>
        <w:lastRenderedPageBreak/>
        <w:t>Underwriting and Management Procedures</w:t>
      </w:r>
    </w:p>
    <w:p w14:paraId="36A91CC9" w14:textId="77777777" w:rsidR="009A4683" w:rsidRPr="009A4683" w:rsidRDefault="009A4683" w:rsidP="009A4683">
      <w:pPr>
        <w:pStyle w:val="Body1"/>
        <w:rPr>
          <w:b/>
          <w:bCs/>
        </w:rPr>
      </w:pPr>
      <w:r w:rsidRPr="009A4683">
        <w:rPr>
          <w:b/>
          <w:bCs/>
        </w:rPr>
        <w:t>General Information</w:t>
      </w:r>
    </w:p>
    <w:p w14:paraId="10C21F3E" w14:textId="77777777" w:rsidR="009A4683" w:rsidRPr="009A4683" w:rsidRDefault="009A4683" w:rsidP="009A4683">
      <w:pPr>
        <w:pStyle w:val="Body1"/>
        <w:rPr>
          <w:b/>
          <w:bCs/>
        </w:rPr>
      </w:pPr>
      <w:r w:rsidRPr="009A4683">
        <w:rPr>
          <w:b/>
          <w:bCs/>
        </w:rPr>
        <w:t>Description of the Seller's Commercial Network</w:t>
      </w:r>
    </w:p>
    <w:p w14:paraId="0235474C" w14:textId="77777777" w:rsidR="009A4683" w:rsidRPr="009A4683" w:rsidRDefault="009A4683" w:rsidP="009A4683">
      <w:pPr>
        <w:pStyle w:val="Body1"/>
      </w:pPr>
      <w:r w:rsidRPr="009A4683">
        <w:t>Distribution for all financial products and services offered by the Seller in relation to Stellantis Brands is done through the Stellantis dealer Network and representatives in Germany. In  December 2024 the dealership network was composed of approximately 783 Opel dealers, 507 Peugeot dealers, 418 Citroën dealers, 291 FIAT dealers, 250 FIAT Professional dealers, 216 JEEP dealers, 195 Abarth dealers, 154 Alfa Romeo dealers, 96 Lancia dealers, 9 Dodge dealers, 8 Chrysler dealers, 52 DS dealers ,26 Maserati dealers and 96 LeapMotor dealers, each with the right to sell new vehicles.</w:t>
      </w:r>
    </w:p>
    <w:p w14:paraId="50FCE3CF" w14:textId="77777777" w:rsidR="009A4683" w:rsidRPr="009A4683" w:rsidRDefault="009A4683" w:rsidP="009A4683">
      <w:pPr>
        <w:pStyle w:val="Body1"/>
      </w:pPr>
      <w:r w:rsidRPr="009A4683">
        <w:t>Each dealer has a contract with the vehicle distribution company of each of the Stellantis Brands. Nearly 100% of them cooperate with the Seller in the finance and leasing business for vehicles.</w:t>
      </w:r>
    </w:p>
    <w:p w14:paraId="10BC54B2" w14:textId="77777777" w:rsidR="009A4683" w:rsidRPr="009A4683" w:rsidRDefault="009A4683" w:rsidP="009A4683">
      <w:pPr>
        <w:pStyle w:val="Body1"/>
      </w:pPr>
      <w:r w:rsidRPr="009A4683">
        <w:t>To facilitate the Seller's product distribution a dedicated sales-force unit covers the Stellantis dealer network. Their main task is to visit the dealers and to motivate them to sell the full range of financial services and products offered by the Seller.</w:t>
      </w:r>
    </w:p>
    <w:p w14:paraId="2409E8A3" w14:textId="77777777" w:rsidR="009A4683" w:rsidRPr="009A4683" w:rsidRDefault="009A4683" w:rsidP="009A4683">
      <w:pPr>
        <w:pStyle w:val="Body1"/>
      </w:pPr>
      <w:r w:rsidRPr="009A4683">
        <w:t>All the dealers use the Seller's on-line application template to calculate finance, leasing and service offers for their customers, to print the contract for the customer and to transfer all necessary data for the credit approval to the Seller.</w:t>
      </w:r>
    </w:p>
    <w:p w14:paraId="2B2E82FE" w14:textId="77777777" w:rsidR="009A4683" w:rsidRPr="009A4683" w:rsidRDefault="009A4683" w:rsidP="009A4683">
      <w:pPr>
        <w:pStyle w:val="Body1"/>
      </w:pPr>
      <w:r w:rsidRPr="009A4683">
        <w:t>In the origination process of leases, the vehicle dealers always act on behalf of the Seller. For each leased vehicle a separate contract is concluded.</w:t>
      </w:r>
    </w:p>
    <w:p w14:paraId="32641295" w14:textId="77777777" w:rsidR="009A4683" w:rsidRPr="009A4683" w:rsidRDefault="009A4683" w:rsidP="009A4683">
      <w:pPr>
        <w:pStyle w:val="Body1"/>
        <w:rPr>
          <w:b/>
          <w:bCs/>
        </w:rPr>
      </w:pPr>
      <w:r w:rsidRPr="009A4683">
        <w:rPr>
          <w:b/>
          <w:bCs/>
        </w:rPr>
        <w:t>Underwriting and validation of the loan application</w:t>
      </w:r>
    </w:p>
    <w:p w14:paraId="44299C78" w14:textId="77777777" w:rsidR="009A4683" w:rsidRPr="009A4683" w:rsidRDefault="009A4683" w:rsidP="009A4683">
      <w:pPr>
        <w:pStyle w:val="Body1"/>
        <w:rPr>
          <w:b/>
          <w:bCs/>
        </w:rPr>
      </w:pPr>
      <w:r w:rsidRPr="009A4683">
        <w:rPr>
          <w:b/>
          <w:bCs/>
        </w:rPr>
        <w:t>Application Process</w:t>
      </w:r>
    </w:p>
    <w:p w14:paraId="0B64863B" w14:textId="77777777" w:rsidR="009A4683" w:rsidRPr="009A4683" w:rsidRDefault="009A4683" w:rsidP="009A4683">
      <w:pPr>
        <w:pStyle w:val="Body1"/>
      </w:pPr>
      <w:r w:rsidRPr="009A4683">
        <w:t>For a credit application the dealer uses the Seller's online application template. It configurates together with the customer the vehicle, selects the finance product and inputs all customer data. A lot of automatic checks are done by the system during this process. If all data is correct, the data of this application is sent to the Seller.</w:t>
      </w:r>
    </w:p>
    <w:p w14:paraId="2A7E48B9" w14:textId="77777777" w:rsidR="009A4683" w:rsidRPr="009A4683" w:rsidRDefault="009A4683" w:rsidP="009A4683">
      <w:pPr>
        <w:pStyle w:val="Body1"/>
        <w:rPr>
          <w:b/>
          <w:bCs/>
        </w:rPr>
      </w:pPr>
      <w:r w:rsidRPr="009A4683">
        <w:rPr>
          <w:b/>
          <w:bCs/>
        </w:rPr>
        <w:t>Underwriting process</w:t>
      </w:r>
    </w:p>
    <w:p w14:paraId="49B89907" w14:textId="77777777" w:rsidR="009A4683" w:rsidRPr="009A4683" w:rsidRDefault="009A4683" w:rsidP="009A4683">
      <w:pPr>
        <w:pStyle w:val="Body1"/>
      </w:pPr>
      <w:r w:rsidRPr="009A4683">
        <w:t>The credit assessment of loan applications and approvals is done in the underwriting department of the Seller.</w:t>
      </w:r>
    </w:p>
    <w:p w14:paraId="49D387BF" w14:textId="77777777" w:rsidR="009A4683" w:rsidRPr="009A4683" w:rsidRDefault="009A4683" w:rsidP="009A4683">
      <w:pPr>
        <w:pStyle w:val="Body1"/>
      </w:pPr>
      <w:r w:rsidRPr="009A4683">
        <w:t>The sequence of the different processes of underwriting is the following:</w:t>
      </w:r>
    </w:p>
    <w:p w14:paraId="530B7AEF" w14:textId="77777777" w:rsidR="009A4683" w:rsidRPr="009A4683" w:rsidRDefault="009A4683" w:rsidP="009A4683">
      <w:pPr>
        <w:pStyle w:val="Body1"/>
        <w:numPr>
          <w:ilvl w:val="0"/>
          <w:numId w:val="55"/>
        </w:numPr>
      </w:pPr>
      <w:r w:rsidRPr="009A4683">
        <w:t>The application is treated in the department for credit acceptance. For private customers there is an automatic link to the central German customer credit risk database (</w:t>
      </w:r>
      <w:r w:rsidRPr="009A4683">
        <w:rPr>
          <w:i/>
          <w:iCs/>
        </w:rPr>
        <w:t>Schufa</w:t>
      </w:r>
      <w:r w:rsidRPr="009A4683">
        <w:t>). From this database the Seller gets qualitative information about existing credits, use of credit cards etc. For the risk analysis of commercial customers, there is an automatic link to a German enterprises credit risk database (</w:t>
      </w:r>
      <w:r w:rsidRPr="009A4683">
        <w:rPr>
          <w:i/>
          <w:iCs/>
        </w:rPr>
        <w:t>Creditreform</w:t>
      </w:r>
      <w:r w:rsidRPr="009A4683">
        <w:t>) and the Seller also gets additional information from inquiry agencies and banks. External bureau information are never responsible alone for the final decision, the Bank is using internal models and business rules to steer its granting strategy.</w:t>
      </w:r>
    </w:p>
    <w:p w14:paraId="7A7806C6" w14:textId="77777777" w:rsidR="009A4683" w:rsidRPr="009A4683" w:rsidRDefault="009A4683" w:rsidP="009A4683">
      <w:pPr>
        <w:pStyle w:val="Body1"/>
        <w:numPr>
          <w:ilvl w:val="0"/>
          <w:numId w:val="55"/>
        </w:numPr>
      </w:pPr>
      <w:r w:rsidRPr="009A4683">
        <w:t>The IT system checks whether the customer is already existing in the Seller's portfolio.</w:t>
      </w:r>
    </w:p>
    <w:p w14:paraId="69A8E5F8" w14:textId="77777777" w:rsidR="009A4683" w:rsidRPr="009A4683" w:rsidRDefault="009A4683" w:rsidP="009A4683">
      <w:pPr>
        <w:pStyle w:val="Body1"/>
        <w:numPr>
          <w:ilvl w:val="0"/>
          <w:numId w:val="55"/>
        </w:numPr>
      </w:pPr>
      <w:r w:rsidRPr="009A4683">
        <w:t>Based on this information and depending on the results of the scoring system an automatic or manual credit decision is taken for private &amp; commercial customers.</w:t>
      </w:r>
    </w:p>
    <w:p w14:paraId="0F8B47AB" w14:textId="77777777" w:rsidR="009A4683" w:rsidRPr="009A4683" w:rsidRDefault="009A4683" w:rsidP="009A4683">
      <w:pPr>
        <w:pStyle w:val="Body1"/>
      </w:pPr>
      <w:r w:rsidRPr="009A4683">
        <w:t>Manual credit decisions taken by the employees in the acceptance department are always based on written procedures.</w:t>
      </w:r>
    </w:p>
    <w:p w14:paraId="6D49262A" w14:textId="77777777" w:rsidR="009A4683" w:rsidRPr="009A4683" w:rsidRDefault="009A4683" w:rsidP="009A4683">
      <w:pPr>
        <w:pStyle w:val="Body1"/>
      </w:pPr>
      <w:r w:rsidRPr="009A4683">
        <w:t>When the credit decision is taken, the information is immediately available for the dealer online.</w:t>
      </w:r>
    </w:p>
    <w:p w14:paraId="2A49F832" w14:textId="77777777" w:rsidR="009A4683" w:rsidRPr="009A4683" w:rsidRDefault="009A4683" w:rsidP="009A4683">
      <w:pPr>
        <w:pStyle w:val="Body1"/>
      </w:pPr>
      <w:r w:rsidRPr="009A4683">
        <w:t>The dealer then prints out the contract and the customer signs the contract.</w:t>
      </w:r>
    </w:p>
    <w:p w14:paraId="72C34F08" w14:textId="77777777" w:rsidR="009A4683" w:rsidRPr="009A4683" w:rsidRDefault="009A4683" w:rsidP="009A4683">
      <w:pPr>
        <w:pStyle w:val="Body1"/>
      </w:pPr>
      <w:r w:rsidRPr="009A4683">
        <w:lastRenderedPageBreak/>
        <w:t>After having registered the vehicle to the customer, the dealer sends the contract including the original vehicle registration documents to the Seller.</w:t>
      </w:r>
    </w:p>
    <w:p w14:paraId="49BBE0F0" w14:textId="77777777" w:rsidR="009A4683" w:rsidRPr="009A4683" w:rsidRDefault="009A4683" w:rsidP="009A4683">
      <w:pPr>
        <w:pStyle w:val="Body1"/>
      </w:pPr>
      <w:r w:rsidRPr="009A4683">
        <w:t>All documents sent to the Seller are checked and the contract is paid out to the dealer.</w:t>
      </w:r>
    </w:p>
    <w:p w14:paraId="47B13AEB" w14:textId="77777777" w:rsidR="009A4683" w:rsidRPr="009A4683" w:rsidRDefault="009A4683" w:rsidP="009A4683">
      <w:pPr>
        <w:pStyle w:val="Body1"/>
      </w:pPr>
      <w:r w:rsidRPr="009A4683">
        <w:t>After validation all data of the contract are transferred to the contract administration system.</w:t>
      </w:r>
    </w:p>
    <w:p w14:paraId="752E1A24" w14:textId="77777777" w:rsidR="009A4683" w:rsidRPr="009A4683" w:rsidRDefault="009A4683" w:rsidP="009A4683">
      <w:pPr>
        <w:pStyle w:val="Body1"/>
        <w:rPr>
          <w:b/>
          <w:bCs/>
        </w:rPr>
      </w:pPr>
      <w:r w:rsidRPr="009A4683">
        <w:rPr>
          <w:b/>
          <w:bCs/>
        </w:rPr>
        <w:t>Homogeneity</w:t>
      </w:r>
    </w:p>
    <w:p w14:paraId="04ADCFF1" w14:textId="77777777" w:rsidR="009A4683" w:rsidRPr="009A4683" w:rsidRDefault="009A4683" w:rsidP="009A4683">
      <w:pPr>
        <w:pStyle w:val="Body1"/>
      </w:pPr>
      <w:r w:rsidRPr="009A4683">
        <w:rPr>
          <w:bCs/>
        </w:rPr>
        <w:t>For the purposes of Article 20(8) of the EU Securitisation Regulation and Articles 1(a) to (d) of Commission Delegated Regulation (EU) 2019/1851 of 28 May 2019 supplementing Regulation (EU) 2017/2402 of the European Parliament and of the Council with regard to regulatory technical standards on the homogeneity of the underlying exposures in securitisation (the "</w:t>
      </w:r>
      <w:r w:rsidRPr="009A4683">
        <w:rPr>
          <w:b/>
          <w:bCs/>
        </w:rPr>
        <w:t>Homogeneity RTS</w:t>
      </w:r>
      <w:r w:rsidRPr="009A4683">
        <w:rPr>
          <w:bCs/>
        </w:rPr>
        <w:t>")</w:t>
      </w:r>
      <w:r w:rsidRPr="009A4683">
        <w:t>, the Receivables: (i) have been underwritten according to similar underwriting standards, (ii) are serviced according to similar servicing procedures, (iii) fall within the same category of auto loans and leases and (iv) in accordance with the homogeneity factors set forth in Article 20(8) of the EU Securitisation Regulation and Article 2(5)(b) of the Homogeneity RTS, the Lessees are all resident or incorporated in one jurisdiction, being Germany.</w:t>
      </w:r>
    </w:p>
    <w:p w14:paraId="1B0F0394" w14:textId="77777777" w:rsidR="009A4683" w:rsidRPr="009A4683" w:rsidRDefault="009A4683" w:rsidP="009A4683">
      <w:pPr>
        <w:pStyle w:val="Body1"/>
      </w:pPr>
      <w:r w:rsidRPr="009A4683">
        <w:rPr>
          <w:bCs/>
        </w:rPr>
        <w:t>Upon notification of the designation of the Securitisation as compliant with Articles 20 to 22 of the EU Securitisation Regulation, the Servicer further undertakes to the Issuer to disclose to the Noteholders without undue delay any material change to Stellantis Bank's internal policies and procedures in relation to the granting of credit, administration of credit-risk bearing portfolios and risk mitigation which either refer to the similarity of the underwriting standards further specified in the Homogeneity RTS in accordance with Article 20(8) for the EU Securitisation Regulation or changes which materially affect the overall credit risk or expected average performance of the portfolio without resulting in substantially different approaches to the assessment of the credit risk associated with the Receivables.</w:t>
      </w:r>
    </w:p>
    <w:p w14:paraId="2A0912FE" w14:textId="77777777" w:rsidR="009A4683" w:rsidRPr="009A4683" w:rsidRDefault="009A4683" w:rsidP="009A4683">
      <w:pPr>
        <w:pStyle w:val="Body1"/>
        <w:rPr>
          <w:b/>
          <w:bCs/>
        </w:rPr>
      </w:pPr>
      <w:r w:rsidRPr="009A4683">
        <w:rPr>
          <w:b/>
          <w:bCs/>
        </w:rPr>
        <w:t>Risk assessment</w:t>
      </w:r>
    </w:p>
    <w:p w14:paraId="392A6607" w14:textId="77777777" w:rsidR="009A4683" w:rsidRPr="009A4683" w:rsidRDefault="009A4683" w:rsidP="009A4683">
      <w:pPr>
        <w:pStyle w:val="Body1"/>
        <w:rPr>
          <w:b/>
          <w:bCs/>
        </w:rPr>
      </w:pPr>
      <w:r w:rsidRPr="009A4683">
        <w:rPr>
          <w:b/>
          <w:bCs/>
        </w:rPr>
        <w:t>Credit Scoring System</w:t>
      </w:r>
    </w:p>
    <w:p w14:paraId="2A98E686" w14:textId="77777777" w:rsidR="009A4683" w:rsidRPr="009A4683" w:rsidRDefault="009A4683" w:rsidP="009A4683">
      <w:pPr>
        <w:pStyle w:val="Body1"/>
      </w:pPr>
      <w:r w:rsidRPr="009A4683">
        <w:t>The scoring system has been developed by the Seller together with the risk department of former Banque PSA Finance SA. The Seller is using different score cards for private/commercial customers, new/used vehicles, loans/leasing contracts. The performance of the score cards is reviewed regularly The scoring system for private customers is based on many criteria and filters, including certain customer data (profession, date of job beginning, type of housing, income, family status, information of central risk data base (</w:t>
      </w:r>
      <w:r w:rsidRPr="009A4683">
        <w:rPr>
          <w:i/>
          <w:iCs/>
        </w:rPr>
        <w:t>Schufa</w:t>
      </w:r>
      <w:r w:rsidRPr="009A4683">
        <w:t>), period of time since the customer has been a client of the bank, debt ratio and data relating to the financed vehicle (new/used vehicle, vehicle price, down payment, age of vehicle).</w:t>
      </w:r>
    </w:p>
    <w:p w14:paraId="46D05D33" w14:textId="77777777" w:rsidR="009A4683" w:rsidRPr="009A4683" w:rsidRDefault="009A4683" w:rsidP="009A4683">
      <w:pPr>
        <w:pStyle w:val="Body1"/>
      </w:pPr>
      <w:r w:rsidRPr="009A4683">
        <w:t>The score cards for private customers have three (3) zones: Green, Orange and Red:</w:t>
      </w:r>
    </w:p>
    <w:p w14:paraId="4294420C" w14:textId="77777777" w:rsidR="009A4683" w:rsidRPr="009A4683" w:rsidRDefault="009A4683" w:rsidP="009A4683">
      <w:pPr>
        <w:pStyle w:val="Body1"/>
      </w:pPr>
      <w:r w:rsidRPr="009A4683">
        <w:t>Green: If a contract for a private customer is scored "Green", the credit decision is taken automatically by the IT system.</w:t>
      </w:r>
    </w:p>
    <w:p w14:paraId="4CB69C01" w14:textId="77777777" w:rsidR="009A4683" w:rsidRPr="009A4683" w:rsidRDefault="009A4683" w:rsidP="009A4683">
      <w:pPr>
        <w:pStyle w:val="Body1"/>
      </w:pPr>
      <w:r w:rsidRPr="009A4683">
        <w:t>Orange and Red: The credit decision is taken manually by the employees in the department for credit acceptance.</w:t>
      </w:r>
    </w:p>
    <w:p w14:paraId="148B9D72" w14:textId="77777777" w:rsidR="009A4683" w:rsidRPr="009A4683" w:rsidRDefault="009A4683" w:rsidP="009A4683">
      <w:pPr>
        <w:pStyle w:val="Body1"/>
      </w:pPr>
      <w:r w:rsidRPr="009A4683">
        <w:t>The performance of the scoring system is monitored regularly. Eventual changes are based on the results of regular internal risk committees and detailed statistical analysis.</w:t>
      </w:r>
    </w:p>
    <w:p w14:paraId="4B23D20A" w14:textId="77777777" w:rsidR="009A4683" w:rsidRPr="009A4683" w:rsidRDefault="009A4683" w:rsidP="009A4683">
      <w:pPr>
        <w:pStyle w:val="Body1"/>
      </w:pPr>
      <w:r w:rsidRPr="009A4683">
        <w:t>All proposals for modifications are discussed with the expert teams for the scoring systems before final validation.</w:t>
      </w:r>
    </w:p>
    <w:p w14:paraId="383DA93E" w14:textId="77777777" w:rsidR="009A4683" w:rsidRDefault="009A4683" w:rsidP="009A4683">
      <w:pPr>
        <w:pStyle w:val="Body1"/>
      </w:pPr>
      <w:r w:rsidRPr="009A4683">
        <w:t>For the manual credit decision, the level of decision making of the employees in the acceptance department depends on years of experience and their professional skills. All the employees of the department for credit acceptance participate in regular internal and external credit training. Credit demands with a higher risk profile have to be decided by two votes, one from front office (department of credit acceptance) and one from back office (department of risk retail).</w:t>
      </w:r>
    </w:p>
    <w:p w14:paraId="49C5CF29" w14:textId="77777777" w:rsidR="009A4683" w:rsidRPr="009A4683" w:rsidRDefault="009A4683" w:rsidP="009A4683">
      <w:pPr>
        <w:pStyle w:val="Body1"/>
      </w:pPr>
    </w:p>
    <w:p w14:paraId="309280AC" w14:textId="77777777" w:rsidR="009A4683" w:rsidRPr="009A4683" w:rsidRDefault="009A4683" w:rsidP="009A4683">
      <w:pPr>
        <w:pStyle w:val="Body1"/>
        <w:rPr>
          <w:b/>
          <w:bCs/>
        </w:rPr>
      </w:pPr>
      <w:r w:rsidRPr="009A4683">
        <w:rPr>
          <w:b/>
          <w:bCs/>
        </w:rPr>
        <w:t>Lease receivables administration and collection and residual value realisation process</w:t>
      </w:r>
    </w:p>
    <w:p w14:paraId="7F5F1575" w14:textId="77777777" w:rsidR="009A4683" w:rsidRPr="009A4683" w:rsidRDefault="009A4683" w:rsidP="009A4683">
      <w:pPr>
        <w:pStyle w:val="Body1"/>
        <w:rPr>
          <w:b/>
          <w:bCs/>
        </w:rPr>
      </w:pPr>
      <w:r w:rsidRPr="009A4683">
        <w:rPr>
          <w:b/>
          <w:bCs/>
        </w:rPr>
        <w:lastRenderedPageBreak/>
        <w:t>Collection Policy</w:t>
      </w:r>
    </w:p>
    <w:p w14:paraId="7DC71493" w14:textId="77777777" w:rsidR="009A4683" w:rsidRPr="009A4683" w:rsidRDefault="009A4683" w:rsidP="009A4683">
      <w:pPr>
        <w:pStyle w:val="Body1"/>
      </w:pPr>
      <w:r w:rsidRPr="009A4683">
        <w:t>Once a Lease Agreement has been entered into, it will be transferred to Stellantis Bank’s Customer Service department. This department monitors the relevant lease agreement. Direct debit is the preferred method of collection. However, as part of the collections policy and arrears management other methods of payment may be employed.</w:t>
      </w:r>
    </w:p>
    <w:p w14:paraId="596D3AF8" w14:textId="77777777" w:rsidR="009A4683" w:rsidRPr="009A4683" w:rsidRDefault="009A4683" w:rsidP="009A4683">
      <w:pPr>
        <w:pStyle w:val="Body1"/>
      </w:pPr>
      <w:r w:rsidRPr="009A4683">
        <w:t>If any payments or other proceeds are received by Stellantis Bank in respect of any lease receivable (other than a Purchased Lease Receivable) owed by a debtor (unless the debtor has indicated with respect to a payment to which receivable such payment should be allocated), such payments or proceeds will be allocated to the receivables outstanding under all loans and leases made by Stellantis Bank to such debtor in accordance with section 366 (2) of the German Civil Code (</w:t>
      </w:r>
      <w:r w:rsidRPr="009A4683">
        <w:rPr>
          <w:i/>
          <w:iCs/>
        </w:rPr>
        <w:t>Bürgerliches Gesetzbuch</w:t>
      </w:r>
      <w:r w:rsidRPr="009A4683">
        <w:t>).</w:t>
      </w:r>
    </w:p>
    <w:p w14:paraId="4E7C27C4" w14:textId="77777777" w:rsidR="009A4683" w:rsidRPr="009A4683" w:rsidRDefault="009A4683" w:rsidP="009A4683">
      <w:pPr>
        <w:pStyle w:val="Body1"/>
        <w:rPr>
          <w:b/>
          <w:bCs/>
        </w:rPr>
      </w:pPr>
      <w:r w:rsidRPr="009A4683">
        <w:rPr>
          <w:b/>
          <w:bCs/>
        </w:rPr>
        <w:t>Servicing</w:t>
      </w:r>
    </w:p>
    <w:p w14:paraId="0C0E64B8" w14:textId="77777777" w:rsidR="009A4683" w:rsidRPr="009A4683" w:rsidRDefault="009A4683" w:rsidP="009A4683">
      <w:pPr>
        <w:pStyle w:val="Body1"/>
      </w:pPr>
      <w:r w:rsidRPr="009A4683">
        <w:t>Stellantis Bank’s customer centre is taking care of the customers’ requests, the inbound calls from sales partners and customers as well as the post and scanning work and the vehicle title administration. The main tasks of the customer centre are the processing of all loan and lease on Stellantis Bank’s IT system as well as the processing of written and telephone transactions for example the change of address or bank account details, prepayment requests from the customer, change of payment dates, all kind of insurance matters and the correspondence with lawyers, debt consulters and legal representatives</w:t>
      </w:r>
    </w:p>
    <w:p w14:paraId="1F3AAA82" w14:textId="77777777" w:rsidR="009A4683" w:rsidRPr="009A4683" w:rsidRDefault="009A4683" w:rsidP="009A4683">
      <w:pPr>
        <w:pStyle w:val="Body1"/>
        <w:rPr>
          <w:b/>
          <w:bCs/>
        </w:rPr>
      </w:pPr>
      <w:r w:rsidRPr="009A4683">
        <w:rPr>
          <w:b/>
          <w:bCs/>
        </w:rPr>
        <w:t>Regular Lease Payments</w:t>
      </w:r>
    </w:p>
    <w:p w14:paraId="28ABF187" w14:textId="77777777" w:rsidR="009A4683" w:rsidRPr="009A4683" w:rsidRDefault="009A4683" w:rsidP="009A4683">
      <w:pPr>
        <w:pStyle w:val="Body1"/>
      </w:pPr>
      <w:r w:rsidRPr="009A4683">
        <w:t>The Lessee pays constant, monthly lease instalments over the full term of the lease agreement. At contract maturity, the lessee returns of the car to the respective dealer and the dealer pays the full Residual Value to Stellantis Bank. If the dealer and the lessee come to an agreement among themselves the process ends here. If this is not the case, the steps described below (Residual Value Realisation) take effect.</w:t>
      </w:r>
    </w:p>
    <w:p w14:paraId="675D99A3" w14:textId="77777777" w:rsidR="009A4683" w:rsidRPr="009A4683" w:rsidRDefault="009A4683" w:rsidP="009A4683">
      <w:pPr>
        <w:pStyle w:val="Body1"/>
        <w:rPr>
          <w:b/>
          <w:bCs/>
        </w:rPr>
      </w:pPr>
      <w:r w:rsidRPr="009A4683">
        <w:rPr>
          <w:b/>
          <w:bCs/>
        </w:rPr>
        <w:t>Residual Value Realisation</w:t>
      </w:r>
    </w:p>
    <w:p w14:paraId="0CDBFB01" w14:textId="77777777" w:rsidR="009A4683" w:rsidRPr="009A4683" w:rsidRDefault="009A4683" w:rsidP="009A4683">
      <w:pPr>
        <w:pStyle w:val="Body1"/>
      </w:pPr>
      <w:r w:rsidRPr="009A4683">
        <w:t>Stellantis Bank has different options to realise the Residual Value of a car at maturity of a Lease Agreement. It may utilise the Leased Vehicle Put Option or it may decide to sell the car elsewhere.</w:t>
      </w:r>
    </w:p>
    <w:p w14:paraId="6E390158" w14:textId="77777777" w:rsidR="009A4683" w:rsidRPr="009A4683" w:rsidRDefault="009A4683" w:rsidP="009A4683">
      <w:pPr>
        <w:pStyle w:val="Body1"/>
      </w:pPr>
      <w:r w:rsidRPr="009A4683">
        <w:t xml:space="preserve">The option most widely used is the utilisation of the Leased Vehicle Put Option under which </w:t>
      </w:r>
      <w:bookmarkStart w:id="108" w:name="_Hlk174022244"/>
      <w:r w:rsidRPr="009A4683">
        <w:t xml:space="preserve">Stellantis </w:t>
      </w:r>
      <w:bookmarkEnd w:id="108"/>
      <w:r w:rsidRPr="009A4683">
        <w:t>Bank returns the title of the car to the dealer and as a first step receives from such dealer the full residual value as described under the section "Regular Lease Payments" above.</w:t>
      </w:r>
    </w:p>
    <w:p w14:paraId="1BF57EB6" w14:textId="77777777" w:rsidR="009A4683" w:rsidRPr="009A4683" w:rsidRDefault="009A4683" w:rsidP="009A4683">
      <w:pPr>
        <w:pStyle w:val="Body1"/>
      </w:pPr>
      <w:r w:rsidRPr="009A4683">
        <w:t>In a second step, if the dealer and the lessee do not agree and conclude otherwise, a professional, certified appraiser appraises the car. Stellantis Bank based on this appraisal produces a final invoice or in certain cases a credit note, which cover (i) in case of Kilometre Contracts over/under-mileage, damages, and wear beyond normal signs of use and (ii) in case of RW Contracts the difference between contractual residual value and appraise residual value. The contract comes to a regular end after the Lessee has paid this final invoice.</w:t>
      </w:r>
    </w:p>
    <w:p w14:paraId="340ADBC4" w14:textId="77777777" w:rsidR="009A4683" w:rsidRPr="009A4683" w:rsidRDefault="009A4683" w:rsidP="009A4683">
      <w:pPr>
        <w:pStyle w:val="Body1"/>
      </w:pPr>
      <w:r w:rsidRPr="009A4683">
        <w:t>For Kilometre Contracts Stellantis Bank collects the lessee receivables on behalf of the dealer. For RW Contracts Stellantis Bank itself has an independent claim against the lessee, which is re-transferred from the Car Dealer to Stellantis Bank, upon issuance of a credit note by Stellantis Bank to the dealer, which corresponds to the final lessee invoice.</w:t>
      </w:r>
    </w:p>
    <w:p w14:paraId="1F9DCB44" w14:textId="77777777" w:rsidR="009A4683" w:rsidRPr="009A4683" w:rsidRDefault="009A4683" w:rsidP="009A4683">
      <w:pPr>
        <w:pStyle w:val="Body1"/>
      </w:pPr>
      <w:r w:rsidRPr="009A4683">
        <w:t>If the re-purchasing dealer no longer exists, or is no longer part of Stellantis network, Stellantis Bank will pursue one of the following steps with the goal to realise the Residual Value. These steps are (i) transfer the Leased Vehicle Put Option to another dealer in the group, or (ii) sell the car to the lessee, or (iii) sell the car over a specialised auction platform.</w:t>
      </w:r>
    </w:p>
    <w:p w14:paraId="038BBA1C" w14:textId="77777777" w:rsidR="009A4683" w:rsidRPr="009A4683" w:rsidRDefault="009A4683" w:rsidP="009A4683">
      <w:pPr>
        <w:pStyle w:val="Body1"/>
      </w:pPr>
      <w:r w:rsidRPr="009A4683">
        <w:t>In case of Kilometre Contracts Stellantis Bank receives the full contractual residual value when the car is returned to the dealer at lease maturity. With payment of the contractual residual value all claims of Stellantis Bank against the lessee are transferred to the dealer. Stellantis Bank may collect claims against the Lessee, if any, on behalf of the dealer. This service however is performed under a separate arrangement and is not part of the securitised contract.</w:t>
      </w:r>
    </w:p>
    <w:p w14:paraId="226F85D0" w14:textId="77777777" w:rsidR="009A4683" w:rsidRPr="009A4683" w:rsidRDefault="009A4683" w:rsidP="009A4683">
      <w:pPr>
        <w:pStyle w:val="Body1"/>
        <w:rPr>
          <w:b/>
          <w:bCs/>
        </w:rPr>
      </w:pPr>
      <w:r w:rsidRPr="009A4683">
        <w:rPr>
          <w:b/>
          <w:bCs/>
        </w:rPr>
        <w:t>Modification Procedures</w:t>
      </w:r>
    </w:p>
    <w:p w14:paraId="2B6D3489" w14:textId="77777777" w:rsidR="009A4683" w:rsidRPr="009A4683" w:rsidRDefault="009A4683" w:rsidP="009A4683">
      <w:pPr>
        <w:pStyle w:val="Body1"/>
      </w:pPr>
      <w:r w:rsidRPr="009A4683">
        <w:lastRenderedPageBreak/>
        <w:t>Upon request of a lessee under a performing lease Stellantis Bank and the Dealer may jointly agree to modify such lease agreement on the basis of communication with the respective lessee and a due credit analysis when  the mileage is lower or higher than originally calculated. In this case the duration of the contract, the monthly instalment and / or the Residual Value will be recalculated in agreement with all participants.</w:t>
      </w:r>
    </w:p>
    <w:p w14:paraId="1785398C" w14:textId="77777777" w:rsidR="009A4683" w:rsidRPr="009A4683" w:rsidRDefault="009A4683" w:rsidP="009A4683">
      <w:pPr>
        <w:pStyle w:val="Body1"/>
      </w:pPr>
      <w:r w:rsidRPr="009A4683">
        <w:t>Where the new car (new contract) cannot be delivered in time by the make, the existing contract may be prolonged and the lessee might drive the old car until the new one is available (normally no longer than 6 months). In this case the residual value will also be recalculated.</w:t>
      </w:r>
    </w:p>
    <w:p w14:paraId="6CFD782A" w14:textId="77777777" w:rsidR="009A4683" w:rsidRPr="009A4683" w:rsidRDefault="009A4683" w:rsidP="009A4683">
      <w:pPr>
        <w:pStyle w:val="Body1"/>
      </w:pPr>
      <w:r w:rsidRPr="009A4683">
        <w:t>In case of the lessee’s temporary incapacity to pay the monthly instalment (treatment of unpaid contracts), instalments may be deferred only up to three months while the deferred amount is distributed over the remaining instalments, maturity date and Residual Value remain unchanged.</w:t>
      </w:r>
    </w:p>
    <w:p w14:paraId="52F7C7F6" w14:textId="77777777" w:rsidR="009A4683" w:rsidRPr="009A4683" w:rsidRDefault="009A4683" w:rsidP="009A4683">
      <w:pPr>
        <w:pStyle w:val="Body1"/>
      </w:pPr>
      <w:r w:rsidRPr="009A4683">
        <w:t>The maximum duration of a leasing contract of 60 months also applies to recalculated contracts; only in exceptional cases longer durations can be approved by Stellantis Bank’s management according to the competence policy.</w:t>
      </w:r>
    </w:p>
    <w:p w14:paraId="06BF0701" w14:textId="77777777" w:rsidR="009A4683" w:rsidRPr="009A4683" w:rsidRDefault="009A4683" w:rsidP="009A4683">
      <w:pPr>
        <w:pStyle w:val="Body1"/>
        <w:rPr>
          <w:b/>
          <w:bCs/>
        </w:rPr>
      </w:pPr>
      <w:r w:rsidRPr="009A4683">
        <w:rPr>
          <w:b/>
          <w:bCs/>
        </w:rPr>
        <w:t xml:space="preserve">Dunning and Enforcement </w:t>
      </w:r>
    </w:p>
    <w:p w14:paraId="697C74A6" w14:textId="77777777" w:rsidR="009A4683" w:rsidRPr="009A4683" w:rsidRDefault="009A4683" w:rsidP="009A4683">
      <w:pPr>
        <w:pStyle w:val="Body1"/>
      </w:pPr>
      <w:r w:rsidRPr="009A4683">
        <w:t>If a contract becomes delinquent by the rejection of direct debit or a non-payment of the customer, the contract is treated by the automatic "RAA" process. The customer receives the first reminder letter with the information of the rejection and an automatic second direct debit is made 15 days after the due date. In case of no successes of the 2</w:t>
      </w:r>
      <w:r w:rsidRPr="009A4683">
        <w:rPr>
          <w:vertAlign w:val="superscript"/>
        </w:rPr>
        <w:t>nd</w:t>
      </w:r>
      <w:r w:rsidRPr="009A4683">
        <w:t xml:space="preserve"> direct debit the process of telephone collection starts. Latest on 61</w:t>
      </w:r>
      <w:r w:rsidRPr="009A4683">
        <w:rPr>
          <w:vertAlign w:val="superscript"/>
        </w:rPr>
        <w:t>st</w:t>
      </w:r>
      <w:r w:rsidRPr="009A4683">
        <w:t xml:space="preserve"> day unpaid the treatment by the prelitigation team starts and the "official" second reminder is sent. On 75</w:t>
      </w:r>
      <w:r w:rsidRPr="009A4683">
        <w:rPr>
          <w:vertAlign w:val="superscript"/>
        </w:rPr>
        <w:t>th</w:t>
      </w:r>
      <w:r w:rsidRPr="009A4683">
        <w:t xml:space="preserve"> day unpaid a "pre" termination letter is sent to customer and if no contact possible the case is transfer to the special clerks "field collection" or then to external field collection agencies to find solutions on site with the customer or repossess the vehicle (latest on 90</w:t>
      </w:r>
      <w:r w:rsidRPr="009A4683">
        <w:rPr>
          <w:vertAlign w:val="superscript"/>
        </w:rPr>
        <w:t>th</w:t>
      </w:r>
      <w:r w:rsidRPr="009A4683">
        <w:t xml:space="preserve"> day).</w:t>
      </w:r>
    </w:p>
    <w:p w14:paraId="6693E27D" w14:textId="77777777" w:rsidR="009A4683" w:rsidRPr="009A4683" w:rsidRDefault="009A4683" w:rsidP="009A4683">
      <w:pPr>
        <w:pStyle w:val="Body1"/>
      </w:pPr>
      <w:r w:rsidRPr="009A4683">
        <w:t>If the customer needs a renegotiation of his contract, this is done in the same IT System (EKIP). The decision to make a renegotiation of the contract for unpaid accounts is taken by the employees of the collection department based on the internal procedures and the situation of the customer. Renegotiation can take the form of (i) an extension under the same terms and conditions of the loan (a payment holiday) or (ii) a re-write of the loan under different terms and conditions.</w:t>
      </w:r>
    </w:p>
    <w:p w14:paraId="5264BB9D" w14:textId="77777777" w:rsidR="009A4683" w:rsidRPr="009A4683" w:rsidRDefault="009A4683" w:rsidP="009A4683">
      <w:pPr>
        <w:pStyle w:val="Body1"/>
      </w:pPr>
      <w:r w:rsidRPr="009A4683">
        <w:t>In case of repossession of a Leased Vehicle, the external field collector takes back the vehicle and transfers it to a Stellantis vehicle dealer. A report about the condition of the vehicle and its market value is set by an external expert. Then the vehicle is offered to several dealers via an online auction platform to obtain the best price. The minimum price is always the market value estimation of the external expert.</w:t>
      </w:r>
    </w:p>
    <w:p w14:paraId="7D7E4694" w14:textId="77777777" w:rsidR="009A4683" w:rsidRPr="009A4683" w:rsidRDefault="009A4683" w:rsidP="009A4683">
      <w:pPr>
        <w:pStyle w:val="Body1"/>
      </w:pPr>
      <w:r w:rsidRPr="009A4683">
        <w:t>The decision to transfer a contract with a delay of payment less than 150 days according to local German accounting rules principles to the default portfolio is taken by the head of the delinquency department and signed by the responsible managing director. All delinquent contracts with a delay of payment of 150 days or more are transferred to the default portfolio automatically.</w:t>
      </w:r>
    </w:p>
    <w:p w14:paraId="7066A615" w14:textId="77777777" w:rsidR="009A4683" w:rsidRPr="009A4683" w:rsidRDefault="009A4683" w:rsidP="009A4683">
      <w:pPr>
        <w:pStyle w:val="Body1"/>
      </w:pPr>
      <w:r w:rsidRPr="009A4683">
        <w:t>Immediately after the transfer to default, the legal department of the Seller will take all necessary measures to recover the default amount.</w:t>
      </w:r>
    </w:p>
    <w:p w14:paraId="2CFE5975" w14:textId="77777777" w:rsidR="009A4683" w:rsidRPr="009A4683" w:rsidRDefault="009A4683" w:rsidP="009A4683">
      <w:pPr>
        <w:pStyle w:val="Body1"/>
      </w:pPr>
      <w:r w:rsidRPr="009A4683">
        <w:t>If deemed appropriate, the Seller may decide to transfer defaulted contracts to specialised external contractors to recover any outstanding amount.</w:t>
      </w:r>
    </w:p>
    <w:p w14:paraId="34BAB1A6" w14:textId="77777777" w:rsidR="009A4683" w:rsidRPr="009A4683" w:rsidRDefault="009A4683" w:rsidP="009A4683">
      <w:pPr>
        <w:pStyle w:val="Body1"/>
        <w:rPr>
          <w:b/>
          <w:bCs/>
        </w:rPr>
      </w:pPr>
      <w:r w:rsidRPr="009A4683">
        <w:rPr>
          <w:b/>
          <w:bCs/>
        </w:rPr>
        <w:t xml:space="preserve">Write-Off (WO) Policy </w:t>
      </w:r>
    </w:p>
    <w:p w14:paraId="793E0677" w14:textId="77777777" w:rsidR="009A4683" w:rsidRPr="009A4683" w:rsidRDefault="009A4683" w:rsidP="009A4683">
      <w:pPr>
        <w:pStyle w:val="Body1"/>
      </w:pPr>
      <w:r w:rsidRPr="009A4683">
        <w:t>If a contract is not fully settled no later than 36 months after termination, the remaining claim will be written off as a collectible claim and processed further. In case of insolvency the claim will also be written off as a collectible claim until the customer is released (RSB=</w:t>
      </w:r>
      <w:r w:rsidRPr="009A4683">
        <w:rPr>
          <w:i/>
          <w:iCs/>
        </w:rPr>
        <w:t>Restschuldbefreiung</w:t>
      </w:r>
      <w:r w:rsidRPr="009A4683">
        <w:t>) as well as customers going abroad without enforcement options. All new WO will get a separate booking status in EKIP (CTX) and the whole outstanding will be monitored monthly to have an overview of the portfolio for a potential BDS (Bad Debt Sales). Non-claimable contracts will be written off after the strict rules following the order of competencies. Reasons for being classified as non-claimable are:</w:t>
      </w:r>
    </w:p>
    <w:p w14:paraId="5B8B0947" w14:textId="77777777" w:rsidR="009A4683" w:rsidRPr="009A4683" w:rsidRDefault="009A4683" w:rsidP="009A4683">
      <w:pPr>
        <w:pStyle w:val="Body1"/>
      </w:pPr>
      <w:r w:rsidRPr="009A4683">
        <w:t>• Lost litigation</w:t>
      </w:r>
    </w:p>
    <w:p w14:paraId="7FEFC0FB" w14:textId="77777777" w:rsidR="009A4683" w:rsidRPr="009A4683" w:rsidRDefault="009A4683" w:rsidP="009A4683">
      <w:pPr>
        <w:pStyle w:val="Body1"/>
      </w:pPr>
      <w:r w:rsidRPr="009A4683">
        <w:lastRenderedPageBreak/>
        <w:t>• Death case without heir</w:t>
      </w:r>
    </w:p>
    <w:p w14:paraId="2BCB555F" w14:textId="77777777" w:rsidR="009A4683" w:rsidRPr="009A4683" w:rsidRDefault="009A4683" w:rsidP="009A4683">
      <w:pPr>
        <w:pStyle w:val="Body1"/>
      </w:pPr>
      <w:r w:rsidRPr="009A4683">
        <w:t>• Remaining claim after paid settlement (</w:t>
      </w:r>
      <w:r w:rsidRPr="009A4683">
        <w:rPr>
          <w:i/>
          <w:iCs/>
        </w:rPr>
        <w:t>Vergleich</w:t>
      </w:r>
      <w:r w:rsidRPr="009A4683">
        <w:t>)</w:t>
      </w:r>
    </w:p>
    <w:p w14:paraId="3296DE7A" w14:textId="77777777" w:rsidR="009A4683" w:rsidRPr="009A4683" w:rsidRDefault="009A4683" w:rsidP="009A4683">
      <w:pPr>
        <w:pStyle w:val="Body1"/>
      </w:pPr>
      <w:r w:rsidRPr="009A4683">
        <w:t>• Corporation expired without guarantor</w:t>
      </w:r>
    </w:p>
    <w:p w14:paraId="070CC07B" w14:textId="60E1B44D" w:rsidR="009A4683" w:rsidRDefault="009A4683" w:rsidP="009A4683">
      <w:pPr>
        <w:pStyle w:val="Body1"/>
      </w:pPr>
      <w:r w:rsidRPr="009A4683">
        <w:t>All WO are checked and approved monthly by the manager and the non-claimable WO will be separated from the claimable portfolio by a special contract status</w:t>
      </w:r>
    </w:p>
    <w:p w14:paraId="3600E10F" w14:textId="1ED907CB" w:rsidR="009F6E91" w:rsidRPr="00D427D8" w:rsidRDefault="009F6E91" w:rsidP="00171041">
      <w:pPr>
        <w:pStyle w:val="Body1"/>
        <w:rPr>
          <w:szCs w:val="19"/>
        </w:rPr>
      </w:pPr>
      <w:r w:rsidRPr="00D427D8">
        <w:br w:type="page"/>
      </w:r>
    </w:p>
    <w:p w14:paraId="5AC6C6A0" w14:textId="36BFBFFA" w:rsidR="009F6E91" w:rsidRPr="00D427D8" w:rsidRDefault="00DA42C8" w:rsidP="00DA42C8">
      <w:pPr>
        <w:pStyle w:val="Body1"/>
        <w:rPr>
          <w:rStyle w:val="Heading1Text"/>
        </w:rPr>
      </w:pPr>
      <w:r w:rsidRPr="00D427D8">
        <w:rPr>
          <w:rStyle w:val="Heading1Text"/>
        </w:rPr>
        <w:lastRenderedPageBreak/>
        <w:t>Characteristics of the Receivables</w:t>
      </w:r>
    </w:p>
    <w:p w14:paraId="16BEE196" w14:textId="54742486" w:rsidR="009F6E91" w:rsidRDefault="009F6E91" w:rsidP="009F6E91">
      <w:pPr>
        <w:pStyle w:val="Body1"/>
      </w:pPr>
      <w:r w:rsidRPr="00D427D8">
        <w:t xml:space="preserve">The Receivables that will be sold by the Seller to the Issuer derive from Lease Agreements in respect of new and used vehicles originated by the Seller and the corresponding expectancy right. The below tables show the preliminary eligible portfolio as of </w:t>
      </w:r>
      <w:r w:rsidR="006F5CD6">
        <w:t>4 April 2025</w:t>
      </w:r>
      <w:r w:rsidRPr="00D427D8">
        <w:t>.</w:t>
      </w:r>
    </w:p>
    <w:tbl>
      <w:tblPr>
        <w:tblW w:w="7480" w:type="dxa"/>
        <w:tblCellMar>
          <w:left w:w="70" w:type="dxa"/>
          <w:right w:w="70" w:type="dxa"/>
        </w:tblCellMar>
        <w:tblLook w:val="04A0" w:firstRow="1" w:lastRow="0" w:firstColumn="1" w:lastColumn="0" w:noHBand="0" w:noVBand="1"/>
      </w:tblPr>
      <w:tblGrid>
        <w:gridCol w:w="5620"/>
        <w:gridCol w:w="1860"/>
      </w:tblGrid>
      <w:tr w:rsidR="006A523F" w:rsidRPr="006A523F" w14:paraId="254445BF" w14:textId="77777777" w:rsidTr="006A523F">
        <w:trPr>
          <w:trHeight w:val="2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D643F"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Number of Underlying Agreements</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6C4B713E"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66,463.00 </w:t>
            </w:r>
          </w:p>
        </w:tc>
      </w:tr>
      <w:tr w:rsidR="006A523F" w:rsidRPr="006A523F" w14:paraId="52157B75"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7346B5B" w14:textId="77777777" w:rsidR="006A523F" w:rsidRPr="003B6A20" w:rsidRDefault="006A523F" w:rsidP="006A523F">
            <w:pPr>
              <w:spacing w:line="240" w:lineRule="auto"/>
              <w:jc w:val="left"/>
              <w:rPr>
                <w:rFonts w:ascii="Aptos Narrow" w:hAnsi="Aptos Narrow"/>
                <w:color w:val="000000"/>
                <w:sz w:val="16"/>
                <w:szCs w:val="16"/>
                <w:lang w:val="en-US" w:eastAsia="de-DE"/>
              </w:rPr>
            </w:pPr>
            <w:r w:rsidRPr="003B6A20">
              <w:rPr>
                <w:rFonts w:ascii="Aptos Narrow" w:hAnsi="Aptos Narrow"/>
                <w:color w:val="000000"/>
                <w:sz w:val="16"/>
                <w:szCs w:val="16"/>
                <w:lang w:val="en-US" w:eastAsia="de-DE"/>
              </w:rPr>
              <w:t>Total current Aggregate Non-Discounted Principal Balance</w:t>
            </w:r>
          </w:p>
        </w:tc>
        <w:tc>
          <w:tcPr>
            <w:tcW w:w="1860" w:type="dxa"/>
            <w:tcBorders>
              <w:top w:val="nil"/>
              <w:left w:val="nil"/>
              <w:bottom w:val="single" w:sz="4" w:space="0" w:color="auto"/>
              <w:right w:val="single" w:sz="4" w:space="0" w:color="auto"/>
            </w:tcBorders>
            <w:shd w:val="clear" w:color="auto" w:fill="auto"/>
            <w:noWrap/>
            <w:vAlign w:val="bottom"/>
            <w:hideMark/>
          </w:tcPr>
          <w:p w14:paraId="41075A06"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3B6A20">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1,313,091,709.55 </w:t>
            </w:r>
          </w:p>
        </w:tc>
      </w:tr>
      <w:tr w:rsidR="006A523F" w:rsidRPr="006A523F" w14:paraId="075AD740"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D2E2B32" w14:textId="77777777" w:rsidR="006A523F" w:rsidRPr="003B6A20" w:rsidRDefault="006A523F" w:rsidP="006A523F">
            <w:pPr>
              <w:spacing w:line="240" w:lineRule="auto"/>
              <w:jc w:val="left"/>
              <w:rPr>
                <w:rFonts w:ascii="Aptos Narrow" w:hAnsi="Aptos Narrow"/>
                <w:color w:val="000000"/>
                <w:sz w:val="16"/>
                <w:szCs w:val="16"/>
                <w:lang w:val="en-US" w:eastAsia="de-DE"/>
              </w:rPr>
            </w:pPr>
            <w:r w:rsidRPr="003B6A20">
              <w:rPr>
                <w:rFonts w:ascii="Aptos Narrow" w:hAnsi="Aptos Narrow"/>
                <w:color w:val="000000"/>
                <w:sz w:val="16"/>
                <w:szCs w:val="16"/>
                <w:lang w:val="en-US" w:eastAsia="de-DE"/>
              </w:rPr>
              <w:t>Total current Aggregate Discounted Principal Balance</w:t>
            </w:r>
          </w:p>
        </w:tc>
        <w:tc>
          <w:tcPr>
            <w:tcW w:w="1860" w:type="dxa"/>
            <w:tcBorders>
              <w:top w:val="nil"/>
              <w:left w:val="nil"/>
              <w:bottom w:val="single" w:sz="4" w:space="0" w:color="auto"/>
              <w:right w:val="single" w:sz="4" w:space="0" w:color="auto"/>
            </w:tcBorders>
            <w:shd w:val="clear" w:color="auto" w:fill="auto"/>
            <w:noWrap/>
            <w:vAlign w:val="bottom"/>
            <w:hideMark/>
          </w:tcPr>
          <w:p w14:paraId="0F3BE207"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3B6A20">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1,239,997,050.34 </w:t>
            </w:r>
          </w:p>
        </w:tc>
      </w:tr>
      <w:tr w:rsidR="006A523F" w:rsidRPr="006A523F" w14:paraId="695ECE31"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3006846"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Average Current Discounted Principal Balance</w:t>
            </w:r>
          </w:p>
        </w:tc>
        <w:tc>
          <w:tcPr>
            <w:tcW w:w="1860" w:type="dxa"/>
            <w:tcBorders>
              <w:top w:val="nil"/>
              <w:left w:val="nil"/>
              <w:bottom w:val="single" w:sz="4" w:space="0" w:color="auto"/>
              <w:right w:val="single" w:sz="4" w:space="0" w:color="auto"/>
            </w:tcBorders>
            <w:shd w:val="clear" w:color="auto" w:fill="auto"/>
            <w:noWrap/>
            <w:vAlign w:val="bottom"/>
            <w:hideMark/>
          </w:tcPr>
          <w:p w14:paraId="01AD1DD9"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18,656.95 </w:t>
            </w:r>
          </w:p>
        </w:tc>
      </w:tr>
      <w:tr w:rsidR="006A523F" w:rsidRPr="006A523F" w14:paraId="2EE21551"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5192F20"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Minimum current Discounted Principal Balance</w:t>
            </w:r>
          </w:p>
        </w:tc>
        <w:tc>
          <w:tcPr>
            <w:tcW w:w="1860" w:type="dxa"/>
            <w:tcBorders>
              <w:top w:val="nil"/>
              <w:left w:val="nil"/>
              <w:bottom w:val="single" w:sz="4" w:space="0" w:color="auto"/>
              <w:right w:val="single" w:sz="4" w:space="0" w:color="auto"/>
            </w:tcBorders>
            <w:shd w:val="clear" w:color="auto" w:fill="auto"/>
            <w:noWrap/>
            <w:vAlign w:val="bottom"/>
            <w:hideMark/>
          </w:tcPr>
          <w:p w14:paraId="6231E319"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1,583.53 </w:t>
            </w:r>
          </w:p>
        </w:tc>
      </w:tr>
      <w:tr w:rsidR="006A523F" w:rsidRPr="006A523F" w14:paraId="7A0279CE"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32589919" w14:textId="77777777" w:rsidR="006A523F" w:rsidRPr="003B6A20" w:rsidRDefault="006A523F" w:rsidP="006A523F">
            <w:pPr>
              <w:spacing w:line="240" w:lineRule="auto"/>
              <w:jc w:val="left"/>
              <w:rPr>
                <w:rFonts w:ascii="Aptos Narrow" w:hAnsi="Aptos Narrow"/>
                <w:color w:val="000000"/>
                <w:sz w:val="16"/>
                <w:szCs w:val="16"/>
                <w:lang w:val="en-US" w:eastAsia="de-DE"/>
              </w:rPr>
            </w:pPr>
            <w:r w:rsidRPr="003B6A20">
              <w:rPr>
                <w:rFonts w:ascii="Aptos Narrow" w:hAnsi="Aptos Narrow"/>
                <w:color w:val="000000"/>
                <w:sz w:val="16"/>
                <w:szCs w:val="16"/>
                <w:lang w:val="en-US" w:eastAsia="de-DE"/>
              </w:rPr>
              <w:t>Maximum current Discounted Principal Balance</w:t>
            </w:r>
          </w:p>
        </w:tc>
        <w:tc>
          <w:tcPr>
            <w:tcW w:w="1860" w:type="dxa"/>
            <w:tcBorders>
              <w:top w:val="nil"/>
              <w:left w:val="nil"/>
              <w:bottom w:val="single" w:sz="4" w:space="0" w:color="auto"/>
              <w:right w:val="single" w:sz="4" w:space="0" w:color="auto"/>
            </w:tcBorders>
            <w:shd w:val="clear" w:color="auto" w:fill="auto"/>
            <w:noWrap/>
            <w:vAlign w:val="bottom"/>
            <w:hideMark/>
          </w:tcPr>
          <w:p w14:paraId="0BF6114D"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3B6A20">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74,744.58 </w:t>
            </w:r>
          </w:p>
        </w:tc>
      </w:tr>
      <w:tr w:rsidR="006A523F" w:rsidRPr="006A523F" w14:paraId="604B4148"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C07D4F0"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Weighted Average Discount Rate</w:t>
            </w:r>
          </w:p>
        </w:tc>
        <w:tc>
          <w:tcPr>
            <w:tcW w:w="1860" w:type="dxa"/>
            <w:tcBorders>
              <w:top w:val="nil"/>
              <w:left w:val="nil"/>
              <w:bottom w:val="single" w:sz="4" w:space="0" w:color="auto"/>
              <w:right w:val="single" w:sz="4" w:space="0" w:color="auto"/>
            </w:tcBorders>
            <w:shd w:val="clear" w:color="auto" w:fill="auto"/>
            <w:noWrap/>
            <w:vAlign w:val="bottom"/>
            <w:hideMark/>
          </w:tcPr>
          <w:p w14:paraId="6380D3D3" w14:textId="77777777" w:rsidR="006A523F" w:rsidRPr="006A523F" w:rsidRDefault="006A523F" w:rsidP="006A523F">
            <w:pPr>
              <w:spacing w:line="240" w:lineRule="auto"/>
              <w:jc w:val="righ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6.25%</w:t>
            </w:r>
          </w:p>
        </w:tc>
      </w:tr>
      <w:tr w:rsidR="006A523F" w:rsidRPr="006A523F" w14:paraId="148A9483"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2145C1F"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Minimum Discount Rate</w:t>
            </w:r>
          </w:p>
        </w:tc>
        <w:tc>
          <w:tcPr>
            <w:tcW w:w="1860" w:type="dxa"/>
            <w:tcBorders>
              <w:top w:val="nil"/>
              <w:left w:val="nil"/>
              <w:bottom w:val="single" w:sz="4" w:space="0" w:color="auto"/>
              <w:right w:val="single" w:sz="4" w:space="0" w:color="auto"/>
            </w:tcBorders>
            <w:shd w:val="clear" w:color="auto" w:fill="auto"/>
            <w:noWrap/>
            <w:vAlign w:val="bottom"/>
            <w:hideMark/>
          </w:tcPr>
          <w:p w14:paraId="221ED97F" w14:textId="77777777" w:rsidR="006A523F" w:rsidRPr="006A523F" w:rsidRDefault="006A523F" w:rsidP="006A523F">
            <w:pPr>
              <w:spacing w:line="240" w:lineRule="auto"/>
              <w:jc w:val="righ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0.01%</w:t>
            </w:r>
          </w:p>
        </w:tc>
      </w:tr>
      <w:tr w:rsidR="006A523F" w:rsidRPr="006A523F" w14:paraId="36C40136"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37021FC"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Maximum Discount Rate</w:t>
            </w:r>
          </w:p>
        </w:tc>
        <w:tc>
          <w:tcPr>
            <w:tcW w:w="1860" w:type="dxa"/>
            <w:tcBorders>
              <w:top w:val="nil"/>
              <w:left w:val="nil"/>
              <w:bottom w:val="single" w:sz="4" w:space="0" w:color="auto"/>
              <w:right w:val="single" w:sz="4" w:space="0" w:color="auto"/>
            </w:tcBorders>
            <w:shd w:val="clear" w:color="auto" w:fill="auto"/>
            <w:noWrap/>
            <w:vAlign w:val="bottom"/>
            <w:hideMark/>
          </w:tcPr>
          <w:p w14:paraId="1FD48376" w14:textId="77777777" w:rsidR="006A523F" w:rsidRPr="006A523F" w:rsidRDefault="006A523F" w:rsidP="006A523F">
            <w:pPr>
              <w:spacing w:line="240" w:lineRule="auto"/>
              <w:jc w:val="righ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10.99%</w:t>
            </w:r>
          </w:p>
        </w:tc>
      </w:tr>
      <w:tr w:rsidR="006A523F" w:rsidRPr="006A523F" w14:paraId="00A2BF9D"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86F4910" w14:textId="77777777" w:rsidR="006A523F" w:rsidRPr="006F5CD6" w:rsidRDefault="006A523F" w:rsidP="006A523F">
            <w:pPr>
              <w:spacing w:line="240" w:lineRule="auto"/>
              <w:jc w:val="left"/>
              <w:rPr>
                <w:rFonts w:ascii="Aptos Narrow" w:hAnsi="Aptos Narrow"/>
                <w:color w:val="000000"/>
                <w:sz w:val="16"/>
                <w:szCs w:val="16"/>
                <w:lang w:val="en-US" w:eastAsia="de-DE"/>
              </w:rPr>
            </w:pPr>
            <w:r w:rsidRPr="006F5CD6">
              <w:rPr>
                <w:rFonts w:ascii="Aptos Narrow" w:hAnsi="Aptos Narrow"/>
                <w:color w:val="000000"/>
                <w:sz w:val="16"/>
                <w:szCs w:val="16"/>
                <w:lang w:val="en-US" w:eastAsia="de-DE"/>
              </w:rPr>
              <w:t>Weighted Average Scheduled Remaining Term (months)</w:t>
            </w:r>
          </w:p>
        </w:tc>
        <w:tc>
          <w:tcPr>
            <w:tcW w:w="1860" w:type="dxa"/>
            <w:tcBorders>
              <w:top w:val="nil"/>
              <w:left w:val="nil"/>
              <w:bottom w:val="single" w:sz="4" w:space="0" w:color="auto"/>
              <w:right w:val="single" w:sz="4" w:space="0" w:color="auto"/>
            </w:tcBorders>
            <w:shd w:val="clear" w:color="auto" w:fill="auto"/>
            <w:noWrap/>
            <w:vAlign w:val="bottom"/>
            <w:hideMark/>
          </w:tcPr>
          <w:p w14:paraId="0052B97E"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F5CD6">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26.65 </w:t>
            </w:r>
          </w:p>
        </w:tc>
      </w:tr>
      <w:tr w:rsidR="006A523F" w:rsidRPr="006A523F" w14:paraId="67F01AD2"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E9D9D49" w14:textId="77777777" w:rsidR="006A523F" w:rsidRPr="006F5CD6" w:rsidRDefault="006A523F" w:rsidP="006A523F">
            <w:pPr>
              <w:spacing w:line="240" w:lineRule="auto"/>
              <w:jc w:val="left"/>
              <w:rPr>
                <w:rFonts w:ascii="Aptos Narrow" w:hAnsi="Aptos Narrow"/>
                <w:color w:val="000000"/>
                <w:sz w:val="16"/>
                <w:szCs w:val="16"/>
                <w:lang w:val="en-US" w:eastAsia="de-DE"/>
              </w:rPr>
            </w:pPr>
            <w:r w:rsidRPr="006F5CD6">
              <w:rPr>
                <w:rFonts w:ascii="Aptos Narrow" w:hAnsi="Aptos Narrow"/>
                <w:color w:val="000000"/>
                <w:sz w:val="16"/>
                <w:szCs w:val="16"/>
                <w:lang w:val="en-US" w:eastAsia="de-DE"/>
              </w:rPr>
              <w:t>Minimum Scheduled Remaining Term (months)</w:t>
            </w:r>
          </w:p>
        </w:tc>
        <w:tc>
          <w:tcPr>
            <w:tcW w:w="1860" w:type="dxa"/>
            <w:tcBorders>
              <w:top w:val="nil"/>
              <w:left w:val="nil"/>
              <w:bottom w:val="single" w:sz="4" w:space="0" w:color="auto"/>
              <w:right w:val="single" w:sz="4" w:space="0" w:color="auto"/>
            </w:tcBorders>
            <w:shd w:val="clear" w:color="auto" w:fill="auto"/>
            <w:noWrap/>
            <w:vAlign w:val="bottom"/>
            <w:hideMark/>
          </w:tcPr>
          <w:p w14:paraId="7FA7EB05"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F5CD6">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6.00 </w:t>
            </w:r>
          </w:p>
        </w:tc>
      </w:tr>
      <w:tr w:rsidR="006A523F" w:rsidRPr="006A523F" w14:paraId="78CD9D3B"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0141DBCF" w14:textId="77777777" w:rsidR="006A523F" w:rsidRPr="006F5CD6" w:rsidRDefault="006A523F" w:rsidP="006A523F">
            <w:pPr>
              <w:spacing w:line="240" w:lineRule="auto"/>
              <w:jc w:val="left"/>
              <w:rPr>
                <w:rFonts w:ascii="Aptos Narrow" w:hAnsi="Aptos Narrow"/>
                <w:color w:val="000000"/>
                <w:sz w:val="16"/>
                <w:szCs w:val="16"/>
                <w:lang w:val="en-US" w:eastAsia="de-DE"/>
              </w:rPr>
            </w:pPr>
            <w:r w:rsidRPr="006F5CD6">
              <w:rPr>
                <w:rFonts w:ascii="Aptos Narrow" w:hAnsi="Aptos Narrow"/>
                <w:color w:val="000000"/>
                <w:sz w:val="16"/>
                <w:szCs w:val="16"/>
                <w:lang w:val="en-US" w:eastAsia="de-DE"/>
              </w:rPr>
              <w:t>Maximum Scheduled Remaining Term (months)</w:t>
            </w:r>
          </w:p>
        </w:tc>
        <w:tc>
          <w:tcPr>
            <w:tcW w:w="1860" w:type="dxa"/>
            <w:tcBorders>
              <w:top w:val="nil"/>
              <w:left w:val="nil"/>
              <w:bottom w:val="single" w:sz="4" w:space="0" w:color="auto"/>
              <w:right w:val="single" w:sz="4" w:space="0" w:color="auto"/>
            </w:tcBorders>
            <w:shd w:val="clear" w:color="auto" w:fill="auto"/>
            <w:noWrap/>
            <w:vAlign w:val="bottom"/>
            <w:hideMark/>
          </w:tcPr>
          <w:p w14:paraId="569A4ECB"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F5CD6">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59.00 </w:t>
            </w:r>
          </w:p>
        </w:tc>
      </w:tr>
      <w:tr w:rsidR="006A523F" w:rsidRPr="006A523F" w14:paraId="49078323"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0315E3C9"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Minimum Original Maturity (months)</w:t>
            </w:r>
          </w:p>
        </w:tc>
        <w:tc>
          <w:tcPr>
            <w:tcW w:w="1860" w:type="dxa"/>
            <w:tcBorders>
              <w:top w:val="nil"/>
              <w:left w:val="nil"/>
              <w:bottom w:val="single" w:sz="4" w:space="0" w:color="auto"/>
              <w:right w:val="single" w:sz="4" w:space="0" w:color="auto"/>
            </w:tcBorders>
            <w:shd w:val="clear" w:color="auto" w:fill="auto"/>
            <w:noWrap/>
            <w:vAlign w:val="bottom"/>
            <w:hideMark/>
          </w:tcPr>
          <w:p w14:paraId="79D05987"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8.00 </w:t>
            </w:r>
          </w:p>
        </w:tc>
      </w:tr>
      <w:tr w:rsidR="006A523F" w:rsidRPr="006A523F" w14:paraId="6F7DD7AB"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03EA045"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Maximum Original Maturity (months)</w:t>
            </w:r>
          </w:p>
        </w:tc>
        <w:tc>
          <w:tcPr>
            <w:tcW w:w="1860" w:type="dxa"/>
            <w:tcBorders>
              <w:top w:val="nil"/>
              <w:left w:val="nil"/>
              <w:bottom w:val="single" w:sz="4" w:space="0" w:color="auto"/>
              <w:right w:val="single" w:sz="4" w:space="0" w:color="auto"/>
            </w:tcBorders>
            <w:shd w:val="clear" w:color="auto" w:fill="auto"/>
            <w:noWrap/>
            <w:vAlign w:val="bottom"/>
            <w:hideMark/>
          </w:tcPr>
          <w:p w14:paraId="3D9746A4"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60.00 </w:t>
            </w:r>
          </w:p>
        </w:tc>
      </w:tr>
      <w:tr w:rsidR="006A523F" w:rsidRPr="006A523F" w14:paraId="0F57728E"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9C7B002"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Weighted Average Seasoning (months)</w:t>
            </w:r>
          </w:p>
        </w:tc>
        <w:tc>
          <w:tcPr>
            <w:tcW w:w="1860" w:type="dxa"/>
            <w:tcBorders>
              <w:top w:val="nil"/>
              <w:left w:val="nil"/>
              <w:bottom w:val="single" w:sz="4" w:space="0" w:color="auto"/>
              <w:right w:val="single" w:sz="4" w:space="0" w:color="auto"/>
            </w:tcBorders>
            <w:shd w:val="clear" w:color="auto" w:fill="auto"/>
            <w:noWrap/>
            <w:vAlign w:val="bottom"/>
            <w:hideMark/>
          </w:tcPr>
          <w:p w14:paraId="0CB8245B"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15.55 </w:t>
            </w:r>
          </w:p>
        </w:tc>
      </w:tr>
      <w:tr w:rsidR="006A523F" w:rsidRPr="006A523F" w14:paraId="09EDDDFA"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8D26D9B"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Minimum Seasoning (months)</w:t>
            </w:r>
          </w:p>
        </w:tc>
        <w:tc>
          <w:tcPr>
            <w:tcW w:w="1860" w:type="dxa"/>
            <w:tcBorders>
              <w:top w:val="nil"/>
              <w:left w:val="nil"/>
              <w:bottom w:val="single" w:sz="4" w:space="0" w:color="auto"/>
              <w:right w:val="single" w:sz="4" w:space="0" w:color="auto"/>
            </w:tcBorders>
            <w:shd w:val="clear" w:color="auto" w:fill="auto"/>
            <w:noWrap/>
            <w:vAlign w:val="bottom"/>
            <w:hideMark/>
          </w:tcPr>
          <w:p w14:paraId="2BC399BE"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1.00 </w:t>
            </w:r>
          </w:p>
        </w:tc>
      </w:tr>
      <w:tr w:rsidR="006A523F" w:rsidRPr="006A523F" w14:paraId="28C51027"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05696C08"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Maximum Seasoning (months)</w:t>
            </w:r>
          </w:p>
        </w:tc>
        <w:tc>
          <w:tcPr>
            <w:tcW w:w="1860" w:type="dxa"/>
            <w:tcBorders>
              <w:top w:val="nil"/>
              <w:left w:val="nil"/>
              <w:bottom w:val="single" w:sz="4" w:space="0" w:color="auto"/>
              <w:right w:val="single" w:sz="4" w:space="0" w:color="auto"/>
            </w:tcBorders>
            <w:shd w:val="clear" w:color="auto" w:fill="auto"/>
            <w:noWrap/>
            <w:vAlign w:val="bottom"/>
            <w:hideMark/>
          </w:tcPr>
          <w:p w14:paraId="386228D4"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52.00 </w:t>
            </w:r>
          </w:p>
        </w:tc>
      </w:tr>
      <w:tr w:rsidR="006A523F" w:rsidRPr="006A523F" w14:paraId="0B902871"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B09786B" w14:textId="77777777" w:rsidR="006A523F" w:rsidRPr="006F5CD6" w:rsidRDefault="006A523F" w:rsidP="006A523F">
            <w:pPr>
              <w:spacing w:line="240" w:lineRule="auto"/>
              <w:jc w:val="left"/>
              <w:rPr>
                <w:rFonts w:ascii="Aptos Narrow" w:hAnsi="Aptos Narrow"/>
                <w:color w:val="000000"/>
                <w:sz w:val="16"/>
                <w:szCs w:val="16"/>
                <w:lang w:val="en-US" w:eastAsia="de-DE"/>
              </w:rPr>
            </w:pPr>
            <w:r w:rsidRPr="006F5CD6">
              <w:rPr>
                <w:rFonts w:ascii="Aptos Narrow" w:hAnsi="Aptos Narrow"/>
                <w:color w:val="000000"/>
                <w:sz w:val="16"/>
                <w:szCs w:val="16"/>
                <w:lang w:val="en-US" w:eastAsia="de-DE"/>
              </w:rPr>
              <w:t>Direct Debit by Aggregate Discounted Principal Balance</w:t>
            </w:r>
          </w:p>
        </w:tc>
        <w:tc>
          <w:tcPr>
            <w:tcW w:w="1860" w:type="dxa"/>
            <w:tcBorders>
              <w:top w:val="nil"/>
              <w:left w:val="nil"/>
              <w:bottom w:val="single" w:sz="4" w:space="0" w:color="auto"/>
              <w:right w:val="single" w:sz="4" w:space="0" w:color="auto"/>
            </w:tcBorders>
            <w:shd w:val="clear" w:color="auto" w:fill="auto"/>
            <w:noWrap/>
            <w:vAlign w:val="bottom"/>
            <w:hideMark/>
          </w:tcPr>
          <w:p w14:paraId="255D68F4" w14:textId="77777777" w:rsidR="006A523F" w:rsidRPr="006A523F" w:rsidRDefault="006A523F" w:rsidP="006A523F">
            <w:pPr>
              <w:spacing w:line="240" w:lineRule="auto"/>
              <w:jc w:val="righ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99.83%</w:t>
            </w:r>
          </w:p>
        </w:tc>
      </w:tr>
      <w:tr w:rsidR="006A523F" w:rsidRPr="006A523F" w14:paraId="5CDD54D5"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346C3BB0" w14:textId="77777777" w:rsidR="006A523F" w:rsidRPr="006F5CD6" w:rsidRDefault="006A523F" w:rsidP="006A523F">
            <w:pPr>
              <w:spacing w:line="240" w:lineRule="auto"/>
              <w:jc w:val="left"/>
              <w:rPr>
                <w:rFonts w:ascii="Aptos Narrow" w:hAnsi="Aptos Narrow"/>
                <w:color w:val="000000"/>
                <w:sz w:val="16"/>
                <w:szCs w:val="16"/>
                <w:lang w:val="en-US" w:eastAsia="de-DE"/>
              </w:rPr>
            </w:pPr>
            <w:r w:rsidRPr="006F5CD6">
              <w:rPr>
                <w:rFonts w:ascii="Aptos Narrow" w:hAnsi="Aptos Narrow"/>
                <w:color w:val="000000"/>
                <w:sz w:val="16"/>
                <w:szCs w:val="16"/>
                <w:lang w:val="en-US" w:eastAsia="de-DE"/>
              </w:rPr>
              <w:t>Percentage of Portfolio - New Vehicles</w:t>
            </w:r>
          </w:p>
        </w:tc>
        <w:tc>
          <w:tcPr>
            <w:tcW w:w="1860" w:type="dxa"/>
            <w:tcBorders>
              <w:top w:val="nil"/>
              <w:left w:val="nil"/>
              <w:bottom w:val="single" w:sz="4" w:space="0" w:color="auto"/>
              <w:right w:val="single" w:sz="4" w:space="0" w:color="auto"/>
            </w:tcBorders>
            <w:shd w:val="clear" w:color="auto" w:fill="auto"/>
            <w:noWrap/>
            <w:vAlign w:val="bottom"/>
            <w:hideMark/>
          </w:tcPr>
          <w:p w14:paraId="373A911A" w14:textId="77777777" w:rsidR="006A523F" w:rsidRPr="006A523F" w:rsidRDefault="006A523F" w:rsidP="006A523F">
            <w:pPr>
              <w:spacing w:line="240" w:lineRule="auto"/>
              <w:jc w:val="righ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70.27%</w:t>
            </w:r>
          </w:p>
        </w:tc>
      </w:tr>
      <w:tr w:rsidR="006A523F" w:rsidRPr="006A523F" w14:paraId="46F6518F"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320C46AC" w14:textId="77777777" w:rsidR="006A523F" w:rsidRPr="006F5CD6" w:rsidRDefault="006A523F" w:rsidP="006A523F">
            <w:pPr>
              <w:spacing w:line="240" w:lineRule="auto"/>
              <w:jc w:val="left"/>
              <w:rPr>
                <w:rFonts w:ascii="Aptos Narrow" w:hAnsi="Aptos Narrow"/>
                <w:color w:val="000000"/>
                <w:sz w:val="16"/>
                <w:szCs w:val="16"/>
                <w:lang w:val="en-US" w:eastAsia="de-DE"/>
              </w:rPr>
            </w:pPr>
            <w:r w:rsidRPr="006F5CD6">
              <w:rPr>
                <w:rFonts w:ascii="Aptos Narrow" w:hAnsi="Aptos Narrow"/>
                <w:color w:val="000000"/>
                <w:sz w:val="16"/>
                <w:szCs w:val="16"/>
                <w:lang w:val="en-US" w:eastAsia="de-DE"/>
              </w:rPr>
              <w:t>Percentage of Portfolio - Used  Vehicles</w:t>
            </w:r>
          </w:p>
        </w:tc>
        <w:tc>
          <w:tcPr>
            <w:tcW w:w="1860" w:type="dxa"/>
            <w:tcBorders>
              <w:top w:val="nil"/>
              <w:left w:val="nil"/>
              <w:bottom w:val="single" w:sz="4" w:space="0" w:color="auto"/>
              <w:right w:val="single" w:sz="4" w:space="0" w:color="auto"/>
            </w:tcBorders>
            <w:shd w:val="clear" w:color="auto" w:fill="auto"/>
            <w:noWrap/>
            <w:vAlign w:val="bottom"/>
            <w:hideMark/>
          </w:tcPr>
          <w:p w14:paraId="1BFFFF6A" w14:textId="77777777" w:rsidR="006A523F" w:rsidRPr="006A523F" w:rsidRDefault="006A523F" w:rsidP="006A523F">
            <w:pPr>
              <w:spacing w:line="240" w:lineRule="auto"/>
              <w:jc w:val="righ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29.73%</w:t>
            </w:r>
          </w:p>
        </w:tc>
      </w:tr>
      <w:tr w:rsidR="006A523F" w:rsidRPr="006A523F" w14:paraId="16FBFB1B"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2A3C2CC" w14:textId="77777777" w:rsidR="006A523F" w:rsidRPr="006F5CD6" w:rsidRDefault="006A523F" w:rsidP="006A523F">
            <w:pPr>
              <w:spacing w:line="240" w:lineRule="auto"/>
              <w:jc w:val="left"/>
              <w:rPr>
                <w:rFonts w:ascii="Aptos Narrow" w:hAnsi="Aptos Narrow"/>
                <w:color w:val="000000"/>
                <w:sz w:val="16"/>
                <w:szCs w:val="16"/>
                <w:lang w:val="en-US" w:eastAsia="de-DE"/>
              </w:rPr>
            </w:pPr>
            <w:r w:rsidRPr="006F5CD6">
              <w:rPr>
                <w:rFonts w:ascii="Aptos Narrow" w:hAnsi="Aptos Narrow"/>
                <w:color w:val="000000"/>
                <w:sz w:val="16"/>
                <w:szCs w:val="16"/>
                <w:lang w:val="en-US" w:eastAsia="de-DE"/>
              </w:rPr>
              <w:t>Percentage of Portfolio - KM Leases</w:t>
            </w:r>
          </w:p>
        </w:tc>
        <w:tc>
          <w:tcPr>
            <w:tcW w:w="1860" w:type="dxa"/>
            <w:tcBorders>
              <w:top w:val="nil"/>
              <w:left w:val="nil"/>
              <w:bottom w:val="single" w:sz="4" w:space="0" w:color="auto"/>
              <w:right w:val="single" w:sz="4" w:space="0" w:color="auto"/>
            </w:tcBorders>
            <w:shd w:val="clear" w:color="auto" w:fill="auto"/>
            <w:noWrap/>
            <w:vAlign w:val="bottom"/>
            <w:hideMark/>
          </w:tcPr>
          <w:p w14:paraId="0F7502E0" w14:textId="77777777" w:rsidR="006A523F" w:rsidRPr="006A523F" w:rsidRDefault="006A523F" w:rsidP="006A523F">
            <w:pPr>
              <w:spacing w:line="240" w:lineRule="auto"/>
              <w:jc w:val="righ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86.55%</w:t>
            </w:r>
          </w:p>
        </w:tc>
      </w:tr>
      <w:tr w:rsidR="006A523F" w:rsidRPr="006A523F" w14:paraId="48F9DBB8" w14:textId="77777777" w:rsidTr="006A523F">
        <w:trPr>
          <w:trHeight w:val="2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BDD0955" w14:textId="77777777" w:rsidR="006A523F" w:rsidRPr="006F5CD6" w:rsidRDefault="006A523F" w:rsidP="006A523F">
            <w:pPr>
              <w:spacing w:line="240" w:lineRule="auto"/>
              <w:jc w:val="left"/>
              <w:rPr>
                <w:rFonts w:ascii="Aptos Narrow" w:hAnsi="Aptos Narrow"/>
                <w:color w:val="000000"/>
                <w:sz w:val="16"/>
                <w:szCs w:val="16"/>
                <w:lang w:val="en-US" w:eastAsia="de-DE"/>
              </w:rPr>
            </w:pPr>
            <w:r w:rsidRPr="006F5CD6">
              <w:rPr>
                <w:rFonts w:ascii="Aptos Narrow" w:hAnsi="Aptos Narrow"/>
                <w:color w:val="000000"/>
                <w:sz w:val="16"/>
                <w:szCs w:val="16"/>
                <w:lang w:val="en-US" w:eastAsia="de-DE"/>
              </w:rPr>
              <w:t>Percentage of Portfolio - RW Leases</w:t>
            </w:r>
          </w:p>
        </w:tc>
        <w:tc>
          <w:tcPr>
            <w:tcW w:w="1860" w:type="dxa"/>
            <w:tcBorders>
              <w:top w:val="nil"/>
              <w:left w:val="nil"/>
              <w:bottom w:val="single" w:sz="4" w:space="0" w:color="auto"/>
              <w:right w:val="single" w:sz="4" w:space="0" w:color="auto"/>
            </w:tcBorders>
            <w:shd w:val="clear" w:color="auto" w:fill="auto"/>
            <w:noWrap/>
            <w:vAlign w:val="bottom"/>
            <w:hideMark/>
          </w:tcPr>
          <w:p w14:paraId="49BBE981" w14:textId="77777777" w:rsidR="006A523F" w:rsidRPr="006A523F" w:rsidRDefault="006A523F" w:rsidP="006A523F">
            <w:pPr>
              <w:spacing w:line="240" w:lineRule="auto"/>
              <w:jc w:val="righ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13.45%</w:t>
            </w:r>
          </w:p>
        </w:tc>
      </w:tr>
    </w:tbl>
    <w:p w14:paraId="26AC09E4" w14:textId="77777777" w:rsidR="000D0E23" w:rsidRDefault="000D0E23" w:rsidP="009F6E91">
      <w:pPr>
        <w:pStyle w:val="Body1"/>
      </w:pPr>
    </w:p>
    <w:p w14:paraId="6C8B1F0A" w14:textId="38C7A699" w:rsidR="000D0E23" w:rsidRDefault="000D0E23" w:rsidP="000D0E23">
      <w:pPr>
        <w:pStyle w:val="Body1"/>
      </w:pPr>
      <w:r>
        <w:t>1.</w:t>
      </w:r>
      <w:r>
        <w:tab/>
      </w:r>
      <w:r w:rsidRPr="000D0E23">
        <w:rPr>
          <w:b/>
          <w:bCs/>
        </w:rPr>
        <w:t>New and Used</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075462BB"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96BC7"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xml:space="preserve">New and Used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7089B9D"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046CCA6"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725C476"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EEEB9A2"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21BED16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B5C627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New</w:t>
            </w:r>
          </w:p>
        </w:tc>
        <w:tc>
          <w:tcPr>
            <w:tcW w:w="1000" w:type="pct"/>
            <w:tcBorders>
              <w:top w:val="nil"/>
              <w:left w:val="nil"/>
              <w:bottom w:val="single" w:sz="4" w:space="0" w:color="auto"/>
              <w:right w:val="single" w:sz="4" w:space="0" w:color="auto"/>
            </w:tcBorders>
            <w:shd w:val="clear" w:color="auto" w:fill="auto"/>
            <w:vAlign w:val="bottom"/>
            <w:hideMark/>
          </w:tcPr>
          <w:p w14:paraId="323A7AD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45,403</w:t>
            </w:r>
          </w:p>
        </w:tc>
        <w:tc>
          <w:tcPr>
            <w:tcW w:w="1000" w:type="pct"/>
            <w:tcBorders>
              <w:top w:val="nil"/>
              <w:left w:val="nil"/>
              <w:bottom w:val="single" w:sz="4" w:space="0" w:color="auto"/>
              <w:right w:val="single" w:sz="4" w:space="0" w:color="auto"/>
            </w:tcBorders>
            <w:shd w:val="clear" w:color="auto" w:fill="auto"/>
            <w:vAlign w:val="bottom"/>
            <w:hideMark/>
          </w:tcPr>
          <w:p w14:paraId="0886B35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68.31%</w:t>
            </w:r>
          </w:p>
        </w:tc>
        <w:tc>
          <w:tcPr>
            <w:tcW w:w="1000" w:type="pct"/>
            <w:tcBorders>
              <w:top w:val="nil"/>
              <w:left w:val="nil"/>
              <w:bottom w:val="single" w:sz="4" w:space="0" w:color="auto"/>
              <w:right w:val="single" w:sz="4" w:space="0" w:color="auto"/>
            </w:tcBorders>
            <w:shd w:val="clear" w:color="auto" w:fill="auto"/>
            <w:vAlign w:val="bottom"/>
            <w:hideMark/>
          </w:tcPr>
          <w:p w14:paraId="329ADD6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871,372,959</w:t>
            </w:r>
          </w:p>
        </w:tc>
        <w:tc>
          <w:tcPr>
            <w:tcW w:w="1000" w:type="pct"/>
            <w:tcBorders>
              <w:top w:val="nil"/>
              <w:left w:val="nil"/>
              <w:bottom w:val="single" w:sz="4" w:space="0" w:color="auto"/>
              <w:right w:val="single" w:sz="4" w:space="0" w:color="auto"/>
            </w:tcBorders>
            <w:shd w:val="clear" w:color="auto" w:fill="auto"/>
            <w:vAlign w:val="bottom"/>
            <w:hideMark/>
          </w:tcPr>
          <w:p w14:paraId="7A2CBF9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70.27%</w:t>
            </w:r>
          </w:p>
        </w:tc>
      </w:tr>
      <w:tr w:rsidR="006A523F" w:rsidRPr="006A523F" w14:paraId="6E75C20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0745C9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w:t>
            </w:r>
          </w:p>
        </w:tc>
        <w:tc>
          <w:tcPr>
            <w:tcW w:w="1000" w:type="pct"/>
            <w:tcBorders>
              <w:top w:val="nil"/>
              <w:left w:val="nil"/>
              <w:bottom w:val="single" w:sz="4" w:space="0" w:color="auto"/>
              <w:right w:val="single" w:sz="4" w:space="0" w:color="auto"/>
            </w:tcBorders>
            <w:shd w:val="clear" w:color="auto" w:fill="auto"/>
            <w:vAlign w:val="bottom"/>
            <w:hideMark/>
          </w:tcPr>
          <w:p w14:paraId="7B12116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21,060</w:t>
            </w:r>
          </w:p>
        </w:tc>
        <w:tc>
          <w:tcPr>
            <w:tcW w:w="1000" w:type="pct"/>
            <w:tcBorders>
              <w:top w:val="nil"/>
              <w:left w:val="nil"/>
              <w:bottom w:val="single" w:sz="4" w:space="0" w:color="auto"/>
              <w:right w:val="single" w:sz="4" w:space="0" w:color="auto"/>
            </w:tcBorders>
            <w:shd w:val="clear" w:color="auto" w:fill="auto"/>
            <w:vAlign w:val="bottom"/>
            <w:hideMark/>
          </w:tcPr>
          <w:p w14:paraId="7F33A8B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31.69%</w:t>
            </w:r>
          </w:p>
        </w:tc>
        <w:tc>
          <w:tcPr>
            <w:tcW w:w="1000" w:type="pct"/>
            <w:tcBorders>
              <w:top w:val="nil"/>
              <w:left w:val="nil"/>
              <w:bottom w:val="single" w:sz="4" w:space="0" w:color="auto"/>
              <w:right w:val="single" w:sz="4" w:space="0" w:color="auto"/>
            </w:tcBorders>
            <w:shd w:val="clear" w:color="auto" w:fill="auto"/>
            <w:vAlign w:val="bottom"/>
            <w:hideMark/>
          </w:tcPr>
          <w:p w14:paraId="7BDC42C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368,624,091</w:t>
            </w:r>
          </w:p>
        </w:tc>
        <w:tc>
          <w:tcPr>
            <w:tcW w:w="1000" w:type="pct"/>
            <w:tcBorders>
              <w:top w:val="nil"/>
              <w:left w:val="nil"/>
              <w:bottom w:val="single" w:sz="4" w:space="0" w:color="auto"/>
              <w:right w:val="single" w:sz="4" w:space="0" w:color="auto"/>
            </w:tcBorders>
            <w:shd w:val="clear" w:color="auto" w:fill="auto"/>
            <w:vAlign w:val="bottom"/>
            <w:hideMark/>
          </w:tcPr>
          <w:p w14:paraId="4BFAC57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29.73%</w:t>
            </w:r>
          </w:p>
        </w:tc>
      </w:tr>
      <w:tr w:rsidR="006A523F" w:rsidRPr="006A523F" w14:paraId="58FE39FD"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6A1DDBD"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7AC468E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5BF996E6"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111ED0E5"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6640A4C6"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0E23B63D" w14:textId="77777777" w:rsidR="000D0E23" w:rsidRDefault="000D0E23" w:rsidP="000D0E23">
      <w:pPr>
        <w:pStyle w:val="Body1"/>
      </w:pPr>
    </w:p>
    <w:p w14:paraId="287309E2" w14:textId="6BE0109B" w:rsidR="000D0E23" w:rsidRPr="000D0E23" w:rsidRDefault="000D0E23" w:rsidP="000D0E23">
      <w:pPr>
        <w:pStyle w:val="Level1"/>
        <w:numPr>
          <w:ilvl w:val="0"/>
          <w:numId w:val="58"/>
        </w:numPr>
        <w:rPr>
          <w:b/>
          <w:bCs/>
        </w:rPr>
      </w:pPr>
      <w:r w:rsidRPr="000D0E23">
        <w:rPr>
          <w:b/>
          <w:bCs/>
        </w:rPr>
        <w:t>New and Used – KM Leases</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7208F791"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39F42" w14:textId="77777777" w:rsidR="006A523F" w:rsidRPr="006F5CD6" w:rsidRDefault="006A523F" w:rsidP="006A523F">
            <w:pPr>
              <w:spacing w:line="240" w:lineRule="auto"/>
              <w:jc w:val="center"/>
              <w:rPr>
                <w:rFonts w:ascii="Aptos Narrow" w:hAnsi="Aptos Narrow"/>
                <w:b/>
                <w:bCs/>
                <w:sz w:val="16"/>
                <w:szCs w:val="16"/>
                <w:lang w:val="en-US" w:eastAsia="de-DE"/>
              </w:rPr>
            </w:pPr>
            <w:r w:rsidRPr="006F5CD6">
              <w:rPr>
                <w:rFonts w:ascii="Aptos Narrow" w:hAnsi="Aptos Narrow"/>
                <w:b/>
                <w:bCs/>
                <w:sz w:val="16"/>
                <w:szCs w:val="16"/>
                <w:lang w:val="en-US" w:eastAsia="de-DE"/>
              </w:rPr>
              <w:t>New and Used - KM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32191F9"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9E9E5FB"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D28B6F0"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DFEC644"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436E532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D0E5FD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New</w:t>
            </w:r>
          </w:p>
        </w:tc>
        <w:tc>
          <w:tcPr>
            <w:tcW w:w="1000" w:type="pct"/>
            <w:tcBorders>
              <w:top w:val="nil"/>
              <w:left w:val="nil"/>
              <w:bottom w:val="single" w:sz="4" w:space="0" w:color="auto"/>
              <w:right w:val="single" w:sz="4" w:space="0" w:color="auto"/>
            </w:tcBorders>
            <w:shd w:val="clear" w:color="auto" w:fill="auto"/>
            <w:vAlign w:val="bottom"/>
            <w:hideMark/>
          </w:tcPr>
          <w:p w14:paraId="0B7FF08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39,649</w:t>
            </w:r>
          </w:p>
        </w:tc>
        <w:tc>
          <w:tcPr>
            <w:tcW w:w="1000" w:type="pct"/>
            <w:tcBorders>
              <w:top w:val="nil"/>
              <w:left w:val="nil"/>
              <w:bottom w:val="single" w:sz="4" w:space="0" w:color="auto"/>
              <w:right w:val="single" w:sz="4" w:space="0" w:color="auto"/>
            </w:tcBorders>
            <w:shd w:val="clear" w:color="auto" w:fill="auto"/>
            <w:vAlign w:val="bottom"/>
            <w:hideMark/>
          </w:tcPr>
          <w:p w14:paraId="463A7B8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69.56%</w:t>
            </w:r>
          </w:p>
        </w:tc>
        <w:tc>
          <w:tcPr>
            <w:tcW w:w="1000" w:type="pct"/>
            <w:tcBorders>
              <w:top w:val="nil"/>
              <w:left w:val="nil"/>
              <w:bottom w:val="single" w:sz="4" w:space="0" w:color="auto"/>
              <w:right w:val="single" w:sz="4" w:space="0" w:color="auto"/>
            </w:tcBorders>
            <w:shd w:val="clear" w:color="auto" w:fill="auto"/>
            <w:vAlign w:val="bottom"/>
            <w:hideMark/>
          </w:tcPr>
          <w:p w14:paraId="4CA29F4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764,166,830</w:t>
            </w:r>
          </w:p>
        </w:tc>
        <w:tc>
          <w:tcPr>
            <w:tcW w:w="1000" w:type="pct"/>
            <w:tcBorders>
              <w:top w:val="nil"/>
              <w:left w:val="nil"/>
              <w:bottom w:val="single" w:sz="4" w:space="0" w:color="auto"/>
              <w:right w:val="single" w:sz="4" w:space="0" w:color="auto"/>
            </w:tcBorders>
            <w:shd w:val="clear" w:color="auto" w:fill="auto"/>
            <w:vAlign w:val="bottom"/>
            <w:hideMark/>
          </w:tcPr>
          <w:p w14:paraId="15C50C1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71.20%</w:t>
            </w:r>
          </w:p>
        </w:tc>
      </w:tr>
      <w:tr w:rsidR="006A523F" w:rsidRPr="006A523F" w14:paraId="3E7045CD"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A79F0B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w:t>
            </w:r>
          </w:p>
        </w:tc>
        <w:tc>
          <w:tcPr>
            <w:tcW w:w="1000" w:type="pct"/>
            <w:tcBorders>
              <w:top w:val="nil"/>
              <w:left w:val="nil"/>
              <w:bottom w:val="single" w:sz="4" w:space="0" w:color="auto"/>
              <w:right w:val="single" w:sz="4" w:space="0" w:color="auto"/>
            </w:tcBorders>
            <w:shd w:val="clear" w:color="auto" w:fill="auto"/>
            <w:vAlign w:val="bottom"/>
            <w:hideMark/>
          </w:tcPr>
          <w:p w14:paraId="331470A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17,348</w:t>
            </w:r>
          </w:p>
        </w:tc>
        <w:tc>
          <w:tcPr>
            <w:tcW w:w="1000" w:type="pct"/>
            <w:tcBorders>
              <w:top w:val="nil"/>
              <w:left w:val="nil"/>
              <w:bottom w:val="single" w:sz="4" w:space="0" w:color="auto"/>
              <w:right w:val="single" w:sz="4" w:space="0" w:color="auto"/>
            </w:tcBorders>
            <w:shd w:val="clear" w:color="auto" w:fill="auto"/>
            <w:vAlign w:val="bottom"/>
            <w:hideMark/>
          </w:tcPr>
          <w:p w14:paraId="3231835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30.44%</w:t>
            </w:r>
          </w:p>
        </w:tc>
        <w:tc>
          <w:tcPr>
            <w:tcW w:w="1000" w:type="pct"/>
            <w:tcBorders>
              <w:top w:val="nil"/>
              <w:left w:val="nil"/>
              <w:bottom w:val="single" w:sz="4" w:space="0" w:color="auto"/>
              <w:right w:val="single" w:sz="4" w:space="0" w:color="auto"/>
            </w:tcBorders>
            <w:shd w:val="clear" w:color="auto" w:fill="auto"/>
            <w:vAlign w:val="bottom"/>
            <w:hideMark/>
          </w:tcPr>
          <w:p w14:paraId="30896D7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309,041,147</w:t>
            </w:r>
          </w:p>
        </w:tc>
        <w:tc>
          <w:tcPr>
            <w:tcW w:w="1000" w:type="pct"/>
            <w:tcBorders>
              <w:top w:val="nil"/>
              <w:left w:val="nil"/>
              <w:bottom w:val="single" w:sz="4" w:space="0" w:color="auto"/>
              <w:right w:val="single" w:sz="4" w:space="0" w:color="auto"/>
            </w:tcBorders>
            <w:shd w:val="clear" w:color="auto" w:fill="auto"/>
            <w:vAlign w:val="bottom"/>
            <w:hideMark/>
          </w:tcPr>
          <w:p w14:paraId="233835A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28.80%</w:t>
            </w:r>
          </w:p>
        </w:tc>
      </w:tr>
      <w:tr w:rsidR="006A523F" w:rsidRPr="006A523F" w14:paraId="223DA8F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432B165"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57CC6D6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56,997</w:t>
            </w:r>
          </w:p>
        </w:tc>
        <w:tc>
          <w:tcPr>
            <w:tcW w:w="1000" w:type="pct"/>
            <w:tcBorders>
              <w:top w:val="nil"/>
              <w:left w:val="nil"/>
              <w:bottom w:val="single" w:sz="4" w:space="0" w:color="auto"/>
              <w:right w:val="single" w:sz="4" w:space="0" w:color="auto"/>
            </w:tcBorders>
            <w:shd w:val="clear" w:color="auto" w:fill="auto"/>
            <w:vAlign w:val="bottom"/>
            <w:hideMark/>
          </w:tcPr>
          <w:p w14:paraId="588E9A4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71C19205"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1,073,207,977</w:t>
            </w:r>
          </w:p>
        </w:tc>
        <w:tc>
          <w:tcPr>
            <w:tcW w:w="1000" w:type="pct"/>
            <w:tcBorders>
              <w:top w:val="nil"/>
              <w:left w:val="nil"/>
              <w:bottom w:val="single" w:sz="4" w:space="0" w:color="auto"/>
              <w:right w:val="single" w:sz="4" w:space="0" w:color="auto"/>
            </w:tcBorders>
            <w:shd w:val="clear" w:color="auto" w:fill="auto"/>
            <w:vAlign w:val="bottom"/>
            <w:hideMark/>
          </w:tcPr>
          <w:p w14:paraId="2A0BD02A"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2239F300" w14:textId="77777777" w:rsidR="000D0E23" w:rsidRDefault="000D0E23" w:rsidP="000D0E23">
      <w:pPr>
        <w:pStyle w:val="Body1"/>
      </w:pPr>
    </w:p>
    <w:p w14:paraId="7CCE74CC" w14:textId="2AD8F1C1" w:rsidR="000D0E23" w:rsidRPr="000D0E23" w:rsidRDefault="000D0E23" w:rsidP="000D0E23">
      <w:pPr>
        <w:pStyle w:val="Level1"/>
        <w:numPr>
          <w:ilvl w:val="0"/>
          <w:numId w:val="0"/>
        </w:numPr>
        <w:rPr>
          <w:b/>
          <w:bCs/>
        </w:rPr>
      </w:pPr>
      <w:r w:rsidRPr="000D0E23">
        <w:t>3.</w:t>
      </w:r>
      <w:r w:rsidRPr="000D0E23">
        <w:rPr>
          <w:b/>
          <w:bCs/>
        </w:rPr>
        <w:tab/>
        <w:t>New and Used – RW Leases</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2E66700A"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EBF0B" w14:textId="77777777" w:rsidR="006A523F" w:rsidRPr="006F5CD6" w:rsidRDefault="006A523F" w:rsidP="006A523F">
            <w:pPr>
              <w:spacing w:line="240" w:lineRule="auto"/>
              <w:jc w:val="center"/>
              <w:rPr>
                <w:rFonts w:ascii="Aptos Narrow" w:hAnsi="Aptos Narrow"/>
                <w:b/>
                <w:bCs/>
                <w:sz w:val="16"/>
                <w:szCs w:val="16"/>
                <w:lang w:val="en-US" w:eastAsia="de-DE"/>
              </w:rPr>
            </w:pPr>
            <w:r w:rsidRPr="006F5CD6">
              <w:rPr>
                <w:rFonts w:ascii="Aptos Narrow" w:hAnsi="Aptos Narrow"/>
                <w:b/>
                <w:bCs/>
                <w:sz w:val="16"/>
                <w:szCs w:val="16"/>
                <w:lang w:val="en-US" w:eastAsia="de-DE"/>
              </w:rPr>
              <w:t>New and Used - RW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303D4C0"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50595BB"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24DE175"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0CEF3A9"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38E7197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AE4FAB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New</w:t>
            </w:r>
          </w:p>
        </w:tc>
        <w:tc>
          <w:tcPr>
            <w:tcW w:w="1000" w:type="pct"/>
            <w:tcBorders>
              <w:top w:val="nil"/>
              <w:left w:val="nil"/>
              <w:bottom w:val="single" w:sz="4" w:space="0" w:color="auto"/>
              <w:right w:val="single" w:sz="4" w:space="0" w:color="auto"/>
            </w:tcBorders>
            <w:shd w:val="clear" w:color="auto" w:fill="auto"/>
            <w:vAlign w:val="bottom"/>
            <w:hideMark/>
          </w:tcPr>
          <w:p w14:paraId="2D72F21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5,754</w:t>
            </w:r>
          </w:p>
        </w:tc>
        <w:tc>
          <w:tcPr>
            <w:tcW w:w="1000" w:type="pct"/>
            <w:tcBorders>
              <w:top w:val="nil"/>
              <w:left w:val="nil"/>
              <w:bottom w:val="single" w:sz="4" w:space="0" w:color="auto"/>
              <w:right w:val="single" w:sz="4" w:space="0" w:color="auto"/>
            </w:tcBorders>
            <w:shd w:val="clear" w:color="auto" w:fill="auto"/>
            <w:vAlign w:val="bottom"/>
            <w:hideMark/>
          </w:tcPr>
          <w:p w14:paraId="2DBED56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60.79%</w:t>
            </w:r>
          </w:p>
        </w:tc>
        <w:tc>
          <w:tcPr>
            <w:tcW w:w="1000" w:type="pct"/>
            <w:tcBorders>
              <w:top w:val="nil"/>
              <w:left w:val="nil"/>
              <w:bottom w:val="single" w:sz="4" w:space="0" w:color="auto"/>
              <w:right w:val="single" w:sz="4" w:space="0" w:color="auto"/>
            </w:tcBorders>
            <w:shd w:val="clear" w:color="auto" w:fill="auto"/>
            <w:vAlign w:val="bottom"/>
            <w:hideMark/>
          </w:tcPr>
          <w:p w14:paraId="0D0E3B0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107,206,130</w:t>
            </w:r>
          </w:p>
        </w:tc>
        <w:tc>
          <w:tcPr>
            <w:tcW w:w="1000" w:type="pct"/>
            <w:tcBorders>
              <w:top w:val="nil"/>
              <w:left w:val="nil"/>
              <w:bottom w:val="single" w:sz="4" w:space="0" w:color="auto"/>
              <w:right w:val="single" w:sz="4" w:space="0" w:color="auto"/>
            </w:tcBorders>
            <w:shd w:val="clear" w:color="auto" w:fill="auto"/>
            <w:vAlign w:val="bottom"/>
            <w:hideMark/>
          </w:tcPr>
          <w:p w14:paraId="75FAFDC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64.28%</w:t>
            </w:r>
          </w:p>
        </w:tc>
      </w:tr>
      <w:tr w:rsidR="006A523F" w:rsidRPr="006A523F" w14:paraId="7FB90C5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4C866B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w:t>
            </w:r>
          </w:p>
        </w:tc>
        <w:tc>
          <w:tcPr>
            <w:tcW w:w="1000" w:type="pct"/>
            <w:tcBorders>
              <w:top w:val="nil"/>
              <w:left w:val="nil"/>
              <w:bottom w:val="single" w:sz="4" w:space="0" w:color="auto"/>
              <w:right w:val="single" w:sz="4" w:space="0" w:color="auto"/>
            </w:tcBorders>
            <w:shd w:val="clear" w:color="auto" w:fill="auto"/>
            <w:vAlign w:val="bottom"/>
            <w:hideMark/>
          </w:tcPr>
          <w:p w14:paraId="6719195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3,712</w:t>
            </w:r>
          </w:p>
        </w:tc>
        <w:tc>
          <w:tcPr>
            <w:tcW w:w="1000" w:type="pct"/>
            <w:tcBorders>
              <w:top w:val="nil"/>
              <w:left w:val="nil"/>
              <w:bottom w:val="single" w:sz="4" w:space="0" w:color="auto"/>
              <w:right w:val="single" w:sz="4" w:space="0" w:color="auto"/>
            </w:tcBorders>
            <w:shd w:val="clear" w:color="auto" w:fill="auto"/>
            <w:vAlign w:val="bottom"/>
            <w:hideMark/>
          </w:tcPr>
          <w:p w14:paraId="48EE653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39.21%</w:t>
            </w:r>
          </w:p>
        </w:tc>
        <w:tc>
          <w:tcPr>
            <w:tcW w:w="1000" w:type="pct"/>
            <w:tcBorders>
              <w:top w:val="nil"/>
              <w:left w:val="nil"/>
              <w:bottom w:val="single" w:sz="4" w:space="0" w:color="auto"/>
              <w:right w:val="single" w:sz="4" w:space="0" w:color="auto"/>
            </w:tcBorders>
            <w:shd w:val="clear" w:color="auto" w:fill="auto"/>
            <w:vAlign w:val="bottom"/>
            <w:hideMark/>
          </w:tcPr>
          <w:p w14:paraId="7CAEC34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59,582,943</w:t>
            </w:r>
          </w:p>
        </w:tc>
        <w:tc>
          <w:tcPr>
            <w:tcW w:w="1000" w:type="pct"/>
            <w:tcBorders>
              <w:top w:val="nil"/>
              <w:left w:val="nil"/>
              <w:bottom w:val="single" w:sz="4" w:space="0" w:color="auto"/>
              <w:right w:val="single" w:sz="4" w:space="0" w:color="auto"/>
            </w:tcBorders>
            <w:shd w:val="clear" w:color="auto" w:fill="auto"/>
            <w:vAlign w:val="bottom"/>
            <w:hideMark/>
          </w:tcPr>
          <w:p w14:paraId="578761A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35.72%</w:t>
            </w:r>
          </w:p>
        </w:tc>
      </w:tr>
      <w:tr w:rsidR="006A523F" w:rsidRPr="006A523F" w14:paraId="5B4726F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91A6D6B"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05E49497"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9,466</w:t>
            </w:r>
          </w:p>
        </w:tc>
        <w:tc>
          <w:tcPr>
            <w:tcW w:w="1000" w:type="pct"/>
            <w:tcBorders>
              <w:top w:val="nil"/>
              <w:left w:val="nil"/>
              <w:bottom w:val="single" w:sz="4" w:space="0" w:color="auto"/>
              <w:right w:val="single" w:sz="4" w:space="0" w:color="auto"/>
            </w:tcBorders>
            <w:shd w:val="clear" w:color="auto" w:fill="auto"/>
            <w:vAlign w:val="bottom"/>
            <w:hideMark/>
          </w:tcPr>
          <w:p w14:paraId="2D251BEE"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03AD4059"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166,789,073</w:t>
            </w:r>
          </w:p>
        </w:tc>
        <w:tc>
          <w:tcPr>
            <w:tcW w:w="1000" w:type="pct"/>
            <w:tcBorders>
              <w:top w:val="nil"/>
              <w:left w:val="nil"/>
              <w:bottom w:val="single" w:sz="4" w:space="0" w:color="auto"/>
              <w:right w:val="single" w:sz="4" w:space="0" w:color="auto"/>
            </w:tcBorders>
            <w:shd w:val="clear" w:color="auto" w:fill="auto"/>
            <w:vAlign w:val="bottom"/>
            <w:hideMark/>
          </w:tcPr>
          <w:p w14:paraId="288A435E"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6E8E8B25" w14:textId="77777777" w:rsidR="000D0E23" w:rsidRDefault="000D0E23" w:rsidP="000D0E23">
      <w:pPr>
        <w:pStyle w:val="Body1"/>
      </w:pPr>
    </w:p>
    <w:p w14:paraId="1A8B9489" w14:textId="034BE679" w:rsidR="000D0E23" w:rsidRPr="000D0E23" w:rsidRDefault="000D0E23" w:rsidP="000D0E23">
      <w:pPr>
        <w:pStyle w:val="Body1"/>
        <w:rPr>
          <w:b/>
          <w:bCs/>
        </w:rPr>
      </w:pPr>
      <w:r w:rsidRPr="000D0E23">
        <w:t>4.</w:t>
      </w:r>
      <w:r w:rsidRPr="000D0E23">
        <w:rPr>
          <w:b/>
          <w:bCs/>
        </w:rPr>
        <w:tab/>
        <w:t>Payment Method</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419022C3"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C7DEC"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Payment Method</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617ADFC" w14:textId="144F1FA5" w:rsidR="006A523F" w:rsidRPr="006A523F" w:rsidRDefault="003B6A20" w:rsidP="006A523F">
            <w:pPr>
              <w:spacing w:line="240" w:lineRule="auto"/>
              <w:jc w:val="center"/>
              <w:rPr>
                <w:rFonts w:cs="Arial"/>
                <w:b/>
                <w:bCs/>
                <w:sz w:val="16"/>
                <w:szCs w:val="16"/>
                <w:lang w:val="de-DE" w:eastAsia="de-DE"/>
              </w:rPr>
            </w:pPr>
            <w:r w:rsidRPr="003B6A20">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57A81ED"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7D731B9"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9B4AC4"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6D35561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192595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Direct Debit</w:t>
            </w:r>
          </w:p>
        </w:tc>
        <w:tc>
          <w:tcPr>
            <w:tcW w:w="1000" w:type="pct"/>
            <w:tcBorders>
              <w:top w:val="nil"/>
              <w:left w:val="nil"/>
              <w:bottom w:val="single" w:sz="4" w:space="0" w:color="auto"/>
              <w:right w:val="single" w:sz="4" w:space="0" w:color="auto"/>
            </w:tcBorders>
            <w:shd w:val="clear" w:color="auto" w:fill="auto"/>
            <w:vAlign w:val="bottom"/>
            <w:hideMark/>
          </w:tcPr>
          <w:p w14:paraId="767A823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66,359</w:t>
            </w:r>
          </w:p>
        </w:tc>
        <w:tc>
          <w:tcPr>
            <w:tcW w:w="1000" w:type="pct"/>
            <w:tcBorders>
              <w:top w:val="nil"/>
              <w:left w:val="nil"/>
              <w:bottom w:val="single" w:sz="4" w:space="0" w:color="auto"/>
              <w:right w:val="single" w:sz="4" w:space="0" w:color="auto"/>
            </w:tcBorders>
            <w:shd w:val="clear" w:color="auto" w:fill="auto"/>
            <w:vAlign w:val="bottom"/>
            <w:hideMark/>
          </w:tcPr>
          <w:p w14:paraId="54E39FB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99.84%</w:t>
            </w:r>
          </w:p>
        </w:tc>
        <w:tc>
          <w:tcPr>
            <w:tcW w:w="1000" w:type="pct"/>
            <w:tcBorders>
              <w:top w:val="nil"/>
              <w:left w:val="nil"/>
              <w:bottom w:val="single" w:sz="4" w:space="0" w:color="auto"/>
              <w:right w:val="single" w:sz="4" w:space="0" w:color="auto"/>
            </w:tcBorders>
            <w:shd w:val="clear" w:color="auto" w:fill="auto"/>
            <w:vAlign w:val="bottom"/>
            <w:hideMark/>
          </w:tcPr>
          <w:p w14:paraId="3B7276C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1,237,896,224</w:t>
            </w:r>
          </w:p>
        </w:tc>
        <w:tc>
          <w:tcPr>
            <w:tcW w:w="1000" w:type="pct"/>
            <w:tcBorders>
              <w:top w:val="nil"/>
              <w:left w:val="nil"/>
              <w:bottom w:val="single" w:sz="4" w:space="0" w:color="auto"/>
              <w:right w:val="single" w:sz="4" w:space="0" w:color="auto"/>
            </w:tcBorders>
            <w:shd w:val="clear" w:color="auto" w:fill="auto"/>
            <w:vAlign w:val="bottom"/>
            <w:hideMark/>
          </w:tcPr>
          <w:p w14:paraId="3142DD6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99.83%</w:t>
            </w:r>
          </w:p>
        </w:tc>
      </w:tr>
      <w:tr w:rsidR="006A523F" w:rsidRPr="006A523F" w14:paraId="66F7047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235AD9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Other</w:t>
            </w:r>
          </w:p>
        </w:tc>
        <w:tc>
          <w:tcPr>
            <w:tcW w:w="1000" w:type="pct"/>
            <w:tcBorders>
              <w:top w:val="nil"/>
              <w:left w:val="nil"/>
              <w:bottom w:val="single" w:sz="4" w:space="0" w:color="auto"/>
              <w:right w:val="single" w:sz="4" w:space="0" w:color="auto"/>
            </w:tcBorders>
            <w:shd w:val="clear" w:color="auto" w:fill="auto"/>
            <w:vAlign w:val="bottom"/>
            <w:hideMark/>
          </w:tcPr>
          <w:p w14:paraId="50515AE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104</w:t>
            </w:r>
          </w:p>
        </w:tc>
        <w:tc>
          <w:tcPr>
            <w:tcW w:w="1000" w:type="pct"/>
            <w:tcBorders>
              <w:top w:val="nil"/>
              <w:left w:val="nil"/>
              <w:bottom w:val="single" w:sz="4" w:space="0" w:color="auto"/>
              <w:right w:val="single" w:sz="4" w:space="0" w:color="auto"/>
            </w:tcBorders>
            <w:shd w:val="clear" w:color="auto" w:fill="auto"/>
            <w:vAlign w:val="bottom"/>
            <w:hideMark/>
          </w:tcPr>
          <w:p w14:paraId="5C1898E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0.16%</w:t>
            </w:r>
          </w:p>
        </w:tc>
        <w:tc>
          <w:tcPr>
            <w:tcW w:w="1000" w:type="pct"/>
            <w:tcBorders>
              <w:top w:val="nil"/>
              <w:left w:val="nil"/>
              <w:bottom w:val="single" w:sz="4" w:space="0" w:color="auto"/>
              <w:right w:val="single" w:sz="4" w:space="0" w:color="auto"/>
            </w:tcBorders>
            <w:shd w:val="clear" w:color="auto" w:fill="auto"/>
            <w:vAlign w:val="bottom"/>
            <w:hideMark/>
          </w:tcPr>
          <w:p w14:paraId="36AF632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2,100,827</w:t>
            </w:r>
          </w:p>
        </w:tc>
        <w:tc>
          <w:tcPr>
            <w:tcW w:w="1000" w:type="pct"/>
            <w:tcBorders>
              <w:top w:val="nil"/>
              <w:left w:val="nil"/>
              <w:bottom w:val="single" w:sz="4" w:space="0" w:color="auto"/>
              <w:right w:val="single" w:sz="4" w:space="0" w:color="auto"/>
            </w:tcBorders>
            <w:shd w:val="clear" w:color="auto" w:fill="auto"/>
            <w:vAlign w:val="bottom"/>
            <w:hideMark/>
          </w:tcPr>
          <w:p w14:paraId="017B018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0.17%</w:t>
            </w:r>
          </w:p>
        </w:tc>
      </w:tr>
      <w:tr w:rsidR="006A523F" w:rsidRPr="006A523F" w14:paraId="1982ACE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D723FD1"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1306EEE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0C089DD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419C0D3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1AB47F41"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5FCA2A39" w14:textId="77777777" w:rsidR="000D0E23" w:rsidRDefault="000D0E23" w:rsidP="000D0E23">
      <w:pPr>
        <w:pStyle w:val="Body1"/>
      </w:pPr>
    </w:p>
    <w:p w14:paraId="77DE45E4" w14:textId="0A14C231" w:rsidR="000D0E23" w:rsidRPr="000D0E23" w:rsidRDefault="000D0E23" w:rsidP="000D0E23">
      <w:pPr>
        <w:pStyle w:val="Body1"/>
        <w:rPr>
          <w:b/>
          <w:bCs/>
        </w:rPr>
      </w:pPr>
      <w:r w:rsidRPr="000D0E23">
        <w:t>5.</w:t>
      </w:r>
      <w:r w:rsidRPr="000D0E23">
        <w:rPr>
          <w:b/>
          <w:bCs/>
        </w:rPr>
        <w:tab/>
        <w:t>Product (KM v RW)</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0D1CF954"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4CE35"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lastRenderedPageBreak/>
              <w:t>Product(KM v RW)</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2979F71"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DCCAA3C"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FABA71F"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7373C9C"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30BE16D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B95B80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KM Leases</w:t>
            </w:r>
          </w:p>
        </w:tc>
        <w:tc>
          <w:tcPr>
            <w:tcW w:w="1000" w:type="pct"/>
            <w:tcBorders>
              <w:top w:val="nil"/>
              <w:left w:val="nil"/>
              <w:bottom w:val="single" w:sz="4" w:space="0" w:color="auto"/>
              <w:right w:val="single" w:sz="4" w:space="0" w:color="auto"/>
            </w:tcBorders>
            <w:shd w:val="clear" w:color="auto" w:fill="auto"/>
            <w:vAlign w:val="bottom"/>
            <w:hideMark/>
          </w:tcPr>
          <w:p w14:paraId="29C193F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56,997</w:t>
            </w:r>
          </w:p>
        </w:tc>
        <w:tc>
          <w:tcPr>
            <w:tcW w:w="1000" w:type="pct"/>
            <w:tcBorders>
              <w:top w:val="nil"/>
              <w:left w:val="nil"/>
              <w:bottom w:val="single" w:sz="4" w:space="0" w:color="auto"/>
              <w:right w:val="single" w:sz="4" w:space="0" w:color="auto"/>
            </w:tcBorders>
            <w:shd w:val="clear" w:color="auto" w:fill="auto"/>
            <w:vAlign w:val="bottom"/>
            <w:hideMark/>
          </w:tcPr>
          <w:p w14:paraId="0256907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85.76%</w:t>
            </w:r>
          </w:p>
        </w:tc>
        <w:tc>
          <w:tcPr>
            <w:tcW w:w="1000" w:type="pct"/>
            <w:tcBorders>
              <w:top w:val="nil"/>
              <w:left w:val="nil"/>
              <w:bottom w:val="single" w:sz="4" w:space="0" w:color="auto"/>
              <w:right w:val="single" w:sz="4" w:space="0" w:color="auto"/>
            </w:tcBorders>
            <w:shd w:val="clear" w:color="auto" w:fill="auto"/>
            <w:vAlign w:val="bottom"/>
            <w:hideMark/>
          </w:tcPr>
          <w:p w14:paraId="4DF143B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1,073,207,977</w:t>
            </w:r>
          </w:p>
        </w:tc>
        <w:tc>
          <w:tcPr>
            <w:tcW w:w="1000" w:type="pct"/>
            <w:tcBorders>
              <w:top w:val="nil"/>
              <w:left w:val="nil"/>
              <w:bottom w:val="single" w:sz="4" w:space="0" w:color="auto"/>
              <w:right w:val="single" w:sz="4" w:space="0" w:color="auto"/>
            </w:tcBorders>
            <w:shd w:val="clear" w:color="auto" w:fill="auto"/>
            <w:vAlign w:val="bottom"/>
            <w:hideMark/>
          </w:tcPr>
          <w:p w14:paraId="3BBF30C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86.55%</w:t>
            </w:r>
          </w:p>
        </w:tc>
      </w:tr>
      <w:tr w:rsidR="006A523F" w:rsidRPr="006A523F" w14:paraId="6B5D0CF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77FB8F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RW Leases</w:t>
            </w:r>
          </w:p>
        </w:tc>
        <w:tc>
          <w:tcPr>
            <w:tcW w:w="1000" w:type="pct"/>
            <w:tcBorders>
              <w:top w:val="nil"/>
              <w:left w:val="nil"/>
              <w:bottom w:val="single" w:sz="4" w:space="0" w:color="auto"/>
              <w:right w:val="single" w:sz="4" w:space="0" w:color="auto"/>
            </w:tcBorders>
            <w:shd w:val="clear" w:color="auto" w:fill="auto"/>
            <w:vAlign w:val="bottom"/>
            <w:hideMark/>
          </w:tcPr>
          <w:p w14:paraId="49E864D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9,466</w:t>
            </w:r>
          </w:p>
        </w:tc>
        <w:tc>
          <w:tcPr>
            <w:tcW w:w="1000" w:type="pct"/>
            <w:tcBorders>
              <w:top w:val="nil"/>
              <w:left w:val="nil"/>
              <w:bottom w:val="single" w:sz="4" w:space="0" w:color="auto"/>
              <w:right w:val="single" w:sz="4" w:space="0" w:color="auto"/>
            </w:tcBorders>
            <w:shd w:val="clear" w:color="auto" w:fill="auto"/>
            <w:vAlign w:val="bottom"/>
            <w:hideMark/>
          </w:tcPr>
          <w:p w14:paraId="7370E53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14.24%</w:t>
            </w:r>
          </w:p>
        </w:tc>
        <w:tc>
          <w:tcPr>
            <w:tcW w:w="1000" w:type="pct"/>
            <w:tcBorders>
              <w:top w:val="nil"/>
              <w:left w:val="nil"/>
              <w:bottom w:val="single" w:sz="4" w:space="0" w:color="auto"/>
              <w:right w:val="single" w:sz="4" w:space="0" w:color="auto"/>
            </w:tcBorders>
            <w:shd w:val="clear" w:color="auto" w:fill="auto"/>
            <w:vAlign w:val="bottom"/>
            <w:hideMark/>
          </w:tcPr>
          <w:p w14:paraId="4D1664C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166,789,073</w:t>
            </w:r>
          </w:p>
        </w:tc>
        <w:tc>
          <w:tcPr>
            <w:tcW w:w="1000" w:type="pct"/>
            <w:tcBorders>
              <w:top w:val="nil"/>
              <w:left w:val="nil"/>
              <w:bottom w:val="single" w:sz="4" w:space="0" w:color="auto"/>
              <w:right w:val="single" w:sz="4" w:space="0" w:color="auto"/>
            </w:tcBorders>
            <w:shd w:val="clear" w:color="auto" w:fill="auto"/>
            <w:vAlign w:val="bottom"/>
            <w:hideMark/>
          </w:tcPr>
          <w:p w14:paraId="6F24A1B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13.45%</w:t>
            </w:r>
          </w:p>
        </w:tc>
      </w:tr>
      <w:tr w:rsidR="006A523F" w:rsidRPr="006A523F" w14:paraId="0F96407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BC7937B"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6271CC9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42C2C74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4562A88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74E851C7"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69C2B48E" w14:textId="77777777" w:rsidR="000D0E23" w:rsidRDefault="000D0E23" w:rsidP="000D0E23">
      <w:pPr>
        <w:pStyle w:val="Body1"/>
      </w:pPr>
    </w:p>
    <w:p w14:paraId="2F3399A5" w14:textId="6D37E466" w:rsidR="000D0E23" w:rsidRPr="000D0E23" w:rsidRDefault="000D0E23" w:rsidP="000D0E23">
      <w:pPr>
        <w:pStyle w:val="Body1"/>
        <w:rPr>
          <w:b/>
          <w:bCs/>
        </w:rPr>
      </w:pPr>
      <w:r w:rsidRPr="000D0E23">
        <w:t>6</w:t>
      </w:r>
      <w:r>
        <w:rPr>
          <w:b/>
          <w:bCs/>
        </w:rPr>
        <w:t>.</w:t>
      </w:r>
      <w:r w:rsidRPr="000D0E23">
        <w:rPr>
          <w:b/>
          <w:bCs/>
        </w:rPr>
        <w:tab/>
        <w:t>Size by Original Amount Financed (€)</w:t>
      </w:r>
    </w:p>
    <w:tbl>
      <w:tblPr>
        <w:tblW w:w="5000" w:type="pct"/>
        <w:tblLayout w:type="fixed"/>
        <w:tblCellMar>
          <w:left w:w="70" w:type="dxa"/>
          <w:right w:w="70" w:type="dxa"/>
        </w:tblCellMar>
        <w:tblLook w:val="04A0" w:firstRow="1" w:lastRow="0" w:firstColumn="1" w:lastColumn="0" w:noHBand="0" w:noVBand="1"/>
      </w:tblPr>
      <w:tblGrid>
        <w:gridCol w:w="2264"/>
        <w:gridCol w:w="1841"/>
        <w:gridCol w:w="1334"/>
        <w:gridCol w:w="1812"/>
        <w:gridCol w:w="1810"/>
      </w:tblGrid>
      <w:tr w:rsidR="006A523F" w:rsidRPr="006A523F" w14:paraId="78C5F8EE" w14:textId="77777777" w:rsidTr="006A523F">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AF1A4" w14:textId="77777777" w:rsidR="006A523F" w:rsidRPr="006F5CD6" w:rsidRDefault="006A523F" w:rsidP="006A523F">
            <w:pPr>
              <w:spacing w:line="240" w:lineRule="auto"/>
              <w:jc w:val="center"/>
              <w:rPr>
                <w:rFonts w:ascii="Aptos Narrow" w:hAnsi="Aptos Narrow"/>
                <w:b/>
                <w:bCs/>
                <w:sz w:val="16"/>
                <w:szCs w:val="16"/>
                <w:lang w:val="en-US" w:eastAsia="de-DE"/>
              </w:rPr>
            </w:pPr>
            <w:r w:rsidRPr="006F5CD6">
              <w:rPr>
                <w:rFonts w:ascii="Aptos Narrow" w:hAnsi="Aptos Narrow"/>
                <w:b/>
                <w:bCs/>
                <w:sz w:val="16"/>
                <w:szCs w:val="16"/>
                <w:lang w:val="en-US" w:eastAsia="de-DE"/>
              </w:rPr>
              <w:t>Size by Original Amount Financed(€)</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14:paraId="2514EAC2"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2E7EE79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86B6BC"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2C1D3D50"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2E319EAF"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DEBBE9E"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0.01 - 5000.00</w:t>
            </w:r>
          </w:p>
        </w:tc>
        <w:tc>
          <w:tcPr>
            <w:tcW w:w="1016" w:type="pct"/>
            <w:tcBorders>
              <w:top w:val="nil"/>
              <w:left w:val="nil"/>
              <w:bottom w:val="single" w:sz="4" w:space="0" w:color="auto"/>
              <w:right w:val="single" w:sz="4" w:space="0" w:color="auto"/>
            </w:tcBorders>
            <w:shd w:val="clear" w:color="auto" w:fill="auto"/>
            <w:vAlign w:val="bottom"/>
            <w:hideMark/>
          </w:tcPr>
          <w:p w14:paraId="37FC8C7D"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25</w:t>
            </w:r>
          </w:p>
        </w:tc>
        <w:tc>
          <w:tcPr>
            <w:tcW w:w="736" w:type="pct"/>
            <w:tcBorders>
              <w:top w:val="nil"/>
              <w:left w:val="nil"/>
              <w:bottom w:val="single" w:sz="4" w:space="0" w:color="auto"/>
              <w:right w:val="single" w:sz="4" w:space="0" w:color="auto"/>
            </w:tcBorders>
            <w:shd w:val="clear" w:color="auto" w:fill="auto"/>
            <w:vAlign w:val="bottom"/>
            <w:hideMark/>
          </w:tcPr>
          <w:p w14:paraId="6EA6701F"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0.04%</w:t>
            </w:r>
          </w:p>
        </w:tc>
        <w:tc>
          <w:tcPr>
            <w:tcW w:w="1000" w:type="pct"/>
            <w:tcBorders>
              <w:top w:val="nil"/>
              <w:left w:val="nil"/>
              <w:bottom w:val="single" w:sz="4" w:space="0" w:color="auto"/>
              <w:right w:val="single" w:sz="4" w:space="0" w:color="auto"/>
            </w:tcBorders>
            <w:shd w:val="clear" w:color="auto" w:fill="auto"/>
            <w:vAlign w:val="bottom"/>
            <w:hideMark/>
          </w:tcPr>
          <w:p w14:paraId="022857DE"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75,732</w:t>
            </w:r>
          </w:p>
        </w:tc>
        <w:tc>
          <w:tcPr>
            <w:tcW w:w="999" w:type="pct"/>
            <w:tcBorders>
              <w:top w:val="nil"/>
              <w:left w:val="nil"/>
              <w:bottom w:val="single" w:sz="4" w:space="0" w:color="auto"/>
              <w:right w:val="single" w:sz="4" w:space="0" w:color="auto"/>
            </w:tcBorders>
            <w:shd w:val="clear" w:color="auto" w:fill="auto"/>
            <w:vAlign w:val="bottom"/>
            <w:hideMark/>
          </w:tcPr>
          <w:p w14:paraId="60BF83D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0.01%</w:t>
            </w:r>
          </w:p>
        </w:tc>
      </w:tr>
      <w:tr w:rsidR="006A523F" w:rsidRPr="006A523F" w14:paraId="1A328F00"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0A1664F"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5000.01 - 10000.00</w:t>
            </w:r>
          </w:p>
        </w:tc>
        <w:tc>
          <w:tcPr>
            <w:tcW w:w="1016" w:type="pct"/>
            <w:tcBorders>
              <w:top w:val="nil"/>
              <w:left w:val="nil"/>
              <w:bottom w:val="single" w:sz="4" w:space="0" w:color="auto"/>
              <w:right w:val="single" w:sz="4" w:space="0" w:color="auto"/>
            </w:tcBorders>
            <w:shd w:val="clear" w:color="auto" w:fill="auto"/>
            <w:vAlign w:val="bottom"/>
            <w:hideMark/>
          </w:tcPr>
          <w:p w14:paraId="0ADEAA2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1,434</w:t>
            </w:r>
          </w:p>
        </w:tc>
        <w:tc>
          <w:tcPr>
            <w:tcW w:w="736" w:type="pct"/>
            <w:tcBorders>
              <w:top w:val="nil"/>
              <w:left w:val="nil"/>
              <w:bottom w:val="single" w:sz="4" w:space="0" w:color="auto"/>
              <w:right w:val="single" w:sz="4" w:space="0" w:color="auto"/>
            </w:tcBorders>
            <w:shd w:val="clear" w:color="auto" w:fill="auto"/>
            <w:vAlign w:val="bottom"/>
            <w:hideMark/>
          </w:tcPr>
          <w:p w14:paraId="1B32A8F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2.16%</w:t>
            </w:r>
          </w:p>
        </w:tc>
        <w:tc>
          <w:tcPr>
            <w:tcW w:w="1000" w:type="pct"/>
            <w:tcBorders>
              <w:top w:val="nil"/>
              <w:left w:val="nil"/>
              <w:bottom w:val="single" w:sz="4" w:space="0" w:color="auto"/>
              <w:right w:val="single" w:sz="4" w:space="0" w:color="auto"/>
            </w:tcBorders>
            <w:shd w:val="clear" w:color="auto" w:fill="auto"/>
            <w:vAlign w:val="bottom"/>
            <w:hideMark/>
          </w:tcPr>
          <w:p w14:paraId="018986F8"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8,981,504</w:t>
            </w:r>
          </w:p>
        </w:tc>
        <w:tc>
          <w:tcPr>
            <w:tcW w:w="999" w:type="pct"/>
            <w:tcBorders>
              <w:top w:val="nil"/>
              <w:left w:val="nil"/>
              <w:bottom w:val="single" w:sz="4" w:space="0" w:color="auto"/>
              <w:right w:val="single" w:sz="4" w:space="0" w:color="auto"/>
            </w:tcBorders>
            <w:shd w:val="clear" w:color="auto" w:fill="auto"/>
            <w:vAlign w:val="bottom"/>
            <w:hideMark/>
          </w:tcPr>
          <w:p w14:paraId="140B8D25"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0.72%</w:t>
            </w:r>
          </w:p>
        </w:tc>
      </w:tr>
      <w:tr w:rsidR="006A523F" w:rsidRPr="006A523F" w14:paraId="146BC6F7"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0A4A7B7"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10000.01 - 15000.00</w:t>
            </w:r>
          </w:p>
        </w:tc>
        <w:tc>
          <w:tcPr>
            <w:tcW w:w="1016" w:type="pct"/>
            <w:tcBorders>
              <w:top w:val="nil"/>
              <w:left w:val="nil"/>
              <w:bottom w:val="single" w:sz="4" w:space="0" w:color="auto"/>
              <w:right w:val="single" w:sz="4" w:space="0" w:color="auto"/>
            </w:tcBorders>
            <w:shd w:val="clear" w:color="auto" w:fill="auto"/>
            <w:vAlign w:val="bottom"/>
            <w:hideMark/>
          </w:tcPr>
          <w:p w14:paraId="67C2D5DB"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5,423</w:t>
            </w:r>
          </w:p>
        </w:tc>
        <w:tc>
          <w:tcPr>
            <w:tcW w:w="736" w:type="pct"/>
            <w:tcBorders>
              <w:top w:val="nil"/>
              <w:left w:val="nil"/>
              <w:bottom w:val="single" w:sz="4" w:space="0" w:color="auto"/>
              <w:right w:val="single" w:sz="4" w:space="0" w:color="auto"/>
            </w:tcBorders>
            <w:shd w:val="clear" w:color="auto" w:fill="auto"/>
            <w:vAlign w:val="bottom"/>
            <w:hideMark/>
          </w:tcPr>
          <w:p w14:paraId="389327D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8.16%</w:t>
            </w:r>
          </w:p>
        </w:tc>
        <w:tc>
          <w:tcPr>
            <w:tcW w:w="1000" w:type="pct"/>
            <w:tcBorders>
              <w:top w:val="nil"/>
              <w:left w:val="nil"/>
              <w:bottom w:val="single" w:sz="4" w:space="0" w:color="auto"/>
              <w:right w:val="single" w:sz="4" w:space="0" w:color="auto"/>
            </w:tcBorders>
            <w:shd w:val="clear" w:color="auto" w:fill="auto"/>
            <w:vAlign w:val="bottom"/>
            <w:hideMark/>
          </w:tcPr>
          <w:p w14:paraId="006CF74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59,421,948</w:t>
            </w:r>
          </w:p>
        </w:tc>
        <w:tc>
          <w:tcPr>
            <w:tcW w:w="999" w:type="pct"/>
            <w:tcBorders>
              <w:top w:val="nil"/>
              <w:left w:val="nil"/>
              <w:bottom w:val="single" w:sz="4" w:space="0" w:color="auto"/>
              <w:right w:val="single" w:sz="4" w:space="0" w:color="auto"/>
            </w:tcBorders>
            <w:shd w:val="clear" w:color="auto" w:fill="auto"/>
            <w:vAlign w:val="bottom"/>
            <w:hideMark/>
          </w:tcPr>
          <w:p w14:paraId="6F57BFF3"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4.79%</w:t>
            </w:r>
          </w:p>
        </w:tc>
      </w:tr>
      <w:tr w:rsidR="006A523F" w:rsidRPr="006A523F" w14:paraId="3FABFB69"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5BCB02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15000.01 - 20000.00</w:t>
            </w:r>
          </w:p>
        </w:tc>
        <w:tc>
          <w:tcPr>
            <w:tcW w:w="1016" w:type="pct"/>
            <w:tcBorders>
              <w:top w:val="nil"/>
              <w:left w:val="nil"/>
              <w:bottom w:val="single" w:sz="4" w:space="0" w:color="auto"/>
              <w:right w:val="single" w:sz="4" w:space="0" w:color="auto"/>
            </w:tcBorders>
            <w:shd w:val="clear" w:color="auto" w:fill="auto"/>
            <w:vAlign w:val="bottom"/>
            <w:hideMark/>
          </w:tcPr>
          <w:p w14:paraId="32BE610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16,751</w:t>
            </w:r>
          </w:p>
        </w:tc>
        <w:tc>
          <w:tcPr>
            <w:tcW w:w="736" w:type="pct"/>
            <w:tcBorders>
              <w:top w:val="nil"/>
              <w:left w:val="nil"/>
              <w:bottom w:val="single" w:sz="4" w:space="0" w:color="auto"/>
              <w:right w:val="single" w:sz="4" w:space="0" w:color="auto"/>
            </w:tcBorders>
            <w:shd w:val="clear" w:color="auto" w:fill="auto"/>
            <w:vAlign w:val="bottom"/>
            <w:hideMark/>
          </w:tcPr>
          <w:p w14:paraId="4C9DC88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25.20%</w:t>
            </w:r>
          </w:p>
        </w:tc>
        <w:tc>
          <w:tcPr>
            <w:tcW w:w="1000" w:type="pct"/>
            <w:tcBorders>
              <w:top w:val="nil"/>
              <w:left w:val="nil"/>
              <w:bottom w:val="single" w:sz="4" w:space="0" w:color="auto"/>
              <w:right w:val="single" w:sz="4" w:space="0" w:color="auto"/>
            </w:tcBorders>
            <w:shd w:val="clear" w:color="auto" w:fill="auto"/>
            <w:vAlign w:val="bottom"/>
            <w:hideMark/>
          </w:tcPr>
          <w:p w14:paraId="5C229B3D"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244,896,138</w:t>
            </w:r>
          </w:p>
        </w:tc>
        <w:tc>
          <w:tcPr>
            <w:tcW w:w="999" w:type="pct"/>
            <w:tcBorders>
              <w:top w:val="nil"/>
              <w:left w:val="nil"/>
              <w:bottom w:val="single" w:sz="4" w:space="0" w:color="auto"/>
              <w:right w:val="single" w:sz="4" w:space="0" w:color="auto"/>
            </w:tcBorders>
            <w:shd w:val="clear" w:color="auto" w:fill="auto"/>
            <w:vAlign w:val="bottom"/>
            <w:hideMark/>
          </w:tcPr>
          <w:p w14:paraId="36AA55D7"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19.75%</w:t>
            </w:r>
          </w:p>
        </w:tc>
      </w:tr>
      <w:tr w:rsidR="006A523F" w:rsidRPr="006A523F" w14:paraId="6B2E7D17"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3D8D0F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20000.01 - 25000.00</w:t>
            </w:r>
          </w:p>
        </w:tc>
        <w:tc>
          <w:tcPr>
            <w:tcW w:w="1016" w:type="pct"/>
            <w:tcBorders>
              <w:top w:val="nil"/>
              <w:left w:val="nil"/>
              <w:bottom w:val="single" w:sz="4" w:space="0" w:color="auto"/>
              <w:right w:val="single" w:sz="4" w:space="0" w:color="auto"/>
            </w:tcBorders>
            <w:shd w:val="clear" w:color="auto" w:fill="auto"/>
            <w:vAlign w:val="bottom"/>
            <w:hideMark/>
          </w:tcPr>
          <w:p w14:paraId="6FD5B48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20,324</w:t>
            </w:r>
          </w:p>
        </w:tc>
        <w:tc>
          <w:tcPr>
            <w:tcW w:w="736" w:type="pct"/>
            <w:tcBorders>
              <w:top w:val="nil"/>
              <w:left w:val="nil"/>
              <w:bottom w:val="single" w:sz="4" w:space="0" w:color="auto"/>
              <w:right w:val="single" w:sz="4" w:space="0" w:color="auto"/>
            </w:tcBorders>
            <w:shd w:val="clear" w:color="auto" w:fill="auto"/>
            <w:vAlign w:val="bottom"/>
            <w:hideMark/>
          </w:tcPr>
          <w:p w14:paraId="747B713D"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30.58%</w:t>
            </w:r>
          </w:p>
        </w:tc>
        <w:tc>
          <w:tcPr>
            <w:tcW w:w="1000" w:type="pct"/>
            <w:tcBorders>
              <w:top w:val="nil"/>
              <w:left w:val="nil"/>
              <w:bottom w:val="single" w:sz="4" w:space="0" w:color="auto"/>
              <w:right w:val="single" w:sz="4" w:space="0" w:color="auto"/>
            </w:tcBorders>
            <w:shd w:val="clear" w:color="auto" w:fill="auto"/>
            <w:vAlign w:val="bottom"/>
            <w:hideMark/>
          </w:tcPr>
          <w:p w14:paraId="3EB4150A"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370,072,771</w:t>
            </w:r>
          </w:p>
        </w:tc>
        <w:tc>
          <w:tcPr>
            <w:tcW w:w="999" w:type="pct"/>
            <w:tcBorders>
              <w:top w:val="nil"/>
              <w:left w:val="nil"/>
              <w:bottom w:val="single" w:sz="4" w:space="0" w:color="auto"/>
              <w:right w:val="single" w:sz="4" w:space="0" w:color="auto"/>
            </w:tcBorders>
            <w:shd w:val="clear" w:color="auto" w:fill="auto"/>
            <w:vAlign w:val="bottom"/>
            <w:hideMark/>
          </w:tcPr>
          <w:p w14:paraId="1D97FF6B"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29.84%</w:t>
            </w:r>
          </w:p>
        </w:tc>
      </w:tr>
      <w:tr w:rsidR="006A523F" w:rsidRPr="006A523F" w14:paraId="2F2ACCE8"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181D7A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25000.01 - 30000.00</w:t>
            </w:r>
          </w:p>
        </w:tc>
        <w:tc>
          <w:tcPr>
            <w:tcW w:w="1016" w:type="pct"/>
            <w:tcBorders>
              <w:top w:val="nil"/>
              <w:left w:val="nil"/>
              <w:bottom w:val="single" w:sz="4" w:space="0" w:color="auto"/>
              <w:right w:val="single" w:sz="4" w:space="0" w:color="auto"/>
            </w:tcBorders>
            <w:shd w:val="clear" w:color="auto" w:fill="auto"/>
            <w:vAlign w:val="bottom"/>
            <w:hideMark/>
          </w:tcPr>
          <w:p w14:paraId="1D3B556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13,210</w:t>
            </w:r>
          </w:p>
        </w:tc>
        <w:tc>
          <w:tcPr>
            <w:tcW w:w="736" w:type="pct"/>
            <w:tcBorders>
              <w:top w:val="nil"/>
              <w:left w:val="nil"/>
              <w:bottom w:val="single" w:sz="4" w:space="0" w:color="auto"/>
              <w:right w:val="single" w:sz="4" w:space="0" w:color="auto"/>
            </w:tcBorders>
            <w:shd w:val="clear" w:color="auto" w:fill="auto"/>
            <w:vAlign w:val="bottom"/>
            <w:hideMark/>
          </w:tcPr>
          <w:p w14:paraId="0848E0C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19.88%</w:t>
            </w:r>
          </w:p>
        </w:tc>
        <w:tc>
          <w:tcPr>
            <w:tcW w:w="1000" w:type="pct"/>
            <w:tcBorders>
              <w:top w:val="nil"/>
              <w:left w:val="nil"/>
              <w:bottom w:val="single" w:sz="4" w:space="0" w:color="auto"/>
              <w:right w:val="single" w:sz="4" w:space="0" w:color="auto"/>
            </w:tcBorders>
            <w:shd w:val="clear" w:color="auto" w:fill="auto"/>
            <w:vAlign w:val="bottom"/>
            <w:hideMark/>
          </w:tcPr>
          <w:p w14:paraId="6EE43C9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291,563,128</w:t>
            </w:r>
          </w:p>
        </w:tc>
        <w:tc>
          <w:tcPr>
            <w:tcW w:w="999" w:type="pct"/>
            <w:tcBorders>
              <w:top w:val="nil"/>
              <w:left w:val="nil"/>
              <w:bottom w:val="single" w:sz="4" w:space="0" w:color="auto"/>
              <w:right w:val="single" w:sz="4" w:space="0" w:color="auto"/>
            </w:tcBorders>
            <w:shd w:val="clear" w:color="auto" w:fill="auto"/>
            <w:vAlign w:val="bottom"/>
            <w:hideMark/>
          </w:tcPr>
          <w:p w14:paraId="44F6125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23.51%</w:t>
            </w:r>
          </w:p>
        </w:tc>
      </w:tr>
      <w:tr w:rsidR="006A523F" w:rsidRPr="006A523F" w14:paraId="79629D27"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8039B54"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30000.01 - 35000.00</w:t>
            </w:r>
          </w:p>
        </w:tc>
        <w:tc>
          <w:tcPr>
            <w:tcW w:w="1016" w:type="pct"/>
            <w:tcBorders>
              <w:top w:val="nil"/>
              <w:left w:val="nil"/>
              <w:bottom w:val="single" w:sz="4" w:space="0" w:color="auto"/>
              <w:right w:val="single" w:sz="4" w:space="0" w:color="auto"/>
            </w:tcBorders>
            <w:shd w:val="clear" w:color="auto" w:fill="auto"/>
            <w:vAlign w:val="bottom"/>
            <w:hideMark/>
          </w:tcPr>
          <w:p w14:paraId="5D6A9E1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5,849</w:t>
            </w:r>
          </w:p>
        </w:tc>
        <w:tc>
          <w:tcPr>
            <w:tcW w:w="736" w:type="pct"/>
            <w:tcBorders>
              <w:top w:val="nil"/>
              <w:left w:val="nil"/>
              <w:bottom w:val="single" w:sz="4" w:space="0" w:color="auto"/>
              <w:right w:val="single" w:sz="4" w:space="0" w:color="auto"/>
            </w:tcBorders>
            <w:shd w:val="clear" w:color="auto" w:fill="auto"/>
            <w:vAlign w:val="bottom"/>
            <w:hideMark/>
          </w:tcPr>
          <w:p w14:paraId="5E3F912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8.80%</w:t>
            </w:r>
          </w:p>
        </w:tc>
        <w:tc>
          <w:tcPr>
            <w:tcW w:w="1000" w:type="pct"/>
            <w:tcBorders>
              <w:top w:val="nil"/>
              <w:left w:val="nil"/>
              <w:bottom w:val="single" w:sz="4" w:space="0" w:color="auto"/>
              <w:right w:val="single" w:sz="4" w:space="0" w:color="auto"/>
            </w:tcBorders>
            <w:shd w:val="clear" w:color="auto" w:fill="auto"/>
            <w:vAlign w:val="bottom"/>
            <w:hideMark/>
          </w:tcPr>
          <w:p w14:paraId="47B052DE"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150,852,220</w:t>
            </w:r>
          </w:p>
        </w:tc>
        <w:tc>
          <w:tcPr>
            <w:tcW w:w="999" w:type="pct"/>
            <w:tcBorders>
              <w:top w:val="nil"/>
              <w:left w:val="nil"/>
              <w:bottom w:val="single" w:sz="4" w:space="0" w:color="auto"/>
              <w:right w:val="single" w:sz="4" w:space="0" w:color="auto"/>
            </w:tcBorders>
            <w:shd w:val="clear" w:color="auto" w:fill="auto"/>
            <w:vAlign w:val="bottom"/>
            <w:hideMark/>
          </w:tcPr>
          <w:p w14:paraId="5267F65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12.17%</w:t>
            </w:r>
          </w:p>
        </w:tc>
      </w:tr>
      <w:tr w:rsidR="006A523F" w:rsidRPr="006A523F" w14:paraId="18D74BF5"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733E5CA"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35000.01 - 40000.00</w:t>
            </w:r>
          </w:p>
        </w:tc>
        <w:tc>
          <w:tcPr>
            <w:tcW w:w="1016" w:type="pct"/>
            <w:tcBorders>
              <w:top w:val="nil"/>
              <w:left w:val="nil"/>
              <w:bottom w:val="single" w:sz="4" w:space="0" w:color="auto"/>
              <w:right w:val="single" w:sz="4" w:space="0" w:color="auto"/>
            </w:tcBorders>
            <w:shd w:val="clear" w:color="auto" w:fill="auto"/>
            <w:vAlign w:val="bottom"/>
            <w:hideMark/>
          </w:tcPr>
          <w:p w14:paraId="7D0363B3"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1,988</w:t>
            </w:r>
          </w:p>
        </w:tc>
        <w:tc>
          <w:tcPr>
            <w:tcW w:w="736" w:type="pct"/>
            <w:tcBorders>
              <w:top w:val="nil"/>
              <w:left w:val="nil"/>
              <w:bottom w:val="single" w:sz="4" w:space="0" w:color="auto"/>
              <w:right w:val="single" w:sz="4" w:space="0" w:color="auto"/>
            </w:tcBorders>
            <w:shd w:val="clear" w:color="auto" w:fill="auto"/>
            <w:vAlign w:val="bottom"/>
            <w:hideMark/>
          </w:tcPr>
          <w:p w14:paraId="0614CAC2"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2.99%</w:t>
            </w:r>
          </w:p>
        </w:tc>
        <w:tc>
          <w:tcPr>
            <w:tcW w:w="1000" w:type="pct"/>
            <w:tcBorders>
              <w:top w:val="nil"/>
              <w:left w:val="nil"/>
              <w:bottom w:val="single" w:sz="4" w:space="0" w:color="auto"/>
              <w:right w:val="single" w:sz="4" w:space="0" w:color="auto"/>
            </w:tcBorders>
            <w:shd w:val="clear" w:color="auto" w:fill="auto"/>
            <w:vAlign w:val="bottom"/>
            <w:hideMark/>
          </w:tcPr>
          <w:p w14:paraId="66B32A5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57,803,479</w:t>
            </w:r>
          </w:p>
        </w:tc>
        <w:tc>
          <w:tcPr>
            <w:tcW w:w="999" w:type="pct"/>
            <w:tcBorders>
              <w:top w:val="nil"/>
              <w:left w:val="nil"/>
              <w:bottom w:val="single" w:sz="4" w:space="0" w:color="auto"/>
              <w:right w:val="single" w:sz="4" w:space="0" w:color="auto"/>
            </w:tcBorders>
            <w:shd w:val="clear" w:color="auto" w:fill="auto"/>
            <w:vAlign w:val="bottom"/>
            <w:hideMark/>
          </w:tcPr>
          <w:p w14:paraId="026C892E"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4.66%</w:t>
            </w:r>
          </w:p>
        </w:tc>
      </w:tr>
      <w:tr w:rsidR="006A523F" w:rsidRPr="006A523F" w14:paraId="1CBFC4B1"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689A9D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40000.01 - 45000.00</w:t>
            </w:r>
          </w:p>
        </w:tc>
        <w:tc>
          <w:tcPr>
            <w:tcW w:w="1016" w:type="pct"/>
            <w:tcBorders>
              <w:top w:val="nil"/>
              <w:left w:val="nil"/>
              <w:bottom w:val="single" w:sz="4" w:space="0" w:color="auto"/>
              <w:right w:val="single" w:sz="4" w:space="0" w:color="auto"/>
            </w:tcBorders>
            <w:shd w:val="clear" w:color="auto" w:fill="auto"/>
            <w:vAlign w:val="bottom"/>
            <w:hideMark/>
          </w:tcPr>
          <w:p w14:paraId="3A461BB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739</w:t>
            </w:r>
          </w:p>
        </w:tc>
        <w:tc>
          <w:tcPr>
            <w:tcW w:w="736" w:type="pct"/>
            <w:tcBorders>
              <w:top w:val="nil"/>
              <w:left w:val="nil"/>
              <w:bottom w:val="single" w:sz="4" w:space="0" w:color="auto"/>
              <w:right w:val="single" w:sz="4" w:space="0" w:color="auto"/>
            </w:tcBorders>
            <w:shd w:val="clear" w:color="auto" w:fill="auto"/>
            <w:vAlign w:val="bottom"/>
            <w:hideMark/>
          </w:tcPr>
          <w:p w14:paraId="2EA1F733"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1.11%</w:t>
            </w:r>
          </w:p>
        </w:tc>
        <w:tc>
          <w:tcPr>
            <w:tcW w:w="1000" w:type="pct"/>
            <w:tcBorders>
              <w:top w:val="nil"/>
              <w:left w:val="nil"/>
              <w:bottom w:val="single" w:sz="4" w:space="0" w:color="auto"/>
              <w:right w:val="single" w:sz="4" w:space="0" w:color="auto"/>
            </w:tcBorders>
            <w:shd w:val="clear" w:color="auto" w:fill="auto"/>
            <w:vAlign w:val="bottom"/>
            <w:hideMark/>
          </w:tcPr>
          <w:p w14:paraId="16953074"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24,460,543</w:t>
            </w:r>
          </w:p>
        </w:tc>
        <w:tc>
          <w:tcPr>
            <w:tcW w:w="999" w:type="pct"/>
            <w:tcBorders>
              <w:top w:val="nil"/>
              <w:left w:val="nil"/>
              <w:bottom w:val="single" w:sz="4" w:space="0" w:color="auto"/>
              <w:right w:val="single" w:sz="4" w:space="0" w:color="auto"/>
            </w:tcBorders>
            <w:shd w:val="clear" w:color="auto" w:fill="auto"/>
            <w:vAlign w:val="bottom"/>
            <w:hideMark/>
          </w:tcPr>
          <w:p w14:paraId="74708C35"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1.97%</w:t>
            </w:r>
          </w:p>
        </w:tc>
      </w:tr>
      <w:tr w:rsidR="006A523F" w:rsidRPr="006A523F" w14:paraId="1B96DC6A"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3E9827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45000.01 - 50000.00</w:t>
            </w:r>
          </w:p>
        </w:tc>
        <w:tc>
          <w:tcPr>
            <w:tcW w:w="1016" w:type="pct"/>
            <w:tcBorders>
              <w:top w:val="nil"/>
              <w:left w:val="nil"/>
              <w:bottom w:val="single" w:sz="4" w:space="0" w:color="auto"/>
              <w:right w:val="single" w:sz="4" w:space="0" w:color="auto"/>
            </w:tcBorders>
            <w:shd w:val="clear" w:color="auto" w:fill="auto"/>
            <w:vAlign w:val="bottom"/>
            <w:hideMark/>
          </w:tcPr>
          <w:p w14:paraId="303E994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343</w:t>
            </w:r>
          </w:p>
        </w:tc>
        <w:tc>
          <w:tcPr>
            <w:tcW w:w="736" w:type="pct"/>
            <w:tcBorders>
              <w:top w:val="nil"/>
              <w:left w:val="nil"/>
              <w:bottom w:val="single" w:sz="4" w:space="0" w:color="auto"/>
              <w:right w:val="single" w:sz="4" w:space="0" w:color="auto"/>
            </w:tcBorders>
            <w:shd w:val="clear" w:color="auto" w:fill="auto"/>
            <w:vAlign w:val="bottom"/>
            <w:hideMark/>
          </w:tcPr>
          <w:p w14:paraId="6C8AD2F1"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0.52%</w:t>
            </w:r>
          </w:p>
        </w:tc>
        <w:tc>
          <w:tcPr>
            <w:tcW w:w="1000" w:type="pct"/>
            <w:tcBorders>
              <w:top w:val="nil"/>
              <w:left w:val="nil"/>
              <w:bottom w:val="single" w:sz="4" w:space="0" w:color="auto"/>
              <w:right w:val="single" w:sz="4" w:space="0" w:color="auto"/>
            </w:tcBorders>
            <w:shd w:val="clear" w:color="auto" w:fill="auto"/>
            <w:vAlign w:val="bottom"/>
            <w:hideMark/>
          </w:tcPr>
          <w:p w14:paraId="24CB5074"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12,872,150</w:t>
            </w:r>
          </w:p>
        </w:tc>
        <w:tc>
          <w:tcPr>
            <w:tcW w:w="999" w:type="pct"/>
            <w:tcBorders>
              <w:top w:val="nil"/>
              <w:left w:val="nil"/>
              <w:bottom w:val="single" w:sz="4" w:space="0" w:color="auto"/>
              <w:right w:val="single" w:sz="4" w:space="0" w:color="auto"/>
            </w:tcBorders>
            <w:shd w:val="clear" w:color="auto" w:fill="auto"/>
            <w:vAlign w:val="bottom"/>
            <w:hideMark/>
          </w:tcPr>
          <w:p w14:paraId="26DA3102"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1.04%</w:t>
            </w:r>
          </w:p>
        </w:tc>
      </w:tr>
      <w:tr w:rsidR="006A523F" w:rsidRPr="006A523F" w14:paraId="09BFB1AF"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5929B50"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50000.01 - 55000.00</w:t>
            </w:r>
          </w:p>
        </w:tc>
        <w:tc>
          <w:tcPr>
            <w:tcW w:w="1016" w:type="pct"/>
            <w:tcBorders>
              <w:top w:val="nil"/>
              <w:left w:val="nil"/>
              <w:bottom w:val="single" w:sz="4" w:space="0" w:color="auto"/>
              <w:right w:val="single" w:sz="4" w:space="0" w:color="auto"/>
            </w:tcBorders>
            <w:shd w:val="clear" w:color="auto" w:fill="auto"/>
            <w:vAlign w:val="bottom"/>
            <w:hideMark/>
          </w:tcPr>
          <w:p w14:paraId="645D0681"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135</w:t>
            </w:r>
          </w:p>
        </w:tc>
        <w:tc>
          <w:tcPr>
            <w:tcW w:w="736" w:type="pct"/>
            <w:tcBorders>
              <w:top w:val="nil"/>
              <w:left w:val="nil"/>
              <w:bottom w:val="single" w:sz="4" w:space="0" w:color="auto"/>
              <w:right w:val="single" w:sz="4" w:space="0" w:color="auto"/>
            </w:tcBorders>
            <w:shd w:val="clear" w:color="auto" w:fill="auto"/>
            <w:vAlign w:val="bottom"/>
            <w:hideMark/>
          </w:tcPr>
          <w:p w14:paraId="5FCF76C7"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0.20%</w:t>
            </w:r>
          </w:p>
        </w:tc>
        <w:tc>
          <w:tcPr>
            <w:tcW w:w="1000" w:type="pct"/>
            <w:tcBorders>
              <w:top w:val="nil"/>
              <w:left w:val="nil"/>
              <w:bottom w:val="single" w:sz="4" w:space="0" w:color="auto"/>
              <w:right w:val="single" w:sz="4" w:space="0" w:color="auto"/>
            </w:tcBorders>
            <w:shd w:val="clear" w:color="auto" w:fill="auto"/>
            <w:vAlign w:val="bottom"/>
            <w:hideMark/>
          </w:tcPr>
          <w:p w14:paraId="350C8A0F"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5,608,625</w:t>
            </w:r>
          </w:p>
        </w:tc>
        <w:tc>
          <w:tcPr>
            <w:tcW w:w="999" w:type="pct"/>
            <w:tcBorders>
              <w:top w:val="nil"/>
              <w:left w:val="nil"/>
              <w:bottom w:val="single" w:sz="4" w:space="0" w:color="auto"/>
              <w:right w:val="single" w:sz="4" w:space="0" w:color="auto"/>
            </w:tcBorders>
            <w:shd w:val="clear" w:color="auto" w:fill="auto"/>
            <w:vAlign w:val="bottom"/>
            <w:hideMark/>
          </w:tcPr>
          <w:p w14:paraId="3D192C27"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0.45%</w:t>
            </w:r>
          </w:p>
        </w:tc>
      </w:tr>
      <w:tr w:rsidR="006A523F" w:rsidRPr="006A523F" w14:paraId="5938B7D8"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A102E10"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55000.01 - 60000.00</w:t>
            </w:r>
          </w:p>
        </w:tc>
        <w:tc>
          <w:tcPr>
            <w:tcW w:w="1016" w:type="pct"/>
            <w:tcBorders>
              <w:top w:val="nil"/>
              <w:left w:val="nil"/>
              <w:bottom w:val="single" w:sz="4" w:space="0" w:color="auto"/>
              <w:right w:val="single" w:sz="4" w:space="0" w:color="auto"/>
            </w:tcBorders>
            <w:shd w:val="clear" w:color="auto" w:fill="auto"/>
            <w:vAlign w:val="bottom"/>
            <w:hideMark/>
          </w:tcPr>
          <w:p w14:paraId="79C3EB15"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85</w:t>
            </w:r>
          </w:p>
        </w:tc>
        <w:tc>
          <w:tcPr>
            <w:tcW w:w="736" w:type="pct"/>
            <w:tcBorders>
              <w:top w:val="nil"/>
              <w:left w:val="nil"/>
              <w:bottom w:val="single" w:sz="4" w:space="0" w:color="auto"/>
              <w:right w:val="single" w:sz="4" w:space="0" w:color="auto"/>
            </w:tcBorders>
            <w:shd w:val="clear" w:color="auto" w:fill="auto"/>
            <w:vAlign w:val="bottom"/>
            <w:hideMark/>
          </w:tcPr>
          <w:p w14:paraId="6C1E8B93"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0.13%</w:t>
            </w:r>
          </w:p>
        </w:tc>
        <w:tc>
          <w:tcPr>
            <w:tcW w:w="1000" w:type="pct"/>
            <w:tcBorders>
              <w:top w:val="nil"/>
              <w:left w:val="nil"/>
              <w:bottom w:val="single" w:sz="4" w:space="0" w:color="auto"/>
              <w:right w:val="single" w:sz="4" w:space="0" w:color="auto"/>
            </w:tcBorders>
            <w:shd w:val="clear" w:color="auto" w:fill="auto"/>
            <w:vAlign w:val="bottom"/>
            <w:hideMark/>
          </w:tcPr>
          <w:p w14:paraId="6ADD657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3,929,056</w:t>
            </w:r>
          </w:p>
        </w:tc>
        <w:tc>
          <w:tcPr>
            <w:tcW w:w="999" w:type="pct"/>
            <w:tcBorders>
              <w:top w:val="nil"/>
              <w:left w:val="nil"/>
              <w:bottom w:val="single" w:sz="4" w:space="0" w:color="auto"/>
              <w:right w:val="single" w:sz="4" w:space="0" w:color="auto"/>
            </w:tcBorders>
            <w:shd w:val="clear" w:color="auto" w:fill="auto"/>
            <w:vAlign w:val="bottom"/>
            <w:hideMark/>
          </w:tcPr>
          <w:p w14:paraId="4A8B3338"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0.32%</w:t>
            </w:r>
          </w:p>
        </w:tc>
      </w:tr>
      <w:tr w:rsidR="006A523F" w:rsidRPr="006A523F" w14:paraId="56DE2E8B"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FF1C4C3"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Larger 60000.00</w:t>
            </w:r>
          </w:p>
        </w:tc>
        <w:tc>
          <w:tcPr>
            <w:tcW w:w="1016" w:type="pct"/>
            <w:tcBorders>
              <w:top w:val="nil"/>
              <w:left w:val="nil"/>
              <w:bottom w:val="single" w:sz="4" w:space="0" w:color="auto"/>
              <w:right w:val="single" w:sz="4" w:space="0" w:color="auto"/>
            </w:tcBorders>
            <w:shd w:val="clear" w:color="auto" w:fill="auto"/>
            <w:vAlign w:val="bottom"/>
            <w:hideMark/>
          </w:tcPr>
          <w:p w14:paraId="2916713D"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157</w:t>
            </w:r>
          </w:p>
        </w:tc>
        <w:tc>
          <w:tcPr>
            <w:tcW w:w="736" w:type="pct"/>
            <w:tcBorders>
              <w:top w:val="nil"/>
              <w:left w:val="nil"/>
              <w:bottom w:val="single" w:sz="4" w:space="0" w:color="auto"/>
              <w:right w:val="single" w:sz="4" w:space="0" w:color="auto"/>
            </w:tcBorders>
            <w:shd w:val="clear" w:color="auto" w:fill="auto"/>
            <w:vAlign w:val="bottom"/>
            <w:hideMark/>
          </w:tcPr>
          <w:p w14:paraId="5D030980"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0.24%</w:t>
            </w:r>
          </w:p>
        </w:tc>
        <w:tc>
          <w:tcPr>
            <w:tcW w:w="1000" w:type="pct"/>
            <w:tcBorders>
              <w:top w:val="nil"/>
              <w:left w:val="nil"/>
              <w:bottom w:val="single" w:sz="4" w:space="0" w:color="auto"/>
              <w:right w:val="single" w:sz="4" w:space="0" w:color="auto"/>
            </w:tcBorders>
            <w:shd w:val="clear" w:color="auto" w:fill="auto"/>
            <w:vAlign w:val="bottom"/>
            <w:hideMark/>
          </w:tcPr>
          <w:p w14:paraId="58905342"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9,459,756</w:t>
            </w:r>
          </w:p>
        </w:tc>
        <w:tc>
          <w:tcPr>
            <w:tcW w:w="999" w:type="pct"/>
            <w:tcBorders>
              <w:top w:val="nil"/>
              <w:left w:val="nil"/>
              <w:bottom w:val="single" w:sz="4" w:space="0" w:color="auto"/>
              <w:right w:val="single" w:sz="4" w:space="0" w:color="auto"/>
            </w:tcBorders>
            <w:shd w:val="clear" w:color="auto" w:fill="auto"/>
            <w:vAlign w:val="bottom"/>
            <w:hideMark/>
          </w:tcPr>
          <w:p w14:paraId="33D6EA10"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0.76%</w:t>
            </w:r>
          </w:p>
        </w:tc>
      </w:tr>
      <w:tr w:rsidR="006A523F" w:rsidRPr="006A523F" w14:paraId="52F6BA2B"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14:paraId="24AC7652"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Total</w:t>
            </w:r>
          </w:p>
        </w:tc>
        <w:tc>
          <w:tcPr>
            <w:tcW w:w="1016" w:type="pct"/>
            <w:tcBorders>
              <w:top w:val="nil"/>
              <w:left w:val="nil"/>
              <w:bottom w:val="single" w:sz="4" w:space="0" w:color="auto"/>
              <w:right w:val="single" w:sz="4" w:space="0" w:color="auto"/>
            </w:tcBorders>
            <w:shd w:val="clear" w:color="auto" w:fill="auto"/>
            <w:vAlign w:val="center"/>
            <w:hideMark/>
          </w:tcPr>
          <w:p w14:paraId="0743E9E1"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66,463</w:t>
            </w:r>
          </w:p>
        </w:tc>
        <w:tc>
          <w:tcPr>
            <w:tcW w:w="736" w:type="pct"/>
            <w:tcBorders>
              <w:top w:val="nil"/>
              <w:left w:val="nil"/>
              <w:bottom w:val="single" w:sz="4" w:space="0" w:color="auto"/>
              <w:right w:val="single" w:sz="4" w:space="0" w:color="auto"/>
            </w:tcBorders>
            <w:shd w:val="clear" w:color="auto" w:fill="auto"/>
            <w:vAlign w:val="center"/>
            <w:hideMark/>
          </w:tcPr>
          <w:p w14:paraId="53701828"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center"/>
            <w:hideMark/>
          </w:tcPr>
          <w:p w14:paraId="0E5B91F2"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1,239,997,050</w:t>
            </w:r>
          </w:p>
        </w:tc>
        <w:tc>
          <w:tcPr>
            <w:tcW w:w="999" w:type="pct"/>
            <w:tcBorders>
              <w:top w:val="nil"/>
              <w:left w:val="nil"/>
              <w:bottom w:val="single" w:sz="4" w:space="0" w:color="auto"/>
              <w:right w:val="single" w:sz="4" w:space="0" w:color="auto"/>
            </w:tcBorders>
            <w:shd w:val="clear" w:color="auto" w:fill="auto"/>
            <w:vAlign w:val="center"/>
            <w:hideMark/>
          </w:tcPr>
          <w:p w14:paraId="69FABB77"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100%</w:t>
            </w:r>
          </w:p>
        </w:tc>
      </w:tr>
      <w:tr w:rsidR="006A523F" w:rsidRPr="006A523F" w14:paraId="691691EC" w14:textId="77777777" w:rsidTr="006A523F">
        <w:trPr>
          <w:trHeight w:val="20"/>
        </w:trPr>
        <w:tc>
          <w:tcPr>
            <w:tcW w:w="1249" w:type="pct"/>
            <w:tcBorders>
              <w:top w:val="nil"/>
              <w:left w:val="nil"/>
              <w:bottom w:val="nil"/>
              <w:right w:val="nil"/>
            </w:tcBorders>
            <w:shd w:val="clear" w:color="auto" w:fill="auto"/>
            <w:noWrap/>
            <w:vAlign w:val="bottom"/>
            <w:hideMark/>
          </w:tcPr>
          <w:p w14:paraId="5E50D9B6" w14:textId="77777777" w:rsidR="006A523F" w:rsidRPr="006A523F" w:rsidRDefault="006A523F" w:rsidP="006A523F">
            <w:pPr>
              <w:spacing w:line="240" w:lineRule="auto"/>
              <w:jc w:val="center"/>
              <w:rPr>
                <w:rFonts w:ascii="Aptos Narrow" w:hAnsi="Aptos Narrow"/>
                <w:b/>
                <w:bCs/>
                <w:sz w:val="16"/>
                <w:szCs w:val="16"/>
                <w:lang w:val="de-DE" w:eastAsia="de-DE"/>
              </w:rPr>
            </w:pPr>
          </w:p>
        </w:tc>
        <w:tc>
          <w:tcPr>
            <w:tcW w:w="1016" w:type="pct"/>
            <w:tcBorders>
              <w:top w:val="nil"/>
              <w:left w:val="nil"/>
              <w:bottom w:val="nil"/>
              <w:right w:val="nil"/>
            </w:tcBorders>
            <w:shd w:val="clear" w:color="auto" w:fill="auto"/>
            <w:noWrap/>
            <w:vAlign w:val="bottom"/>
            <w:hideMark/>
          </w:tcPr>
          <w:p w14:paraId="5EBD1001"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736" w:type="pct"/>
            <w:tcBorders>
              <w:top w:val="nil"/>
              <w:left w:val="nil"/>
              <w:bottom w:val="nil"/>
              <w:right w:val="nil"/>
            </w:tcBorders>
            <w:shd w:val="clear" w:color="auto" w:fill="auto"/>
            <w:noWrap/>
            <w:vAlign w:val="bottom"/>
            <w:hideMark/>
          </w:tcPr>
          <w:p w14:paraId="161BDDFE"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noWrap/>
            <w:vAlign w:val="bottom"/>
            <w:hideMark/>
          </w:tcPr>
          <w:p w14:paraId="462014C4"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999" w:type="pct"/>
            <w:tcBorders>
              <w:top w:val="nil"/>
              <w:left w:val="nil"/>
              <w:bottom w:val="nil"/>
              <w:right w:val="nil"/>
            </w:tcBorders>
            <w:shd w:val="clear" w:color="auto" w:fill="auto"/>
            <w:vAlign w:val="bottom"/>
            <w:hideMark/>
          </w:tcPr>
          <w:p w14:paraId="57C98595"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73FE2DB5" w14:textId="77777777" w:rsidTr="006A523F">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9010C"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Amount Financed - Minimum</w:t>
            </w:r>
          </w:p>
        </w:tc>
        <w:tc>
          <w:tcPr>
            <w:tcW w:w="1016" w:type="pct"/>
            <w:tcBorders>
              <w:top w:val="single" w:sz="4" w:space="0" w:color="auto"/>
              <w:left w:val="nil"/>
              <w:bottom w:val="single" w:sz="4" w:space="0" w:color="auto"/>
              <w:right w:val="single" w:sz="4" w:space="0" w:color="auto"/>
            </w:tcBorders>
            <w:shd w:val="clear" w:color="auto" w:fill="auto"/>
            <w:noWrap/>
            <w:vAlign w:val="bottom"/>
            <w:hideMark/>
          </w:tcPr>
          <w:p w14:paraId="02D9FBEF"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2,185 </w:t>
            </w:r>
          </w:p>
        </w:tc>
        <w:tc>
          <w:tcPr>
            <w:tcW w:w="736" w:type="pct"/>
            <w:tcBorders>
              <w:top w:val="nil"/>
              <w:left w:val="nil"/>
              <w:bottom w:val="nil"/>
              <w:right w:val="nil"/>
            </w:tcBorders>
            <w:shd w:val="clear" w:color="auto" w:fill="auto"/>
            <w:noWrap/>
            <w:vAlign w:val="bottom"/>
            <w:hideMark/>
          </w:tcPr>
          <w:p w14:paraId="7FA2B9BD" w14:textId="77777777" w:rsidR="006A523F" w:rsidRPr="006A523F" w:rsidRDefault="006A523F" w:rsidP="006A523F">
            <w:pPr>
              <w:spacing w:line="240" w:lineRule="auto"/>
              <w:jc w:val="left"/>
              <w:rPr>
                <w:rFonts w:ascii="Aptos Narrow" w:hAnsi="Aptos Narrow"/>
                <w:color w:val="000000"/>
                <w:sz w:val="16"/>
                <w:szCs w:val="16"/>
                <w:lang w:val="de-DE" w:eastAsia="de-DE"/>
              </w:rPr>
            </w:pPr>
          </w:p>
        </w:tc>
        <w:tc>
          <w:tcPr>
            <w:tcW w:w="1000" w:type="pct"/>
            <w:tcBorders>
              <w:top w:val="nil"/>
              <w:left w:val="nil"/>
              <w:bottom w:val="nil"/>
              <w:right w:val="nil"/>
            </w:tcBorders>
            <w:shd w:val="clear" w:color="auto" w:fill="auto"/>
            <w:noWrap/>
            <w:vAlign w:val="bottom"/>
            <w:hideMark/>
          </w:tcPr>
          <w:p w14:paraId="20BC9787"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999" w:type="pct"/>
            <w:tcBorders>
              <w:top w:val="nil"/>
              <w:left w:val="nil"/>
              <w:bottom w:val="nil"/>
              <w:right w:val="nil"/>
            </w:tcBorders>
            <w:shd w:val="clear" w:color="auto" w:fill="auto"/>
            <w:vAlign w:val="bottom"/>
            <w:hideMark/>
          </w:tcPr>
          <w:p w14:paraId="7E0DD701"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638103DB"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14:paraId="792C6BC4"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Amount Financed - Maximum</w:t>
            </w:r>
          </w:p>
        </w:tc>
        <w:tc>
          <w:tcPr>
            <w:tcW w:w="1016" w:type="pct"/>
            <w:tcBorders>
              <w:top w:val="nil"/>
              <w:left w:val="nil"/>
              <w:bottom w:val="single" w:sz="4" w:space="0" w:color="auto"/>
              <w:right w:val="single" w:sz="4" w:space="0" w:color="auto"/>
            </w:tcBorders>
            <w:shd w:val="clear" w:color="auto" w:fill="auto"/>
            <w:noWrap/>
            <w:vAlign w:val="bottom"/>
            <w:hideMark/>
          </w:tcPr>
          <w:p w14:paraId="382F3783"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94,016 </w:t>
            </w:r>
          </w:p>
        </w:tc>
        <w:tc>
          <w:tcPr>
            <w:tcW w:w="736" w:type="pct"/>
            <w:tcBorders>
              <w:top w:val="nil"/>
              <w:left w:val="nil"/>
              <w:bottom w:val="nil"/>
              <w:right w:val="nil"/>
            </w:tcBorders>
            <w:shd w:val="clear" w:color="auto" w:fill="auto"/>
            <w:noWrap/>
            <w:vAlign w:val="bottom"/>
            <w:hideMark/>
          </w:tcPr>
          <w:p w14:paraId="0671796E" w14:textId="77777777" w:rsidR="006A523F" w:rsidRPr="006A523F" w:rsidRDefault="006A523F" w:rsidP="006A523F">
            <w:pPr>
              <w:spacing w:line="240" w:lineRule="auto"/>
              <w:jc w:val="left"/>
              <w:rPr>
                <w:rFonts w:ascii="Aptos Narrow" w:hAnsi="Aptos Narrow"/>
                <w:color w:val="000000"/>
                <w:sz w:val="16"/>
                <w:szCs w:val="16"/>
                <w:lang w:val="de-DE" w:eastAsia="de-DE"/>
              </w:rPr>
            </w:pPr>
          </w:p>
        </w:tc>
        <w:tc>
          <w:tcPr>
            <w:tcW w:w="1000" w:type="pct"/>
            <w:tcBorders>
              <w:top w:val="nil"/>
              <w:left w:val="nil"/>
              <w:bottom w:val="nil"/>
              <w:right w:val="nil"/>
            </w:tcBorders>
            <w:shd w:val="clear" w:color="auto" w:fill="auto"/>
            <w:noWrap/>
            <w:vAlign w:val="bottom"/>
            <w:hideMark/>
          </w:tcPr>
          <w:p w14:paraId="4A4C2676"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999" w:type="pct"/>
            <w:tcBorders>
              <w:top w:val="nil"/>
              <w:left w:val="nil"/>
              <w:bottom w:val="nil"/>
              <w:right w:val="nil"/>
            </w:tcBorders>
            <w:shd w:val="clear" w:color="auto" w:fill="auto"/>
            <w:vAlign w:val="bottom"/>
            <w:hideMark/>
          </w:tcPr>
          <w:p w14:paraId="666C4ADE"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33686B7B"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14:paraId="677DE743"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Amount Financed - Average</w:t>
            </w:r>
          </w:p>
        </w:tc>
        <w:tc>
          <w:tcPr>
            <w:tcW w:w="1016" w:type="pct"/>
            <w:tcBorders>
              <w:top w:val="nil"/>
              <w:left w:val="nil"/>
              <w:bottom w:val="single" w:sz="4" w:space="0" w:color="auto"/>
              <w:right w:val="single" w:sz="4" w:space="0" w:color="auto"/>
            </w:tcBorders>
            <w:shd w:val="clear" w:color="auto" w:fill="auto"/>
            <w:noWrap/>
            <w:vAlign w:val="bottom"/>
            <w:hideMark/>
          </w:tcPr>
          <w:p w14:paraId="641DD519"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de-DE" w:eastAsia="de-DE"/>
              </w:rPr>
              <w:t xml:space="preserve">                                    22,987 </w:t>
            </w:r>
          </w:p>
        </w:tc>
        <w:tc>
          <w:tcPr>
            <w:tcW w:w="736" w:type="pct"/>
            <w:tcBorders>
              <w:top w:val="nil"/>
              <w:left w:val="nil"/>
              <w:bottom w:val="nil"/>
              <w:right w:val="nil"/>
            </w:tcBorders>
            <w:shd w:val="clear" w:color="auto" w:fill="auto"/>
            <w:noWrap/>
            <w:vAlign w:val="bottom"/>
            <w:hideMark/>
          </w:tcPr>
          <w:p w14:paraId="6784FF2A" w14:textId="77777777" w:rsidR="006A523F" w:rsidRPr="006A523F" w:rsidRDefault="006A523F" w:rsidP="006A523F">
            <w:pPr>
              <w:spacing w:line="240" w:lineRule="auto"/>
              <w:jc w:val="left"/>
              <w:rPr>
                <w:rFonts w:ascii="Aptos Narrow" w:hAnsi="Aptos Narrow"/>
                <w:color w:val="000000"/>
                <w:sz w:val="16"/>
                <w:szCs w:val="16"/>
                <w:lang w:val="de-DE" w:eastAsia="de-DE"/>
              </w:rPr>
            </w:pPr>
          </w:p>
        </w:tc>
        <w:tc>
          <w:tcPr>
            <w:tcW w:w="1000" w:type="pct"/>
            <w:tcBorders>
              <w:top w:val="nil"/>
              <w:left w:val="nil"/>
              <w:bottom w:val="nil"/>
              <w:right w:val="nil"/>
            </w:tcBorders>
            <w:shd w:val="clear" w:color="auto" w:fill="auto"/>
            <w:noWrap/>
            <w:vAlign w:val="bottom"/>
            <w:hideMark/>
          </w:tcPr>
          <w:p w14:paraId="743DDB5A"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999" w:type="pct"/>
            <w:tcBorders>
              <w:top w:val="nil"/>
              <w:left w:val="nil"/>
              <w:bottom w:val="nil"/>
              <w:right w:val="nil"/>
            </w:tcBorders>
            <w:shd w:val="clear" w:color="auto" w:fill="auto"/>
            <w:vAlign w:val="bottom"/>
            <w:hideMark/>
          </w:tcPr>
          <w:p w14:paraId="0414F785" w14:textId="77777777" w:rsidR="006A523F" w:rsidRPr="006A523F" w:rsidRDefault="006A523F" w:rsidP="006A523F">
            <w:pPr>
              <w:spacing w:line="240" w:lineRule="auto"/>
              <w:jc w:val="left"/>
              <w:rPr>
                <w:rFonts w:ascii="Times New Roman" w:hAnsi="Times New Roman"/>
                <w:sz w:val="16"/>
                <w:szCs w:val="16"/>
                <w:lang w:val="de-DE" w:eastAsia="de-DE"/>
              </w:rPr>
            </w:pPr>
          </w:p>
        </w:tc>
      </w:tr>
    </w:tbl>
    <w:p w14:paraId="6D95A258" w14:textId="77777777" w:rsidR="000D0E23" w:rsidRDefault="000D0E23" w:rsidP="000D0E23">
      <w:pPr>
        <w:pStyle w:val="Body1"/>
      </w:pPr>
    </w:p>
    <w:p w14:paraId="0818190F" w14:textId="22568BA4" w:rsidR="000D0E23" w:rsidRDefault="000D0E23" w:rsidP="000D0E23">
      <w:pPr>
        <w:pStyle w:val="Body1"/>
      </w:pPr>
      <w:r>
        <w:t>7.</w:t>
      </w:r>
      <w:r>
        <w:tab/>
      </w:r>
      <w:r w:rsidRPr="000D0E23">
        <w:rPr>
          <w:b/>
          <w:bCs/>
        </w:rPr>
        <w:t>Remaining Aggregate Discounted Principal Balance (€)</w:t>
      </w:r>
    </w:p>
    <w:tbl>
      <w:tblPr>
        <w:tblW w:w="5000" w:type="pct"/>
        <w:tblCellMar>
          <w:left w:w="70" w:type="dxa"/>
          <w:right w:w="70" w:type="dxa"/>
        </w:tblCellMar>
        <w:tblLook w:val="04A0" w:firstRow="1" w:lastRow="0" w:firstColumn="1" w:lastColumn="0" w:noHBand="0" w:noVBand="1"/>
      </w:tblPr>
      <w:tblGrid>
        <w:gridCol w:w="2546"/>
        <w:gridCol w:w="1702"/>
        <w:gridCol w:w="1189"/>
        <w:gridCol w:w="1812"/>
        <w:gridCol w:w="1812"/>
      </w:tblGrid>
      <w:tr w:rsidR="006A523F" w:rsidRPr="006A523F" w14:paraId="729EF184" w14:textId="77777777" w:rsidTr="006A523F">
        <w:trPr>
          <w:trHeight w:val="20"/>
        </w:trPr>
        <w:tc>
          <w:tcPr>
            <w:tcW w:w="14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85B77" w14:textId="77777777" w:rsidR="006A523F" w:rsidRPr="006A523F" w:rsidRDefault="006A523F" w:rsidP="006A523F">
            <w:pPr>
              <w:spacing w:line="240" w:lineRule="auto"/>
              <w:jc w:val="center"/>
              <w:rPr>
                <w:rFonts w:ascii="Aptos Narrow" w:hAnsi="Aptos Narrow"/>
                <w:b/>
                <w:bCs/>
                <w:sz w:val="16"/>
                <w:szCs w:val="16"/>
                <w:lang w:val="en-US" w:eastAsia="de-DE"/>
              </w:rPr>
            </w:pPr>
            <w:r w:rsidRPr="006A523F">
              <w:rPr>
                <w:rFonts w:ascii="Aptos Narrow" w:hAnsi="Aptos Narrow"/>
                <w:b/>
                <w:bCs/>
                <w:sz w:val="16"/>
                <w:szCs w:val="16"/>
                <w:lang w:val="en-US" w:eastAsia="de-DE"/>
              </w:rPr>
              <w:t>Size by Remaining Aggregate Discounted Principal Balance(€)</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1619A831"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xml:space="preserve">Number of Leases </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71562FF9"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27B4AF0"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EF686D2"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0CFC0860"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56A43CE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0.01 - 5000.00</w:t>
            </w:r>
          </w:p>
        </w:tc>
        <w:tc>
          <w:tcPr>
            <w:tcW w:w="939" w:type="pct"/>
            <w:tcBorders>
              <w:top w:val="nil"/>
              <w:left w:val="nil"/>
              <w:bottom w:val="single" w:sz="4" w:space="0" w:color="auto"/>
              <w:right w:val="single" w:sz="4" w:space="0" w:color="auto"/>
            </w:tcBorders>
            <w:shd w:val="clear" w:color="auto" w:fill="auto"/>
            <w:vAlign w:val="bottom"/>
            <w:hideMark/>
          </w:tcPr>
          <w:p w14:paraId="75C05B2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228</w:t>
            </w:r>
          </w:p>
        </w:tc>
        <w:tc>
          <w:tcPr>
            <w:tcW w:w="656" w:type="pct"/>
            <w:tcBorders>
              <w:top w:val="nil"/>
              <w:left w:val="nil"/>
              <w:bottom w:val="single" w:sz="4" w:space="0" w:color="auto"/>
              <w:right w:val="single" w:sz="4" w:space="0" w:color="auto"/>
            </w:tcBorders>
            <w:shd w:val="clear" w:color="auto" w:fill="auto"/>
            <w:vAlign w:val="bottom"/>
            <w:hideMark/>
          </w:tcPr>
          <w:p w14:paraId="6F76CC9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0.34%</w:t>
            </w:r>
          </w:p>
        </w:tc>
        <w:tc>
          <w:tcPr>
            <w:tcW w:w="1000" w:type="pct"/>
            <w:tcBorders>
              <w:top w:val="nil"/>
              <w:left w:val="nil"/>
              <w:bottom w:val="single" w:sz="4" w:space="0" w:color="auto"/>
              <w:right w:val="single" w:sz="4" w:space="0" w:color="auto"/>
            </w:tcBorders>
            <w:shd w:val="clear" w:color="auto" w:fill="auto"/>
            <w:vAlign w:val="bottom"/>
            <w:hideMark/>
          </w:tcPr>
          <w:p w14:paraId="3B930DB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942,646</w:t>
            </w:r>
          </w:p>
        </w:tc>
        <w:tc>
          <w:tcPr>
            <w:tcW w:w="1000" w:type="pct"/>
            <w:tcBorders>
              <w:top w:val="nil"/>
              <w:left w:val="nil"/>
              <w:bottom w:val="single" w:sz="4" w:space="0" w:color="auto"/>
              <w:right w:val="single" w:sz="4" w:space="0" w:color="auto"/>
            </w:tcBorders>
            <w:shd w:val="clear" w:color="auto" w:fill="auto"/>
            <w:vAlign w:val="bottom"/>
            <w:hideMark/>
          </w:tcPr>
          <w:p w14:paraId="138268D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0.08%</w:t>
            </w:r>
          </w:p>
        </w:tc>
      </w:tr>
      <w:tr w:rsidR="006A523F" w:rsidRPr="006A523F" w14:paraId="329B80F0"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3BD9F45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5000.01 - 10000.00</w:t>
            </w:r>
          </w:p>
        </w:tc>
        <w:tc>
          <w:tcPr>
            <w:tcW w:w="939" w:type="pct"/>
            <w:tcBorders>
              <w:top w:val="nil"/>
              <w:left w:val="nil"/>
              <w:bottom w:val="single" w:sz="4" w:space="0" w:color="auto"/>
              <w:right w:val="single" w:sz="4" w:space="0" w:color="auto"/>
            </w:tcBorders>
            <w:shd w:val="clear" w:color="auto" w:fill="auto"/>
            <w:vAlign w:val="bottom"/>
            <w:hideMark/>
          </w:tcPr>
          <w:p w14:paraId="337E65B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2,823</w:t>
            </w:r>
          </w:p>
        </w:tc>
        <w:tc>
          <w:tcPr>
            <w:tcW w:w="656" w:type="pct"/>
            <w:tcBorders>
              <w:top w:val="nil"/>
              <w:left w:val="nil"/>
              <w:bottom w:val="single" w:sz="4" w:space="0" w:color="auto"/>
              <w:right w:val="single" w:sz="4" w:space="0" w:color="auto"/>
            </w:tcBorders>
            <w:shd w:val="clear" w:color="auto" w:fill="auto"/>
            <w:vAlign w:val="bottom"/>
            <w:hideMark/>
          </w:tcPr>
          <w:p w14:paraId="1310463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4.25%</w:t>
            </w:r>
          </w:p>
        </w:tc>
        <w:tc>
          <w:tcPr>
            <w:tcW w:w="1000" w:type="pct"/>
            <w:tcBorders>
              <w:top w:val="nil"/>
              <w:left w:val="nil"/>
              <w:bottom w:val="single" w:sz="4" w:space="0" w:color="auto"/>
              <w:right w:val="single" w:sz="4" w:space="0" w:color="auto"/>
            </w:tcBorders>
            <w:shd w:val="clear" w:color="auto" w:fill="auto"/>
            <w:vAlign w:val="bottom"/>
            <w:hideMark/>
          </w:tcPr>
          <w:p w14:paraId="7261882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21,683,469</w:t>
            </w:r>
          </w:p>
        </w:tc>
        <w:tc>
          <w:tcPr>
            <w:tcW w:w="1000" w:type="pct"/>
            <w:tcBorders>
              <w:top w:val="nil"/>
              <w:left w:val="nil"/>
              <w:bottom w:val="single" w:sz="4" w:space="0" w:color="auto"/>
              <w:right w:val="single" w:sz="4" w:space="0" w:color="auto"/>
            </w:tcBorders>
            <w:shd w:val="clear" w:color="auto" w:fill="auto"/>
            <w:vAlign w:val="bottom"/>
            <w:hideMark/>
          </w:tcPr>
          <w:p w14:paraId="22B270B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1.75%</w:t>
            </w:r>
          </w:p>
        </w:tc>
      </w:tr>
      <w:tr w:rsidR="006A523F" w:rsidRPr="006A523F" w14:paraId="49A65400"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12AE4A3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10000.01 - 15000.00</w:t>
            </w:r>
          </w:p>
        </w:tc>
        <w:tc>
          <w:tcPr>
            <w:tcW w:w="939" w:type="pct"/>
            <w:tcBorders>
              <w:top w:val="nil"/>
              <w:left w:val="nil"/>
              <w:bottom w:val="single" w:sz="4" w:space="0" w:color="auto"/>
              <w:right w:val="single" w:sz="4" w:space="0" w:color="auto"/>
            </w:tcBorders>
            <w:shd w:val="clear" w:color="auto" w:fill="auto"/>
            <w:vAlign w:val="bottom"/>
            <w:hideMark/>
          </w:tcPr>
          <w:p w14:paraId="4361B6F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15,049</w:t>
            </w:r>
          </w:p>
        </w:tc>
        <w:tc>
          <w:tcPr>
            <w:tcW w:w="656" w:type="pct"/>
            <w:tcBorders>
              <w:top w:val="nil"/>
              <w:left w:val="nil"/>
              <w:bottom w:val="single" w:sz="4" w:space="0" w:color="auto"/>
              <w:right w:val="single" w:sz="4" w:space="0" w:color="auto"/>
            </w:tcBorders>
            <w:shd w:val="clear" w:color="auto" w:fill="auto"/>
            <w:vAlign w:val="bottom"/>
            <w:hideMark/>
          </w:tcPr>
          <w:p w14:paraId="16B5B25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22.64%</w:t>
            </w:r>
          </w:p>
        </w:tc>
        <w:tc>
          <w:tcPr>
            <w:tcW w:w="1000" w:type="pct"/>
            <w:tcBorders>
              <w:top w:val="nil"/>
              <w:left w:val="nil"/>
              <w:bottom w:val="single" w:sz="4" w:space="0" w:color="auto"/>
              <w:right w:val="single" w:sz="4" w:space="0" w:color="auto"/>
            </w:tcBorders>
            <w:shd w:val="clear" w:color="auto" w:fill="auto"/>
            <w:vAlign w:val="bottom"/>
            <w:hideMark/>
          </w:tcPr>
          <w:p w14:paraId="5386C64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197,061,298</w:t>
            </w:r>
          </w:p>
        </w:tc>
        <w:tc>
          <w:tcPr>
            <w:tcW w:w="1000" w:type="pct"/>
            <w:tcBorders>
              <w:top w:val="nil"/>
              <w:left w:val="nil"/>
              <w:bottom w:val="single" w:sz="4" w:space="0" w:color="auto"/>
              <w:right w:val="single" w:sz="4" w:space="0" w:color="auto"/>
            </w:tcBorders>
            <w:shd w:val="clear" w:color="auto" w:fill="auto"/>
            <w:vAlign w:val="bottom"/>
            <w:hideMark/>
          </w:tcPr>
          <w:p w14:paraId="7471B7D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15.89%</w:t>
            </w:r>
          </w:p>
        </w:tc>
      </w:tr>
      <w:tr w:rsidR="006A523F" w:rsidRPr="006A523F" w14:paraId="24213966"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0CF153F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15000.01 - 20000.00</w:t>
            </w:r>
          </w:p>
        </w:tc>
        <w:tc>
          <w:tcPr>
            <w:tcW w:w="939" w:type="pct"/>
            <w:tcBorders>
              <w:top w:val="nil"/>
              <w:left w:val="nil"/>
              <w:bottom w:val="single" w:sz="4" w:space="0" w:color="auto"/>
              <w:right w:val="single" w:sz="4" w:space="0" w:color="auto"/>
            </w:tcBorders>
            <w:shd w:val="clear" w:color="auto" w:fill="auto"/>
            <w:vAlign w:val="bottom"/>
            <w:hideMark/>
          </w:tcPr>
          <w:p w14:paraId="212E63D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24,361</w:t>
            </w:r>
          </w:p>
        </w:tc>
        <w:tc>
          <w:tcPr>
            <w:tcW w:w="656" w:type="pct"/>
            <w:tcBorders>
              <w:top w:val="nil"/>
              <w:left w:val="nil"/>
              <w:bottom w:val="single" w:sz="4" w:space="0" w:color="auto"/>
              <w:right w:val="single" w:sz="4" w:space="0" w:color="auto"/>
            </w:tcBorders>
            <w:shd w:val="clear" w:color="auto" w:fill="auto"/>
            <w:vAlign w:val="bottom"/>
            <w:hideMark/>
          </w:tcPr>
          <w:p w14:paraId="0BB95C1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36.65%</w:t>
            </w:r>
          </w:p>
        </w:tc>
        <w:tc>
          <w:tcPr>
            <w:tcW w:w="1000" w:type="pct"/>
            <w:tcBorders>
              <w:top w:val="nil"/>
              <w:left w:val="nil"/>
              <w:bottom w:val="single" w:sz="4" w:space="0" w:color="auto"/>
              <w:right w:val="single" w:sz="4" w:space="0" w:color="auto"/>
            </w:tcBorders>
            <w:shd w:val="clear" w:color="auto" w:fill="auto"/>
            <w:vAlign w:val="bottom"/>
            <w:hideMark/>
          </w:tcPr>
          <w:p w14:paraId="610FAE0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424,324,518</w:t>
            </w:r>
          </w:p>
        </w:tc>
        <w:tc>
          <w:tcPr>
            <w:tcW w:w="1000" w:type="pct"/>
            <w:tcBorders>
              <w:top w:val="nil"/>
              <w:left w:val="nil"/>
              <w:bottom w:val="single" w:sz="4" w:space="0" w:color="auto"/>
              <w:right w:val="single" w:sz="4" w:space="0" w:color="auto"/>
            </w:tcBorders>
            <w:shd w:val="clear" w:color="auto" w:fill="auto"/>
            <w:vAlign w:val="bottom"/>
            <w:hideMark/>
          </w:tcPr>
          <w:p w14:paraId="31945F8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34.22%</w:t>
            </w:r>
          </w:p>
        </w:tc>
      </w:tr>
      <w:tr w:rsidR="006A523F" w:rsidRPr="006A523F" w14:paraId="39B5FA8C"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29A3CDD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20000.01 - 25000.00</w:t>
            </w:r>
          </w:p>
        </w:tc>
        <w:tc>
          <w:tcPr>
            <w:tcW w:w="939" w:type="pct"/>
            <w:tcBorders>
              <w:top w:val="nil"/>
              <w:left w:val="nil"/>
              <w:bottom w:val="single" w:sz="4" w:space="0" w:color="auto"/>
              <w:right w:val="single" w:sz="4" w:space="0" w:color="auto"/>
            </w:tcBorders>
            <w:shd w:val="clear" w:color="auto" w:fill="auto"/>
            <w:vAlign w:val="bottom"/>
            <w:hideMark/>
          </w:tcPr>
          <w:p w14:paraId="0C1D0F3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15,631</w:t>
            </w:r>
          </w:p>
        </w:tc>
        <w:tc>
          <w:tcPr>
            <w:tcW w:w="656" w:type="pct"/>
            <w:tcBorders>
              <w:top w:val="nil"/>
              <w:left w:val="nil"/>
              <w:bottom w:val="single" w:sz="4" w:space="0" w:color="auto"/>
              <w:right w:val="single" w:sz="4" w:space="0" w:color="auto"/>
            </w:tcBorders>
            <w:shd w:val="clear" w:color="auto" w:fill="auto"/>
            <w:vAlign w:val="bottom"/>
            <w:hideMark/>
          </w:tcPr>
          <w:p w14:paraId="51DCB35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23.52%</w:t>
            </w:r>
          </w:p>
        </w:tc>
        <w:tc>
          <w:tcPr>
            <w:tcW w:w="1000" w:type="pct"/>
            <w:tcBorders>
              <w:top w:val="nil"/>
              <w:left w:val="nil"/>
              <w:bottom w:val="single" w:sz="4" w:space="0" w:color="auto"/>
              <w:right w:val="single" w:sz="4" w:space="0" w:color="auto"/>
            </w:tcBorders>
            <w:shd w:val="clear" w:color="auto" w:fill="auto"/>
            <w:vAlign w:val="bottom"/>
            <w:hideMark/>
          </w:tcPr>
          <w:p w14:paraId="1AD85FE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347,139,814</w:t>
            </w:r>
          </w:p>
        </w:tc>
        <w:tc>
          <w:tcPr>
            <w:tcW w:w="1000" w:type="pct"/>
            <w:tcBorders>
              <w:top w:val="nil"/>
              <w:left w:val="nil"/>
              <w:bottom w:val="single" w:sz="4" w:space="0" w:color="auto"/>
              <w:right w:val="single" w:sz="4" w:space="0" w:color="auto"/>
            </w:tcBorders>
            <w:shd w:val="clear" w:color="auto" w:fill="auto"/>
            <w:vAlign w:val="bottom"/>
            <w:hideMark/>
          </w:tcPr>
          <w:p w14:paraId="79E3F83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28.00%</w:t>
            </w:r>
          </w:p>
        </w:tc>
      </w:tr>
      <w:tr w:rsidR="006A523F" w:rsidRPr="006A523F" w14:paraId="2EF0A5F0"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155998E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25000.01 - 30000.00</w:t>
            </w:r>
          </w:p>
        </w:tc>
        <w:tc>
          <w:tcPr>
            <w:tcW w:w="939" w:type="pct"/>
            <w:tcBorders>
              <w:top w:val="nil"/>
              <w:left w:val="nil"/>
              <w:bottom w:val="single" w:sz="4" w:space="0" w:color="auto"/>
              <w:right w:val="single" w:sz="4" w:space="0" w:color="auto"/>
            </w:tcBorders>
            <w:shd w:val="clear" w:color="auto" w:fill="auto"/>
            <w:vAlign w:val="bottom"/>
            <w:hideMark/>
          </w:tcPr>
          <w:p w14:paraId="294C0A7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5,892</w:t>
            </w:r>
          </w:p>
        </w:tc>
        <w:tc>
          <w:tcPr>
            <w:tcW w:w="656" w:type="pct"/>
            <w:tcBorders>
              <w:top w:val="nil"/>
              <w:left w:val="nil"/>
              <w:bottom w:val="single" w:sz="4" w:space="0" w:color="auto"/>
              <w:right w:val="single" w:sz="4" w:space="0" w:color="auto"/>
            </w:tcBorders>
            <w:shd w:val="clear" w:color="auto" w:fill="auto"/>
            <w:vAlign w:val="bottom"/>
            <w:hideMark/>
          </w:tcPr>
          <w:p w14:paraId="653B7A8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8.87%</w:t>
            </w:r>
          </w:p>
        </w:tc>
        <w:tc>
          <w:tcPr>
            <w:tcW w:w="1000" w:type="pct"/>
            <w:tcBorders>
              <w:top w:val="nil"/>
              <w:left w:val="nil"/>
              <w:bottom w:val="single" w:sz="4" w:space="0" w:color="auto"/>
              <w:right w:val="single" w:sz="4" w:space="0" w:color="auto"/>
            </w:tcBorders>
            <w:shd w:val="clear" w:color="auto" w:fill="auto"/>
            <w:vAlign w:val="bottom"/>
            <w:hideMark/>
          </w:tcPr>
          <w:p w14:paraId="35D8AFC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159,137,076</w:t>
            </w:r>
          </w:p>
        </w:tc>
        <w:tc>
          <w:tcPr>
            <w:tcW w:w="1000" w:type="pct"/>
            <w:tcBorders>
              <w:top w:val="nil"/>
              <w:left w:val="nil"/>
              <w:bottom w:val="single" w:sz="4" w:space="0" w:color="auto"/>
              <w:right w:val="single" w:sz="4" w:space="0" w:color="auto"/>
            </w:tcBorders>
            <w:shd w:val="clear" w:color="auto" w:fill="auto"/>
            <w:vAlign w:val="bottom"/>
            <w:hideMark/>
          </w:tcPr>
          <w:p w14:paraId="54DC9FF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12.83%</w:t>
            </w:r>
          </w:p>
        </w:tc>
      </w:tr>
      <w:tr w:rsidR="006A523F" w:rsidRPr="006A523F" w14:paraId="1D9991D9"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611AA34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30000.01 - 35000.00</w:t>
            </w:r>
          </w:p>
        </w:tc>
        <w:tc>
          <w:tcPr>
            <w:tcW w:w="939" w:type="pct"/>
            <w:tcBorders>
              <w:top w:val="nil"/>
              <w:left w:val="nil"/>
              <w:bottom w:val="single" w:sz="4" w:space="0" w:color="auto"/>
              <w:right w:val="single" w:sz="4" w:space="0" w:color="auto"/>
            </w:tcBorders>
            <w:shd w:val="clear" w:color="auto" w:fill="auto"/>
            <w:vAlign w:val="bottom"/>
            <w:hideMark/>
          </w:tcPr>
          <w:p w14:paraId="55F7CD3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1,534</w:t>
            </w:r>
          </w:p>
        </w:tc>
        <w:tc>
          <w:tcPr>
            <w:tcW w:w="656" w:type="pct"/>
            <w:tcBorders>
              <w:top w:val="nil"/>
              <w:left w:val="nil"/>
              <w:bottom w:val="single" w:sz="4" w:space="0" w:color="auto"/>
              <w:right w:val="single" w:sz="4" w:space="0" w:color="auto"/>
            </w:tcBorders>
            <w:shd w:val="clear" w:color="auto" w:fill="auto"/>
            <w:vAlign w:val="bottom"/>
            <w:hideMark/>
          </w:tcPr>
          <w:p w14:paraId="1E89783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2.31%</w:t>
            </w:r>
          </w:p>
        </w:tc>
        <w:tc>
          <w:tcPr>
            <w:tcW w:w="1000" w:type="pct"/>
            <w:tcBorders>
              <w:top w:val="nil"/>
              <w:left w:val="nil"/>
              <w:bottom w:val="single" w:sz="4" w:space="0" w:color="auto"/>
              <w:right w:val="single" w:sz="4" w:space="0" w:color="auto"/>
            </w:tcBorders>
            <w:shd w:val="clear" w:color="auto" w:fill="auto"/>
            <w:vAlign w:val="bottom"/>
            <w:hideMark/>
          </w:tcPr>
          <w:p w14:paraId="1AD50A9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49,017,006</w:t>
            </w:r>
          </w:p>
        </w:tc>
        <w:tc>
          <w:tcPr>
            <w:tcW w:w="1000" w:type="pct"/>
            <w:tcBorders>
              <w:top w:val="nil"/>
              <w:left w:val="nil"/>
              <w:bottom w:val="single" w:sz="4" w:space="0" w:color="auto"/>
              <w:right w:val="single" w:sz="4" w:space="0" w:color="auto"/>
            </w:tcBorders>
            <w:shd w:val="clear" w:color="auto" w:fill="auto"/>
            <w:vAlign w:val="bottom"/>
            <w:hideMark/>
          </w:tcPr>
          <w:p w14:paraId="7A049A1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3.95%</w:t>
            </w:r>
          </w:p>
        </w:tc>
      </w:tr>
      <w:tr w:rsidR="006A523F" w:rsidRPr="006A523F" w14:paraId="3EE8A12C"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277CEB9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35000.01 - 40000.00</w:t>
            </w:r>
          </w:p>
        </w:tc>
        <w:tc>
          <w:tcPr>
            <w:tcW w:w="939" w:type="pct"/>
            <w:tcBorders>
              <w:top w:val="nil"/>
              <w:left w:val="nil"/>
              <w:bottom w:val="single" w:sz="4" w:space="0" w:color="auto"/>
              <w:right w:val="single" w:sz="4" w:space="0" w:color="auto"/>
            </w:tcBorders>
            <w:shd w:val="clear" w:color="auto" w:fill="auto"/>
            <w:vAlign w:val="bottom"/>
            <w:hideMark/>
          </w:tcPr>
          <w:p w14:paraId="7E674E8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489</w:t>
            </w:r>
          </w:p>
        </w:tc>
        <w:tc>
          <w:tcPr>
            <w:tcW w:w="656" w:type="pct"/>
            <w:tcBorders>
              <w:top w:val="nil"/>
              <w:left w:val="nil"/>
              <w:bottom w:val="single" w:sz="4" w:space="0" w:color="auto"/>
              <w:right w:val="single" w:sz="4" w:space="0" w:color="auto"/>
            </w:tcBorders>
            <w:shd w:val="clear" w:color="auto" w:fill="auto"/>
            <w:vAlign w:val="bottom"/>
            <w:hideMark/>
          </w:tcPr>
          <w:p w14:paraId="5C3BA9B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0.74%</w:t>
            </w:r>
          </w:p>
        </w:tc>
        <w:tc>
          <w:tcPr>
            <w:tcW w:w="1000" w:type="pct"/>
            <w:tcBorders>
              <w:top w:val="nil"/>
              <w:left w:val="nil"/>
              <w:bottom w:val="single" w:sz="4" w:space="0" w:color="auto"/>
              <w:right w:val="single" w:sz="4" w:space="0" w:color="auto"/>
            </w:tcBorders>
            <w:shd w:val="clear" w:color="auto" w:fill="auto"/>
            <w:vAlign w:val="bottom"/>
            <w:hideMark/>
          </w:tcPr>
          <w:p w14:paraId="77EABF3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18,207,572</w:t>
            </w:r>
          </w:p>
        </w:tc>
        <w:tc>
          <w:tcPr>
            <w:tcW w:w="1000" w:type="pct"/>
            <w:tcBorders>
              <w:top w:val="nil"/>
              <w:left w:val="nil"/>
              <w:bottom w:val="single" w:sz="4" w:space="0" w:color="auto"/>
              <w:right w:val="single" w:sz="4" w:space="0" w:color="auto"/>
            </w:tcBorders>
            <w:shd w:val="clear" w:color="auto" w:fill="auto"/>
            <w:vAlign w:val="bottom"/>
            <w:hideMark/>
          </w:tcPr>
          <w:p w14:paraId="03B7D81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1.47%</w:t>
            </w:r>
          </w:p>
        </w:tc>
      </w:tr>
      <w:tr w:rsidR="006A523F" w:rsidRPr="006A523F" w14:paraId="2A82C96C"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7D7BFA2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40000.01 - 45000.00</w:t>
            </w:r>
          </w:p>
        </w:tc>
        <w:tc>
          <w:tcPr>
            <w:tcW w:w="939" w:type="pct"/>
            <w:tcBorders>
              <w:top w:val="nil"/>
              <w:left w:val="nil"/>
              <w:bottom w:val="single" w:sz="4" w:space="0" w:color="auto"/>
              <w:right w:val="single" w:sz="4" w:space="0" w:color="auto"/>
            </w:tcBorders>
            <w:shd w:val="clear" w:color="auto" w:fill="auto"/>
            <w:vAlign w:val="bottom"/>
            <w:hideMark/>
          </w:tcPr>
          <w:p w14:paraId="1837F2C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220</w:t>
            </w:r>
          </w:p>
        </w:tc>
        <w:tc>
          <w:tcPr>
            <w:tcW w:w="656" w:type="pct"/>
            <w:tcBorders>
              <w:top w:val="nil"/>
              <w:left w:val="nil"/>
              <w:bottom w:val="single" w:sz="4" w:space="0" w:color="auto"/>
              <w:right w:val="single" w:sz="4" w:space="0" w:color="auto"/>
            </w:tcBorders>
            <w:shd w:val="clear" w:color="auto" w:fill="auto"/>
            <w:vAlign w:val="bottom"/>
            <w:hideMark/>
          </w:tcPr>
          <w:p w14:paraId="356A4D1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0.33%</w:t>
            </w:r>
          </w:p>
        </w:tc>
        <w:tc>
          <w:tcPr>
            <w:tcW w:w="1000" w:type="pct"/>
            <w:tcBorders>
              <w:top w:val="nil"/>
              <w:left w:val="nil"/>
              <w:bottom w:val="single" w:sz="4" w:space="0" w:color="auto"/>
              <w:right w:val="single" w:sz="4" w:space="0" w:color="auto"/>
            </w:tcBorders>
            <w:shd w:val="clear" w:color="auto" w:fill="auto"/>
            <w:vAlign w:val="bottom"/>
            <w:hideMark/>
          </w:tcPr>
          <w:p w14:paraId="4A1CEC3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9,247,457</w:t>
            </w:r>
          </w:p>
        </w:tc>
        <w:tc>
          <w:tcPr>
            <w:tcW w:w="1000" w:type="pct"/>
            <w:tcBorders>
              <w:top w:val="nil"/>
              <w:left w:val="nil"/>
              <w:bottom w:val="single" w:sz="4" w:space="0" w:color="auto"/>
              <w:right w:val="single" w:sz="4" w:space="0" w:color="auto"/>
            </w:tcBorders>
            <w:shd w:val="clear" w:color="auto" w:fill="auto"/>
            <w:vAlign w:val="bottom"/>
            <w:hideMark/>
          </w:tcPr>
          <w:p w14:paraId="529EA09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0.75%</w:t>
            </w:r>
          </w:p>
        </w:tc>
      </w:tr>
      <w:tr w:rsidR="006A523F" w:rsidRPr="006A523F" w14:paraId="2173543B"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7675F98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45000.01 - 50000.00</w:t>
            </w:r>
          </w:p>
        </w:tc>
        <w:tc>
          <w:tcPr>
            <w:tcW w:w="939" w:type="pct"/>
            <w:tcBorders>
              <w:top w:val="nil"/>
              <w:left w:val="nil"/>
              <w:bottom w:val="single" w:sz="4" w:space="0" w:color="auto"/>
              <w:right w:val="single" w:sz="4" w:space="0" w:color="auto"/>
            </w:tcBorders>
            <w:shd w:val="clear" w:color="auto" w:fill="auto"/>
            <w:vAlign w:val="bottom"/>
            <w:hideMark/>
          </w:tcPr>
          <w:p w14:paraId="26F3240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71</w:t>
            </w:r>
          </w:p>
        </w:tc>
        <w:tc>
          <w:tcPr>
            <w:tcW w:w="656" w:type="pct"/>
            <w:tcBorders>
              <w:top w:val="nil"/>
              <w:left w:val="nil"/>
              <w:bottom w:val="single" w:sz="4" w:space="0" w:color="auto"/>
              <w:right w:val="single" w:sz="4" w:space="0" w:color="auto"/>
            </w:tcBorders>
            <w:shd w:val="clear" w:color="auto" w:fill="auto"/>
            <w:vAlign w:val="bottom"/>
            <w:hideMark/>
          </w:tcPr>
          <w:p w14:paraId="58B94AC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0.11%</w:t>
            </w:r>
          </w:p>
        </w:tc>
        <w:tc>
          <w:tcPr>
            <w:tcW w:w="1000" w:type="pct"/>
            <w:tcBorders>
              <w:top w:val="nil"/>
              <w:left w:val="nil"/>
              <w:bottom w:val="single" w:sz="4" w:space="0" w:color="auto"/>
              <w:right w:val="single" w:sz="4" w:space="0" w:color="auto"/>
            </w:tcBorders>
            <w:shd w:val="clear" w:color="auto" w:fill="auto"/>
            <w:vAlign w:val="bottom"/>
            <w:hideMark/>
          </w:tcPr>
          <w:p w14:paraId="5775826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3,352,325</w:t>
            </w:r>
          </w:p>
        </w:tc>
        <w:tc>
          <w:tcPr>
            <w:tcW w:w="1000" w:type="pct"/>
            <w:tcBorders>
              <w:top w:val="nil"/>
              <w:left w:val="nil"/>
              <w:bottom w:val="single" w:sz="4" w:space="0" w:color="auto"/>
              <w:right w:val="single" w:sz="4" w:space="0" w:color="auto"/>
            </w:tcBorders>
            <w:shd w:val="clear" w:color="auto" w:fill="auto"/>
            <w:vAlign w:val="bottom"/>
            <w:hideMark/>
          </w:tcPr>
          <w:p w14:paraId="5218EE1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0.27%</w:t>
            </w:r>
          </w:p>
        </w:tc>
      </w:tr>
      <w:tr w:rsidR="006A523F" w:rsidRPr="006A523F" w14:paraId="76C58C2A"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60732DC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50000.01 - 55000.00</w:t>
            </w:r>
          </w:p>
        </w:tc>
        <w:tc>
          <w:tcPr>
            <w:tcW w:w="939" w:type="pct"/>
            <w:tcBorders>
              <w:top w:val="nil"/>
              <w:left w:val="nil"/>
              <w:bottom w:val="single" w:sz="4" w:space="0" w:color="auto"/>
              <w:right w:val="single" w:sz="4" w:space="0" w:color="auto"/>
            </w:tcBorders>
            <w:shd w:val="clear" w:color="auto" w:fill="auto"/>
            <w:vAlign w:val="bottom"/>
            <w:hideMark/>
          </w:tcPr>
          <w:p w14:paraId="3DB01D0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38</w:t>
            </w:r>
          </w:p>
        </w:tc>
        <w:tc>
          <w:tcPr>
            <w:tcW w:w="656" w:type="pct"/>
            <w:tcBorders>
              <w:top w:val="nil"/>
              <w:left w:val="nil"/>
              <w:bottom w:val="single" w:sz="4" w:space="0" w:color="auto"/>
              <w:right w:val="single" w:sz="4" w:space="0" w:color="auto"/>
            </w:tcBorders>
            <w:shd w:val="clear" w:color="auto" w:fill="auto"/>
            <w:vAlign w:val="bottom"/>
            <w:hideMark/>
          </w:tcPr>
          <w:p w14:paraId="2856B1C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0.06%</w:t>
            </w:r>
          </w:p>
        </w:tc>
        <w:tc>
          <w:tcPr>
            <w:tcW w:w="1000" w:type="pct"/>
            <w:tcBorders>
              <w:top w:val="nil"/>
              <w:left w:val="nil"/>
              <w:bottom w:val="single" w:sz="4" w:space="0" w:color="auto"/>
              <w:right w:val="single" w:sz="4" w:space="0" w:color="auto"/>
            </w:tcBorders>
            <w:shd w:val="clear" w:color="auto" w:fill="auto"/>
            <w:vAlign w:val="bottom"/>
            <w:hideMark/>
          </w:tcPr>
          <w:p w14:paraId="20EEA1B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1,990,587</w:t>
            </w:r>
          </w:p>
        </w:tc>
        <w:tc>
          <w:tcPr>
            <w:tcW w:w="1000" w:type="pct"/>
            <w:tcBorders>
              <w:top w:val="nil"/>
              <w:left w:val="nil"/>
              <w:bottom w:val="single" w:sz="4" w:space="0" w:color="auto"/>
              <w:right w:val="single" w:sz="4" w:space="0" w:color="auto"/>
            </w:tcBorders>
            <w:shd w:val="clear" w:color="auto" w:fill="auto"/>
            <w:vAlign w:val="bottom"/>
            <w:hideMark/>
          </w:tcPr>
          <w:p w14:paraId="7DBDD5F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0.16%</w:t>
            </w:r>
          </w:p>
        </w:tc>
      </w:tr>
      <w:tr w:rsidR="006A523F" w:rsidRPr="006A523F" w14:paraId="094DF1ED"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139F0CC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55000.01 - 60000.00</w:t>
            </w:r>
          </w:p>
        </w:tc>
        <w:tc>
          <w:tcPr>
            <w:tcW w:w="939" w:type="pct"/>
            <w:tcBorders>
              <w:top w:val="nil"/>
              <w:left w:val="nil"/>
              <w:bottom w:val="single" w:sz="4" w:space="0" w:color="auto"/>
              <w:right w:val="single" w:sz="4" w:space="0" w:color="auto"/>
            </w:tcBorders>
            <w:shd w:val="clear" w:color="auto" w:fill="auto"/>
            <w:vAlign w:val="bottom"/>
            <w:hideMark/>
          </w:tcPr>
          <w:p w14:paraId="57BA59A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43</w:t>
            </w:r>
          </w:p>
        </w:tc>
        <w:tc>
          <w:tcPr>
            <w:tcW w:w="656" w:type="pct"/>
            <w:tcBorders>
              <w:top w:val="nil"/>
              <w:left w:val="nil"/>
              <w:bottom w:val="single" w:sz="4" w:space="0" w:color="auto"/>
              <w:right w:val="single" w:sz="4" w:space="0" w:color="auto"/>
            </w:tcBorders>
            <w:shd w:val="clear" w:color="auto" w:fill="auto"/>
            <w:vAlign w:val="bottom"/>
            <w:hideMark/>
          </w:tcPr>
          <w:p w14:paraId="230E455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0.06%</w:t>
            </w:r>
          </w:p>
        </w:tc>
        <w:tc>
          <w:tcPr>
            <w:tcW w:w="1000" w:type="pct"/>
            <w:tcBorders>
              <w:top w:val="nil"/>
              <w:left w:val="nil"/>
              <w:bottom w:val="single" w:sz="4" w:space="0" w:color="auto"/>
              <w:right w:val="single" w:sz="4" w:space="0" w:color="auto"/>
            </w:tcBorders>
            <w:shd w:val="clear" w:color="auto" w:fill="auto"/>
            <w:vAlign w:val="bottom"/>
            <w:hideMark/>
          </w:tcPr>
          <w:p w14:paraId="7586129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2,455,982</w:t>
            </w:r>
          </w:p>
        </w:tc>
        <w:tc>
          <w:tcPr>
            <w:tcW w:w="1000" w:type="pct"/>
            <w:tcBorders>
              <w:top w:val="nil"/>
              <w:left w:val="nil"/>
              <w:bottom w:val="single" w:sz="4" w:space="0" w:color="auto"/>
              <w:right w:val="single" w:sz="4" w:space="0" w:color="auto"/>
            </w:tcBorders>
            <w:shd w:val="clear" w:color="auto" w:fill="auto"/>
            <w:vAlign w:val="bottom"/>
            <w:hideMark/>
          </w:tcPr>
          <w:p w14:paraId="3384D0E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0.20%</w:t>
            </w:r>
          </w:p>
        </w:tc>
      </w:tr>
      <w:tr w:rsidR="006A523F" w:rsidRPr="006A523F" w14:paraId="2A160D56"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0E46CEB1"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Larger 60000.00</w:t>
            </w:r>
          </w:p>
        </w:tc>
        <w:tc>
          <w:tcPr>
            <w:tcW w:w="939" w:type="pct"/>
            <w:tcBorders>
              <w:top w:val="nil"/>
              <w:left w:val="nil"/>
              <w:bottom w:val="single" w:sz="4" w:space="0" w:color="auto"/>
              <w:right w:val="single" w:sz="4" w:space="0" w:color="auto"/>
            </w:tcBorders>
            <w:shd w:val="clear" w:color="auto" w:fill="auto"/>
            <w:vAlign w:val="bottom"/>
            <w:hideMark/>
          </w:tcPr>
          <w:p w14:paraId="4D741B9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84</w:t>
            </w:r>
          </w:p>
        </w:tc>
        <w:tc>
          <w:tcPr>
            <w:tcW w:w="656" w:type="pct"/>
            <w:tcBorders>
              <w:top w:val="nil"/>
              <w:left w:val="nil"/>
              <w:bottom w:val="single" w:sz="4" w:space="0" w:color="auto"/>
              <w:right w:val="single" w:sz="4" w:space="0" w:color="auto"/>
            </w:tcBorders>
            <w:shd w:val="clear" w:color="auto" w:fill="auto"/>
            <w:vAlign w:val="bottom"/>
            <w:hideMark/>
          </w:tcPr>
          <w:p w14:paraId="7A54428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0.13%</w:t>
            </w:r>
          </w:p>
        </w:tc>
        <w:tc>
          <w:tcPr>
            <w:tcW w:w="1000" w:type="pct"/>
            <w:tcBorders>
              <w:top w:val="nil"/>
              <w:left w:val="nil"/>
              <w:bottom w:val="single" w:sz="4" w:space="0" w:color="auto"/>
              <w:right w:val="single" w:sz="4" w:space="0" w:color="auto"/>
            </w:tcBorders>
            <w:shd w:val="clear" w:color="auto" w:fill="auto"/>
            <w:vAlign w:val="bottom"/>
            <w:hideMark/>
          </w:tcPr>
          <w:p w14:paraId="0D8935D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5,437,301</w:t>
            </w:r>
          </w:p>
        </w:tc>
        <w:tc>
          <w:tcPr>
            <w:tcW w:w="1000" w:type="pct"/>
            <w:tcBorders>
              <w:top w:val="nil"/>
              <w:left w:val="nil"/>
              <w:bottom w:val="single" w:sz="4" w:space="0" w:color="auto"/>
              <w:right w:val="single" w:sz="4" w:space="0" w:color="auto"/>
            </w:tcBorders>
            <w:shd w:val="clear" w:color="auto" w:fill="auto"/>
            <w:vAlign w:val="bottom"/>
            <w:hideMark/>
          </w:tcPr>
          <w:p w14:paraId="63E3829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0.44%</w:t>
            </w:r>
          </w:p>
        </w:tc>
      </w:tr>
      <w:tr w:rsidR="006A523F" w:rsidRPr="006A523F" w14:paraId="6820446D"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2B0A695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939" w:type="pct"/>
            <w:tcBorders>
              <w:top w:val="nil"/>
              <w:left w:val="nil"/>
              <w:bottom w:val="single" w:sz="4" w:space="0" w:color="auto"/>
              <w:right w:val="single" w:sz="4" w:space="0" w:color="auto"/>
            </w:tcBorders>
            <w:shd w:val="clear" w:color="auto" w:fill="auto"/>
            <w:vAlign w:val="bottom"/>
            <w:hideMark/>
          </w:tcPr>
          <w:p w14:paraId="49782B49"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656" w:type="pct"/>
            <w:tcBorders>
              <w:top w:val="nil"/>
              <w:left w:val="nil"/>
              <w:bottom w:val="single" w:sz="4" w:space="0" w:color="auto"/>
              <w:right w:val="single" w:sz="4" w:space="0" w:color="auto"/>
            </w:tcBorders>
            <w:shd w:val="clear" w:color="auto" w:fill="auto"/>
            <w:vAlign w:val="bottom"/>
            <w:hideMark/>
          </w:tcPr>
          <w:p w14:paraId="222172F4"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7843AF89"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57B2241D"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r w:rsidR="006A523F" w:rsidRPr="006A523F" w14:paraId="1FEC639B" w14:textId="77777777" w:rsidTr="006A523F">
        <w:trPr>
          <w:trHeight w:val="20"/>
        </w:trPr>
        <w:tc>
          <w:tcPr>
            <w:tcW w:w="1405" w:type="pct"/>
            <w:tcBorders>
              <w:top w:val="nil"/>
              <w:left w:val="nil"/>
              <w:bottom w:val="nil"/>
              <w:right w:val="nil"/>
            </w:tcBorders>
            <w:shd w:val="clear" w:color="auto" w:fill="auto"/>
            <w:noWrap/>
            <w:vAlign w:val="bottom"/>
            <w:hideMark/>
          </w:tcPr>
          <w:p w14:paraId="38EDE5E9"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p>
        </w:tc>
        <w:tc>
          <w:tcPr>
            <w:tcW w:w="939" w:type="pct"/>
            <w:tcBorders>
              <w:top w:val="nil"/>
              <w:left w:val="nil"/>
              <w:bottom w:val="nil"/>
              <w:right w:val="nil"/>
            </w:tcBorders>
            <w:shd w:val="clear" w:color="auto" w:fill="auto"/>
            <w:noWrap/>
            <w:vAlign w:val="bottom"/>
            <w:hideMark/>
          </w:tcPr>
          <w:p w14:paraId="1999ED18"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656" w:type="pct"/>
            <w:tcBorders>
              <w:top w:val="nil"/>
              <w:left w:val="nil"/>
              <w:bottom w:val="nil"/>
              <w:right w:val="nil"/>
            </w:tcBorders>
            <w:shd w:val="clear" w:color="auto" w:fill="auto"/>
            <w:noWrap/>
            <w:vAlign w:val="bottom"/>
            <w:hideMark/>
          </w:tcPr>
          <w:p w14:paraId="41297634"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noWrap/>
            <w:vAlign w:val="bottom"/>
            <w:hideMark/>
          </w:tcPr>
          <w:p w14:paraId="6EA8837A"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51C8D050"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3FF6BE02" w14:textId="77777777" w:rsidTr="006A523F">
        <w:trPr>
          <w:trHeight w:val="20"/>
        </w:trPr>
        <w:tc>
          <w:tcPr>
            <w:tcW w:w="140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B60348" w14:textId="77777777" w:rsidR="006A523F" w:rsidRPr="006A523F" w:rsidRDefault="006A523F" w:rsidP="006A523F">
            <w:pPr>
              <w:spacing w:line="240" w:lineRule="auto"/>
              <w:jc w:val="center"/>
              <w:rPr>
                <w:rFonts w:ascii="Aptos Narrow" w:hAnsi="Aptos Narrow"/>
                <w:color w:val="161518"/>
                <w:sz w:val="16"/>
                <w:szCs w:val="16"/>
                <w:lang w:val="en-US" w:eastAsia="de-DE"/>
              </w:rPr>
            </w:pPr>
            <w:r w:rsidRPr="006A523F">
              <w:rPr>
                <w:rFonts w:ascii="Aptos Narrow" w:hAnsi="Aptos Narrow"/>
                <w:color w:val="161518"/>
                <w:sz w:val="16"/>
                <w:szCs w:val="16"/>
                <w:lang w:val="en-US" w:eastAsia="de-DE"/>
              </w:rPr>
              <w:t>Remaining Discounted Principal Balance -Minimum</w:t>
            </w:r>
          </w:p>
        </w:tc>
        <w:tc>
          <w:tcPr>
            <w:tcW w:w="939" w:type="pct"/>
            <w:tcBorders>
              <w:top w:val="single" w:sz="4" w:space="0" w:color="auto"/>
              <w:left w:val="nil"/>
              <w:bottom w:val="single" w:sz="4" w:space="0" w:color="auto"/>
              <w:right w:val="single" w:sz="4" w:space="0" w:color="auto"/>
            </w:tcBorders>
            <w:shd w:val="clear" w:color="auto" w:fill="auto"/>
            <w:noWrap/>
            <w:vAlign w:val="bottom"/>
            <w:hideMark/>
          </w:tcPr>
          <w:p w14:paraId="43A8B00E"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1,584 </w:t>
            </w:r>
          </w:p>
        </w:tc>
        <w:tc>
          <w:tcPr>
            <w:tcW w:w="656" w:type="pct"/>
            <w:tcBorders>
              <w:top w:val="nil"/>
              <w:left w:val="nil"/>
              <w:bottom w:val="nil"/>
              <w:right w:val="nil"/>
            </w:tcBorders>
            <w:shd w:val="clear" w:color="auto" w:fill="auto"/>
            <w:noWrap/>
            <w:vAlign w:val="bottom"/>
            <w:hideMark/>
          </w:tcPr>
          <w:p w14:paraId="3976ED31" w14:textId="77777777" w:rsidR="006A523F" w:rsidRPr="006A523F" w:rsidRDefault="006A523F" w:rsidP="006A523F">
            <w:pPr>
              <w:spacing w:line="240" w:lineRule="auto"/>
              <w:jc w:val="left"/>
              <w:rPr>
                <w:rFonts w:ascii="Aptos Narrow" w:hAnsi="Aptos Narrow"/>
                <w:color w:val="000000"/>
                <w:sz w:val="16"/>
                <w:szCs w:val="16"/>
                <w:lang w:val="de-DE" w:eastAsia="de-DE"/>
              </w:rPr>
            </w:pPr>
          </w:p>
        </w:tc>
        <w:tc>
          <w:tcPr>
            <w:tcW w:w="1000" w:type="pct"/>
            <w:tcBorders>
              <w:top w:val="nil"/>
              <w:left w:val="nil"/>
              <w:bottom w:val="nil"/>
              <w:right w:val="nil"/>
            </w:tcBorders>
            <w:shd w:val="clear" w:color="auto" w:fill="auto"/>
            <w:noWrap/>
            <w:vAlign w:val="bottom"/>
            <w:hideMark/>
          </w:tcPr>
          <w:p w14:paraId="22763E0E"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2D375CFA"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3EC3A55F"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77E42EBC" w14:textId="77777777" w:rsidR="006A523F" w:rsidRPr="006A523F" w:rsidRDefault="006A523F" w:rsidP="006A523F">
            <w:pPr>
              <w:spacing w:line="240" w:lineRule="auto"/>
              <w:jc w:val="center"/>
              <w:rPr>
                <w:rFonts w:ascii="Aptos Narrow" w:hAnsi="Aptos Narrow"/>
                <w:color w:val="161518"/>
                <w:sz w:val="16"/>
                <w:szCs w:val="16"/>
                <w:lang w:val="en-US" w:eastAsia="de-DE"/>
              </w:rPr>
            </w:pPr>
            <w:r w:rsidRPr="006A523F">
              <w:rPr>
                <w:rFonts w:ascii="Aptos Narrow" w:hAnsi="Aptos Narrow"/>
                <w:color w:val="161518"/>
                <w:sz w:val="16"/>
                <w:szCs w:val="16"/>
                <w:lang w:val="en-US" w:eastAsia="de-DE"/>
              </w:rPr>
              <w:t>Remaining Discounted Principal Balance -Maximum</w:t>
            </w:r>
          </w:p>
        </w:tc>
        <w:tc>
          <w:tcPr>
            <w:tcW w:w="939" w:type="pct"/>
            <w:tcBorders>
              <w:top w:val="nil"/>
              <w:left w:val="nil"/>
              <w:bottom w:val="single" w:sz="4" w:space="0" w:color="auto"/>
              <w:right w:val="single" w:sz="4" w:space="0" w:color="auto"/>
            </w:tcBorders>
            <w:shd w:val="clear" w:color="auto" w:fill="auto"/>
            <w:noWrap/>
            <w:vAlign w:val="bottom"/>
            <w:hideMark/>
          </w:tcPr>
          <w:p w14:paraId="07E1E49A"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74,745 </w:t>
            </w:r>
          </w:p>
        </w:tc>
        <w:tc>
          <w:tcPr>
            <w:tcW w:w="656" w:type="pct"/>
            <w:tcBorders>
              <w:top w:val="nil"/>
              <w:left w:val="nil"/>
              <w:bottom w:val="nil"/>
              <w:right w:val="nil"/>
            </w:tcBorders>
            <w:shd w:val="clear" w:color="auto" w:fill="auto"/>
            <w:noWrap/>
            <w:vAlign w:val="bottom"/>
            <w:hideMark/>
          </w:tcPr>
          <w:p w14:paraId="000B96A1" w14:textId="77777777" w:rsidR="006A523F" w:rsidRPr="006A523F" w:rsidRDefault="006A523F" w:rsidP="006A523F">
            <w:pPr>
              <w:spacing w:line="240" w:lineRule="auto"/>
              <w:jc w:val="left"/>
              <w:rPr>
                <w:rFonts w:ascii="Aptos Narrow" w:hAnsi="Aptos Narrow"/>
                <w:color w:val="000000"/>
                <w:sz w:val="16"/>
                <w:szCs w:val="16"/>
                <w:lang w:val="de-DE" w:eastAsia="de-DE"/>
              </w:rPr>
            </w:pPr>
          </w:p>
        </w:tc>
        <w:tc>
          <w:tcPr>
            <w:tcW w:w="1000" w:type="pct"/>
            <w:tcBorders>
              <w:top w:val="nil"/>
              <w:left w:val="nil"/>
              <w:bottom w:val="nil"/>
              <w:right w:val="nil"/>
            </w:tcBorders>
            <w:shd w:val="clear" w:color="auto" w:fill="auto"/>
            <w:noWrap/>
            <w:vAlign w:val="bottom"/>
            <w:hideMark/>
          </w:tcPr>
          <w:p w14:paraId="579E582F"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70A9D7AB"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03E7FC64" w14:textId="77777777" w:rsidTr="006A523F">
        <w:trPr>
          <w:trHeight w:val="20"/>
        </w:trPr>
        <w:tc>
          <w:tcPr>
            <w:tcW w:w="1405" w:type="pct"/>
            <w:tcBorders>
              <w:top w:val="nil"/>
              <w:left w:val="single" w:sz="4" w:space="0" w:color="auto"/>
              <w:bottom w:val="single" w:sz="4" w:space="0" w:color="auto"/>
              <w:right w:val="single" w:sz="4" w:space="0" w:color="auto"/>
            </w:tcBorders>
            <w:shd w:val="clear" w:color="auto" w:fill="auto"/>
            <w:vAlign w:val="bottom"/>
            <w:hideMark/>
          </w:tcPr>
          <w:p w14:paraId="72ABF6DD" w14:textId="77777777" w:rsidR="006A523F" w:rsidRPr="006A523F" w:rsidRDefault="006A523F" w:rsidP="006A523F">
            <w:pPr>
              <w:spacing w:line="240" w:lineRule="auto"/>
              <w:jc w:val="center"/>
              <w:rPr>
                <w:rFonts w:ascii="Aptos Narrow" w:hAnsi="Aptos Narrow"/>
                <w:color w:val="161518"/>
                <w:sz w:val="16"/>
                <w:szCs w:val="16"/>
                <w:lang w:val="en-US" w:eastAsia="de-DE"/>
              </w:rPr>
            </w:pPr>
            <w:r w:rsidRPr="006A523F">
              <w:rPr>
                <w:rFonts w:ascii="Aptos Narrow" w:hAnsi="Aptos Narrow"/>
                <w:color w:val="161518"/>
                <w:sz w:val="16"/>
                <w:szCs w:val="16"/>
                <w:lang w:val="en-US" w:eastAsia="de-DE"/>
              </w:rPr>
              <w:t>Remaining Discounted Principal Balance -Average</w:t>
            </w:r>
          </w:p>
        </w:tc>
        <w:tc>
          <w:tcPr>
            <w:tcW w:w="939" w:type="pct"/>
            <w:tcBorders>
              <w:top w:val="nil"/>
              <w:left w:val="nil"/>
              <w:bottom w:val="single" w:sz="4" w:space="0" w:color="auto"/>
              <w:right w:val="single" w:sz="4" w:space="0" w:color="auto"/>
            </w:tcBorders>
            <w:shd w:val="clear" w:color="auto" w:fill="auto"/>
            <w:noWrap/>
            <w:vAlign w:val="bottom"/>
            <w:hideMark/>
          </w:tcPr>
          <w:p w14:paraId="4A2A75D2" w14:textId="77777777" w:rsidR="006A523F" w:rsidRPr="006A523F" w:rsidRDefault="006A523F" w:rsidP="006A523F">
            <w:pPr>
              <w:spacing w:line="240" w:lineRule="auto"/>
              <w:jc w:val="left"/>
              <w:rPr>
                <w:rFonts w:ascii="Aptos Narrow" w:hAnsi="Aptos Narrow"/>
                <w:color w:val="000000"/>
                <w:sz w:val="16"/>
                <w:szCs w:val="16"/>
                <w:lang w:val="de-DE" w:eastAsia="de-DE"/>
              </w:rPr>
            </w:pPr>
            <w:r w:rsidRPr="006A523F">
              <w:rPr>
                <w:rFonts w:ascii="Aptos Narrow" w:hAnsi="Aptos Narrow"/>
                <w:color w:val="000000"/>
                <w:sz w:val="16"/>
                <w:szCs w:val="16"/>
                <w:lang w:val="en-US" w:eastAsia="de-DE"/>
              </w:rPr>
              <w:t xml:space="preserve">                                    </w:t>
            </w:r>
            <w:r w:rsidRPr="006A523F">
              <w:rPr>
                <w:rFonts w:ascii="Aptos Narrow" w:hAnsi="Aptos Narrow"/>
                <w:color w:val="000000"/>
                <w:sz w:val="16"/>
                <w:szCs w:val="16"/>
                <w:lang w:val="de-DE" w:eastAsia="de-DE"/>
              </w:rPr>
              <w:t xml:space="preserve">18,657 </w:t>
            </w:r>
          </w:p>
        </w:tc>
        <w:tc>
          <w:tcPr>
            <w:tcW w:w="656" w:type="pct"/>
            <w:tcBorders>
              <w:top w:val="nil"/>
              <w:left w:val="nil"/>
              <w:bottom w:val="nil"/>
              <w:right w:val="nil"/>
            </w:tcBorders>
            <w:shd w:val="clear" w:color="auto" w:fill="auto"/>
            <w:noWrap/>
            <w:vAlign w:val="bottom"/>
            <w:hideMark/>
          </w:tcPr>
          <w:p w14:paraId="59F6C4BE" w14:textId="77777777" w:rsidR="006A523F" w:rsidRPr="006A523F" w:rsidRDefault="006A523F" w:rsidP="006A523F">
            <w:pPr>
              <w:spacing w:line="240" w:lineRule="auto"/>
              <w:jc w:val="left"/>
              <w:rPr>
                <w:rFonts w:ascii="Aptos Narrow" w:hAnsi="Aptos Narrow"/>
                <w:color w:val="000000"/>
                <w:sz w:val="16"/>
                <w:szCs w:val="16"/>
                <w:lang w:val="de-DE" w:eastAsia="de-DE"/>
              </w:rPr>
            </w:pPr>
          </w:p>
        </w:tc>
        <w:tc>
          <w:tcPr>
            <w:tcW w:w="1000" w:type="pct"/>
            <w:tcBorders>
              <w:top w:val="nil"/>
              <w:left w:val="nil"/>
              <w:bottom w:val="nil"/>
              <w:right w:val="nil"/>
            </w:tcBorders>
            <w:shd w:val="clear" w:color="auto" w:fill="auto"/>
            <w:noWrap/>
            <w:vAlign w:val="bottom"/>
            <w:hideMark/>
          </w:tcPr>
          <w:p w14:paraId="6AE6837D"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284F43C7" w14:textId="77777777" w:rsidR="006A523F" w:rsidRPr="006A523F" w:rsidRDefault="006A523F" w:rsidP="006A523F">
            <w:pPr>
              <w:spacing w:line="240" w:lineRule="auto"/>
              <w:jc w:val="left"/>
              <w:rPr>
                <w:rFonts w:ascii="Times New Roman" w:hAnsi="Times New Roman"/>
                <w:sz w:val="16"/>
                <w:szCs w:val="16"/>
                <w:lang w:val="de-DE" w:eastAsia="de-DE"/>
              </w:rPr>
            </w:pPr>
          </w:p>
        </w:tc>
      </w:tr>
    </w:tbl>
    <w:p w14:paraId="14420462" w14:textId="5D5BD66D" w:rsidR="003C771F" w:rsidRDefault="003C771F" w:rsidP="000D0E23">
      <w:pPr>
        <w:pStyle w:val="Body1"/>
      </w:pPr>
    </w:p>
    <w:p w14:paraId="273DF096" w14:textId="77777777" w:rsidR="003C771F" w:rsidRDefault="003C771F">
      <w:r>
        <w:br w:type="page"/>
      </w:r>
    </w:p>
    <w:p w14:paraId="16992E7D" w14:textId="56699573" w:rsidR="000D0E23" w:rsidRPr="000D0E23" w:rsidRDefault="000D0E23" w:rsidP="000D0E23">
      <w:pPr>
        <w:pStyle w:val="Body1"/>
        <w:rPr>
          <w:b/>
          <w:bCs/>
        </w:rPr>
      </w:pPr>
      <w:r>
        <w:lastRenderedPageBreak/>
        <w:t>8.</w:t>
      </w:r>
      <w:r>
        <w:tab/>
      </w:r>
      <w:r>
        <w:rPr>
          <w:b/>
          <w:bCs/>
        </w:rPr>
        <w:t>Customer Discount Rate</w:t>
      </w:r>
    </w:p>
    <w:tbl>
      <w:tblPr>
        <w:tblW w:w="5000" w:type="pct"/>
        <w:tblCellMar>
          <w:left w:w="70" w:type="dxa"/>
          <w:right w:w="70" w:type="dxa"/>
        </w:tblCellMar>
        <w:tblLook w:val="04A0" w:firstRow="1" w:lastRow="0" w:firstColumn="1" w:lastColumn="0" w:noHBand="0" w:noVBand="1"/>
      </w:tblPr>
      <w:tblGrid>
        <w:gridCol w:w="2264"/>
        <w:gridCol w:w="1363"/>
        <w:gridCol w:w="1812"/>
        <w:gridCol w:w="1812"/>
        <w:gridCol w:w="1810"/>
      </w:tblGrid>
      <w:tr w:rsidR="006A523F" w:rsidRPr="006A523F" w14:paraId="53F98E14" w14:textId="77777777" w:rsidTr="006A523F">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5E784"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Customer Discount Rate</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224F9184"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xml:space="preserve">Number of Leases </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18E316B"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70AC61E"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35F241E"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of Total</w:t>
            </w:r>
          </w:p>
        </w:tc>
      </w:tr>
      <w:tr w:rsidR="006A523F" w:rsidRPr="006A523F" w14:paraId="0311A555"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7CC86C9"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X &lt;= 1.00%</w:t>
            </w:r>
          </w:p>
        </w:tc>
        <w:tc>
          <w:tcPr>
            <w:tcW w:w="752" w:type="pct"/>
            <w:tcBorders>
              <w:top w:val="nil"/>
              <w:left w:val="nil"/>
              <w:bottom w:val="single" w:sz="4" w:space="0" w:color="auto"/>
              <w:right w:val="single" w:sz="4" w:space="0" w:color="auto"/>
            </w:tcBorders>
            <w:shd w:val="clear" w:color="auto" w:fill="auto"/>
            <w:vAlign w:val="bottom"/>
            <w:hideMark/>
          </w:tcPr>
          <w:p w14:paraId="6C5B879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93</w:t>
            </w:r>
          </w:p>
        </w:tc>
        <w:tc>
          <w:tcPr>
            <w:tcW w:w="1000" w:type="pct"/>
            <w:tcBorders>
              <w:top w:val="nil"/>
              <w:left w:val="nil"/>
              <w:bottom w:val="single" w:sz="4" w:space="0" w:color="auto"/>
              <w:right w:val="single" w:sz="4" w:space="0" w:color="auto"/>
            </w:tcBorders>
            <w:shd w:val="clear" w:color="auto" w:fill="auto"/>
            <w:vAlign w:val="bottom"/>
            <w:hideMark/>
          </w:tcPr>
          <w:p w14:paraId="0E6E6D8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0.14%</w:t>
            </w:r>
          </w:p>
        </w:tc>
        <w:tc>
          <w:tcPr>
            <w:tcW w:w="1000" w:type="pct"/>
            <w:tcBorders>
              <w:top w:val="nil"/>
              <w:left w:val="nil"/>
              <w:bottom w:val="single" w:sz="4" w:space="0" w:color="auto"/>
              <w:right w:val="single" w:sz="4" w:space="0" w:color="auto"/>
            </w:tcBorders>
            <w:shd w:val="clear" w:color="auto" w:fill="auto"/>
            <w:vAlign w:val="bottom"/>
            <w:hideMark/>
          </w:tcPr>
          <w:p w14:paraId="3D6C7F4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2,115,623</w:t>
            </w:r>
          </w:p>
        </w:tc>
        <w:tc>
          <w:tcPr>
            <w:tcW w:w="1000" w:type="pct"/>
            <w:tcBorders>
              <w:top w:val="nil"/>
              <w:left w:val="nil"/>
              <w:bottom w:val="single" w:sz="4" w:space="0" w:color="auto"/>
              <w:right w:val="single" w:sz="4" w:space="0" w:color="auto"/>
            </w:tcBorders>
            <w:shd w:val="clear" w:color="auto" w:fill="auto"/>
            <w:vAlign w:val="bottom"/>
            <w:hideMark/>
          </w:tcPr>
          <w:p w14:paraId="065B993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0.17%</w:t>
            </w:r>
          </w:p>
        </w:tc>
      </w:tr>
      <w:tr w:rsidR="006A523F" w:rsidRPr="006A523F" w14:paraId="567AA78E"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70052E4"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1.00% &lt; X &lt;= 2.00%</w:t>
            </w:r>
          </w:p>
        </w:tc>
        <w:tc>
          <w:tcPr>
            <w:tcW w:w="752" w:type="pct"/>
            <w:tcBorders>
              <w:top w:val="nil"/>
              <w:left w:val="nil"/>
              <w:bottom w:val="single" w:sz="4" w:space="0" w:color="auto"/>
              <w:right w:val="single" w:sz="4" w:space="0" w:color="auto"/>
            </w:tcBorders>
            <w:shd w:val="clear" w:color="auto" w:fill="auto"/>
            <w:vAlign w:val="bottom"/>
            <w:hideMark/>
          </w:tcPr>
          <w:p w14:paraId="4278EAB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71</w:t>
            </w:r>
          </w:p>
        </w:tc>
        <w:tc>
          <w:tcPr>
            <w:tcW w:w="1000" w:type="pct"/>
            <w:tcBorders>
              <w:top w:val="nil"/>
              <w:left w:val="nil"/>
              <w:bottom w:val="single" w:sz="4" w:space="0" w:color="auto"/>
              <w:right w:val="single" w:sz="4" w:space="0" w:color="auto"/>
            </w:tcBorders>
            <w:shd w:val="clear" w:color="auto" w:fill="auto"/>
            <w:vAlign w:val="bottom"/>
            <w:hideMark/>
          </w:tcPr>
          <w:p w14:paraId="33D06E6E"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0.11%</w:t>
            </w:r>
          </w:p>
        </w:tc>
        <w:tc>
          <w:tcPr>
            <w:tcW w:w="1000" w:type="pct"/>
            <w:tcBorders>
              <w:top w:val="nil"/>
              <w:left w:val="nil"/>
              <w:bottom w:val="single" w:sz="4" w:space="0" w:color="auto"/>
              <w:right w:val="single" w:sz="4" w:space="0" w:color="auto"/>
            </w:tcBorders>
            <w:shd w:val="clear" w:color="auto" w:fill="auto"/>
            <w:vAlign w:val="bottom"/>
            <w:hideMark/>
          </w:tcPr>
          <w:p w14:paraId="5E293B8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1,567,911</w:t>
            </w:r>
          </w:p>
        </w:tc>
        <w:tc>
          <w:tcPr>
            <w:tcW w:w="1000" w:type="pct"/>
            <w:tcBorders>
              <w:top w:val="nil"/>
              <w:left w:val="nil"/>
              <w:bottom w:val="single" w:sz="4" w:space="0" w:color="auto"/>
              <w:right w:val="single" w:sz="4" w:space="0" w:color="auto"/>
            </w:tcBorders>
            <w:shd w:val="clear" w:color="auto" w:fill="auto"/>
            <w:vAlign w:val="bottom"/>
            <w:hideMark/>
          </w:tcPr>
          <w:p w14:paraId="6EDE053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0.13%</w:t>
            </w:r>
          </w:p>
        </w:tc>
      </w:tr>
      <w:tr w:rsidR="006A523F" w:rsidRPr="006A523F" w14:paraId="047E9E3A"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A7AE29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2.00% &lt; X &lt;= 3.00%</w:t>
            </w:r>
          </w:p>
        </w:tc>
        <w:tc>
          <w:tcPr>
            <w:tcW w:w="752" w:type="pct"/>
            <w:tcBorders>
              <w:top w:val="nil"/>
              <w:left w:val="nil"/>
              <w:bottom w:val="single" w:sz="4" w:space="0" w:color="auto"/>
              <w:right w:val="single" w:sz="4" w:space="0" w:color="auto"/>
            </w:tcBorders>
            <w:shd w:val="clear" w:color="auto" w:fill="auto"/>
            <w:vAlign w:val="bottom"/>
            <w:hideMark/>
          </w:tcPr>
          <w:p w14:paraId="17541CFE"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994</w:t>
            </w:r>
          </w:p>
        </w:tc>
        <w:tc>
          <w:tcPr>
            <w:tcW w:w="1000" w:type="pct"/>
            <w:tcBorders>
              <w:top w:val="nil"/>
              <w:left w:val="nil"/>
              <w:bottom w:val="single" w:sz="4" w:space="0" w:color="auto"/>
              <w:right w:val="single" w:sz="4" w:space="0" w:color="auto"/>
            </w:tcBorders>
            <w:shd w:val="clear" w:color="auto" w:fill="auto"/>
            <w:vAlign w:val="bottom"/>
            <w:hideMark/>
          </w:tcPr>
          <w:p w14:paraId="10E8F71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1.50%</w:t>
            </w:r>
          </w:p>
        </w:tc>
        <w:tc>
          <w:tcPr>
            <w:tcW w:w="1000" w:type="pct"/>
            <w:tcBorders>
              <w:top w:val="nil"/>
              <w:left w:val="nil"/>
              <w:bottom w:val="single" w:sz="4" w:space="0" w:color="auto"/>
              <w:right w:val="single" w:sz="4" w:space="0" w:color="auto"/>
            </w:tcBorders>
            <w:shd w:val="clear" w:color="auto" w:fill="auto"/>
            <w:vAlign w:val="bottom"/>
            <w:hideMark/>
          </w:tcPr>
          <w:p w14:paraId="545C1DB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16,780,203</w:t>
            </w:r>
          </w:p>
        </w:tc>
        <w:tc>
          <w:tcPr>
            <w:tcW w:w="1000" w:type="pct"/>
            <w:tcBorders>
              <w:top w:val="nil"/>
              <w:left w:val="nil"/>
              <w:bottom w:val="single" w:sz="4" w:space="0" w:color="auto"/>
              <w:right w:val="single" w:sz="4" w:space="0" w:color="auto"/>
            </w:tcBorders>
            <w:shd w:val="clear" w:color="auto" w:fill="auto"/>
            <w:vAlign w:val="bottom"/>
            <w:hideMark/>
          </w:tcPr>
          <w:p w14:paraId="6CEE13E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1.35%</w:t>
            </w:r>
          </w:p>
        </w:tc>
      </w:tr>
      <w:tr w:rsidR="006A523F" w:rsidRPr="006A523F" w14:paraId="681F6DFA"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888BCC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3.00% &lt; X &lt;= 4.00%</w:t>
            </w:r>
          </w:p>
        </w:tc>
        <w:tc>
          <w:tcPr>
            <w:tcW w:w="752" w:type="pct"/>
            <w:tcBorders>
              <w:top w:val="nil"/>
              <w:left w:val="nil"/>
              <w:bottom w:val="single" w:sz="4" w:space="0" w:color="auto"/>
              <w:right w:val="single" w:sz="4" w:space="0" w:color="auto"/>
            </w:tcBorders>
            <w:shd w:val="clear" w:color="auto" w:fill="auto"/>
            <w:vAlign w:val="bottom"/>
            <w:hideMark/>
          </w:tcPr>
          <w:p w14:paraId="00BE465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6,426</w:t>
            </w:r>
          </w:p>
        </w:tc>
        <w:tc>
          <w:tcPr>
            <w:tcW w:w="1000" w:type="pct"/>
            <w:tcBorders>
              <w:top w:val="nil"/>
              <w:left w:val="nil"/>
              <w:bottom w:val="single" w:sz="4" w:space="0" w:color="auto"/>
              <w:right w:val="single" w:sz="4" w:space="0" w:color="auto"/>
            </w:tcBorders>
            <w:shd w:val="clear" w:color="auto" w:fill="auto"/>
            <w:vAlign w:val="bottom"/>
            <w:hideMark/>
          </w:tcPr>
          <w:p w14:paraId="1E9CD4E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9.67%</w:t>
            </w:r>
          </w:p>
        </w:tc>
        <w:tc>
          <w:tcPr>
            <w:tcW w:w="1000" w:type="pct"/>
            <w:tcBorders>
              <w:top w:val="nil"/>
              <w:left w:val="nil"/>
              <w:bottom w:val="single" w:sz="4" w:space="0" w:color="auto"/>
              <w:right w:val="single" w:sz="4" w:space="0" w:color="auto"/>
            </w:tcBorders>
            <w:shd w:val="clear" w:color="auto" w:fill="auto"/>
            <w:vAlign w:val="bottom"/>
            <w:hideMark/>
          </w:tcPr>
          <w:p w14:paraId="01A0EB0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112,808,288</w:t>
            </w:r>
          </w:p>
        </w:tc>
        <w:tc>
          <w:tcPr>
            <w:tcW w:w="1000" w:type="pct"/>
            <w:tcBorders>
              <w:top w:val="nil"/>
              <w:left w:val="nil"/>
              <w:bottom w:val="single" w:sz="4" w:space="0" w:color="auto"/>
              <w:right w:val="single" w:sz="4" w:space="0" w:color="auto"/>
            </w:tcBorders>
            <w:shd w:val="clear" w:color="auto" w:fill="auto"/>
            <w:vAlign w:val="bottom"/>
            <w:hideMark/>
          </w:tcPr>
          <w:p w14:paraId="15653E9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9.10%</w:t>
            </w:r>
          </w:p>
        </w:tc>
      </w:tr>
      <w:tr w:rsidR="006A523F" w:rsidRPr="006A523F" w14:paraId="5EEE990B"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8CAFD3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4.00% &lt; X &lt;= 5.00%</w:t>
            </w:r>
          </w:p>
        </w:tc>
        <w:tc>
          <w:tcPr>
            <w:tcW w:w="752" w:type="pct"/>
            <w:tcBorders>
              <w:top w:val="nil"/>
              <w:left w:val="nil"/>
              <w:bottom w:val="single" w:sz="4" w:space="0" w:color="auto"/>
              <w:right w:val="single" w:sz="4" w:space="0" w:color="auto"/>
            </w:tcBorders>
            <w:shd w:val="clear" w:color="auto" w:fill="auto"/>
            <w:vAlign w:val="bottom"/>
            <w:hideMark/>
          </w:tcPr>
          <w:p w14:paraId="3E61085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6,286</w:t>
            </w:r>
          </w:p>
        </w:tc>
        <w:tc>
          <w:tcPr>
            <w:tcW w:w="1000" w:type="pct"/>
            <w:tcBorders>
              <w:top w:val="nil"/>
              <w:left w:val="nil"/>
              <w:bottom w:val="single" w:sz="4" w:space="0" w:color="auto"/>
              <w:right w:val="single" w:sz="4" w:space="0" w:color="auto"/>
            </w:tcBorders>
            <w:shd w:val="clear" w:color="auto" w:fill="auto"/>
            <w:vAlign w:val="bottom"/>
            <w:hideMark/>
          </w:tcPr>
          <w:p w14:paraId="2B88BD0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9.46%</w:t>
            </w:r>
          </w:p>
        </w:tc>
        <w:tc>
          <w:tcPr>
            <w:tcW w:w="1000" w:type="pct"/>
            <w:tcBorders>
              <w:top w:val="nil"/>
              <w:left w:val="nil"/>
              <w:bottom w:val="single" w:sz="4" w:space="0" w:color="auto"/>
              <w:right w:val="single" w:sz="4" w:space="0" w:color="auto"/>
            </w:tcBorders>
            <w:shd w:val="clear" w:color="auto" w:fill="auto"/>
            <w:vAlign w:val="bottom"/>
            <w:hideMark/>
          </w:tcPr>
          <w:p w14:paraId="37C898D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100,770,672</w:t>
            </w:r>
          </w:p>
        </w:tc>
        <w:tc>
          <w:tcPr>
            <w:tcW w:w="1000" w:type="pct"/>
            <w:tcBorders>
              <w:top w:val="nil"/>
              <w:left w:val="nil"/>
              <w:bottom w:val="single" w:sz="4" w:space="0" w:color="auto"/>
              <w:right w:val="single" w:sz="4" w:space="0" w:color="auto"/>
            </w:tcBorders>
            <w:shd w:val="clear" w:color="auto" w:fill="auto"/>
            <w:vAlign w:val="bottom"/>
            <w:hideMark/>
          </w:tcPr>
          <w:p w14:paraId="259BA3F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8.13%</w:t>
            </w:r>
          </w:p>
        </w:tc>
      </w:tr>
      <w:tr w:rsidR="006A523F" w:rsidRPr="006A523F" w14:paraId="1DAA21E9"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272121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5.00% &lt; X &lt;= 6.00%</w:t>
            </w:r>
          </w:p>
        </w:tc>
        <w:tc>
          <w:tcPr>
            <w:tcW w:w="752" w:type="pct"/>
            <w:tcBorders>
              <w:top w:val="nil"/>
              <w:left w:val="nil"/>
              <w:bottom w:val="single" w:sz="4" w:space="0" w:color="auto"/>
              <w:right w:val="single" w:sz="4" w:space="0" w:color="auto"/>
            </w:tcBorders>
            <w:shd w:val="clear" w:color="auto" w:fill="auto"/>
            <w:vAlign w:val="bottom"/>
            <w:hideMark/>
          </w:tcPr>
          <w:p w14:paraId="6D2BCC3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6,286</w:t>
            </w:r>
          </w:p>
        </w:tc>
        <w:tc>
          <w:tcPr>
            <w:tcW w:w="1000" w:type="pct"/>
            <w:tcBorders>
              <w:top w:val="nil"/>
              <w:left w:val="nil"/>
              <w:bottom w:val="single" w:sz="4" w:space="0" w:color="auto"/>
              <w:right w:val="single" w:sz="4" w:space="0" w:color="auto"/>
            </w:tcBorders>
            <w:shd w:val="clear" w:color="auto" w:fill="auto"/>
            <w:vAlign w:val="bottom"/>
            <w:hideMark/>
          </w:tcPr>
          <w:p w14:paraId="444598F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9.46%</w:t>
            </w:r>
          </w:p>
        </w:tc>
        <w:tc>
          <w:tcPr>
            <w:tcW w:w="1000" w:type="pct"/>
            <w:tcBorders>
              <w:top w:val="nil"/>
              <w:left w:val="nil"/>
              <w:bottom w:val="single" w:sz="4" w:space="0" w:color="auto"/>
              <w:right w:val="single" w:sz="4" w:space="0" w:color="auto"/>
            </w:tcBorders>
            <w:shd w:val="clear" w:color="auto" w:fill="auto"/>
            <w:vAlign w:val="bottom"/>
            <w:hideMark/>
          </w:tcPr>
          <w:p w14:paraId="3D09535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116,435,556</w:t>
            </w:r>
          </w:p>
        </w:tc>
        <w:tc>
          <w:tcPr>
            <w:tcW w:w="1000" w:type="pct"/>
            <w:tcBorders>
              <w:top w:val="nil"/>
              <w:left w:val="nil"/>
              <w:bottom w:val="single" w:sz="4" w:space="0" w:color="auto"/>
              <w:right w:val="single" w:sz="4" w:space="0" w:color="auto"/>
            </w:tcBorders>
            <w:shd w:val="clear" w:color="auto" w:fill="auto"/>
            <w:vAlign w:val="bottom"/>
            <w:hideMark/>
          </w:tcPr>
          <w:p w14:paraId="29CFA2ED"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9.39%</w:t>
            </w:r>
          </w:p>
        </w:tc>
      </w:tr>
      <w:tr w:rsidR="006A523F" w:rsidRPr="006A523F" w14:paraId="54C3B124"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2E3A9E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6.00% &lt; X &lt;= 7.00%</w:t>
            </w:r>
          </w:p>
        </w:tc>
        <w:tc>
          <w:tcPr>
            <w:tcW w:w="752" w:type="pct"/>
            <w:tcBorders>
              <w:top w:val="nil"/>
              <w:left w:val="nil"/>
              <w:bottom w:val="single" w:sz="4" w:space="0" w:color="auto"/>
              <w:right w:val="single" w:sz="4" w:space="0" w:color="auto"/>
            </w:tcBorders>
            <w:shd w:val="clear" w:color="auto" w:fill="auto"/>
            <w:vAlign w:val="bottom"/>
            <w:hideMark/>
          </w:tcPr>
          <w:p w14:paraId="12F90C76"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26,687</w:t>
            </w:r>
          </w:p>
        </w:tc>
        <w:tc>
          <w:tcPr>
            <w:tcW w:w="1000" w:type="pct"/>
            <w:tcBorders>
              <w:top w:val="nil"/>
              <w:left w:val="nil"/>
              <w:bottom w:val="single" w:sz="4" w:space="0" w:color="auto"/>
              <w:right w:val="single" w:sz="4" w:space="0" w:color="auto"/>
            </w:tcBorders>
            <w:shd w:val="clear" w:color="auto" w:fill="auto"/>
            <w:vAlign w:val="bottom"/>
            <w:hideMark/>
          </w:tcPr>
          <w:p w14:paraId="775FB7A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40.15%</w:t>
            </w:r>
          </w:p>
        </w:tc>
        <w:tc>
          <w:tcPr>
            <w:tcW w:w="1000" w:type="pct"/>
            <w:tcBorders>
              <w:top w:val="nil"/>
              <w:left w:val="nil"/>
              <w:bottom w:val="single" w:sz="4" w:space="0" w:color="auto"/>
              <w:right w:val="single" w:sz="4" w:space="0" w:color="auto"/>
            </w:tcBorders>
            <w:shd w:val="clear" w:color="auto" w:fill="auto"/>
            <w:vAlign w:val="bottom"/>
            <w:hideMark/>
          </w:tcPr>
          <w:p w14:paraId="2E16332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509,044,295</w:t>
            </w:r>
          </w:p>
        </w:tc>
        <w:tc>
          <w:tcPr>
            <w:tcW w:w="1000" w:type="pct"/>
            <w:tcBorders>
              <w:top w:val="nil"/>
              <w:left w:val="nil"/>
              <w:bottom w:val="single" w:sz="4" w:space="0" w:color="auto"/>
              <w:right w:val="single" w:sz="4" w:space="0" w:color="auto"/>
            </w:tcBorders>
            <w:shd w:val="clear" w:color="auto" w:fill="auto"/>
            <w:vAlign w:val="bottom"/>
            <w:hideMark/>
          </w:tcPr>
          <w:p w14:paraId="24B527C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41.05%</w:t>
            </w:r>
          </w:p>
        </w:tc>
      </w:tr>
      <w:tr w:rsidR="006A523F" w:rsidRPr="006A523F" w14:paraId="32E8BCAA"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26FA69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7.00% &lt; X &lt;= 8.00%</w:t>
            </w:r>
          </w:p>
        </w:tc>
        <w:tc>
          <w:tcPr>
            <w:tcW w:w="752" w:type="pct"/>
            <w:tcBorders>
              <w:top w:val="nil"/>
              <w:left w:val="nil"/>
              <w:bottom w:val="single" w:sz="4" w:space="0" w:color="auto"/>
              <w:right w:val="single" w:sz="4" w:space="0" w:color="auto"/>
            </w:tcBorders>
            <w:shd w:val="clear" w:color="auto" w:fill="auto"/>
            <w:vAlign w:val="bottom"/>
            <w:hideMark/>
          </w:tcPr>
          <w:p w14:paraId="4056DA0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18,016</w:t>
            </w:r>
          </w:p>
        </w:tc>
        <w:tc>
          <w:tcPr>
            <w:tcW w:w="1000" w:type="pct"/>
            <w:tcBorders>
              <w:top w:val="nil"/>
              <w:left w:val="nil"/>
              <w:bottom w:val="single" w:sz="4" w:space="0" w:color="auto"/>
              <w:right w:val="single" w:sz="4" w:space="0" w:color="auto"/>
            </w:tcBorders>
            <w:shd w:val="clear" w:color="auto" w:fill="auto"/>
            <w:vAlign w:val="bottom"/>
            <w:hideMark/>
          </w:tcPr>
          <w:p w14:paraId="5EF6289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27.11%</w:t>
            </w:r>
          </w:p>
        </w:tc>
        <w:tc>
          <w:tcPr>
            <w:tcW w:w="1000" w:type="pct"/>
            <w:tcBorders>
              <w:top w:val="nil"/>
              <w:left w:val="nil"/>
              <w:bottom w:val="single" w:sz="4" w:space="0" w:color="auto"/>
              <w:right w:val="single" w:sz="4" w:space="0" w:color="auto"/>
            </w:tcBorders>
            <w:shd w:val="clear" w:color="auto" w:fill="auto"/>
            <w:vAlign w:val="bottom"/>
            <w:hideMark/>
          </w:tcPr>
          <w:p w14:paraId="2480D71E"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348,581,354</w:t>
            </w:r>
          </w:p>
        </w:tc>
        <w:tc>
          <w:tcPr>
            <w:tcW w:w="1000" w:type="pct"/>
            <w:tcBorders>
              <w:top w:val="nil"/>
              <w:left w:val="nil"/>
              <w:bottom w:val="single" w:sz="4" w:space="0" w:color="auto"/>
              <w:right w:val="single" w:sz="4" w:space="0" w:color="auto"/>
            </w:tcBorders>
            <w:shd w:val="clear" w:color="auto" w:fill="auto"/>
            <w:vAlign w:val="bottom"/>
            <w:hideMark/>
          </w:tcPr>
          <w:p w14:paraId="7DC969B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28.11%</w:t>
            </w:r>
          </w:p>
        </w:tc>
      </w:tr>
      <w:tr w:rsidR="006A523F" w:rsidRPr="006A523F" w14:paraId="2F797B37"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59A87E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8.00% &lt; X &lt;= 9.00%</w:t>
            </w:r>
          </w:p>
        </w:tc>
        <w:tc>
          <w:tcPr>
            <w:tcW w:w="752" w:type="pct"/>
            <w:tcBorders>
              <w:top w:val="nil"/>
              <w:left w:val="nil"/>
              <w:bottom w:val="single" w:sz="4" w:space="0" w:color="auto"/>
              <w:right w:val="single" w:sz="4" w:space="0" w:color="auto"/>
            </w:tcBorders>
            <w:shd w:val="clear" w:color="auto" w:fill="auto"/>
            <w:vAlign w:val="bottom"/>
            <w:hideMark/>
          </w:tcPr>
          <w:p w14:paraId="345D2B1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1,518</w:t>
            </w:r>
          </w:p>
        </w:tc>
        <w:tc>
          <w:tcPr>
            <w:tcW w:w="1000" w:type="pct"/>
            <w:tcBorders>
              <w:top w:val="nil"/>
              <w:left w:val="nil"/>
              <w:bottom w:val="single" w:sz="4" w:space="0" w:color="auto"/>
              <w:right w:val="single" w:sz="4" w:space="0" w:color="auto"/>
            </w:tcBorders>
            <w:shd w:val="clear" w:color="auto" w:fill="auto"/>
            <w:vAlign w:val="bottom"/>
            <w:hideMark/>
          </w:tcPr>
          <w:p w14:paraId="754C1B8D"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2.28%</w:t>
            </w:r>
          </w:p>
        </w:tc>
        <w:tc>
          <w:tcPr>
            <w:tcW w:w="1000" w:type="pct"/>
            <w:tcBorders>
              <w:top w:val="nil"/>
              <w:left w:val="nil"/>
              <w:bottom w:val="single" w:sz="4" w:space="0" w:color="auto"/>
              <w:right w:val="single" w:sz="4" w:space="0" w:color="auto"/>
            </w:tcBorders>
            <w:shd w:val="clear" w:color="auto" w:fill="auto"/>
            <w:vAlign w:val="bottom"/>
            <w:hideMark/>
          </w:tcPr>
          <w:p w14:paraId="03C9E18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30,282,777</w:t>
            </w:r>
          </w:p>
        </w:tc>
        <w:tc>
          <w:tcPr>
            <w:tcW w:w="1000" w:type="pct"/>
            <w:tcBorders>
              <w:top w:val="nil"/>
              <w:left w:val="nil"/>
              <w:bottom w:val="single" w:sz="4" w:space="0" w:color="auto"/>
              <w:right w:val="single" w:sz="4" w:space="0" w:color="auto"/>
            </w:tcBorders>
            <w:shd w:val="clear" w:color="auto" w:fill="auto"/>
            <w:vAlign w:val="bottom"/>
            <w:hideMark/>
          </w:tcPr>
          <w:p w14:paraId="72DD510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2.44%</w:t>
            </w:r>
          </w:p>
        </w:tc>
      </w:tr>
      <w:tr w:rsidR="006A523F" w:rsidRPr="006A523F" w14:paraId="1C61D506"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278BD8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9.00% &lt; X &lt;= 10.00%</w:t>
            </w:r>
          </w:p>
        </w:tc>
        <w:tc>
          <w:tcPr>
            <w:tcW w:w="752" w:type="pct"/>
            <w:tcBorders>
              <w:top w:val="nil"/>
              <w:left w:val="nil"/>
              <w:bottom w:val="single" w:sz="4" w:space="0" w:color="auto"/>
              <w:right w:val="single" w:sz="4" w:space="0" w:color="auto"/>
            </w:tcBorders>
            <w:shd w:val="clear" w:color="auto" w:fill="auto"/>
            <w:vAlign w:val="bottom"/>
            <w:hideMark/>
          </w:tcPr>
          <w:p w14:paraId="4D0BC7F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57</w:t>
            </w:r>
          </w:p>
        </w:tc>
        <w:tc>
          <w:tcPr>
            <w:tcW w:w="1000" w:type="pct"/>
            <w:tcBorders>
              <w:top w:val="nil"/>
              <w:left w:val="nil"/>
              <w:bottom w:val="single" w:sz="4" w:space="0" w:color="auto"/>
              <w:right w:val="single" w:sz="4" w:space="0" w:color="auto"/>
            </w:tcBorders>
            <w:shd w:val="clear" w:color="auto" w:fill="auto"/>
            <w:vAlign w:val="bottom"/>
            <w:hideMark/>
          </w:tcPr>
          <w:p w14:paraId="5804675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0.09%</w:t>
            </w:r>
          </w:p>
        </w:tc>
        <w:tc>
          <w:tcPr>
            <w:tcW w:w="1000" w:type="pct"/>
            <w:tcBorders>
              <w:top w:val="nil"/>
              <w:left w:val="nil"/>
              <w:bottom w:val="single" w:sz="4" w:space="0" w:color="auto"/>
              <w:right w:val="single" w:sz="4" w:space="0" w:color="auto"/>
            </w:tcBorders>
            <w:shd w:val="clear" w:color="auto" w:fill="auto"/>
            <w:vAlign w:val="bottom"/>
            <w:hideMark/>
          </w:tcPr>
          <w:p w14:paraId="3BFC548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1,063,118</w:t>
            </w:r>
          </w:p>
        </w:tc>
        <w:tc>
          <w:tcPr>
            <w:tcW w:w="1000" w:type="pct"/>
            <w:tcBorders>
              <w:top w:val="nil"/>
              <w:left w:val="nil"/>
              <w:bottom w:val="single" w:sz="4" w:space="0" w:color="auto"/>
              <w:right w:val="single" w:sz="4" w:space="0" w:color="auto"/>
            </w:tcBorders>
            <w:shd w:val="clear" w:color="auto" w:fill="auto"/>
            <w:vAlign w:val="bottom"/>
            <w:hideMark/>
          </w:tcPr>
          <w:p w14:paraId="5A44CC6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0.09%</w:t>
            </w:r>
          </w:p>
        </w:tc>
      </w:tr>
      <w:tr w:rsidR="006A523F" w:rsidRPr="006A523F" w14:paraId="13F5A25D"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035FF99"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10.00% &lt; X &lt;= 11.00%</w:t>
            </w:r>
          </w:p>
        </w:tc>
        <w:tc>
          <w:tcPr>
            <w:tcW w:w="752" w:type="pct"/>
            <w:tcBorders>
              <w:top w:val="nil"/>
              <w:left w:val="nil"/>
              <w:bottom w:val="single" w:sz="4" w:space="0" w:color="auto"/>
              <w:right w:val="single" w:sz="4" w:space="0" w:color="auto"/>
            </w:tcBorders>
            <w:shd w:val="clear" w:color="auto" w:fill="auto"/>
            <w:vAlign w:val="bottom"/>
            <w:hideMark/>
          </w:tcPr>
          <w:p w14:paraId="629B882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29</w:t>
            </w:r>
          </w:p>
        </w:tc>
        <w:tc>
          <w:tcPr>
            <w:tcW w:w="1000" w:type="pct"/>
            <w:tcBorders>
              <w:top w:val="nil"/>
              <w:left w:val="nil"/>
              <w:bottom w:val="single" w:sz="4" w:space="0" w:color="auto"/>
              <w:right w:val="single" w:sz="4" w:space="0" w:color="auto"/>
            </w:tcBorders>
            <w:shd w:val="clear" w:color="auto" w:fill="auto"/>
            <w:vAlign w:val="bottom"/>
            <w:hideMark/>
          </w:tcPr>
          <w:p w14:paraId="03C3AF9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0.04%</w:t>
            </w:r>
          </w:p>
        </w:tc>
        <w:tc>
          <w:tcPr>
            <w:tcW w:w="1000" w:type="pct"/>
            <w:tcBorders>
              <w:top w:val="nil"/>
              <w:left w:val="nil"/>
              <w:bottom w:val="single" w:sz="4" w:space="0" w:color="auto"/>
              <w:right w:val="single" w:sz="4" w:space="0" w:color="auto"/>
            </w:tcBorders>
            <w:shd w:val="clear" w:color="auto" w:fill="auto"/>
            <w:vAlign w:val="bottom"/>
            <w:hideMark/>
          </w:tcPr>
          <w:p w14:paraId="05330E4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547,253</w:t>
            </w:r>
          </w:p>
        </w:tc>
        <w:tc>
          <w:tcPr>
            <w:tcW w:w="1000" w:type="pct"/>
            <w:tcBorders>
              <w:top w:val="nil"/>
              <w:left w:val="nil"/>
              <w:bottom w:val="single" w:sz="4" w:space="0" w:color="auto"/>
              <w:right w:val="single" w:sz="4" w:space="0" w:color="auto"/>
            </w:tcBorders>
            <w:shd w:val="clear" w:color="auto" w:fill="auto"/>
            <w:vAlign w:val="bottom"/>
            <w:hideMark/>
          </w:tcPr>
          <w:p w14:paraId="12B71036"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0.04%</w:t>
            </w:r>
          </w:p>
        </w:tc>
      </w:tr>
      <w:tr w:rsidR="006A523F" w:rsidRPr="006A523F" w14:paraId="03277CA7"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1628CD8"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Total</w:t>
            </w:r>
          </w:p>
        </w:tc>
        <w:tc>
          <w:tcPr>
            <w:tcW w:w="752" w:type="pct"/>
            <w:tcBorders>
              <w:top w:val="nil"/>
              <w:left w:val="nil"/>
              <w:bottom w:val="single" w:sz="4" w:space="0" w:color="auto"/>
              <w:right w:val="single" w:sz="4" w:space="0" w:color="auto"/>
            </w:tcBorders>
            <w:shd w:val="clear" w:color="auto" w:fill="auto"/>
            <w:vAlign w:val="bottom"/>
            <w:hideMark/>
          </w:tcPr>
          <w:p w14:paraId="4CC22A1D"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4FD666BD"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6F303015"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26B18426"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100%</w:t>
            </w:r>
          </w:p>
        </w:tc>
      </w:tr>
      <w:tr w:rsidR="006A523F" w:rsidRPr="006A523F" w14:paraId="1863B76F" w14:textId="77777777" w:rsidTr="006A523F">
        <w:trPr>
          <w:trHeight w:val="20"/>
        </w:trPr>
        <w:tc>
          <w:tcPr>
            <w:tcW w:w="1249" w:type="pct"/>
            <w:tcBorders>
              <w:top w:val="nil"/>
              <w:left w:val="nil"/>
              <w:bottom w:val="nil"/>
              <w:right w:val="nil"/>
            </w:tcBorders>
            <w:shd w:val="clear" w:color="auto" w:fill="auto"/>
            <w:noWrap/>
            <w:vAlign w:val="bottom"/>
            <w:hideMark/>
          </w:tcPr>
          <w:p w14:paraId="1CE5B3CA"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p>
        </w:tc>
        <w:tc>
          <w:tcPr>
            <w:tcW w:w="752" w:type="pct"/>
            <w:tcBorders>
              <w:top w:val="nil"/>
              <w:left w:val="nil"/>
              <w:bottom w:val="nil"/>
              <w:right w:val="nil"/>
            </w:tcBorders>
            <w:shd w:val="clear" w:color="auto" w:fill="auto"/>
            <w:noWrap/>
            <w:vAlign w:val="bottom"/>
            <w:hideMark/>
          </w:tcPr>
          <w:p w14:paraId="332F0ACD"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noWrap/>
            <w:vAlign w:val="bottom"/>
            <w:hideMark/>
          </w:tcPr>
          <w:p w14:paraId="2EBE30B7"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noWrap/>
            <w:vAlign w:val="bottom"/>
            <w:hideMark/>
          </w:tcPr>
          <w:p w14:paraId="515FB8F1"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vAlign w:val="bottom"/>
            <w:hideMark/>
          </w:tcPr>
          <w:p w14:paraId="6046D4EF"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024708EC" w14:textId="77777777" w:rsidTr="006A523F">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80D24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Minimum Customer Discount Rate</w:t>
            </w:r>
          </w:p>
        </w:tc>
        <w:tc>
          <w:tcPr>
            <w:tcW w:w="752" w:type="pct"/>
            <w:tcBorders>
              <w:top w:val="single" w:sz="4" w:space="0" w:color="auto"/>
              <w:left w:val="nil"/>
              <w:bottom w:val="single" w:sz="4" w:space="0" w:color="auto"/>
              <w:right w:val="single" w:sz="4" w:space="0" w:color="auto"/>
            </w:tcBorders>
            <w:shd w:val="clear" w:color="auto" w:fill="auto"/>
            <w:vAlign w:val="bottom"/>
            <w:hideMark/>
          </w:tcPr>
          <w:p w14:paraId="1D10978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0.01%</w:t>
            </w:r>
          </w:p>
        </w:tc>
        <w:tc>
          <w:tcPr>
            <w:tcW w:w="1000" w:type="pct"/>
            <w:tcBorders>
              <w:top w:val="nil"/>
              <w:left w:val="nil"/>
              <w:bottom w:val="nil"/>
              <w:right w:val="nil"/>
            </w:tcBorders>
            <w:shd w:val="clear" w:color="auto" w:fill="auto"/>
            <w:noWrap/>
            <w:vAlign w:val="bottom"/>
            <w:hideMark/>
          </w:tcPr>
          <w:p w14:paraId="20931CA5" w14:textId="77777777" w:rsidR="006A523F" w:rsidRPr="006A523F" w:rsidRDefault="006A523F" w:rsidP="006A523F">
            <w:pPr>
              <w:spacing w:line="240" w:lineRule="auto"/>
              <w:jc w:val="center"/>
              <w:rPr>
                <w:rFonts w:ascii="Aptos Narrow" w:hAnsi="Aptos Narrow"/>
                <w:color w:val="161518"/>
                <w:sz w:val="14"/>
                <w:szCs w:val="14"/>
                <w:lang w:val="de-DE" w:eastAsia="de-DE"/>
              </w:rPr>
            </w:pPr>
          </w:p>
        </w:tc>
        <w:tc>
          <w:tcPr>
            <w:tcW w:w="1000" w:type="pct"/>
            <w:tcBorders>
              <w:top w:val="nil"/>
              <w:left w:val="nil"/>
              <w:bottom w:val="nil"/>
              <w:right w:val="nil"/>
            </w:tcBorders>
            <w:shd w:val="clear" w:color="auto" w:fill="auto"/>
            <w:noWrap/>
            <w:vAlign w:val="bottom"/>
            <w:hideMark/>
          </w:tcPr>
          <w:p w14:paraId="46BEBBA9"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vAlign w:val="bottom"/>
            <w:hideMark/>
          </w:tcPr>
          <w:p w14:paraId="1E321472"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7E3540C6"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A2DFF5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Maximum  Customer Discount Rate</w:t>
            </w:r>
          </w:p>
        </w:tc>
        <w:tc>
          <w:tcPr>
            <w:tcW w:w="752" w:type="pct"/>
            <w:tcBorders>
              <w:top w:val="nil"/>
              <w:left w:val="nil"/>
              <w:bottom w:val="single" w:sz="4" w:space="0" w:color="auto"/>
              <w:right w:val="single" w:sz="4" w:space="0" w:color="auto"/>
            </w:tcBorders>
            <w:shd w:val="clear" w:color="auto" w:fill="auto"/>
            <w:vAlign w:val="bottom"/>
            <w:hideMark/>
          </w:tcPr>
          <w:p w14:paraId="51AA13B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10.99%</w:t>
            </w:r>
          </w:p>
        </w:tc>
        <w:tc>
          <w:tcPr>
            <w:tcW w:w="1000" w:type="pct"/>
            <w:tcBorders>
              <w:top w:val="nil"/>
              <w:left w:val="nil"/>
              <w:bottom w:val="nil"/>
              <w:right w:val="nil"/>
            </w:tcBorders>
            <w:shd w:val="clear" w:color="auto" w:fill="auto"/>
            <w:noWrap/>
            <w:vAlign w:val="bottom"/>
            <w:hideMark/>
          </w:tcPr>
          <w:p w14:paraId="04C21863" w14:textId="77777777" w:rsidR="006A523F" w:rsidRPr="006A523F" w:rsidRDefault="006A523F" w:rsidP="006A523F">
            <w:pPr>
              <w:spacing w:line="240" w:lineRule="auto"/>
              <w:jc w:val="center"/>
              <w:rPr>
                <w:rFonts w:ascii="Aptos Narrow" w:hAnsi="Aptos Narrow"/>
                <w:color w:val="161518"/>
                <w:sz w:val="14"/>
                <w:szCs w:val="14"/>
                <w:lang w:val="de-DE" w:eastAsia="de-DE"/>
              </w:rPr>
            </w:pPr>
          </w:p>
        </w:tc>
        <w:tc>
          <w:tcPr>
            <w:tcW w:w="1000" w:type="pct"/>
            <w:tcBorders>
              <w:top w:val="nil"/>
              <w:left w:val="nil"/>
              <w:bottom w:val="nil"/>
              <w:right w:val="nil"/>
            </w:tcBorders>
            <w:shd w:val="clear" w:color="auto" w:fill="auto"/>
            <w:noWrap/>
            <w:vAlign w:val="bottom"/>
            <w:hideMark/>
          </w:tcPr>
          <w:p w14:paraId="252E5274"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vAlign w:val="bottom"/>
            <w:hideMark/>
          </w:tcPr>
          <w:p w14:paraId="7D1DE05D"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442FB3E6"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C02E8D5" w14:textId="77777777" w:rsidR="006A523F" w:rsidRPr="006F5CD6" w:rsidRDefault="006A523F" w:rsidP="006A523F">
            <w:pPr>
              <w:spacing w:line="240" w:lineRule="auto"/>
              <w:jc w:val="center"/>
              <w:rPr>
                <w:rFonts w:ascii="Aptos Narrow" w:hAnsi="Aptos Narrow"/>
                <w:color w:val="161518"/>
                <w:sz w:val="14"/>
                <w:szCs w:val="14"/>
                <w:lang w:val="en-US" w:eastAsia="de-DE"/>
              </w:rPr>
            </w:pPr>
            <w:r w:rsidRPr="006F5CD6">
              <w:rPr>
                <w:rFonts w:ascii="Aptos Narrow" w:hAnsi="Aptos Narrow"/>
                <w:color w:val="161518"/>
                <w:sz w:val="14"/>
                <w:szCs w:val="14"/>
                <w:lang w:val="en-US" w:eastAsia="de-DE"/>
              </w:rPr>
              <w:t>Weighted Average Customer Discount Rate</w:t>
            </w:r>
          </w:p>
        </w:tc>
        <w:tc>
          <w:tcPr>
            <w:tcW w:w="752" w:type="pct"/>
            <w:tcBorders>
              <w:top w:val="nil"/>
              <w:left w:val="nil"/>
              <w:bottom w:val="single" w:sz="4" w:space="0" w:color="auto"/>
              <w:right w:val="single" w:sz="4" w:space="0" w:color="auto"/>
            </w:tcBorders>
            <w:shd w:val="clear" w:color="auto" w:fill="auto"/>
            <w:vAlign w:val="bottom"/>
            <w:hideMark/>
          </w:tcPr>
          <w:p w14:paraId="76AB2BC9"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6.25%</w:t>
            </w:r>
          </w:p>
        </w:tc>
        <w:tc>
          <w:tcPr>
            <w:tcW w:w="1000" w:type="pct"/>
            <w:tcBorders>
              <w:top w:val="nil"/>
              <w:left w:val="nil"/>
              <w:bottom w:val="nil"/>
              <w:right w:val="nil"/>
            </w:tcBorders>
            <w:shd w:val="clear" w:color="auto" w:fill="auto"/>
            <w:noWrap/>
            <w:vAlign w:val="bottom"/>
            <w:hideMark/>
          </w:tcPr>
          <w:p w14:paraId="1FBBBA41" w14:textId="77777777" w:rsidR="006A523F" w:rsidRPr="006A523F" w:rsidRDefault="006A523F" w:rsidP="006A523F">
            <w:pPr>
              <w:spacing w:line="240" w:lineRule="auto"/>
              <w:jc w:val="center"/>
              <w:rPr>
                <w:rFonts w:ascii="Aptos Narrow" w:hAnsi="Aptos Narrow"/>
                <w:color w:val="161518"/>
                <w:sz w:val="14"/>
                <w:szCs w:val="14"/>
                <w:lang w:val="de-DE" w:eastAsia="de-DE"/>
              </w:rPr>
            </w:pPr>
          </w:p>
        </w:tc>
        <w:tc>
          <w:tcPr>
            <w:tcW w:w="1000" w:type="pct"/>
            <w:tcBorders>
              <w:top w:val="nil"/>
              <w:left w:val="nil"/>
              <w:bottom w:val="nil"/>
              <w:right w:val="nil"/>
            </w:tcBorders>
            <w:shd w:val="clear" w:color="auto" w:fill="auto"/>
            <w:noWrap/>
            <w:vAlign w:val="bottom"/>
            <w:hideMark/>
          </w:tcPr>
          <w:p w14:paraId="7FE50961"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vAlign w:val="bottom"/>
            <w:hideMark/>
          </w:tcPr>
          <w:p w14:paraId="10A5D02B" w14:textId="77777777" w:rsidR="006A523F" w:rsidRPr="006A523F" w:rsidRDefault="006A523F" w:rsidP="006A523F">
            <w:pPr>
              <w:spacing w:line="240" w:lineRule="auto"/>
              <w:jc w:val="left"/>
              <w:rPr>
                <w:rFonts w:ascii="Times New Roman" w:hAnsi="Times New Roman"/>
                <w:sz w:val="14"/>
                <w:szCs w:val="14"/>
                <w:lang w:val="de-DE" w:eastAsia="de-DE"/>
              </w:rPr>
            </w:pPr>
          </w:p>
        </w:tc>
      </w:tr>
    </w:tbl>
    <w:p w14:paraId="2082065A" w14:textId="77777777" w:rsidR="000D0E23" w:rsidRDefault="000D0E23" w:rsidP="000D0E23">
      <w:pPr>
        <w:pStyle w:val="Body1"/>
      </w:pPr>
    </w:p>
    <w:p w14:paraId="3028852D" w14:textId="428E5501" w:rsidR="000D0E23" w:rsidRDefault="000D0E23" w:rsidP="000D0E23">
      <w:pPr>
        <w:pStyle w:val="Body1"/>
      </w:pPr>
      <w:r>
        <w:t>8.</w:t>
      </w:r>
      <w:r>
        <w:tab/>
      </w:r>
      <w:r w:rsidRPr="000D0E23">
        <w:rPr>
          <w:b/>
          <w:bCs/>
        </w:rPr>
        <w:t>Customer Type</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0D31E3CA"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0D40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Customer Type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0C2243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2F37958"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182DD0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465B732"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0ECE95F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DFC821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CORPORATE</w:t>
            </w:r>
          </w:p>
        </w:tc>
        <w:tc>
          <w:tcPr>
            <w:tcW w:w="1000" w:type="pct"/>
            <w:tcBorders>
              <w:top w:val="nil"/>
              <w:left w:val="nil"/>
              <w:bottom w:val="single" w:sz="4" w:space="0" w:color="auto"/>
              <w:right w:val="single" w:sz="4" w:space="0" w:color="auto"/>
            </w:tcBorders>
            <w:shd w:val="clear" w:color="auto" w:fill="auto"/>
            <w:vAlign w:val="bottom"/>
            <w:hideMark/>
          </w:tcPr>
          <w:p w14:paraId="6B169D2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24,448</w:t>
            </w:r>
          </w:p>
        </w:tc>
        <w:tc>
          <w:tcPr>
            <w:tcW w:w="1000" w:type="pct"/>
            <w:tcBorders>
              <w:top w:val="nil"/>
              <w:left w:val="nil"/>
              <w:bottom w:val="single" w:sz="4" w:space="0" w:color="auto"/>
              <w:right w:val="single" w:sz="4" w:space="0" w:color="auto"/>
            </w:tcBorders>
            <w:shd w:val="clear" w:color="auto" w:fill="auto"/>
            <w:vAlign w:val="bottom"/>
            <w:hideMark/>
          </w:tcPr>
          <w:p w14:paraId="5D98500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36.78%</w:t>
            </w:r>
          </w:p>
        </w:tc>
        <w:tc>
          <w:tcPr>
            <w:tcW w:w="1000" w:type="pct"/>
            <w:tcBorders>
              <w:top w:val="nil"/>
              <w:left w:val="nil"/>
              <w:bottom w:val="single" w:sz="4" w:space="0" w:color="auto"/>
              <w:right w:val="single" w:sz="4" w:space="0" w:color="auto"/>
            </w:tcBorders>
            <w:shd w:val="clear" w:color="auto" w:fill="auto"/>
            <w:vAlign w:val="bottom"/>
            <w:hideMark/>
          </w:tcPr>
          <w:p w14:paraId="37436C2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495,875,463</w:t>
            </w:r>
          </w:p>
        </w:tc>
        <w:tc>
          <w:tcPr>
            <w:tcW w:w="1000" w:type="pct"/>
            <w:tcBorders>
              <w:top w:val="nil"/>
              <w:left w:val="nil"/>
              <w:bottom w:val="single" w:sz="4" w:space="0" w:color="auto"/>
              <w:right w:val="single" w:sz="4" w:space="0" w:color="auto"/>
            </w:tcBorders>
            <w:shd w:val="clear" w:color="auto" w:fill="auto"/>
            <w:vAlign w:val="bottom"/>
            <w:hideMark/>
          </w:tcPr>
          <w:p w14:paraId="309993F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39.99%</w:t>
            </w:r>
          </w:p>
        </w:tc>
      </w:tr>
      <w:tr w:rsidR="006A523F" w:rsidRPr="006A523F" w14:paraId="4F8F823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65B1A4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PRIVATE</w:t>
            </w:r>
          </w:p>
        </w:tc>
        <w:tc>
          <w:tcPr>
            <w:tcW w:w="1000" w:type="pct"/>
            <w:tcBorders>
              <w:top w:val="nil"/>
              <w:left w:val="nil"/>
              <w:bottom w:val="single" w:sz="4" w:space="0" w:color="auto"/>
              <w:right w:val="single" w:sz="4" w:space="0" w:color="auto"/>
            </w:tcBorders>
            <w:shd w:val="clear" w:color="auto" w:fill="auto"/>
            <w:vAlign w:val="bottom"/>
            <w:hideMark/>
          </w:tcPr>
          <w:p w14:paraId="100B62C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42,015</w:t>
            </w:r>
          </w:p>
        </w:tc>
        <w:tc>
          <w:tcPr>
            <w:tcW w:w="1000" w:type="pct"/>
            <w:tcBorders>
              <w:top w:val="nil"/>
              <w:left w:val="nil"/>
              <w:bottom w:val="single" w:sz="4" w:space="0" w:color="auto"/>
              <w:right w:val="single" w:sz="4" w:space="0" w:color="auto"/>
            </w:tcBorders>
            <w:shd w:val="clear" w:color="auto" w:fill="auto"/>
            <w:vAlign w:val="bottom"/>
            <w:hideMark/>
          </w:tcPr>
          <w:p w14:paraId="1FD8DEA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63.22%</w:t>
            </w:r>
          </w:p>
        </w:tc>
        <w:tc>
          <w:tcPr>
            <w:tcW w:w="1000" w:type="pct"/>
            <w:tcBorders>
              <w:top w:val="nil"/>
              <w:left w:val="nil"/>
              <w:bottom w:val="single" w:sz="4" w:space="0" w:color="auto"/>
              <w:right w:val="single" w:sz="4" w:space="0" w:color="auto"/>
            </w:tcBorders>
            <w:shd w:val="clear" w:color="auto" w:fill="auto"/>
            <w:vAlign w:val="bottom"/>
            <w:hideMark/>
          </w:tcPr>
          <w:p w14:paraId="5DE2AA9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744,121,588</w:t>
            </w:r>
          </w:p>
        </w:tc>
        <w:tc>
          <w:tcPr>
            <w:tcW w:w="1000" w:type="pct"/>
            <w:tcBorders>
              <w:top w:val="nil"/>
              <w:left w:val="nil"/>
              <w:bottom w:val="single" w:sz="4" w:space="0" w:color="auto"/>
              <w:right w:val="single" w:sz="4" w:space="0" w:color="auto"/>
            </w:tcBorders>
            <w:shd w:val="clear" w:color="auto" w:fill="auto"/>
            <w:vAlign w:val="bottom"/>
            <w:hideMark/>
          </w:tcPr>
          <w:p w14:paraId="5BB87C9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60.01%</w:t>
            </w:r>
          </w:p>
        </w:tc>
      </w:tr>
      <w:tr w:rsidR="006A523F" w:rsidRPr="006A523F" w14:paraId="7B19B6B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F846DDF"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2677ECB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61BFEC42"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1AD79564"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5B8AE901"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373A7241" w14:textId="77777777" w:rsidR="000D0E23" w:rsidRDefault="000D0E23" w:rsidP="000D0E23">
      <w:pPr>
        <w:pStyle w:val="Body1"/>
      </w:pPr>
    </w:p>
    <w:p w14:paraId="385B777D" w14:textId="635E7819" w:rsidR="000D0E23" w:rsidRDefault="000D0E23" w:rsidP="000D0E23">
      <w:pPr>
        <w:pStyle w:val="Body1"/>
      </w:pPr>
      <w:r>
        <w:t>9.</w:t>
      </w:r>
      <w:r>
        <w:tab/>
      </w:r>
      <w:r w:rsidRPr="000D0E23">
        <w:rPr>
          <w:b/>
          <w:bCs/>
        </w:rPr>
        <w:t>Brand</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0FEBB851"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CB0C4"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Brand</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F5636F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988049D"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225D52D"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06FE687"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1D72E94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10AA4D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OPEL</w:t>
            </w:r>
          </w:p>
        </w:tc>
        <w:tc>
          <w:tcPr>
            <w:tcW w:w="1000" w:type="pct"/>
            <w:tcBorders>
              <w:top w:val="nil"/>
              <w:left w:val="nil"/>
              <w:bottom w:val="single" w:sz="4" w:space="0" w:color="auto"/>
              <w:right w:val="single" w:sz="4" w:space="0" w:color="auto"/>
            </w:tcBorders>
            <w:shd w:val="clear" w:color="auto" w:fill="auto"/>
            <w:vAlign w:val="bottom"/>
            <w:hideMark/>
          </w:tcPr>
          <w:p w14:paraId="706376E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25,656</w:t>
            </w:r>
          </w:p>
        </w:tc>
        <w:tc>
          <w:tcPr>
            <w:tcW w:w="1000" w:type="pct"/>
            <w:tcBorders>
              <w:top w:val="nil"/>
              <w:left w:val="nil"/>
              <w:bottom w:val="single" w:sz="4" w:space="0" w:color="auto"/>
              <w:right w:val="single" w:sz="4" w:space="0" w:color="auto"/>
            </w:tcBorders>
            <w:shd w:val="clear" w:color="auto" w:fill="auto"/>
            <w:vAlign w:val="bottom"/>
            <w:hideMark/>
          </w:tcPr>
          <w:p w14:paraId="32D5FDE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38.60%</w:t>
            </w:r>
          </w:p>
        </w:tc>
        <w:tc>
          <w:tcPr>
            <w:tcW w:w="1000" w:type="pct"/>
            <w:tcBorders>
              <w:top w:val="nil"/>
              <w:left w:val="nil"/>
              <w:bottom w:val="single" w:sz="4" w:space="0" w:color="auto"/>
              <w:right w:val="single" w:sz="4" w:space="0" w:color="auto"/>
            </w:tcBorders>
            <w:shd w:val="clear" w:color="auto" w:fill="auto"/>
            <w:vAlign w:val="bottom"/>
            <w:hideMark/>
          </w:tcPr>
          <w:p w14:paraId="567A230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456,920,764</w:t>
            </w:r>
          </w:p>
        </w:tc>
        <w:tc>
          <w:tcPr>
            <w:tcW w:w="1000" w:type="pct"/>
            <w:tcBorders>
              <w:top w:val="nil"/>
              <w:left w:val="nil"/>
              <w:bottom w:val="single" w:sz="4" w:space="0" w:color="auto"/>
              <w:right w:val="single" w:sz="4" w:space="0" w:color="auto"/>
            </w:tcBorders>
            <w:shd w:val="clear" w:color="auto" w:fill="auto"/>
            <w:vAlign w:val="bottom"/>
            <w:hideMark/>
          </w:tcPr>
          <w:p w14:paraId="269E2EB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36.85%</w:t>
            </w:r>
          </w:p>
        </w:tc>
      </w:tr>
      <w:tr w:rsidR="006A523F" w:rsidRPr="006A523F" w14:paraId="4913A50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C6C884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PEUGEOT</w:t>
            </w:r>
          </w:p>
        </w:tc>
        <w:tc>
          <w:tcPr>
            <w:tcW w:w="1000" w:type="pct"/>
            <w:tcBorders>
              <w:top w:val="nil"/>
              <w:left w:val="nil"/>
              <w:bottom w:val="single" w:sz="4" w:space="0" w:color="auto"/>
              <w:right w:val="single" w:sz="4" w:space="0" w:color="auto"/>
            </w:tcBorders>
            <w:shd w:val="clear" w:color="auto" w:fill="auto"/>
            <w:vAlign w:val="bottom"/>
            <w:hideMark/>
          </w:tcPr>
          <w:p w14:paraId="4AB6230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21,477</w:t>
            </w:r>
          </w:p>
        </w:tc>
        <w:tc>
          <w:tcPr>
            <w:tcW w:w="1000" w:type="pct"/>
            <w:tcBorders>
              <w:top w:val="nil"/>
              <w:left w:val="nil"/>
              <w:bottom w:val="single" w:sz="4" w:space="0" w:color="auto"/>
              <w:right w:val="single" w:sz="4" w:space="0" w:color="auto"/>
            </w:tcBorders>
            <w:shd w:val="clear" w:color="auto" w:fill="auto"/>
            <w:vAlign w:val="bottom"/>
            <w:hideMark/>
          </w:tcPr>
          <w:p w14:paraId="486AA5B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32.31%</w:t>
            </w:r>
          </w:p>
        </w:tc>
        <w:tc>
          <w:tcPr>
            <w:tcW w:w="1000" w:type="pct"/>
            <w:tcBorders>
              <w:top w:val="nil"/>
              <w:left w:val="nil"/>
              <w:bottom w:val="single" w:sz="4" w:space="0" w:color="auto"/>
              <w:right w:val="single" w:sz="4" w:space="0" w:color="auto"/>
            </w:tcBorders>
            <w:shd w:val="clear" w:color="auto" w:fill="auto"/>
            <w:vAlign w:val="bottom"/>
            <w:hideMark/>
          </w:tcPr>
          <w:p w14:paraId="3E639BE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418,755,836</w:t>
            </w:r>
          </w:p>
        </w:tc>
        <w:tc>
          <w:tcPr>
            <w:tcW w:w="1000" w:type="pct"/>
            <w:tcBorders>
              <w:top w:val="nil"/>
              <w:left w:val="nil"/>
              <w:bottom w:val="single" w:sz="4" w:space="0" w:color="auto"/>
              <w:right w:val="single" w:sz="4" w:space="0" w:color="auto"/>
            </w:tcBorders>
            <w:shd w:val="clear" w:color="auto" w:fill="auto"/>
            <w:vAlign w:val="bottom"/>
            <w:hideMark/>
          </w:tcPr>
          <w:p w14:paraId="0E6162B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33.77%</w:t>
            </w:r>
          </w:p>
        </w:tc>
      </w:tr>
      <w:tr w:rsidR="006A523F" w:rsidRPr="006A523F" w14:paraId="02A3064D"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1AE9BA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CITROËN</w:t>
            </w:r>
          </w:p>
        </w:tc>
        <w:tc>
          <w:tcPr>
            <w:tcW w:w="1000" w:type="pct"/>
            <w:tcBorders>
              <w:top w:val="nil"/>
              <w:left w:val="nil"/>
              <w:bottom w:val="single" w:sz="4" w:space="0" w:color="auto"/>
              <w:right w:val="single" w:sz="4" w:space="0" w:color="auto"/>
            </w:tcBorders>
            <w:shd w:val="clear" w:color="auto" w:fill="auto"/>
            <w:vAlign w:val="bottom"/>
            <w:hideMark/>
          </w:tcPr>
          <w:p w14:paraId="7296A35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13,919</w:t>
            </w:r>
          </w:p>
        </w:tc>
        <w:tc>
          <w:tcPr>
            <w:tcW w:w="1000" w:type="pct"/>
            <w:tcBorders>
              <w:top w:val="nil"/>
              <w:left w:val="nil"/>
              <w:bottom w:val="single" w:sz="4" w:space="0" w:color="auto"/>
              <w:right w:val="single" w:sz="4" w:space="0" w:color="auto"/>
            </w:tcBorders>
            <w:shd w:val="clear" w:color="auto" w:fill="auto"/>
            <w:vAlign w:val="bottom"/>
            <w:hideMark/>
          </w:tcPr>
          <w:p w14:paraId="180557F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20.94%</w:t>
            </w:r>
          </w:p>
        </w:tc>
        <w:tc>
          <w:tcPr>
            <w:tcW w:w="1000" w:type="pct"/>
            <w:tcBorders>
              <w:top w:val="nil"/>
              <w:left w:val="nil"/>
              <w:bottom w:val="single" w:sz="4" w:space="0" w:color="auto"/>
              <w:right w:val="single" w:sz="4" w:space="0" w:color="auto"/>
            </w:tcBorders>
            <w:shd w:val="clear" w:color="auto" w:fill="auto"/>
            <w:vAlign w:val="bottom"/>
            <w:hideMark/>
          </w:tcPr>
          <w:p w14:paraId="200C4EE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236,083,965</w:t>
            </w:r>
          </w:p>
        </w:tc>
        <w:tc>
          <w:tcPr>
            <w:tcW w:w="1000" w:type="pct"/>
            <w:tcBorders>
              <w:top w:val="nil"/>
              <w:left w:val="nil"/>
              <w:bottom w:val="single" w:sz="4" w:space="0" w:color="auto"/>
              <w:right w:val="single" w:sz="4" w:space="0" w:color="auto"/>
            </w:tcBorders>
            <w:shd w:val="clear" w:color="auto" w:fill="auto"/>
            <w:vAlign w:val="bottom"/>
            <w:hideMark/>
          </w:tcPr>
          <w:p w14:paraId="133C129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19.04%</w:t>
            </w:r>
          </w:p>
        </w:tc>
      </w:tr>
      <w:tr w:rsidR="006A523F" w:rsidRPr="006A523F" w14:paraId="2D6A28A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33575B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FIAT</w:t>
            </w:r>
          </w:p>
        </w:tc>
        <w:tc>
          <w:tcPr>
            <w:tcW w:w="1000" w:type="pct"/>
            <w:tcBorders>
              <w:top w:val="nil"/>
              <w:left w:val="nil"/>
              <w:bottom w:val="single" w:sz="4" w:space="0" w:color="auto"/>
              <w:right w:val="single" w:sz="4" w:space="0" w:color="auto"/>
            </w:tcBorders>
            <w:shd w:val="clear" w:color="auto" w:fill="auto"/>
            <w:vAlign w:val="bottom"/>
            <w:hideMark/>
          </w:tcPr>
          <w:p w14:paraId="74F1BAB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2,497</w:t>
            </w:r>
          </w:p>
        </w:tc>
        <w:tc>
          <w:tcPr>
            <w:tcW w:w="1000" w:type="pct"/>
            <w:tcBorders>
              <w:top w:val="nil"/>
              <w:left w:val="nil"/>
              <w:bottom w:val="single" w:sz="4" w:space="0" w:color="auto"/>
              <w:right w:val="single" w:sz="4" w:space="0" w:color="auto"/>
            </w:tcBorders>
            <w:shd w:val="clear" w:color="auto" w:fill="auto"/>
            <w:vAlign w:val="bottom"/>
            <w:hideMark/>
          </w:tcPr>
          <w:p w14:paraId="7895933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3.76%</w:t>
            </w:r>
          </w:p>
        </w:tc>
        <w:tc>
          <w:tcPr>
            <w:tcW w:w="1000" w:type="pct"/>
            <w:tcBorders>
              <w:top w:val="nil"/>
              <w:left w:val="nil"/>
              <w:bottom w:val="single" w:sz="4" w:space="0" w:color="auto"/>
              <w:right w:val="single" w:sz="4" w:space="0" w:color="auto"/>
            </w:tcBorders>
            <w:shd w:val="clear" w:color="auto" w:fill="auto"/>
            <w:vAlign w:val="bottom"/>
            <w:hideMark/>
          </w:tcPr>
          <w:p w14:paraId="1D3C910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43,330,249</w:t>
            </w:r>
          </w:p>
        </w:tc>
        <w:tc>
          <w:tcPr>
            <w:tcW w:w="1000" w:type="pct"/>
            <w:tcBorders>
              <w:top w:val="nil"/>
              <w:left w:val="nil"/>
              <w:bottom w:val="single" w:sz="4" w:space="0" w:color="auto"/>
              <w:right w:val="single" w:sz="4" w:space="0" w:color="auto"/>
            </w:tcBorders>
            <w:shd w:val="clear" w:color="auto" w:fill="auto"/>
            <w:vAlign w:val="bottom"/>
            <w:hideMark/>
          </w:tcPr>
          <w:p w14:paraId="37936A8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3.49%</w:t>
            </w:r>
          </w:p>
        </w:tc>
      </w:tr>
      <w:tr w:rsidR="006A523F" w:rsidRPr="006A523F" w14:paraId="7501412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CA6CC0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DS</w:t>
            </w:r>
          </w:p>
        </w:tc>
        <w:tc>
          <w:tcPr>
            <w:tcW w:w="1000" w:type="pct"/>
            <w:tcBorders>
              <w:top w:val="nil"/>
              <w:left w:val="nil"/>
              <w:bottom w:val="single" w:sz="4" w:space="0" w:color="auto"/>
              <w:right w:val="single" w:sz="4" w:space="0" w:color="auto"/>
            </w:tcBorders>
            <w:shd w:val="clear" w:color="auto" w:fill="auto"/>
            <w:vAlign w:val="bottom"/>
            <w:hideMark/>
          </w:tcPr>
          <w:p w14:paraId="05ED692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1,070</w:t>
            </w:r>
          </w:p>
        </w:tc>
        <w:tc>
          <w:tcPr>
            <w:tcW w:w="1000" w:type="pct"/>
            <w:tcBorders>
              <w:top w:val="nil"/>
              <w:left w:val="nil"/>
              <w:bottom w:val="single" w:sz="4" w:space="0" w:color="auto"/>
              <w:right w:val="single" w:sz="4" w:space="0" w:color="auto"/>
            </w:tcBorders>
            <w:shd w:val="clear" w:color="auto" w:fill="auto"/>
            <w:vAlign w:val="bottom"/>
            <w:hideMark/>
          </w:tcPr>
          <w:p w14:paraId="7FE7E3B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1.61%</w:t>
            </w:r>
          </w:p>
        </w:tc>
        <w:tc>
          <w:tcPr>
            <w:tcW w:w="1000" w:type="pct"/>
            <w:tcBorders>
              <w:top w:val="nil"/>
              <w:left w:val="nil"/>
              <w:bottom w:val="single" w:sz="4" w:space="0" w:color="auto"/>
              <w:right w:val="single" w:sz="4" w:space="0" w:color="auto"/>
            </w:tcBorders>
            <w:shd w:val="clear" w:color="auto" w:fill="auto"/>
            <w:vAlign w:val="bottom"/>
            <w:hideMark/>
          </w:tcPr>
          <w:p w14:paraId="7E18E36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29,185,926</w:t>
            </w:r>
          </w:p>
        </w:tc>
        <w:tc>
          <w:tcPr>
            <w:tcW w:w="1000" w:type="pct"/>
            <w:tcBorders>
              <w:top w:val="nil"/>
              <w:left w:val="nil"/>
              <w:bottom w:val="single" w:sz="4" w:space="0" w:color="auto"/>
              <w:right w:val="single" w:sz="4" w:space="0" w:color="auto"/>
            </w:tcBorders>
            <w:shd w:val="clear" w:color="auto" w:fill="auto"/>
            <w:vAlign w:val="bottom"/>
            <w:hideMark/>
          </w:tcPr>
          <w:p w14:paraId="1BD928D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2.35%</w:t>
            </w:r>
          </w:p>
        </w:tc>
      </w:tr>
      <w:tr w:rsidR="006A523F" w:rsidRPr="006A523F" w14:paraId="12DDB85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C2E89E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JEEP</w:t>
            </w:r>
          </w:p>
        </w:tc>
        <w:tc>
          <w:tcPr>
            <w:tcW w:w="1000" w:type="pct"/>
            <w:tcBorders>
              <w:top w:val="nil"/>
              <w:left w:val="nil"/>
              <w:bottom w:val="single" w:sz="4" w:space="0" w:color="auto"/>
              <w:right w:val="single" w:sz="4" w:space="0" w:color="auto"/>
            </w:tcBorders>
            <w:shd w:val="clear" w:color="auto" w:fill="auto"/>
            <w:vAlign w:val="bottom"/>
            <w:hideMark/>
          </w:tcPr>
          <w:p w14:paraId="306E51F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1,094</w:t>
            </w:r>
          </w:p>
        </w:tc>
        <w:tc>
          <w:tcPr>
            <w:tcW w:w="1000" w:type="pct"/>
            <w:tcBorders>
              <w:top w:val="nil"/>
              <w:left w:val="nil"/>
              <w:bottom w:val="single" w:sz="4" w:space="0" w:color="auto"/>
              <w:right w:val="single" w:sz="4" w:space="0" w:color="auto"/>
            </w:tcBorders>
            <w:shd w:val="clear" w:color="auto" w:fill="auto"/>
            <w:vAlign w:val="bottom"/>
            <w:hideMark/>
          </w:tcPr>
          <w:p w14:paraId="134C51A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1.65%</w:t>
            </w:r>
          </w:p>
        </w:tc>
        <w:tc>
          <w:tcPr>
            <w:tcW w:w="1000" w:type="pct"/>
            <w:tcBorders>
              <w:top w:val="nil"/>
              <w:left w:val="nil"/>
              <w:bottom w:val="single" w:sz="4" w:space="0" w:color="auto"/>
              <w:right w:val="single" w:sz="4" w:space="0" w:color="auto"/>
            </w:tcBorders>
            <w:shd w:val="clear" w:color="auto" w:fill="auto"/>
            <w:vAlign w:val="bottom"/>
            <w:hideMark/>
          </w:tcPr>
          <w:p w14:paraId="71E4EEA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29,167,829</w:t>
            </w:r>
          </w:p>
        </w:tc>
        <w:tc>
          <w:tcPr>
            <w:tcW w:w="1000" w:type="pct"/>
            <w:tcBorders>
              <w:top w:val="nil"/>
              <w:left w:val="nil"/>
              <w:bottom w:val="single" w:sz="4" w:space="0" w:color="auto"/>
              <w:right w:val="single" w:sz="4" w:space="0" w:color="auto"/>
            </w:tcBorders>
            <w:shd w:val="clear" w:color="auto" w:fill="auto"/>
            <w:vAlign w:val="bottom"/>
            <w:hideMark/>
          </w:tcPr>
          <w:p w14:paraId="76A4299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2.35%</w:t>
            </w:r>
          </w:p>
        </w:tc>
      </w:tr>
      <w:tr w:rsidR="006A523F" w:rsidRPr="006A523F" w14:paraId="05D60A0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EF6AE8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tspe ROMEO</w:t>
            </w:r>
          </w:p>
        </w:tc>
        <w:tc>
          <w:tcPr>
            <w:tcW w:w="1000" w:type="pct"/>
            <w:tcBorders>
              <w:top w:val="nil"/>
              <w:left w:val="nil"/>
              <w:bottom w:val="single" w:sz="4" w:space="0" w:color="auto"/>
              <w:right w:val="single" w:sz="4" w:space="0" w:color="auto"/>
            </w:tcBorders>
            <w:shd w:val="clear" w:color="auto" w:fill="auto"/>
            <w:vAlign w:val="bottom"/>
            <w:hideMark/>
          </w:tcPr>
          <w:p w14:paraId="3891B28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519</w:t>
            </w:r>
          </w:p>
        </w:tc>
        <w:tc>
          <w:tcPr>
            <w:tcW w:w="1000" w:type="pct"/>
            <w:tcBorders>
              <w:top w:val="nil"/>
              <w:left w:val="nil"/>
              <w:bottom w:val="single" w:sz="4" w:space="0" w:color="auto"/>
              <w:right w:val="single" w:sz="4" w:space="0" w:color="auto"/>
            </w:tcBorders>
            <w:shd w:val="clear" w:color="auto" w:fill="auto"/>
            <w:vAlign w:val="bottom"/>
            <w:hideMark/>
          </w:tcPr>
          <w:p w14:paraId="487BB8B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0.78%</w:t>
            </w:r>
          </w:p>
        </w:tc>
        <w:tc>
          <w:tcPr>
            <w:tcW w:w="1000" w:type="pct"/>
            <w:tcBorders>
              <w:top w:val="nil"/>
              <w:left w:val="nil"/>
              <w:bottom w:val="single" w:sz="4" w:space="0" w:color="auto"/>
              <w:right w:val="single" w:sz="4" w:space="0" w:color="auto"/>
            </w:tcBorders>
            <w:shd w:val="clear" w:color="auto" w:fill="auto"/>
            <w:vAlign w:val="bottom"/>
            <w:hideMark/>
          </w:tcPr>
          <w:p w14:paraId="4D69469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20,408,115</w:t>
            </w:r>
          </w:p>
        </w:tc>
        <w:tc>
          <w:tcPr>
            <w:tcW w:w="1000" w:type="pct"/>
            <w:tcBorders>
              <w:top w:val="nil"/>
              <w:left w:val="nil"/>
              <w:bottom w:val="single" w:sz="4" w:space="0" w:color="auto"/>
              <w:right w:val="single" w:sz="4" w:space="0" w:color="auto"/>
            </w:tcBorders>
            <w:shd w:val="clear" w:color="auto" w:fill="auto"/>
            <w:vAlign w:val="bottom"/>
            <w:hideMark/>
          </w:tcPr>
          <w:p w14:paraId="5AC655C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1.65%</w:t>
            </w:r>
          </w:p>
        </w:tc>
      </w:tr>
      <w:tr w:rsidR="006A523F" w:rsidRPr="006A523F" w14:paraId="2322B20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F4BEB6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ABARTH</w:t>
            </w:r>
          </w:p>
        </w:tc>
        <w:tc>
          <w:tcPr>
            <w:tcW w:w="1000" w:type="pct"/>
            <w:tcBorders>
              <w:top w:val="nil"/>
              <w:left w:val="nil"/>
              <w:bottom w:val="single" w:sz="4" w:space="0" w:color="auto"/>
              <w:right w:val="single" w:sz="4" w:space="0" w:color="auto"/>
            </w:tcBorders>
            <w:shd w:val="clear" w:color="auto" w:fill="auto"/>
            <w:vAlign w:val="bottom"/>
            <w:hideMark/>
          </w:tcPr>
          <w:p w14:paraId="1E93FE4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120</w:t>
            </w:r>
          </w:p>
        </w:tc>
        <w:tc>
          <w:tcPr>
            <w:tcW w:w="1000" w:type="pct"/>
            <w:tcBorders>
              <w:top w:val="nil"/>
              <w:left w:val="nil"/>
              <w:bottom w:val="single" w:sz="4" w:space="0" w:color="auto"/>
              <w:right w:val="single" w:sz="4" w:space="0" w:color="auto"/>
            </w:tcBorders>
            <w:shd w:val="clear" w:color="auto" w:fill="auto"/>
            <w:vAlign w:val="bottom"/>
            <w:hideMark/>
          </w:tcPr>
          <w:p w14:paraId="2E8FCF4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0.18%</w:t>
            </w:r>
          </w:p>
        </w:tc>
        <w:tc>
          <w:tcPr>
            <w:tcW w:w="1000" w:type="pct"/>
            <w:tcBorders>
              <w:top w:val="nil"/>
              <w:left w:val="nil"/>
              <w:bottom w:val="single" w:sz="4" w:space="0" w:color="auto"/>
              <w:right w:val="single" w:sz="4" w:space="0" w:color="auto"/>
            </w:tcBorders>
            <w:shd w:val="clear" w:color="auto" w:fill="auto"/>
            <w:vAlign w:val="bottom"/>
            <w:hideMark/>
          </w:tcPr>
          <w:p w14:paraId="5E0FA19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2,681,580</w:t>
            </w:r>
          </w:p>
        </w:tc>
        <w:tc>
          <w:tcPr>
            <w:tcW w:w="1000" w:type="pct"/>
            <w:tcBorders>
              <w:top w:val="nil"/>
              <w:left w:val="nil"/>
              <w:bottom w:val="single" w:sz="4" w:space="0" w:color="auto"/>
              <w:right w:val="single" w:sz="4" w:space="0" w:color="auto"/>
            </w:tcBorders>
            <w:shd w:val="clear" w:color="auto" w:fill="auto"/>
            <w:vAlign w:val="bottom"/>
            <w:hideMark/>
          </w:tcPr>
          <w:p w14:paraId="18B6428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0.22%</w:t>
            </w:r>
          </w:p>
        </w:tc>
      </w:tr>
      <w:tr w:rsidR="006A523F" w:rsidRPr="006A523F" w14:paraId="38531CF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515460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MASERATI</w:t>
            </w:r>
          </w:p>
        </w:tc>
        <w:tc>
          <w:tcPr>
            <w:tcW w:w="1000" w:type="pct"/>
            <w:tcBorders>
              <w:top w:val="nil"/>
              <w:left w:val="nil"/>
              <w:bottom w:val="single" w:sz="4" w:space="0" w:color="auto"/>
              <w:right w:val="single" w:sz="4" w:space="0" w:color="auto"/>
            </w:tcBorders>
            <w:shd w:val="clear" w:color="auto" w:fill="auto"/>
            <w:vAlign w:val="bottom"/>
            <w:hideMark/>
          </w:tcPr>
          <w:p w14:paraId="1C2B97C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33</w:t>
            </w:r>
          </w:p>
        </w:tc>
        <w:tc>
          <w:tcPr>
            <w:tcW w:w="1000" w:type="pct"/>
            <w:tcBorders>
              <w:top w:val="nil"/>
              <w:left w:val="nil"/>
              <w:bottom w:val="single" w:sz="4" w:space="0" w:color="auto"/>
              <w:right w:val="single" w:sz="4" w:space="0" w:color="auto"/>
            </w:tcBorders>
            <w:shd w:val="clear" w:color="auto" w:fill="auto"/>
            <w:vAlign w:val="bottom"/>
            <w:hideMark/>
          </w:tcPr>
          <w:p w14:paraId="4F6AEAC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0.05%</w:t>
            </w:r>
          </w:p>
        </w:tc>
        <w:tc>
          <w:tcPr>
            <w:tcW w:w="1000" w:type="pct"/>
            <w:tcBorders>
              <w:top w:val="nil"/>
              <w:left w:val="nil"/>
              <w:bottom w:val="single" w:sz="4" w:space="0" w:color="auto"/>
              <w:right w:val="single" w:sz="4" w:space="0" w:color="auto"/>
            </w:tcBorders>
            <w:shd w:val="clear" w:color="auto" w:fill="auto"/>
            <w:vAlign w:val="bottom"/>
            <w:hideMark/>
          </w:tcPr>
          <w:p w14:paraId="53BE090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2,032,415</w:t>
            </w:r>
          </w:p>
        </w:tc>
        <w:tc>
          <w:tcPr>
            <w:tcW w:w="1000" w:type="pct"/>
            <w:tcBorders>
              <w:top w:val="nil"/>
              <w:left w:val="nil"/>
              <w:bottom w:val="single" w:sz="4" w:space="0" w:color="auto"/>
              <w:right w:val="single" w:sz="4" w:space="0" w:color="auto"/>
            </w:tcBorders>
            <w:shd w:val="clear" w:color="auto" w:fill="auto"/>
            <w:vAlign w:val="bottom"/>
            <w:hideMark/>
          </w:tcPr>
          <w:p w14:paraId="3C6CE32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0.16%</w:t>
            </w:r>
          </w:p>
        </w:tc>
      </w:tr>
      <w:tr w:rsidR="006A523F" w:rsidRPr="006A523F" w14:paraId="3B40D093"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78A383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KIA</w:t>
            </w:r>
          </w:p>
        </w:tc>
        <w:tc>
          <w:tcPr>
            <w:tcW w:w="1000" w:type="pct"/>
            <w:tcBorders>
              <w:top w:val="nil"/>
              <w:left w:val="nil"/>
              <w:bottom w:val="single" w:sz="4" w:space="0" w:color="auto"/>
              <w:right w:val="single" w:sz="4" w:space="0" w:color="auto"/>
            </w:tcBorders>
            <w:shd w:val="clear" w:color="auto" w:fill="auto"/>
            <w:vAlign w:val="bottom"/>
            <w:hideMark/>
          </w:tcPr>
          <w:p w14:paraId="3C9BA10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29</w:t>
            </w:r>
          </w:p>
        </w:tc>
        <w:tc>
          <w:tcPr>
            <w:tcW w:w="1000" w:type="pct"/>
            <w:tcBorders>
              <w:top w:val="nil"/>
              <w:left w:val="nil"/>
              <w:bottom w:val="single" w:sz="4" w:space="0" w:color="auto"/>
              <w:right w:val="single" w:sz="4" w:space="0" w:color="auto"/>
            </w:tcBorders>
            <w:shd w:val="clear" w:color="auto" w:fill="auto"/>
            <w:vAlign w:val="bottom"/>
            <w:hideMark/>
          </w:tcPr>
          <w:p w14:paraId="397E27F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0.04%</w:t>
            </w:r>
          </w:p>
        </w:tc>
        <w:tc>
          <w:tcPr>
            <w:tcW w:w="1000" w:type="pct"/>
            <w:tcBorders>
              <w:top w:val="nil"/>
              <w:left w:val="nil"/>
              <w:bottom w:val="single" w:sz="4" w:space="0" w:color="auto"/>
              <w:right w:val="single" w:sz="4" w:space="0" w:color="auto"/>
            </w:tcBorders>
            <w:shd w:val="clear" w:color="auto" w:fill="auto"/>
            <w:vAlign w:val="bottom"/>
            <w:hideMark/>
          </w:tcPr>
          <w:p w14:paraId="37D124E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562,667</w:t>
            </w:r>
          </w:p>
        </w:tc>
        <w:tc>
          <w:tcPr>
            <w:tcW w:w="1000" w:type="pct"/>
            <w:tcBorders>
              <w:top w:val="nil"/>
              <w:left w:val="nil"/>
              <w:bottom w:val="single" w:sz="4" w:space="0" w:color="auto"/>
              <w:right w:val="single" w:sz="4" w:space="0" w:color="auto"/>
            </w:tcBorders>
            <w:shd w:val="clear" w:color="auto" w:fill="auto"/>
            <w:vAlign w:val="bottom"/>
            <w:hideMark/>
          </w:tcPr>
          <w:p w14:paraId="6D824FE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0.05%</w:t>
            </w:r>
          </w:p>
        </w:tc>
      </w:tr>
      <w:tr w:rsidR="006A523F" w:rsidRPr="006A523F" w14:paraId="60FFEB0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08E67F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FORD</w:t>
            </w:r>
          </w:p>
        </w:tc>
        <w:tc>
          <w:tcPr>
            <w:tcW w:w="1000" w:type="pct"/>
            <w:tcBorders>
              <w:top w:val="nil"/>
              <w:left w:val="nil"/>
              <w:bottom w:val="single" w:sz="4" w:space="0" w:color="auto"/>
              <w:right w:val="single" w:sz="4" w:space="0" w:color="auto"/>
            </w:tcBorders>
            <w:shd w:val="clear" w:color="auto" w:fill="auto"/>
            <w:vAlign w:val="bottom"/>
            <w:hideMark/>
          </w:tcPr>
          <w:p w14:paraId="3236B93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w:t>
            </w:r>
          </w:p>
        </w:tc>
        <w:tc>
          <w:tcPr>
            <w:tcW w:w="1000" w:type="pct"/>
            <w:tcBorders>
              <w:top w:val="nil"/>
              <w:left w:val="nil"/>
              <w:bottom w:val="single" w:sz="4" w:space="0" w:color="auto"/>
              <w:right w:val="single" w:sz="4" w:space="0" w:color="auto"/>
            </w:tcBorders>
            <w:shd w:val="clear" w:color="auto" w:fill="auto"/>
            <w:vAlign w:val="bottom"/>
            <w:hideMark/>
          </w:tcPr>
          <w:p w14:paraId="786CF21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0.04%</w:t>
            </w:r>
          </w:p>
        </w:tc>
        <w:tc>
          <w:tcPr>
            <w:tcW w:w="1000" w:type="pct"/>
            <w:tcBorders>
              <w:top w:val="nil"/>
              <w:left w:val="nil"/>
              <w:bottom w:val="single" w:sz="4" w:space="0" w:color="auto"/>
              <w:right w:val="single" w:sz="4" w:space="0" w:color="auto"/>
            </w:tcBorders>
            <w:shd w:val="clear" w:color="auto" w:fill="auto"/>
            <w:vAlign w:val="bottom"/>
            <w:hideMark/>
          </w:tcPr>
          <w:p w14:paraId="069108A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432,962</w:t>
            </w:r>
          </w:p>
        </w:tc>
        <w:tc>
          <w:tcPr>
            <w:tcW w:w="1000" w:type="pct"/>
            <w:tcBorders>
              <w:top w:val="nil"/>
              <w:left w:val="nil"/>
              <w:bottom w:val="single" w:sz="4" w:space="0" w:color="auto"/>
              <w:right w:val="single" w:sz="4" w:space="0" w:color="auto"/>
            </w:tcBorders>
            <w:shd w:val="clear" w:color="auto" w:fill="auto"/>
            <w:vAlign w:val="bottom"/>
            <w:hideMark/>
          </w:tcPr>
          <w:p w14:paraId="0506629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0.03%</w:t>
            </w:r>
          </w:p>
        </w:tc>
      </w:tr>
      <w:tr w:rsidR="006A523F" w:rsidRPr="006A523F" w14:paraId="752E87F8"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4E7642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SSANGYONG</w:t>
            </w:r>
          </w:p>
        </w:tc>
        <w:tc>
          <w:tcPr>
            <w:tcW w:w="1000" w:type="pct"/>
            <w:tcBorders>
              <w:top w:val="nil"/>
              <w:left w:val="nil"/>
              <w:bottom w:val="single" w:sz="4" w:space="0" w:color="auto"/>
              <w:right w:val="single" w:sz="4" w:space="0" w:color="auto"/>
            </w:tcBorders>
            <w:shd w:val="clear" w:color="auto" w:fill="auto"/>
            <w:vAlign w:val="bottom"/>
            <w:hideMark/>
          </w:tcPr>
          <w:p w14:paraId="4BF9D70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w:t>
            </w:r>
          </w:p>
        </w:tc>
        <w:tc>
          <w:tcPr>
            <w:tcW w:w="1000" w:type="pct"/>
            <w:tcBorders>
              <w:top w:val="nil"/>
              <w:left w:val="nil"/>
              <w:bottom w:val="single" w:sz="4" w:space="0" w:color="auto"/>
              <w:right w:val="single" w:sz="4" w:space="0" w:color="auto"/>
            </w:tcBorders>
            <w:shd w:val="clear" w:color="auto" w:fill="auto"/>
            <w:vAlign w:val="bottom"/>
            <w:hideMark/>
          </w:tcPr>
          <w:p w14:paraId="4ABAFD7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029B650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93,978</w:t>
            </w:r>
          </w:p>
        </w:tc>
        <w:tc>
          <w:tcPr>
            <w:tcW w:w="1000" w:type="pct"/>
            <w:tcBorders>
              <w:top w:val="nil"/>
              <w:left w:val="nil"/>
              <w:bottom w:val="single" w:sz="4" w:space="0" w:color="auto"/>
              <w:right w:val="single" w:sz="4" w:space="0" w:color="auto"/>
            </w:tcBorders>
            <w:shd w:val="clear" w:color="auto" w:fill="auto"/>
            <w:vAlign w:val="bottom"/>
            <w:hideMark/>
          </w:tcPr>
          <w:p w14:paraId="1E7E7A8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39A70C1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523358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MERCEDES</w:t>
            </w:r>
          </w:p>
        </w:tc>
        <w:tc>
          <w:tcPr>
            <w:tcW w:w="1000" w:type="pct"/>
            <w:tcBorders>
              <w:top w:val="nil"/>
              <w:left w:val="nil"/>
              <w:bottom w:val="single" w:sz="4" w:space="0" w:color="auto"/>
              <w:right w:val="single" w:sz="4" w:space="0" w:color="auto"/>
            </w:tcBorders>
            <w:shd w:val="clear" w:color="auto" w:fill="auto"/>
            <w:vAlign w:val="bottom"/>
            <w:hideMark/>
          </w:tcPr>
          <w:p w14:paraId="02C9160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w:t>
            </w:r>
          </w:p>
        </w:tc>
        <w:tc>
          <w:tcPr>
            <w:tcW w:w="1000" w:type="pct"/>
            <w:tcBorders>
              <w:top w:val="nil"/>
              <w:left w:val="nil"/>
              <w:bottom w:val="single" w:sz="4" w:space="0" w:color="auto"/>
              <w:right w:val="single" w:sz="4" w:space="0" w:color="auto"/>
            </w:tcBorders>
            <w:shd w:val="clear" w:color="auto" w:fill="auto"/>
            <w:vAlign w:val="bottom"/>
            <w:hideMark/>
          </w:tcPr>
          <w:p w14:paraId="775F7EF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25966A7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56,479</w:t>
            </w:r>
          </w:p>
        </w:tc>
        <w:tc>
          <w:tcPr>
            <w:tcW w:w="1000" w:type="pct"/>
            <w:tcBorders>
              <w:top w:val="nil"/>
              <w:left w:val="nil"/>
              <w:bottom w:val="single" w:sz="4" w:space="0" w:color="auto"/>
              <w:right w:val="single" w:sz="4" w:space="0" w:color="auto"/>
            </w:tcBorders>
            <w:shd w:val="clear" w:color="auto" w:fill="auto"/>
            <w:vAlign w:val="bottom"/>
            <w:hideMark/>
          </w:tcPr>
          <w:p w14:paraId="167FA34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36DAF06F"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888BF6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MITSUBISHI</w:t>
            </w:r>
          </w:p>
        </w:tc>
        <w:tc>
          <w:tcPr>
            <w:tcW w:w="1000" w:type="pct"/>
            <w:tcBorders>
              <w:top w:val="nil"/>
              <w:left w:val="nil"/>
              <w:bottom w:val="single" w:sz="4" w:space="0" w:color="auto"/>
              <w:right w:val="single" w:sz="4" w:space="0" w:color="auto"/>
            </w:tcBorders>
            <w:shd w:val="clear" w:color="auto" w:fill="auto"/>
            <w:vAlign w:val="bottom"/>
            <w:hideMark/>
          </w:tcPr>
          <w:p w14:paraId="1122B5F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w:t>
            </w:r>
          </w:p>
        </w:tc>
        <w:tc>
          <w:tcPr>
            <w:tcW w:w="1000" w:type="pct"/>
            <w:tcBorders>
              <w:top w:val="nil"/>
              <w:left w:val="nil"/>
              <w:bottom w:val="single" w:sz="4" w:space="0" w:color="auto"/>
              <w:right w:val="single" w:sz="4" w:space="0" w:color="auto"/>
            </w:tcBorders>
            <w:shd w:val="clear" w:color="auto" w:fill="auto"/>
            <w:vAlign w:val="bottom"/>
            <w:hideMark/>
          </w:tcPr>
          <w:p w14:paraId="7BABBAB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0627E81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44,836</w:t>
            </w:r>
          </w:p>
        </w:tc>
        <w:tc>
          <w:tcPr>
            <w:tcW w:w="1000" w:type="pct"/>
            <w:tcBorders>
              <w:top w:val="nil"/>
              <w:left w:val="nil"/>
              <w:bottom w:val="single" w:sz="4" w:space="0" w:color="auto"/>
              <w:right w:val="single" w:sz="4" w:space="0" w:color="auto"/>
            </w:tcBorders>
            <w:shd w:val="clear" w:color="auto" w:fill="auto"/>
            <w:vAlign w:val="bottom"/>
            <w:hideMark/>
          </w:tcPr>
          <w:p w14:paraId="43FF5E8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77CB1EA3"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846A86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HYUNDAI</w:t>
            </w:r>
          </w:p>
        </w:tc>
        <w:tc>
          <w:tcPr>
            <w:tcW w:w="1000" w:type="pct"/>
            <w:tcBorders>
              <w:top w:val="nil"/>
              <w:left w:val="nil"/>
              <w:bottom w:val="single" w:sz="4" w:space="0" w:color="auto"/>
              <w:right w:val="single" w:sz="4" w:space="0" w:color="auto"/>
            </w:tcBorders>
            <w:shd w:val="clear" w:color="auto" w:fill="auto"/>
            <w:vAlign w:val="bottom"/>
            <w:hideMark/>
          </w:tcPr>
          <w:p w14:paraId="19B7DF6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w:t>
            </w:r>
          </w:p>
        </w:tc>
        <w:tc>
          <w:tcPr>
            <w:tcW w:w="1000" w:type="pct"/>
            <w:tcBorders>
              <w:top w:val="nil"/>
              <w:left w:val="nil"/>
              <w:bottom w:val="single" w:sz="4" w:space="0" w:color="auto"/>
              <w:right w:val="single" w:sz="4" w:space="0" w:color="auto"/>
            </w:tcBorders>
            <w:shd w:val="clear" w:color="auto" w:fill="auto"/>
            <w:vAlign w:val="bottom"/>
            <w:hideMark/>
          </w:tcPr>
          <w:p w14:paraId="3E020D5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6FC5BE4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38,489</w:t>
            </w:r>
          </w:p>
        </w:tc>
        <w:tc>
          <w:tcPr>
            <w:tcW w:w="1000" w:type="pct"/>
            <w:tcBorders>
              <w:top w:val="nil"/>
              <w:left w:val="nil"/>
              <w:bottom w:val="single" w:sz="4" w:space="0" w:color="auto"/>
              <w:right w:val="single" w:sz="4" w:space="0" w:color="auto"/>
            </w:tcBorders>
            <w:shd w:val="clear" w:color="auto" w:fill="auto"/>
            <w:vAlign w:val="bottom"/>
            <w:hideMark/>
          </w:tcPr>
          <w:p w14:paraId="1021B28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2B48455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663507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NISSAN</w:t>
            </w:r>
          </w:p>
        </w:tc>
        <w:tc>
          <w:tcPr>
            <w:tcW w:w="1000" w:type="pct"/>
            <w:tcBorders>
              <w:top w:val="nil"/>
              <w:left w:val="nil"/>
              <w:bottom w:val="single" w:sz="4" w:space="0" w:color="auto"/>
              <w:right w:val="single" w:sz="4" w:space="0" w:color="auto"/>
            </w:tcBorders>
            <w:shd w:val="clear" w:color="auto" w:fill="auto"/>
            <w:vAlign w:val="bottom"/>
            <w:hideMark/>
          </w:tcPr>
          <w:p w14:paraId="6B13E69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w:t>
            </w:r>
          </w:p>
        </w:tc>
        <w:tc>
          <w:tcPr>
            <w:tcW w:w="1000" w:type="pct"/>
            <w:tcBorders>
              <w:top w:val="nil"/>
              <w:left w:val="nil"/>
              <w:bottom w:val="single" w:sz="4" w:space="0" w:color="auto"/>
              <w:right w:val="single" w:sz="4" w:space="0" w:color="auto"/>
            </w:tcBorders>
            <w:shd w:val="clear" w:color="auto" w:fill="auto"/>
            <w:vAlign w:val="bottom"/>
            <w:hideMark/>
          </w:tcPr>
          <w:p w14:paraId="7581E92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13DA3CE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34,625</w:t>
            </w:r>
          </w:p>
        </w:tc>
        <w:tc>
          <w:tcPr>
            <w:tcW w:w="1000" w:type="pct"/>
            <w:tcBorders>
              <w:top w:val="nil"/>
              <w:left w:val="nil"/>
              <w:bottom w:val="single" w:sz="4" w:space="0" w:color="auto"/>
              <w:right w:val="single" w:sz="4" w:space="0" w:color="auto"/>
            </w:tcBorders>
            <w:shd w:val="clear" w:color="auto" w:fill="auto"/>
            <w:vAlign w:val="bottom"/>
            <w:hideMark/>
          </w:tcPr>
          <w:p w14:paraId="3660667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4E3E77F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E99E1F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VOLKSWAGEN</w:t>
            </w:r>
          </w:p>
        </w:tc>
        <w:tc>
          <w:tcPr>
            <w:tcW w:w="1000" w:type="pct"/>
            <w:tcBorders>
              <w:top w:val="nil"/>
              <w:left w:val="nil"/>
              <w:bottom w:val="single" w:sz="4" w:space="0" w:color="auto"/>
              <w:right w:val="single" w:sz="4" w:space="0" w:color="auto"/>
            </w:tcBorders>
            <w:shd w:val="clear" w:color="auto" w:fill="auto"/>
            <w:vAlign w:val="bottom"/>
            <w:hideMark/>
          </w:tcPr>
          <w:p w14:paraId="407EB12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w:t>
            </w:r>
          </w:p>
        </w:tc>
        <w:tc>
          <w:tcPr>
            <w:tcW w:w="1000" w:type="pct"/>
            <w:tcBorders>
              <w:top w:val="nil"/>
              <w:left w:val="nil"/>
              <w:bottom w:val="single" w:sz="4" w:space="0" w:color="auto"/>
              <w:right w:val="single" w:sz="4" w:space="0" w:color="auto"/>
            </w:tcBorders>
            <w:shd w:val="clear" w:color="auto" w:fill="auto"/>
            <w:vAlign w:val="bottom"/>
            <w:hideMark/>
          </w:tcPr>
          <w:p w14:paraId="575DDDC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4712349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31,303</w:t>
            </w:r>
          </w:p>
        </w:tc>
        <w:tc>
          <w:tcPr>
            <w:tcW w:w="1000" w:type="pct"/>
            <w:tcBorders>
              <w:top w:val="nil"/>
              <w:left w:val="nil"/>
              <w:bottom w:val="single" w:sz="4" w:space="0" w:color="auto"/>
              <w:right w:val="single" w:sz="4" w:space="0" w:color="auto"/>
            </w:tcBorders>
            <w:shd w:val="clear" w:color="auto" w:fill="auto"/>
            <w:vAlign w:val="bottom"/>
            <w:hideMark/>
          </w:tcPr>
          <w:p w14:paraId="20789D7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3958ED9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D8CF10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TOYOTA</w:t>
            </w:r>
          </w:p>
        </w:tc>
        <w:tc>
          <w:tcPr>
            <w:tcW w:w="1000" w:type="pct"/>
            <w:tcBorders>
              <w:top w:val="nil"/>
              <w:left w:val="nil"/>
              <w:bottom w:val="single" w:sz="4" w:space="0" w:color="auto"/>
              <w:right w:val="single" w:sz="4" w:space="0" w:color="auto"/>
            </w:tcBorders>
            <w:shd w:val="clear" w:color="auto" w:fill="auto"/>
            <w:vAlign w:val="bottom"/>
            <w:hideMark/>
          </w:tcPr>
          <w:p w14:paraId="3306AEF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w:t>
            </w:r>
          </w:p>
        </w:tc>
        <w:tc>
          <w:tcPr>
            <w:tcW w:w="1000" w:type="pct"/>
            <w:tcBorders>
              <w:top w:val="nil"/>
              <w:left w:val="nil"/>
              <w:bottom w:val="single" w:sz="4" w:space="0" w:color="auto"/>
              <w:right w:val="single" w:sz="4" w:space="0" w:color="auto"/>
            </w:tcBorders>
            <w:shd w:val="clear" w:color="auto" w:fill="auto"/>
            <w:vAlign w:val="bottom"/>
            <w:hideMark/>
          </w:tcPr>
          <w:p w14:paraId="22743B3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60115B6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29,135</w:t>
            </w:r>
          </w:p>
        </w:tc>
        <w:tc>
          <w:tcPr>
            <w:tcW w:w="1000" w:type="pct"/>
            <w:tcBorders>
              <w:top w:val="nil"/>
              <w:left w:val="nil"/>
              <w:bottom w:val="single" w:sz="4" w:space="0" w:color="auto"/>
              <w:right w:val="single" w:sz="4" w:space="0" w:color="auto"/>
            </w:tcBorders>
            <w:shd w:val="clear" w:color="auto" w:fill="auto"/>
            <w:vAlign w:val="bottom"/>
            <w:hideMark/>
          </w:tcPr>
          <w:p w14:paraId="14EBE91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14B15EF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39EBCF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SKODA</w:t>
            </w:r>
          </w:p>
        </w:tc>
        <w:tc>
          <w:tcPr>
            <w:tcW w:w="1000" w:type="pct"/>
            <w:tcBorders>
              <w:top w:val="nil"/>
              <w:left w:val="nil"/>
              <w:bottom w:val="single" w:sz="4" w:space="0" w:color="auto"/>
              <w:right w:val="single" w:sz="4" w:space="0" w:color="auto"/>
            </w:tcBorders>
            <w:shd w:val="clear" w:color="auto" w:fill="auto"/>
            <w:vAlign w:val="bottom"/>
            <w:hideMark/>
          </w:tcPr>
          <w:p w14:paraId="1BC397F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39AA72F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5B0A48F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22,543</w:t>
            </w:r>
          </w:p>
        </w:tc>
        <w:tc>
          <w:tcPr>
            <w:tcW w:w="1000" w:type="pct"/>
            <w:tcBorders>
              <w:top w:val="nil"/>
              <w:left w:val="nil"/>
              <w:bottom w:val="single" w:sz="4" w:space="0" w:color="auto"/>
              <w:right w:val="single" w:sz="4" w:space="0" w:color="auto"/>
            </w:tcBorders>
            <w:shd w:val="clear" w:color="auto" w:fill="auto"/>
            <w:vAlign w:val="bottom"/>
            <w:hideMark/>
          </w:tcPr>
          <w:p w14:paraId="349D617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001E033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393D9F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SUBARU</w:t>
            </w:r>
          </w:p>
        </w:tc>
        <w:tc>
          <w:tcPr>
            <w:tcW w:w="1000" w:type="pct"/>
            <w:tcBorders>
              <w:top w:val="nil"/>
              <w:left w:val="nil"/>
              <w:bottom w:val="single" w:sz="4" w:space="0" w:color="auto"/>
              <w:right w:val="single" w:sz="4" w:space="0" w:color="auto"/>
            </w:tcBorders>
            <w:shd w:val="clear" w:color="auto" w:fill="auto"/>
            <w:vAlign w:val="bottom"/>
            <w:hideMark/>
          </w:tcPr>
          <w:p w14:paraId="0A1D4B6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20E22EF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202FB7C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19,425</w:t>
            </w:r>
          </w:p>
        </w:tc>
        <w:tc>
          <w:tcPr>
            <w:tcW w:w="1000" w:type="pct"/>
            <w:tcBorders>
              <w:top w:val="nil"/>
              <w:left w:val="nil"/>
              <w:bottom w:val="single" w:sz="4" w:space="0" w:color="auto"/>
              <w:right w:val="single" w:sz="4" w:space="0" w:color="auto"/>
            </w:tcBorders>
            <w:shd w:val="clear" w:color="auto" w:fill="auto"/>
            <w:vAlign w:val="bottom"/>
            <w:hideMark/>
          </w:tcPr>
          <w:p w14:paraId="61AB350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7882A39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A6D4AB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VOLVO</w:t>
            </w:r>
          </w:p>
        </w:tc>
        <w:tc>
          <w:tcPr>
            <w:tcW w:w="1000" w:type="pct"/>
            <w:tcBorders>
              <w:top w:val="nil"/>
              <w:left w:val="nil"/>
              <w:bottom w:val="single" w:sz="4" w:space="0" w:color="auto"/>
              <w:right w:val="single" w:sz="4" w:space="0" w:color="auto"/>
            </w:tcBorders>
            <w:shd w:val="clear" w:color="auto" w:fill="auto"/>
            <w:vAlign w:val="bottom"/>
            <w:hideMark/>
          </w:tcPr>
          <w:p w14:paraId="6DD909A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3A534CF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28BBBBB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16,695</w:t>
            </w:r>
          </w:p>
        </w:tc>
        <w:tc>
          <w:tcPr>
            <w:tcW w:w="1000" w:type="pct"/>
            <w:tcBorders>
              <w:top w:val="nil"/>
              <w:left w:val="nil"/>
              <w:bottom w:val="single" w:sz="4" w:space="0" w:color="auto"/>
              <w:right w:val="single" w:sz="4" w:space="0" w:color="auto"/>
            </w:tcBorders>
            <w:shd w:val="clear" w:color="auto" w:fill="auto"/>
            <w:vAlign w:val="bottom"/>
            <w:hideMark/>
          </w:tcPr>
          <w:p w14:paraId="451CAF6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6A9F7448"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6C9C9A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DACIA</w:t>
            </w:r>
          </w:p>
        </w:tc>
        <w:tc>
          <w:tcPr>
            <w:tcW w:w="1000" w:type="pct"/>
            <w:tcBorders>
              <w:top w:val="nil"/>
              <w:left w:val="nil"/>
              <w:bottom w:val="single" w:sz="4" w:space="0" w:color="auto"/>
              <w:right w:val="single" w:sz="4" w:space="0" w:color="auto"/>
            </w:tcBorders>
            <w:shd w:val="clear" w:color="auto" w:fill="auto"/>
            <w:vAlign w:val="bottom"/>
            <w:hideMark/>
          </w:tcPr>
          <w:p w14:paraId="46497C0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0C2733F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570253E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16,255</w:t>
            </w:r>
          </w:p>
        </w:tc>
        <w:tc>
          <w:tcPr>
            <w:tcW w:w="1000" w:type="pct"/>
            <w:tcBorders>
              <w:top w:val="nil"/>
              <w:left w:val="nil"/>
              <w:bottom w:val="single" w:sz="4" w:space="0" w:color="auto"/>
              <w:right w:val="single" w:sz="4" w:space="0" w:color="auto"/>
            </w:tcBorders>
            <w:shd w:val="clear" w:color="auto" w:fill="auto"/>
            <w:vAlign w:val="bottom"/>
            <w:hideMark/>
          </w:tcPr>
          <w:p w14:paraId="0F5929A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1B4AB0D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23CEA1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SEAT</w:t>
            </w:r>
          </w:p>
        </w:tc>
        <w:tc>
          <w:tcPr>
            <w:tcW w:w="1000" w:type="pct"/>
            <w:tcBorders>
              <w:top w:val="nil"/>
              <w:left w:val="nil"/>
              <w:bottom w:val="single" w:sz="4" w:space="0" w:color="auto"/>
              <w:right w:val="single" w:sz="4" w:space="0" w:color="auto"/>
            </w:tcBorders>
            <w:shd w:val="clear" w:color="auto" w:fill="auto"/>
            <w:vAlign w:val="bottom"/>
            <w:hideMark/>
          </w:tcPr>
          <w:p w14:paraId="75ED387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289C0B5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056BFEE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10,868</w:t>
            </w:r>
          </w:p>
        </w:tc>
        <w:tc>
          <w:tcPr>
            <w:tcW w:w="1000" w:type="pct"/>
            <w:tcBorders>
              <w:top w:val="nil"/>
              <w:left w:val="nil"/>
              <w:bottom w:val="single" w:sz="4" w:space="0" w:color="auto"/>
              <w:right w:val="single" w:sz="4" w:space="0" w:color="auto"/>
            </w:tcBorders>
            <w:shd w:val="clear" w:color="auto" w:fill="auto"/>
            <w:vAlign w:val="bottom"/>
            <w:hideMark/>
          </w:tcPr>
          <w:p w14:paraId="1B1F4FF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0F7E592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B6EC4E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BMW</w:t>
            </w:r>
          </w:p>
        </w:tc>
        <w:tc>
          <w:tcPr>
            <w:tcW w:w="1000" w:type="pct"/>
            <w:tcBorders>
              <w:top w:val="nil"/>
              <w:left w:val="nil"/>
              <w:bottom w:val="single" w:sz="4" w:space="0" w:color="auto"/>
              <w:right w:val="single" w:sz="4" w:space="0" w:color="auto"/>
            </w:tcBorders>
            <w:shd w:val="clear" w:color="auto" w:fill="auto"/>
            <w:vAlign w:val="bottom"/>
            <w:hideMark/>
          </w:tcPr>
          <w:p w14:paraId="0383BBF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6FCFA0F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0B60001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10,785</w:t>
            </w:r>
          </w:p>
        </w:tc>
        <w:tc>
          <w:tcPr>
            <w:tcW w:w="1000" w:type="pct"/>
            <w:tcBorders>
              <w:top w:val="nil"/>
              <w:left w:val="nil"/>
              <w:bottom w:val="single" w:sz="4" w:space="0" w:color="auto"/>
              <w:right w:val="single" w:sz="4" w:space="0" w:color="auto"/>
            </w:tcBorders>
            <w:shd w:val="clear" w:color="auto" w:fill="auto"/>
            <w:vAlign w:val="bottom"/>
            <w:hideMark/>
          </w:tcPr>
          <w:p w14:paraId="7CEF9D9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36169D1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D2F84E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RENAULT</w:t>
            </w:r>
          </w:p>
        </w:tc>
        <w:tc>
          <w:tcPr>
            <w:tcW w:w="1000" w:type="pct"/>
            <w:tcBorders>
              <w:top w:val="nil"/>
              <w:left w:val="nil"/>
              <w:bottom w:val="single" w:sz="4" w:space="0" w:color="auto"/>
              <w:right w:val="single" w:sz="4" w:space="0" w:color="auto"/>
            </w:tcBorders>
            <w:shd w:val="clear" w:color="auto" w:fill="auto"/>
            <w:vAlign w:val="bottom"/>
            <w:hideMark/>
          </w:tcPr>
          <w:p w14:paraId="2309D02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4A826FE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090C030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9,326</w:t>
            </w:r>
          </w:p>
        </w:tc>
        <w:tc>
          <w:tcPr>
            <w:tcW w:w="1000" w:type="pct"/>
            <w:tcBorders>
              <w:top w:val="nil"/>
              <w:left w:val="nil"/>
              <w:bottom w:val="single" w:sz="4" w:space="0" w:color="auto"/>
              <w:right w:val="single" w:sz="4" w:space="0" w:color="auto"/>
            </w:tcBorders>
            <w:shd w:val="clear" w:color="auto" w:fill="auto"/>
            <w:vAlign w:val="bottom"/>
            <w:hideMark/>
          </w:tcPr>
          <w:p w14:paraId="2CDD050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05811A9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C9509AB"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1CA0B333"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5C07695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100.00%</w:t>
            </w:r>
          </w:p>
        </w:tc>
        <w:tc>
          <w:tcPr>
            <w:tcW w:w="1000" w:type="pct"/>
            <w:tcBorders>
              <w:top w:val="nil"/>
              <w:left w:val="nil"/>
              <w:bottom w:val="single" w:sz="4" w:space="0" w:color="auto"/>
              <w:right w:val="single" w:sz="4" w:space="0" w:color="auto"/>
            </w:tcBorders>
            <w:shd w:val="clear" w:color="auto" w:fill="auto"/>
            <w:vAlign w:val="bottom"/>
            <w:hideMark/>
          </w:tcPr>
          <w:p w14:paraId="23612931"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6175F692"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100.00%</w:t>
            </w:r>
          </w:p>
        </w:tc>
      </w:tr>
    </w:tbl>
    <w:p w14:paraId="583DECFF" w14:textId="79B7874D" w:rsidR="003C771F" w:rsidRDefault="003C771F" w:rsidP="000D0E23">
      <w:pPr>
        <w:pStyle w:val="Body1"/>
      </w:pPr>
    </w:p>
    <w:p w14:paraId="10CE8CA3" w14:textId="77777777" w:rsidR="003C771F" w:rsidRDefault="003C771F">
      <w:r>
        <w:br w:type="page"/>
      </w:r>
    </w:p>
    <w:p w14:paraId="49B806E5" w14:textId="7AF7FDA9" w:rsidR="000D0E23" w:rsidRDefault="000D0E23" w:rsidP="000D0E23">
      <w:pPr>
        <w:pStyle w:val="Body1"/>
      </w:pPr>
      <w:r>
        <w:lastRenderedPageBreak/>
        <w:t xml:space="preserve">10. </w:t>
      </w:r>
      <w:r>
        <w:tab/>
      </w:r>
      <w:r w:rsidRPr="000D0E23">
        <w:rPr>
          <w:b/>
          <w:bCs/>
        </w:rPr>
        <w:t>Original Term</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599366FD"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5B529"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Original Term</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F73C221"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6EB5CD5"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E551FFC"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2B8E0C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742A6303"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6E2E31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 &lt; X &lt;= 12</w:t>
            </w:r>
          </w:p>
        </w:tc>
        <w:tc>
          <w:tcPr>
            <w:tcW w:w="1000" w:type="pct"/>
            <w:tcBorders>
              <w:top w:val="nil"/>
              <w:left w:val="nil"/>
              <w:bottom w:val="single" w:sz="4" w:space="0" w:color="auto"/>
              <w:right w:val="single" w:sz="4" w:space="0" w:color="auto"/>
            </w:tcBorders>
            <w:shd w:val="clear" w:color="auto" w:fill="auto"/>
            <w:vAlign w:val="bottom"/>
            <w:hideMark/>
          </w:tcPr>
          <w:p w14:paraId="492D868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w:t>
            </w:r>
          </w:p>
        </w:tc>
        <w:tc>
          <w:tcPr>
            <w:tcW w:w="1000" w:type="pct"/>
            <w:tcBorders>
              <w:top w:val="nil"/>
              <w:left w:val="nil"/>
              <w:bottom w:val="single" w:sz="4" w:space="0" w:color="auto"/>
              <w:right w:val="single" w:sz="4" w:space="0" w:color="auto"/>
            </w:tcBorders>
            <w:shd w:val="clear" w:color="auto" w:fill="auto"/>
            <w:vAlign w:val="bottom"/>
            <w:hideMark/>
          </w:tcPr>
          <w:p w14:paraId="728F895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0.05%</w:t>
            </w:r>
          </w:p>
        </w:tc>
        <w:tc>
          <w:tcPr>
            <w:tcW w:w="1000" w:type="pct"/>
            <w:tcBorders>
              <w:top w:val="nil"/>
              <w:left w:val="nil"/>
              <w:bottom w:val="single" w:sz="4" w:space="0" w:color="auto"/>
              <w:right w:val="single" w:sz="4" w:space="0" w:color="auto"/>
            </w:tcBorders>
            <w:shd w:val="clear" w:color="auto" w:fill="auto"/>
            <w:vAlign w:val="bottom"/>
            <w:hideMark/>
          </w:tcPr>
          <w:p w14:paraId="0795B33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359,798</w:t>
            </w:r>
          </w:p>
        </w:tc>
        <w:tc>
          <w:tcPr>
            <w:tcW w:w="1000" w:type="pct"/>
            <w:tcBorders>
              <w:top w:val="nil"/>
              <w:left w:val="nil"/>
              <w:bottom w:val="single" w:sz="4" w:space="0" w:color="auto"/>
              <w:right w:val="single" w:sz="4" w:space="0" w:color="auto"/>
            </w:tcBorders>
            <w:shd w:val="clear" w:color="auto" w:fill="auto"/>
            <w:vAlign w:val="bottom"/>
            <w:hideMark/>
          </w:tcPr>
          <w:p w14:paraId="150822C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0.03%</w:t>
            </w:r>
          </w:p>
        </w:tc>
      </w:tr>
      <w:tr w:rsidR="006A523F" w:rsidRPr="006A523F" w14:paraId="1BD708AF"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925519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 &lt; X &lt;= 24</w:t>
            </w:r>
          </w:p>
        </w:tc>
        <w:tc>
          <w:tcPr>
            <w:tcW w:w="1000" w:type="pct"/>
            <w:tcBorders>
              <w:top w:val="nil"/>
              <w:left w:val="nil"/>
              <w:bottom w:val="single" w:sz="4" w:space="0" w:color="auto"/>
              <w:right w:val="single" w:sz="4" w:space="0" w:color="auto"/>
            </w:tcBorders>
            <w:shd w:val="clear" w:color="auto" w:fill="auto"/>
            <w:vAlign w:val="bottom"/>
            <w:hideMark/>
          </w:tcPr>
          <w:p w14:paraId="47B6FBA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3,728</w:t>
            </w:r>
          </w:p>
        </w:tc>
        <w:tc>
          <w:tcPr>
            <w:tcW w:w="1000" w:type="pct"/>
            <w:tcBorders>
              <w:top w:val="nil"/>
              <w:left w:val="nil"/>
              <w:bottom w:val="single" w:sz="4" w:space="0" w:color="auto"/>
              <w:right w:val="single" w:sz="4" w:space="0" w:color="auto"/>
            </w:tcBorders>
            <w:shd w:val="clear" w:color="auto" w:fill="auto"/>
            <w:vAlign w:val="bottom"/>
            <w:hideMark/>
          </w:tcPr>
          <w:p w14:paraId="51E1C0B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5.61%</w:t>
            </w:r>
          </w:p>
        </w:tc>
        <w:tc>
          <w:tcPr>
            <w:tcW w:w="1000" w:type="pct"/>
            <w:tcBorders>
              <w:top w:val="nil"/>
              <w:left w:val="nil"/>
              <w:bottom w:val="single" w:sz="4" w:space="0" w:color="auto"/>
              <w:right w:val="single" w:sz="4" w:space="0" w:color="auto"/>
            </w:tcBorders>
            <w:shd w:val="clear" w:color="auto" w:fill="auto"/>
            <w:vAlign w:val="bottom"/>
            <w:hideMark/>
          </w:tcPr>
          <w:p w14:paraId="5CAAEE0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71,845,608</w:t>
            </w:r>
          </w:p>
        </w:tc>
        <w:tc>
          <w:tcPr>
            <w:tcW w:w="1000" w:type="pct"/>
            <w:tcBorders>
              <w:top w:val="nil"/>
              <w:left w:val="nil"/>
              <w:bottom w:val="single" w:sz="4" w:space="0" w:color="auto"/>
              <w:right w:val="single" w:sz="4" w:space="0" w:color="auto"/>
            </w:tcBorders>
            <w:shd w:val="clear" w:color="auto" w:fill="auto"/>
            <w:vAlign w:val="bottom"/>
            <w:hideMark/>
          </w:tcPr>
          <w:p w14:paraId="247AF35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5.79%</w:t>
            </w:r>
          </w:p>
        </w:tc>
      </w:tr>
      <w:tr w:rsidR="006A523F" w:rsidRPr="006A523F" w14:paraId="4DDE177F"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374E98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 &lt; X &lt;= 36</w:t>
            </w:r>
          </w:p>
        </w:tc>
        <w:tc>
          <w:tcPr>
            <w:tcW w:w="1000" w:type="pct"/>
            <w:tcBorders>
              <w:top w:val="nil"/>
              <w:left w:val="nil"/>
              <w:bottom w:val="single" w:sz="4" w:space="0" w:color="auto"/>
              <w:right w:val="single" w:sz="4" w:space="0" w:color="auto"/>
            </w:tcBorders>
            <w:shd w:val="clear" w:color="auto" w:fill="auto"/>
            <w:vAlign w:val="bottom"/>
            <w:hideMark/>
          </w:tcPr>
          <w:p w14:paraId="572EE21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25,059</w:t>
            </w:r>
          </w:p>
        </w:tc>
        <w:tc>
          <w:tcPr>
            <w:tcW w:w="1000" w:type="pct"/>
            <w:tcBorders>
              <w:top w:val="nil"/>
              <w:left w:val="nil"/>
              <w:bottom w:val="single" w:sz="4" w:space="0" w:color="auto"/>
              <w:right w:val="single" w:sz="4" w:space="0" w:color="auto"/>
            </w:tcBorders>
            <w:shd w:val="clear" w:color="auto" w:fill="auto"/>
            <w:vAlign w:val="bottom"/>
            <w:hideMark/>
          </w:tcPr>
          <w:p w14:paraId="3CA4593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37.70%</w:t>
            </w:r>
          </w:p>
        </w:tc>
        <w:tc>
          <w:tcPr>
            <w:tcW w:w="1000" w:type="pct"/>
            <w:tcBorders>
              <w:top w:val="nil"/>
              <w:left w:val="nil"/>
              <w:bottom w:val="single" w:sz="4" w:space="0" w:color="auto"/>
              <w:right w:val="single" w:sz="4" w:space="0" w:color="auto"/>
            </w:tcBorders>
            <w:shd w:val="clear" w:color="auto" w:fill="auto"/>
            <w:vAlign w:val="bottom"/>
            <w:hideMark/>
          </w:tcPr>
          <w:p w14:paraId="0800143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455,101,208</w:t>
            </w:r>
          </w:p>
        </w:tc>
        <w:tc>
          <w:tcPr>
            <w:tcW w:w="1000" w:type="pct"/>
            <w:tcBorders>
              <w:top w:val="nil"/>
              <w:left w:val="nil"/>
              <w:bottom w:val="single" w:sz="4" w:space="0" w:color="auto"/>
              <w:right w:val="single" w:sz="4" w:space="0" w:color="auto"/>
            </w:tcBorders>
            <w:shd w:val="clear" w:color="auto" w:fill="auto"/>
            <w:vAlign w:val="bottom"/>
            <w:hideMark/>
          </w:tcPr>
          <w:p w14:paraId="0614250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36.70%</w:t>
            </w:r>
          </w:p>
        </w:tc>
      </w:tr>
      <w:tr w:rsidR="006A523F" w:rsidRPr="006A523F" w14:paraId="57319CC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C3850A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 &lt; X &lt;= 48</w:t>
            </w:r>
          </w:p>
        </w:tc>
        <w:tc>
          <w:tcPr>
            <w:tcW w:w="1000" w:type="pct"/>
            <w:tcBorders>
              <w:top w:val="nil"/>
              <w:left w:val="nil"/>
              <w:bottom w:val="single" w:sz="4" w:space="0" w:color="auto"/>
              <w:right w:val="single" w:sz="4" w:space="0" w:color="auto"/>
            </w:tcBorders>
            <w:shd w:val="clear" w:color="auto" w:fill="auto"/>
            <w:vAlign w:val="bottom"/>
            <w:hideMark/>
          </w:tcPr>
          <w:p w14:paraId="777C127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36,940</w:t>
            </w:r>
          </w:p>
        </w:tc>
        <w:tc>
          <w:tcPr>
            <w:tcW w:w="1000" w:type="pct"/>
            <w:tcBorders>
              <w:top w:val="nil"/>
              <w:left w:val="nil"/>
              <w:bottom w:val="single" w:sz="4" w:space="0" w:color="auto"/>
              <w:right w:val="single" w:sz="4" w:space="0" w:color="auto"/>
            </w:tcBorders>
            <w:shd w:val="clear" w:color="auto" w:fill="auto"/>
            <w:vAlign w:val="bottom"/>
            <w:hideMark/>
          </w:tcPr>
          <w:p w14:paraId="6DDDC86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55.58%</w:t>
            </w:r>
          </w:p>
        </w:tc>
        <w:tc>
          <w:tcPr>
            <w:tcW w:w="1000" w:type="pct"/>
            <w:tcBorders>
              <w:top w:val="nil"/>
              <w:left w:val="nil"/>
              <w:bottom w:val="single" w:sz="4" w:space="0" w:color="auto"/>
              <w:right w:val="single" w:sz="4" w:space="0" w:color="auto"/>
            </w:tcBorders>
            <w:shd w:val="clear" w:color="auto" w:fill="auto"/>
            <w:vAlign w:val="bottom"/>
            <w:hideMark/>
          </w:tcPr>
          <w:p w14:paraId="705E21C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698,126,790</w:t>
            </w:r>
          </w:p>
        </w:tc>
        <w:tc>
          <w:tcPr>
            <w:tcW w:w="1000" w:type="pct"/>
            <w:tcBorders>
              <w:top w:val="nil"/>
              <w:left w:val="nil"/>
              <w:bottom w:val="single" w:sz="4" w:space="0" w:color="auto"/>
              <w:right w:val="single" w:sz="4" w:space="0" w:color="auto"/>
            </w:tcBorders>
            <w:shd w:val="clear" w:color="auto" w:fill="auto"/>
            <w:vAlign w:val="bottom"/>
            <w:hideMark/>
          </w:tcPr>
          <w:p w14:paraId="6643EEE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56.30%</w:t>
            </w:r>
          </w:p>
        </w:tc>
      </w:tr>
      <w:tr w:rsidR="006A523F" w:rsidRPr="006A523F" w14:paraId="2BEE28E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558CF0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48 &lt; X &lt;= 60</w:t>
            </w:r>
          </w:p>
        </w:tc>
        <w:tc>
          <w:tcPr>
            <w:tcW w:w="1000" w:type="pct"/>
            <w:tcBorders>
              <w:top w:val="nil"/>
              <w:left w:val="nil"/>
              <w:bottom w:val="single" w:sz="4" w:space="0" w:color="auto"/>
              <w:right w:val="single" w:sz="4" w:space="0" w:color="auto"/>
            </w:tcBorders>
            <w:shd w:val="clear" w:color="auto" w:fill="auto"/>
            <w:vAlign w:val="bottom"/>
            <w:hideMark/>
          </w:tcPr>
          <w:p w14:paraId="5B0BB4C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701</w:t>
            </w:r>
          </w:p>
        </w:tc>
        <w:tc>
          <w:tcPr>
            <w:tcW w:w="1000" w:type="pct"/>
            <w:tcBorders>
              <w:top w:val="nil"/>
              <w:left w:val="nil"/>
              <w:bottom w:val="single" w:sz="4" w:space="0" w:color="auto"/>
              <w:right w:val="single" w:sz="4" w:space="0" w:color="auto"/>
            </w:tcBorders>
            <w:shd w:val="clear" w:color="auto" w:fill="auto"/>
            <w:vAlign w:val="bottom"/>
            <w:hideMark/>
          </w:tcPr>
          <w:p w14:paraId="6B234A0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1.05%</w:t>
            </w:r>
          </w:p>
        </w:tc>
        <w:tc>
          <w:tcPr>
            <w:tcW w:w="1000" w:type="pct"/>
            <w:tcBorders>
              <w:top w:val="nil"/>
              <w:left w:val="nil"/>
              <w:bottom w:val="single" w:sz="4" w:space="0" w:color="auto"/>
              <w:right w:val="single" w:sz="4" w:space="0" w:color="auto"/>
            </w:tcBorders>
            <w:shd w:val="clear" w:color="auto" w:fill="auto"/>
            <w:vAlign w:val="bottom"/>
            <w:hideMark/>
          </w:tcPr>
          <w:p w14:paraId="43DCB60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14,563,646</w:t>
            </w:r>
          </w:p>
        </w:tc>
        <w:tc>
          <w:tcPr>
            <w:tcW w:w="1000" w:type="pct"/>
            <w:tcBorders>
              <w:top w:val="nil"/>
              <w:left w:val="nil"/>
              <w:bottom w:val="single" w:sz="4" w:space="0" w:color="auto"/>
              <w:right w:val="single" w:sz="4" w:space="0" w:color="auto"/>
            </w:tcBorders>
            <w:shd w:val="clear" w:color="auto" w:fill="auto"/>
            <w:vAlign w:val="bottom"/>
            <w:hideMark/>
          </w:tcPr>
          <w:p w14:paraId="05410F2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1.17%</w:t>
            </w:r>
          </w:p>
        </w:tc>
      </w:tr>
      <w:tr w:rsidR="006A523F" w:rsidRPr="006A523F" w14:paraId="3E877DB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AA2E294"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05DB335E"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454E4A55"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678666A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2A1D3BAF"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r w:rsidR="006A523F" w:rsidRPr="006A523F" w14:paraId="56943B46" w14:textId="77777777" w:rsidTr="006A523F">
        <w:trPr>
          <w:trHeight w:val="20"/>
        </w:trPr>
        <w:tc>
          <w:tcPr>
            <w:tcW w:w="1000" w:type="pct"/>
            <w:tcBorders>
              <w:top w:val="nil"/>
              <w:left w:val="nil"/>
              <w:bottom w:val="nil"/>
              <w:right w:val="nil"/>
            </w:tcBorders>
            <w:shd w:val="clear" w:color="auto" w:fill="auto"/>
            <w:noWrap/>
            <w:vAlign w:val="bottom"/>
            <w:hideMark/>
          </w:tcPr>
          <w:p w14:paraId="6EEDD653"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354424FD"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noWrap/>
            <w:vAlign w:val="bottom"/>
            <w:hideMark/>
          </w:tcPr>
          <w:p w14:paraId="124BDB0D"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noWrap/>
            <w:vAlign w:val="bottom"/>
            <w:hideMark/>
          </w:tcPr>
          <w:p w14:paraId="031F2CBC"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5E03E5D0"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76EA0E9E"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B2CDB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Minimum Original Term</w:t>
            </w:r>
          </w:p>
        </w:tc>
        <w:tc>
          <w:tcPr>
            <w:tcW w:w="1000" w:type="pct"/>
            <w:tcBorders>
              <w:top w:val="single" w:sz="4" w:space="0" w:color="auto"/>
              <w:left w:val="nil"/>
              <w:bottom w:val="single" w:sz="4" w:space="0" w:color="auto"/>
              <w:right w:val="single" w:sz="4" w:space="0" w:color="auto"/>
            </w:tcBorders>
            <w:shd w:val="clear" w:color="auto" w:fill="auto"/>
            <w:vAlign w:val="bottom"/>
            <w:hideMark/>
          </w:tcPr>
          <w:p w14:paraId="5989A9E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8.00</w:t>
            </w:r>
          </w:p>
        </w:tc>
        <w:tc>
          <w:tcPr>
            <w:tcW w:w="1000" w:type="pct"/>
            <w:tcBorders>
              <w:top w:val="nil"/>
              <w:left w:val="nil"/>
              <w:bottom w:val="nil"/>
              <w:right w:val="nil"/>
            </w:tcBorders>
            <w:shd w:val="clear" w:color="auto" w:fill="auto"/>
            <w:noWrap/>
            <w:vAlign w:val="bottom"/>
            <w:hideMark/>
          </w:tcPr>
          <w:p w14:paraId="11491D3A"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3CF30706"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5261398F"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204D7CB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C3FC44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Maximum Original Term</w:t>
            </w:r>
          </w:p>
        </w:tc>
        <w:tc>
          <w:tcPr>
            <w:tcW w:w="1000" w:type="pct"/>
            <w:tcBorders>
              <w:top w:val="nil"/>
              <w:left w:val="nil"/>
              <w:bottom w:val="single" w:sz="4" w:space="0" w:color="auto"/>
              <w:right w:val="single" w:sz="4" w:space="0" w:color="auto"/>
            </w:tcBorders>
            <w:shd w:val="clear" w:color="auto" w:fill="auto"/>
            <w:vAlign w:val="bottom"/>
            <w:hideMark/>
          </w:tcPr>
          <w:p w14:paraId="05599B7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60.00</w:t>
            </w:r>
          </w:p>
        </w:tc>
        <w:tc>
          <w:tcPr>
            <w:tcW w:w="1000" w:type="pct"/>
            <w:tcBorders>
              <w:top w:val="nil"/>
              <w:left w:val="nil"/>
              <w:bottom w:val="nil"/>
              <w:right w:val="nil"/>
            </w:tcBorders>
            <w:shd w:val="clear" w:color="auto" w:fill="auto"/>
            <w:noWrap/>
            <w:vAlign w:val="bottom"/>
            <w:hideMark/>
          </w:tcPr>
          <w:p w14:paraId="59AD8BCD"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71D92F6E"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33FD87BF"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24DDE25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7B703A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Weighted Average Original Term</w:t>
            </w:r>
          </w:p>
        </w:tc>
        <w:tc>
          <w:tcPr>
            <w:tcW w:w="1000" w:type="pct"/>
            <w:tcBorders>
              <w:top w:val="nil"/>
              <w:left w:val="nil"/>
              <w:bottom w:val="single" w:sz="4" w:space="0" w:color="auto"/>
              <w:right w:val="single" w:sz="4" w:space="0" w:color="auto"/>
            </w:tcBorders>
            <w:shd w:val="clear" w:color="auto" w:fill="auto"/>
            <w:vAlign w:val="bottom"/>
            <w:hideMark/>
          </w:tcPr>
          <w:p w14:paraId="2314D35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42.21</w:t>
            </w:r>
          </w:p>
        </w:tc>
        <w:tc>
          <w:tcPr>
            <w:tcW w:w="1000" w:type="pct"/>
            <w:tcBorders>
              <w:top w:val="nil"/>
              <w:left w:val="nil"/>
              <w:bottom w:val="nil"/>
              <w:right w:val="nil"/>
            </w:tcBorders>
            <w:shd w:val="clear" w:color="auto" w:fill="auto"/>
            <w:noWrap/>
            <w:vAlign w:val="bottom"/>
            <w:hideMark/>
          </w:tcPr>
          <w:p w14:paraId="70FCCC74"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2D3C7727"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03B3D423" w14:textId="77777777" w:rsidR="006A523F" w:rsidRPr="006A523F" w:rsidRDefault="006A523F" w:rsidP="006A523F">
            <w:pPr>
              <w:spacing w:line="240" w:lineRule="auto"/>
              <w:jc w:val="left"/>
              <w:rPr>
                <w:rFonts w:ascii="Times New Roman" w:hAnsi="Times New Roman"/>
                <w:sz w:val="16"/>
                <w:szCs w:val="16"/>
                <w:lang w:val="de-DE" w:eastAsia="de-DE"/>
              </w:rPr>
            </w:pPr>
          </w:p>
        </w:tc>
      </w:tr>
    </w:tbl>
    <w:p w14:paraId="260B68CE" w14:textId="77777777" w:rsidR="000D0E23" w:rsidRDefault="000D0E23" w:rsidP="000D0E23">
      <w:pPr>
        <w:pStyle w:val="Body1"/>
      </w:pPr>
    </w:p>
    <w:p w14:paraId="2DA69D67" w14:textId="5348D761" w:rsidR="000D0E23" w:rsidRPr="000D0E23" w:rsidRDefault="000D0E23" w:rsidP="000D0E23">
      <w:pPr>
        <w:pStyle w:val="Body1"/>
        <w:rPr>
          <w:b/>
          <w:bCs/>
        </w:rPr>
      </w:pPr>
      <w:r>
        <w:t>11.</w:t>
      </w:r>
      <w:r>
        <w:tab/>
      </w:r>
      <w:r>
        <w:rPr>
          <w:b/>
          <w:bCs/>
        </w:rPr>
        <w:t>Remaining Term</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3CC67A42"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06755"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Remaining Term</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21913B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715A27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4070441"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C3AF49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63A3E46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54D064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 &lt; X &lt;= 12</w:t>
            </w:r>
          </w:p>
        </w:tc>
        <w:tc>
          <w:tcPr>
            <w:tcW w:w="1000" w:type="pct"/>
            <w:tcBorders>
              <w:top w:val="nil"/>
              <w:left w:val="nil"/>
              <w:bottom w:val="single" w:sz="4" w:space="0" w:color="auto"/>
              <w:right w:val="single" w:sz="4" w:space="0" w:color="auto"/>
            </w:tcBorders>
            <w:shd w:val="clear" w:color="auto" w:fill="auto"/>
            <w:vAlign w:val="bottom"/>
            <w:hideMark/>
          </w:tcPr>
          <w:p w14:paraId="16F7870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5,344</w:t>
            </w:r>
          </w:p>
        </w:tc>
        <w:tc>
          <w:tcPr>
            <w:tcW w:w="1000" w:type="pct"/>
            <w:tcBorders>
              <w:top w:val="nil"/>
              <w:left w:val="nil"/>
              <w:bottom w:val="single" w:sz="4" w:space="0" w:color="auto"/>
              <w:right w:val="single" w:sz="4" w:space="0" w:color="auto"/>
            </w:tcBorders>
            <w:shd w:val="clear" w:color="auto" w:fill="auto"/>
            <w:vAlign w:val="bottom"/>
            <w:hideMark/>
          </w:tcPr>
          <w:p w14:paraId="3103BCD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8.04%</w:t>
            </w:r>
          </w:p>
        </w:tc>
        <w:tc>
          <w:tcPr>
            <w:tcW w:w="1000" w:type="pct"/>
            <w:tcBorders>
              <w:top w:val="nil"/>
              <w:left w:val="nil"/>
              <w:bottom w:val="single" w:sz="4" w:space="0" w:color="auto"/>
              <w:right w:val="single" w:sz="4" w:space="0" w:color="auto"/>
            </w:tcBorders>
            <w:shd w:val="clear" w:color="auto" w:fill="auto"/>
            <w:vAlign w:val="bottom"/>
            <w:hideMark/>
          </w:tcPr>
          <w:p w14:paraId="777108E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86,018,616</w:t>
            </w:r>
          </w:p>
        </w:tc>
        <w:tc>
          <w:tcPr>
            <w:tcW w:w="1000" w:type="pct"/>
            <w:tcBorders>
              <w:top w:val="nil"/>
              <w:left w:val="nil"/>
              <w:bottom w:val="single" w:sz="4" w:space="0" w:color="auto"/>
              <w:right w:val="single" w:sz="4" w:space="0" w:color="auto"/>
            </w:tcBorders>
            <w:shd w:val="clear" w:color="auto" w:fill="auto"/>
            <w:vAlign w:val="bottom"/>
            <w:hideMark/>
          </w:tcPr>
          <w:p w14:paraId="4670777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6.94%</w:t>
            </w:r>
          </w:p>
        </w:tc>
      </w:tr>
      <w:tr w:rsidR="006A523F" w:rsidRPr="006A523F" w14:paraId="7E34786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17D100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 &lt; X &lt;= 24</w:t>
            </w:r>
          </w:p>
        </w:tc>
        <w:tc>
          <w:tcPr>
            <w:tcW w:w="1000" w:type="pct"/>
            <w:tcBorders>
              <w:top w:val="nil"/>
              <w:left w:val="nil"/>
              <w:bottom w:val="single" w:sz="4" w:space="0" w:color="auto"/>
              <w:right w:val="single" w:sz="4" w:space="0" w:color="auto"/>
            </w:tcBorders>
            <w:shd w:val="clear" w:color="auto" w:fill="auto"/>
            <w:vAlign w:val="bottom"/>
            <w:hideMark/>
          </w:tcPr>
          <w:p w14:paraId="55DD2F5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27,075</w:t>
            </w:r>
          </w:p>
        </w:tc>
        <w:tc>
          <w:tcPr>
            <w:tcW w:w="1000" w:type="pct"/>
            <w:tcBorders>
              <w:top w:val="nil"/>
              <w:left w:val="nil"/>
              <w:bottom w:val="single" w:sz="4" w:space="0" w:color="auto"/>
              <w:right w:val="single" w:sz="4" w:space="0" w:color="auto"/>
            </w:tcBorders>
            <w:shd w:val="clear" w:color="auto" w:fill="auto"/>
            <w:vAlign w:val="bottom"/>
            <w:hideMark/>
          </w:tcPr>
          <w:p w14:paraId="216D0E8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40.74%</w:t>
            </w:r>
          </w:p>
        </w:tc>
        <w:tc>
          <w:tcPr>
            <w:tcW w:w="1000" w:type="pct"/>
            <w:tcBorders>
              <w:top w:val="nil"/>
              <w:left w:val="nil"/>
              <w:bottom w:val="single" w:sz="4" w:space="0" w:color="auto"/>
              <w:right w:val="single" w:sz="4" w:space="0" w:color="auto"/>
            </w:tcBorders>
            <w:shd w:val="clear" w:color="auto" w:fill="auto"/>
            <w:vAlign w:val="bottom"/>
            <w:hideMark/>
          </w:tcPr>
          <w:p w14:paraId="6FD3B55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480,524,994</w:t>
            </w:r>
          </w:p>
        </w:tc>
        <w:tc>
          <w:tcPr>
            <w:tcW w:w="1000" w:type="pct"/>
            <w:tcBorders>
              <w:top w:val="nil"/>
              <w:left w:val="nil"/>
              <w:bottom w:val="single" w:sz="4" w:space="0" w:color="auto"/>
              <w:right w:val="single" w:sz="4" w:space="0" w:color="auto"/>
            </w:tcBorders>
            <w:shd w:val="clear" w:color="auto" w:fill="auto"/>
            <w:vAlign w:val="bottom"/>
            <w:hideMark/>
          </w:tcPr>
          <w:p w14:paraId="27E102C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38.75%</w:t>
            </w:r>
          </w:p>
        </w:tc>
      </w:tr>
      <w:tr w:rsidR="006A523F" w:rsidRPr="006A523F" w14:paraId="169F75FF"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DFC587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 &lt; X &lt;= 36</w:t>
            </w:r>
          </w:p>
        </w:tc>
        <w:tc>
          <w:tcPr>
            <w:tcW w:w="1000" w:type="pct"/>
            <w:tcBorders>
              <w:top w:val="nil"/>
              <w:left w:val="nil"/>
              <w:bottom w:val="single" w:sz="4" w:space="0" w:color="auto"/>
              <w:right w:val="single" w:sz="4" w:space="0" w:color="auto"/>
            </w:tcBorders>
            <w:shd w:val="clear" w:color="auto" w:fill="auto"/>
            <w:vAlign w:val="bottom"/>
            <w:hideMark/>
          </w:tcPr>
          <w:p w14:paraId="14DAC50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22,611</w:t>
            </w:r>
          </w:p>
        </w:tc>
        <w:tc>
          <w:tcPr>
            <w:tcW w:w="1000" w:type="pct"/>
            <w:tcBorders>
              <w:top w:val="nil"/>
              <w:left w:val="nil"/>
              <w:bottom w:val="single" w:sz="4" w:space="0" w:color="auto"/>
              <w:right w:val="single" w:sz="4" w:space="0" w:color="auto"/>
            </w:tcBorders>
            <w:shd w:val="clear" w:color="auto" w:fill="auto"/>
            <w:vAlign w:val="bottom"/>
            <w:hideMark/>
          </w:tcPr>
          <w:p w14:paraId="27C5FB7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34.02%</w:t>
            </w:r>
          </w:p>
        </w:tc>
        <w:tc>
          <w:tcPr>
            <w:tcW w:w="1000" w:type="pct"/>
            <w:tcBorders>
              <w:top w:val="nil"/>
              <w:left w:val="nil"/>
              <w:bottom w:val="single" w:sz="4" w:space="0" w:color="auto"/>
              <w:right w:val="single" w:sz="4" w:space="0" w:color="auto"/>
            </w:tcBorders>
            <w:shd w:val="clear" w:color="auto" w:fill="auto"/>
            <w:vAlign w:val="bottom"/>
            <w:hideMark/>
          </w:tcPr>
          <w:p w14:paraId="714D784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435,359,097</w:t>
            </w:r>
          </w:p>
        </w:tc>
        <w:tc>
          <w:tcPr>
            <w:tcW w:w="1000" w:type="pct"/>
            <w:tcBorders>
              <w:top w:val="nil"/>
              <w:left w:val="nil"/>
              <w:bottom w:val="single" w:sz="4" w:space="0" w:color="auto"/>
              <w:right w:val="single" w:sz="4" w:space="0" w:color="auto"/>
            </w:tcBorders>
            <w:shd w:val="clear" w:color="auto" w:fill="auto"/>
            <w:vAlign w:val="bottom"/>
            <w:hideMark/>
          </w:tcPr>
          <w:p w14:paraId="440BE00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35.11%</w:t>
            </w:r>
          </w:p>
        </w:tc>
      </w:tr>
      <w:tr w:rsidR="006A523F" w:rsidRPr="006A523F" w14:paraId="4B1F49E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E7E633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 &lt; X &lt;= 48</w:t>
            </w:r>
          </w:p>
        </w:tc>
        <w:tc>
          <w:tcPr>
            <w:tcW w:w="1000" w:type="pct"/>
            <w:tcBorders>
              <w:top w:val="nil"/>
              <w:left w:val="nil"/>
              <w:bottom w:val="single" w:sz="4" w:space="0" w:color="auto"/>
              <w:right w:val="single" w:sz="4" w:space="0" w:color="auto"/>
            </w:tcBorders>
            <w:shd w:val="clear" w:color="auto" w:fill="auto"/>
            <w:vAlign w:val="bottom"/>
            <w:hideMark/>
          </w:tcPr>
          <w:p w14:paraId="51B236C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11,169</w:t>
            </w:r>
          </w:p>
        </w:tc>
        <w:tc>
          <w:tcPr>
            <w:tcW w:w="1000" w:type="pct"/>
            <w:tcBorders>
              <w:top w:val="nil"/>
              <w:left w:val="nil"/>
              <w:bottom w:val="single" w:sz="4" w:space="0" w:color="auto"/>
              <w:right w:val="single" w:sz="4" w:space="0" w:color="auto"/>
            </w:tcBorders>
            <w:shd w:val="clear" w:color="auto" w:fill="auto"/>
            <w:vAlign w:val="bottom"/>
            <w:hideMark/>
          </w:tcPr>
          <w:p w14:paraId="3CECA13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16.80%</w:t>
            </w:r>
          </w:p>
        </w:tc>
        <w:tc>
          <w:tcPr>
            <w:tcW w:w="1000" w:type="pct"/>
            <w:tcBorders>
              <w:top w:val="nil"/>
              <w:left w:val="nil"/>
              <w:bottom w:val="single" w:sz="4" w:space="0" w:color="auto"/>
              <w:right w:val="single" w:sz="4" w:space="0" w:color="auto"/>
            </w:tcBorders>
            <w:shd w:val="clear" w:color="auto" w:fill="auto"/>
            <w:vAlign w:val="bottom"/>
            <w:hideMark/>
          </w:tcPr>
          <w:p w14:paraId="5CF0F5B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232,139,812</w:t>
            </w:r>
          </w:p>
        </w:tc>
        <w:tc>
          <w:tcPr>
            <w:tcW w:w="1000" w:type="pct"/>
            <w:tcBorders>
              <w:top w:val="nil"/>
              <w:left w:val="nil"/>
              <w:bottom w:val="single" w:sz="4" w:space="0" w:color="auto"/>
              <w:right w:val="single" w:sz="4" w:space="0" w:color="auto"/>
            </w:tcBorders>
            <w:shd w:val="clear" w:color="auto" w:fill="auto"/>
            <w:vAlign w:val="bottom"/>
            <w:hideMark/>
          </w:tcPr>
          <w:p w14:paraId="2310808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18.72%</w:t>
            </w:r>
          </w:p>
        </w:tc>
      </w:tr>
      <w:tr w:rsidR="006A523F" w:rsidRPr="006A523F" w14:paraId="466D41BF"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A62153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48 &lt; X &lt;= 60</w:t>
            </w:r>
          </w:p>
        </w:tc>
        <w:tc>
          <w:tcPr>
            <w:tcW w:w="1000" w:type="pct"/>
            <w:tcBorders>
              <w:top w:val="nil"/>
              <w:left w:val="nil"/>
              <w:bottom w:val="single" w:sz="4" w:space="0" w:color="auto"/>
              <w:right w:val="single" w:sz="4" w:space="0" w:color="auto"/>
            </w:tcBorders>
            <w:shd w:val="clear" w:color="auto" w:fill="auto"/>
            <w:vAlign w:val="bottom"/>
            <w:hideMark/>
          </w:tcPr>
          <w:p w14:paraId="6FD53FC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264</w:t>
            </w:r>
          </w:p>
        </w:tc>
        <w:tc>
          <w:tcPr>
            <w:tcW w:w="1000" w:type="pct"/>
            <w:tcBorders>
              <w:top w:val="nil"/>
              <w:left w:val="nil"/>
              <w:bottom w:val="single" w:sz="4" w:space="0" w:color="auto"/>
              <w:right w:val="single" w:sz="4" w:space="0" w:color="auto"/>
            </w:tcBorders>
            <w:shd w:val="clear" w:color="auto" w:fill="auto"/>
            <w:vAlign w:val="bottom"/>
            <w:hideMark/>
          </w:tcPr>
          <w:p w14:paraId="62FC190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0.40%</w:t>
            </w:r>
          </w:p>
        </w:tc>
        <w:tc>
          <w:tcPr>
            <w:tcW w:w="1000" w:type="pct"/>
            <w:tcBorders>
              <w:top w:val="nil"/>
              <w:left w:val="nil"/>
              <w:bottom w:val="single" w:sz="4" w:space="0" w:color="auto"/>
              <w:right w:val="single" w:sz="4" w:space="0" w:color="auto"/>
            </w:tcBorders>
            <w:shd w:val="clear" w:color="auto" w:fill="auto"/>
            <w:vAlign w:val="bottom"/>
            <w:hideMark/>
          </w:tcPr>
          <w:p w14:paraId="7C59A8E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5,954,532</w:t>
            </w:r>
          </w:p>
        </w:tc>
        <w:tc>
          <w:tcPr>
            <w:tcW w:w="1000" w:type="pct"/>
            <w:tcBorders>
              <w:top w:val="nil"/>
              <w:left w:val="nil"/>
              <w:bottom w:val="single" w:sz="4" w:space="0" w:color="auto"/>
              <w:right w:val="single" w:sz="4" w:space="0" w:color="auto"/>
            </w:tcBorders>
            <w:shd w:val="clear" w:color="auto" w:fill="auto"/>
            <w:vAlign w:val="bottom"/>
            <w:hideMark/>
          </w:tcPr>
          <w:p w14:paraId="16B204C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0.48%</w:t>
            </w:r>
          </w:p>
        </w:tc>
      </w:tr>
      <w:tr w:rsidR="006A523F" w:rsidRPr="006A523F" w14:paraId="57C60123"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88009D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13073616"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16B29275"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5BA94946"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086CFA2B"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r w:rsidR="006A523F" w:rsidRPr="006A523F" w14:paraId="2C52E22B" w14:textId="77777777" w:rsidTr="006A523F">
        <w:trPr>
          <w:trHeight w:val="20"/>
        </w:trPr>
        <w:tc>
          <w:tcPr>
            <w:tcW w:w="1000" w:type="pct"/>
            <w:tcBorders>
              <w:top w:val="nil"/>
              <w:left w:val="nil"/>
              <w:bottom w:val="nil"/>
              <w:right w:val="nil"/>
            </w:tcBorders>
            <w:shd w:val="clear" w:color="auto" w:fill="auto"/>
            <w:noWrap/>
            <w:vAlign w:val="bottom"/>
            <w:hideMark/>
          </w:tcPr>
          <w:p w14:paraId="62267A6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793371D9"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noWrap/>
            <w:vAlign w:val="bottom"/>
            <w:hideMark/>
          </w:tcPr>
          <w:p w14:paraId="45A39242"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noWrap/>
            <w:vAlign w:val="bottom"/>
            <w:hideMark/>
          </w:tcPr>
          <w:p w14:paraId="2F2ED4B4"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32A2D85B"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76932886"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BB4D9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Minimum Remaining Term</w:t>
            </w:r>
          </w:p>
        </w:tc>
        <w:tc>
          <w:tcPr>
            <w:tcW w:w="1000" w:type="pct"/>
            <w:tcBorders>
              <w:top w:val="single" w:sz="4" w:space="0" w:color="auto"/>
              <w:left w:val="nil"/>
              <w:bottom w:val="single" w:sz="4" w:space="0" w:color="auto"/>
              <w:right w:val="single" w:sz="4" w:space="0" w:color="auto"/>
            </w:tcBorders>
            <w:shd w:val="clear" w:color="auto" w:fill="auto"/>
            <w:vAlign w:val="bottom"/>
            <w:hideMark/>
          </w:tcPr>
          <w:p w14:paraId="669B3AC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6.00</w:t>
            </w:r>
          </w:p>
        </w:tc>
        <w:tc>
          <w:tcPr>
            <w:tcW w:w="1000" w:type="pct"/>
            <w:tcBorders>
              <w:top w:val="nil"/>
              <w:left w:val="nil"/>
              <w:bottom w:val="nil"/>
              <w:right w:val="nil"/>
            </w:tcBorders>
            <w:shd w:val="clear" w:color="auto" w:fill="auto"/>
            <w:noWrap/>
            <w:vAlign w:val="bottom"/>
            <w:hideMark/>
          </w:tcPr>
          <w:p w14:paraId="6C2B6167"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57448D39"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7BEAB79E"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1A16901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6868DE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Maximum Remaining Term</w:t>
            </w:r>
          </w:p>
        </w:tc>
        <w:tc>
          <w:tcPr>
            <w:tcW w:w="1000" w:type="pct"/>
            <w:tcBorders>
              <w:top w:val="nil"/>
              <w:left w:val="nil"/>
              <w:bottom w:val="single" w:sz="4" w:space="0" w:color="auto"/>
              <w:right w:val="single" w:sz="4" w:space="0" w:color="auto"/>
            </w:tcBorders>
            <w:shd w:val="clear" w:color="auto" w:fill="auto"/>
            <w:vAlign w:val="bottom"/>
            <w:hideMark/>
          </w:tcPr>
          <w:p w14:paraId="72FE75B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59.00</w:t>
            </w:r>
          </w:p>
        </w:tc>
        <w:tc>
          <w:tcPr>
            <w:tcW w:w="1000" w:type="pct"/>
            <w:tcBorders>
              <w:top w:val="nil"/>
              <w:left w:val="nil"/>
              <w:bottom w:val="nil"/>
              <w:right w:val="nil"/>
            </w:tcBorders>
            <w:shd w:val="clear" w:color="auto" w:fill="auto"/>
            <w:noWrap/>
            <w:vAlign w:val="bottom"/>
            <w:hideMark/>
          </w:tcPr>
          <w:p w14:paraId="26F6BA0F"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624C9D80"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30431F5A"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62507D4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EA2BEB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Weighted Average Remaining Term</w:t>
            </w:r>
          </w:p>
        </w:tc>
        <w:tc>
          <w:tcPr>
            <w:tcW w:w="1000" w:type="pct"/>
            <w:tcBorders>
              <w:top w:val="nil"/>
              <w:left w:val="nil"/>
              <w:bottom w:val="single" w:sz="4" w:space="0" w:color="auto"/>
              <w:right w:val="single" w:sz="4" w:space="0" w:color="auto"/>
            </w:tcBorders>
            <w:shd w:val="clear" w:color="auto" w:fill="auto"/>
            <w:vAlign w:val="bottom"/>
            <w:hideMark/>
          </w:tcPr>
          <w:p w14:paraId="747C203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26.65</w:t>
            </w:r>
          </w:p>
        </w:tc>
        <w:tc>
          <w:tcPr>
            <w:tcW w:w="1000" w:type="pct"/>
            <w:tcBorders>
              <w:top w:val="nil"/>
              <w:left w:val="nil"/>
              <w:bottom w:val="nil"/>
              <w:right w:val="nil"/>
            </w:tcBorders>
            <w:shd w:val="clear" w:color="auto" w:fill="auto"/>
            <w:noWrap/>
            <w:vAlign w:val="bottom"/>
            <w:hideMark/>
          </w:tcPr>
          <w:p w14:paraId="58ECC9CD"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0F06A600"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0D1B1064" w14:textId="77777777" w:rsidR="006A523F" w:rsidRPr="006A523F" w:rsidRDefault="006A523F" w:rsidP="006A523F">
            <w:pPr>
              <w:spacing w:line="240" w:lineRule="auto"/>
              <w:jc w:val="left"/>
              <w:rPr>
                <w:rFonts w:ascii="Times New Roman" w:hAnsi="Times New Roman"/>
                <w:sz w:val="16"/>
                <w:szCs w:val="16"/>
                <w:lang w:val="de-DE" w:eastAsia="de-DE"/>
              </w:rPr>
            </w:pPr>
          </w:p>
        </w:tc>
      </w:tr>
    </w:tbl>
    <w:p w14:paraId="1EC05B83" w14:textId="77777777" w:rsidR="000D0E23" w:rsidRDefault="000D0E23" w:rsidP="000D0E23">
      <w:pPr>
        <w:pStyle w:val="Body1"/>
      </w:pPr>
    </w:p>
    <w:p w14:paraId="5A33875C" w14:textId="7577719D" w:rsidR="000D0E23" w:rsidRPr="000D0E23" w:rsidRDefault="000D0E23" w:rsidP="000D0E23">
      <w:pPr>
        <w:pStyle w:val="Body1"/>
        <w:rPr>
          <w:b/>
          <w:bCs/>
        </w:rPr>
      </w:pPr>
      <w:r>
        <w:t>12.</w:t>
      </w:r>
      <w:r>
        <w:tab/>
      </w:r>
      <w:r>
        <w:rPr>
          <w:b/>
          <w:bCs/>
        </w:rPr>
        <w:t>Seasoning</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4DC96C0E"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EFD31"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Seasoning</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F541984"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863B931"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4C45748"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B552DC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703C254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343233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 &lt; X &lt;= 12</w:t>
            </w:r>
          </w:p>
        </w:tc>
        <w:tc>
          <w:tcPr>
            <w:tcW w:w="1000" w:type="pct"/>
            <w:tcBorders>
              <w:top w:val="nil"/>
              <w:left w:val="nil"/>
              <w:bottom w:val="single" w:sz="4" w:space="0" w:color="auto"/>
              <w:right w:val="single" w:sz="4" w:space="0" w:color="auto"/>
            </w:tcBorders>
            <w:shd w:val="clear" w:color="auto" w:fill="auto"/>
            <w:vAlign w:val="bottom"/>
            <w:hideMark/>
          </w:tcPr>
          <w:p w14:paraId="01AB9FF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26,232</w:t>
            </w:r>
          </w:p>
        </w:tc>
        <w:tc>
          <w:tcPr>
            <w:tcW w:w="1000" w:type="pct"/>
            <w:tcBorders>
              <w:top w:val="nil"/>
              <w:left w:val="nil"/>
              <w:bottom w:val="single" w:sz="4" w:space="0" w:color="auto"/>
              <w:right w:val="single" w:sz="4" w:space="0" w:color="auto"/>
            </w:tcBorders>
            <w:shd w:val="clear" w:color="auto" w:fill="auto"/>
            <w:vAlign w:val="bottom"/>
            <w:hideMark/>
          </w:tcPr>
          <w:p w14:paraId="3023D70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39.47%</w:t>
            </w:r>
          </w:p>
        </w:tc>
        <w:tc>
          <w:tcPr>
            <w:tcW w:w="1000" w:type="pct"/>
            <w:tcBorders>
              <w:top w:val="nil"/>
              <w:left w:val="nil"/>
              <w:bottom w:val="single" w:sz="4" w:space="0" w:color="auto"/>
              <w:right w:val="single" w:sz="4" w:space="0" w:color="auto"/>
            </w:tcBorders>
            <w:shd w:val="clear" w:color="auto" w:fill="auto"/>
            <w:vAlign w:val="bottom"/>
            <w:hideMark/>
          </w:tcPr>
          <w:p w14:paraId="69FC6E9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518,674,184</w:t>
            </w:r>
          </w:p>
        </w:tc>
        <w:tc>
          <w:tcPr>
            <w:tcW w:w="1000" w:type="pct"/>
            <w:tcBorders>
              <w:top w:val="nil"/>
              <w:left w:val="nil"/>
              <w:bottom w:val="single" w:sz="4" w:space="0" w:color="auto"/>
              <w:right w:val="single" w:sz="4" w:space="0" w:color="auto"/>
            </w:tcBorders>
            <w:shd w:val="clear" w:color="auto" w:fill="auto"/>
            <w:vAlign w:val="bottom"/>
            <w:hideMark/>
          </w:tcPr>
          <w:p w14:paraId="142BD2A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41.83%</w:t>
            </w:r>
          </w:p>
        </w:tc>
      </w:tr>
      <w:tr w:rsidR="006A523F" w:rsidRPr="006A523F" w14:paraId="7D4F348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E7011B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 &lt; X &lt;= 24</w:t>
            </w:r>
          </w:p>
        </w:tc>
        <w:tc>
          <w:tcPr>
            <w:tcW w:w="1000" w:type="pct"/>
            <w:tcBorders>
              <w:top w:val="nil"/>
              <w:left w:val="nil"/>
              <w:bottom w:val="single" w:sz="4" w:space="0" w:color="auto"/>
              <w:right w:val="single" w:sz="4" w:space="0" w:color="auto"/>
            </w:tcBorders>
            <w:shd w:val="clear" w:color="auto" w:fill="auto"/>
            <w:vAlign w:val="bottom"/>
            <w:hideMark/>
          </w:tcPr>
          <w:p w14:paraId="3C64F81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26,774</w:t>
            </w:r>
          </w:p>
        </w:tc>
        <w:tc>
          <w:tcPr>
            <w:tcW w:w="1000" w:type="pct"/>
            <w:tcBorders>
              <w:top w:val="nil"/>
              <w:left w:val="nil"/>
              <w:bottom w:val="single" w:sz="4" w:space="0" w:color="auto"/>
              <w:right w:val="single" w:sz="4" w:space="0" w:color="auto"/>
            </w:tcBorders>
            <w:shd w:val="clear" w:color="auto" w:fill="auto"/>
            <w:vAlign w:val="bottom"/>
            <w:hideMark/>
          </w:tcPr>
          <w:p w14:paraId="088E7D4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40.28%</w:t>
            </w:r>
          </w:p>
        </w:tc>
        <w:tc>
          <w:tcPr>
            <w:tcW w:w="1000" w:type="pct"/>
            <w:tcBorders>
              <w:top w:val="nil"/>
              <w:left w:val="nil"/>
              <w:bottom w:val="single" w:sz="4" w:space="0" w:color="auto"/>
              <w:right w:val="single" w:sz="4" w:space="0" w:color="auto"/>
            </w:tcBorders>
            <w:shd w:val="clear" w:color="auto" w:fill="auto"/>
            <w:vAlign w:val="bottom"/>
            <w:hideMark/>
          </w:tcPr>
          <w:p w14:paraId="5D69988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496,924,878</w:t>
            </w:r>
          </w:p>
        </w:tc>
        <w:tc>
          <w:tcPr>
            <w:tcW w:w="1000" w:type="pct"/>
            <w:tcBorders>
              <w:top w:val="nil"/>
              <w:left w:val="nil"/>
              <w:bottom w:val="single" w:sz="4" w:space="0" w:color="auto"/>
              <w:right w:val="single" w:sz="4" w:space="0" w:color="auto"/>
            </w:tcBorders>
            <w:shd w:val="clear" w:color="auto" w:fill="auto"/>
            <w:vAlign w:val="bottom"/>
            <w:hideMark/>
          </w:tcPr>
          <w:p w14:paraId="370CB38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40.07%</w:t>
            </w:r>
          </w:p>
        </w:tc>
      </w:tr>
      <w:tr w:rsidR="006A523F" w:rsidRPr="006A523F" w14:paraId="76AB331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29E0E2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 &lt; X &lt;= 36</w:t>
            </w:r>
          </w:p>
        </w:tc>
        <w:tc>
          <w:tcPr>
            <w:tcW w:w="1000" w:type="pct"/>
            <w:tcBorders>
              <w:top w:val="nil"/>
              <w:left w:val="nil"/>
              <w:bottom w:val="single" w:sz="4" w:space="0" w:color="auto"/>
              <w:right w:val="single" w:sz="4" w:space="0" w:color="auto"/>
            </w:tcBorders>
            <w:shd w:val="clear" w:color="auto" w:fill="auto"/>
            <w:vAlign w:val="bottom"/>
            <w:hideMark/>
          </w:tcPr>
          <w:p w14:paraId="6490FD1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11,181</w:t>
            </w:r>
          </w:p>
        </w:tc>
        <w:tc>
          <w:tcPr>
            <w:tcW w:w="1000" w:type="pct"/>
            <w:tcBorders>
              <w:top w:val="nil"/>
              <w:left w:val="nil"/>
              <w:bottom w:val="single" w:sz="4" w:space="0" w:color="auto"/>
              <w:right w:val="single" w:sz="4" w:space="0" w:color="auto"/>
            </w:tcBorders>
            <w:shd w:val="clear" w:color="auto" w:fill="auto"/>
            <w:vAlign w:val="bottom"/>
            <w:hideMark/>
          </w:tcPr>
          <w:p w14:paraId="294AA49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16.82%</w:t>
            </w:r>
          </w:p>
        </w:tc>
        <w:tc>
          <w:tcPr>
            <w:tcW w:w="1000" w:type="pct"/>
            <w:tcBorders>
              <w:top w:val="nil"/>
              <w:left w:val="nil"/>
              <w:bottom w:val="single" w:sz="4" w:space="0" w:color="auto"/>
              <w:right w:val="single" w:sz="4" w:space="0" w:color="auto"/>
            </w:tcBorders>
            <w:shd w:val="clear" w:color="auto" w:fill="auto"/>
            <w:vAlign w:val="bottom"/>
            <w:hideMark/>
          </w:tcPr>
          <w:p w14:paraId="2F99F08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191,818,498</w:t>
            </w:r>
          </w:p>
        </w:tc>
        <w:tc>
          <w:tcPr>
            <w:tcW w:w="1000" w:type="pct"/>
            <w:tcBorders>
              <w:top w:val="nil"/>
              <w:left w:val="nil"/>
              <w:bottom w:val="single" w:sz="4" w:space="0" w:color="auto"/>
              <w:right w:val="single" w:sz="4" w:space="0" w:color="auto"/>
            </w:tcBorders>
            <w:shd w:val="clear" w:color="auto" w:fill="auto"/>
            <w:vAlign w:val="bottom"/>
            <w:hideMark/>
          </w:tcPr>
          <w:p w14:paraId="3FAD4E8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15.47%</w:t>
            </w:r>
          </w:p>
        </w:tc>
      </w:tr>
      <w:tr w:rsidR="006A523F" w:rsidRPr="006A523F" w14:paraId="6B1D378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0D3D83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 &lt; X &lt;= 48</w:t>
            </w:r>
          </w:p>
        </w:tc>
        <w:tc>
          <w:tcPr>
            <w:tcW w:w="1000" w:type="pct"/>
            <w:tcBorders>
              <w:top w:val="nil"/>
              <w:left w:val="nil"/>
              <w:bottom w:val="single" w:sz="4" w:space="0" w:color="auto"/>
              <w:right w:val="single" w:sz="4" w:space="0" w:color="auto"/>
            </w:tcBorders>
            <w:shd w:val="clear" w:color="auto" w:fill="auto"/>
            <w:vAlign w:val="bottom"/>
            <w:hideMark/>
          </w:tcPr>
          <w:p w14:paraId="7A1A8E5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2,266</w:t>
            </w:r>
          </w:p>
        </w:tc>
        <w:tc>
          <w:tcPr>
            <w:tcW w:w="1000" w:type="pct"/>
            <w:tcBorders>
              <w:top w:val="nil"/>
              <w:left w:val="nil"/>
              <w:bottom w:val="single" w:sz="4" w:space="0" w:color="auto"/>
              <w:right w:val="single" w:sz="4" w:space="0" w:color="auto"/>
            </w:tcBorders>
            <w:shd w:val="clear" w:color="auto" w:fill="auto"/>
            <w:vAlign w:val="bottom"/>
            <w:hideMark/>
          </w:tcPr>
          <w:p w14:paraId="67D2BF8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3.41%</w:t>
            </w:r>
          </w:p>
        </w:tc>
        <w:tc>
          <w:tcPr>
            <w:tcW w:w="1000" w:type="pct"/>
            <w:tcBorders>
              <w:top w:val="nil"/>
              <w:left w:val="nil"/>
              <w:bottom w:val="single" w:sz="4" w:space="0" w:color="auto"/>
              <w:right w:val="single" w:sz="4" w:space="0" w:color="auto"/>
            </w:tcBorders>
            <w:shd w:val="clear" w:color="auto" w:fill="auto"/>
            <w:vAlign w:val="bottom"/>
            <w:hideMark/>
          </w:tcPr>
          <w:p w14:paraId="1B0B3D1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32,436,717</w:t>
            </w:r>
          </w:p>
        </w:tc>
        <w:tc>
          <w:tcPr>
            <w:tcW w:w="1000" w:type="pct"/>
            <w:tcBorders>
              <w:top w:val="nil"/>
              <w:left w:val="nil"/>
              <w:bottom w:val="single" w:sz="4" w:space="0" w:color="auto"/>
              <w:right w:val="single" w:sz="4" w:space="0" w:color="auto"/>
            </w:tcBorders>
            <w:shd w:val="clear" w:color="auto" w:fill="auto"/>
            <w:vAlign w:val="bottom"/>
            <w:hideMark/>
          </w:tcPr>
          <w:p w14:paraId="1933966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2.62%</w:t>
            </w:r>
          </w:p>
        </w:tc>
      </w:tr>
      <w:tr w:rsidR="006A523F" w:rsidRPr="006A523F" w14:paraId="4B73757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AE8B8B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&gt;48</w:t>
            </w:r>
          </w:p>
        </w:tc>
        <w:tc>
          <w:tcPr>
            <w:tcW w:w="1000" w:type="pct"/>
            <w:tcBorders>
              <w:top w:val="nil"/>
              <w:left w:val="nil"/>
              <w:bottom w:val="single" w:sz="4" w:space="0" w:color="auto"/>
              <w:right w:val="single" w:sz="4" w:space="0" w:color="auto"/>
            </w:tcBorders>
            <w:shd w:val="clear" w:color="auto" w:fill="auto"/>
            <w:vAlign w:val="bottom"/>
            <w:hideMark/>
          </w:tcPr>
          <w:p w14:paraId="2D025F6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w:t>
            </w:r>
          </w:p>
        </w:tc>
        <w:tc>
          <w:tcPr>
            <w:tcW w:w="1000" w:type="pct"/>
            <w:tcBorders>
              <w:top w:val="nil"/>
              <w:left w:val="nil"/>
              <w:bottom w:val="single" w:sz="4" w:space="0" w:color="auto"/>
              <w:right w:val="single" w:sz="4" w:space="0" w:color="auto"/>
            </w:tcBorders>
            <w:shd w:val="clear" w:color="auto" w:fill="auto"/>
            <w:vAlign w:val="bottom"/>
            <w:hideMark/>
          </w:tcPr>
          <w:p w14:paraId="4F12CAF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1F01F3D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142,774</w:t>
            </w:r>
          </w:p>
        </w:tc>
        <w:tc>
          <w:tcPr>
            <w:tcW w:w="1000" w:type="pct"/>
            <w:tcBorders>
              <w:top w:val="nil"/>
              <w:left w:val="nil"/>
              <w:bottom w:val="single" w:sz="4" w:space="0" w:color="auto"/>
              <w:right w:val="single" w:sz="4" w:space="0" w:color="auto"/>
            </w:tcBorders>
            <w:shd w:val="clear" w:color="auto" w:fill="auto"/>
            <w:vAlign w:val="bottom"/>
            <w:hideMark/>
          </w:tcPr>
          <w:p w14:paraId="28F49E8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3C50ACD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76D514F"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27D514B3"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3487D811"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5A78D12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67FBA75E"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r w:rsidR="006A523F" w:rsidRPr="006A523F" w14:paraId="1FA7AFEB" w14:textId="77777777" w:rsidTr="006A523F">
        <w:trPr>
          <w:trHeight w:val="20"/>
        </w:trPr>
        <w:tc>
          <w:tcPr>
            <w:tcW w:w="1000" w:type="pct"/>
            <w:tcBorders>
              <w:top w:val="nil"/>
              <w:left w:val="nil"/>
              <w:bottom w:val="nil"/>
              <w:right w:val="nil"/>
            </w:tcBorders>
            <w:shd w:val="clear" w:color="auto" w:fill="auto"/>
            <w:noWrap/>
            <w:vAlign w:val="bottom"/>
            <w:hideMark/>
          </w:tcPr>
          <w:p w14:paraId="7E02CECD"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4CC4787F"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noWrap/>
            <w:vAlign w:val="bottom"/>
            <w:hideMark/>
          </w:tcPr>
          <w:p w14:paraId="284F7AE0"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noWrap/>
            <w:vAlign w:val="bottom"/>
            <w:hideMark/>
          </w:tcPr>
          <w:p w14:paraId="0C29BBF2"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381BDADA"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257D89DC"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14923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Minimum Seasoning</w:t>
            </w:r>
          </w:p>
        </w:tc>
        <w:tc>
          <w:tcPr>
            <w:tcW w:w="1000" w:type="pct"/>
            <w:tcBorders>
              <w:top w:val="single" w:sz="4" w:space="0" w:color="auto"/>
              <w:left w:val="nil"/>
              <w:bottom w:val="single" w:sz="4" w:space="0" w:color="auto"/>
              <w:right w:val="single" w:sz="4" w:space="0" w:color="auto"/>
            </w:tcBorders>
            <w:shd w:val="clear" w:color="auto" w:fill="auto"/>
            <w:vAlign w:val="bottom"/>
            <w:hideMark/>
          </w:tcPr>
          <w:p w14:paraId="533A9C5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1.00</w:t>
            </w:r>
          </w:p>
        </w:tc>
        <w:tc>
          <w:tcPr>
            <w:tcW w:w="1000" w:type="pct"/>
            <w:tcBorders>
              <w:top w:val="nil"/>
              <w:left w:val="nil"/>
              <w:bottom w:val="nil"/>
              <w:right w:val="nil"/>
            </w:tcBorders>
            <w:shd w:val="clear" w:color="auto" w:fill="auto"/>
            <w:noWrap/>
            <w:vAlign w:val="bottom"/>
            <w:hideMark/>
          </w:tcPr>
          <w:p w14:paraId="0A8C13AB"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3ADB2FBC"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05C30403"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04EE8DF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C1E7B3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Maximum Seasoning</w:t>
            </w:r>
          </w:p>
        </w:tc>
        <w:tc>
          <w:tcPr>
            <w:tcW w:w="1000" w:type="pct"/>
            <w:tcBorders>
              <w:top w:val="nil"/>
              <w:left w:val="nil"/>
              <w:bottom w:val="single" w:sz="4" w:space="0" w:color="auto"/>
              <w:right w:val="single" w:sz="4" w:space="0" w:color="auto"/>
            </w:tcBorders>
            <w:shd w:val="clear" w:color="auto" w:fill="auto"/>
            <w:vAlign w:val="bottom"/>
            <w:hideMark/>
          </w:tcPr>
          <w:p w14:paraId="1868B81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52.00</w:t>
            </w:r>
          </w:p>
        </w:tc>
        <w:tc>
          <w:tcPr>
            <w:tcW w:w="1000" w:type="pct"/>
            <w:tcBorders>
              <w:top w:val="nil"/>
              <w:left w:val="nil"/>
              <w:bottom w:val="nil"/>
              <w:right w:val="nil"/>
            </w:tcBorders>
            <w:shd w:val="clear" w:color="auto" w:fill="auto"/>
            <w:noWrap/>
            <w:vAlign w:val="bottom"/>
            <w:hideMark/>
          </w:tcPr>
          <w:p w14:paraId="046BAB38"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31943ACB"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1EA0411C" w14:textId="77777777" w:rsidR="006A523F" w:rsidRPr="006A523F" w:rsidRDefault="006A523F" w:rsidP="006A523F">
            <w:pPr>
              <w:spacing w:line="240" w:lineRule="auto"/>
              <w:jc w:val="left"/>
              <w:rPr>
                <w:rFonts w:ascii="Times New Roman" w:hAnsi="Times New Roman"/>
                <w:sz w:val="16"/>
                <w:szCs w:val="16"/>
                <w:lang w:val="de-DE" w:eastAsia="de-DE"/>
              </w:rPr>
            </w:pPr>
          </w:p>
        </w:tc>
      </w:tr>
      <w:tr w:rsidR="006A523F" w:rsidRPr="006A523F" w14:paraId="32C001C8"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EC8F87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Weighted Average Seasoning</w:t>
            </w:r>
          </w:p>
        </w:tc>
        <w:tc>
          <w:tcPr>
            <w:tcW w:w="1000" w:type="pct"/>
            <w:tcBorders>
              <w:top w:val="nil"/>
              <w:left w:val="nil"/>
              <w:bottom w:val="single" w:sz="4" w:space="0" w:color="auto"/>
              <w:right w:val="single" w:sz="4" w:space="0" w:color="auto"/>
            </w:tcBorders>
            <w:shd w:val="clear" w:color="auto" w:fill="auto"/>
            <w:vAlign w:val="bottom"/>
            <w:hideMark/>
          </w:tcPr>
          <w:p w14:paraId="0EF024B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15.55</w:t>
            </w:r>
          </w:p>
        </w:tc>
        <w:tc>
          <w:tcPr>
            <w:tcW w:w="1000" w:type="pct"/>
            <w:tcBorders>
              <w:top w:val="nil"/>
              <w:left w:val="nil"/>
              <w:bottom w:val="nil"/>
              <w:right w:val="nil"/>
            </w:tcBorders>
            <w:shd w:val="clear" w:color="auto" w:fill="auto"/>
            <w:noWrap/>
            <w:vAlign w:val="bottom"/>
            <w:hideMark/>
          </w:tcPr>
          <w:p w14:paraId="2DBCC776" w14:textId="77777777" w:rsidR="006A523F" w:rsidRPr="006A523F" w:rsidRDefault="006A523F" w:rsidP="006A523F">
            <w:pPr>
              <w:spacing w:line="240" w:lineRule="auto"/>
              <w:jc w:val="center"/>
              <w:rPr>
                <w:rFonts w:ascii="Aptos Narrow" w:hAnsi="Aptos Narrow"/>
                <w:color w:val="161518"/>
                <w:sz w:val="16"/>
                <w:szCs w:val="16"/>
                <w:lang w:val="de-DE" w:eastAsia="de-DE"/>
              </w:rPr>
            </w:pPr>
          </w:p>
        </w:tc>
        <w:tc>
          <w:tcPr>
            <w:tcW w:w="1000" w:type="pct"/>
            <w:tcBorders>
              <w:top w:val="nil"/>
              <w:left w:val="nil"/>
              <w:bottom w:val="nil"/>
              <w:right w:val="nil"/>
            </w:tcBorders>
            <w:shd w:val="clear" w:color="auto" w:fill="auto"/>
            <w:noWrap/>
            <w:vAlign w:val="bottom"/>
            <w:hideMark/>
          </w:tcPr>
          <w:p w14:paraId="3E3CCAF1" w14:textId="77777777" w:rsidR="006A523F" w:rsidRPr="006A523F" w:rsidRDefault="006A523F" w:rsidP="006A523F">
            <w:pPr>
              <w:spacing w:line="240" w:lineRule="auto"/>
              <w:jc w:val="left"/>
              <w:rPr>
                <w:rFonts w:ascii="Times New Roman" w:hAnsi="Times New Roman"/>
                <w:sz w:val="16"/>
                <w:szCs w:val="16"/>
                <w:lang w:val="de-DE" w:eastAsia="de-DE"/>
              </w:rPr>
            </w:pPr>
          </w:p>
        </w:tc>
        <w:tc>
          <w:tcPr>
            <w:tcW w:w="1000" w:type="pct"/>
            <w:tcBorders>
              <w:top w:val="nil"/>
              <w:left w:val="nil"/>
              <w:bottom w:val="nil"/>
              <w:right w:val="nil"/>
            </w:tcBorders>
            <w:shd w:val="clear" w:color="auto" w:fill="auto"/>
            <w:vAlign w:val="bottom"/>
            <w:hideMark/>
          </w:tcPr>
          <w:p w14:paraId="3D42478F" w14:textId="77777777" w:rsidR="006A523F" w:rsidRPr="006A523F" w:rsidRDefault="006A523F" w:rsidP="006A523F">
            <w:pPr>
              <w:spacing w:line="240" w:lineRule="auto"/>
              <w:jc w:val="left"/>
              <w:rPr>
                <w:rFonts w:ascii="Times New Roman" w:hAnsi="Times New Roman"/>
                <w:sz w:val="16"/>
                <w:szCs w:val="16"/>
                <w:lang w:val="de-DE" w:eastAsia="de-DE"/>
              </w:rPr>
            </w:pPr>
          </w:p>
        </w:tc>
      </w:tr>
    </w:tbl>
    <w:p w14:paraId="54837EAA" w14:textId="7ACD9B92" w:rsidR="003C771F" w:rsidRDefault="003C771F" w:rsidP="000D0E23">
      <w:pPr>
        <w:pStyle w:val="Body1"/>
      </w:pPr>
    </w:p>
    <w:p w14:paraId="3CD627B3" w14:textId="77777777" w:rsidR="003C771F" w:rsidRDefault="003C771F">
      <w:r>
        <w:br w:type="page"/>
      </w:r>
    </w:p>
    <w:p w14:paraId="19B8B7B9" w14:textId="522A36EB" w:rsidR="000D0E23" w:rsidRPr="000D0E23" w:rsidRDefault="000D0E23" w:rsidP="000D0E23">
      <w:pPr>
        <w:pStyle w:val="Body1"/>
        <w:rPr>
          <w:b/>
          <w:bCs/>
        </w:rPr>
      </w:pPr>
      <w:r>
        <w:lastRenderedPageBreak/>
        <w:t>13.</w:t>
      </w:r>
      <w:r>
        <w:tab/>
      </w:r>
      <w:r>
        <w:rPr>
          <w:b/>
          <w:bCs/>
        </w:rPr>
        <w:t>Top 20 Borrower</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0B99531B"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84CC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Top 20 Borrower</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DD5B412"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A6A1193"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230F1C5"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AB7E357"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1E94CE3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415E5C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271C311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32</w:t>
            </w:r>
          </w:p>
        </w:tc>
        <w:tc>
          <w:tcPr>
            <w:tcW w:w="1000" w:type="pct"/>
            <w:tcBorders>
              <w:top w:val="nil"/>
              <w:left w:val="nil"/>
              <w:bottom w:val="single" w:sz="4" w:space="0" w:color="auto"/>
              <w:right w:val="single" w:sz="4" w:space="0" w:color="auto"/>
            </w:tcBorders>
            <w:shd w:val="clear" w:color="auto" w:fill="auto"/>
            <w:vAlign w:val="bottom"/>
            <w:hideMark/>
          </w:tcPr>
          <w:p w14:paraId="7F945BF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0.05%</w:t>
            </w:r>
          </w:p>
        </w:tc>
        <w:tc>
          <w:tcPr>
            <w:tcW w:w="1000" w:type="pct"/>
            <w:tcBorders>
              <w:top w:val="nil"/>
              <w:left w:val="nil"/>
              <w:bottom w:val="single" w:sz="4" w:space="0" w:color="auto"/>
              <w:right w:val="single" w:sz="4" w:space="0" w:color="auto"/>
            </w:tcBorders>
            <w:shd w:val="clear" w:color="auto" w:fill="auto"/>
            <w:vAlign w:val="bottom"/>
            <w:hideMark/>
          </w:tcPr>
          <w:p w14:paraId="7998919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619,926</w:t>
            </w:r>
          </w:p>
        </w:tc>
        <w:tc>
          <w:tcPr>
            <w:tcW w:w="1000" w:type="pct"/>
            <w:tcBorders>
              <w:top w:val="nil"/>
              <w:left w:val="nil"/>
              <w:bottom w:val="single" w:sz="4" w:space="0" w:color="auto"/>
              <w:right w:val="single" w:sz="4" w:space="0" w:color="auto"/>
            </w:tcBorders>
            <w:shd w:val="clear" w:color="auto" w:fill="auto"/>
            <w:vAlign w:val="bottom"/>
            <w:hideMark/>
          </w:tcPr>
          <w:p w14:paraId="6D16CBC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0.05%</w:t>
            </w:r>
          </w:p>
        </w:tc>
      </w:tr>
      <w:tr w:rsidR="006A523F" w:rsidRPr="006A523F" w14:paraId="4FDC178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DB6DE2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w:t>
            </w:r>
          </w:p>
        </w:tc>
        <w:tc>
          <w:tcPr>
            <w:tcW w:w="1000" w:type="pct"/>
            <w:tcBorders>
              <w:top w:val="nil"/>
              <w:left w:val="nil"/>
              <w:bottom w:val="single" w:sz="4" w:space="0" w:color="auto"/>
              <w:right w:val="single" w:sz="4" w:space="0" w:color="auto"/>
            </w:tcBorders>
            <w:shd w:val="clear" w:color="auto" w:fill="auto"/>
            <w:vAlign w:val="bottom"/>
            <w:hideMark/>
          </w:tcPr>
          <w:p w14:paraId="7B7477E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w:t>
            </w:r>
          </w:p>
        </w:tc>
        <w:tc>
          <w:tcPr>
            <w:tcW w:w="1000" w:type="pct"/>
            <w:tcBorders>
              <w:top w:val="nil"/>
              <w:left w:val="nil"/>
              <w:bottom w:val="single" w:sz="4" w:space="0" w:color="auto"/>
              <w:right w:val="single" w:sz="4" w:space="0" w:color="auto"/>
            </w:tcBorders>
            <w:shd w:val="clear" w:color="auto" w:fill="auto"/>
            <w:vAlign w:val="bottom"/>
            <w:hideMark/>
          </w:tcPr>
          <w:p w14:paraId="3E28793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31BEF18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217,317</w:t>
            </w:r>
          </w:p>
        </w:tc>
        <w:tc>
          <w:tcPr>
            <w:tcW w:w="1000" w:type="pct"/>
            <w:tcBorders>
              <w:top w:val="nil"/>
              <w:left w:val="nil"/>
              <w:bottom w:val="single" w:sz="4" w:space="0" w:color="auto"/>
              <w:right w:val="single" w:sz="4" w:space="0" w:color="auto"/>
            </w:tcBorders>
            <w:shd w:val="clear" w:color="auto" w:fill="auto"/>
            <w:vAlign w:val="bottom"/>
            <w:hideMark/>
          </w:tcPr>
          <w:p w14:paraId="0545550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28EE461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98081E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w:t>
            </w:r>
          </w:p>
        </w:tc>
        <w:tc>
          <w:tcPr>
            <w:tcW w:w="1000" w:type="pct"/>
            <w:tcBorders>
              <w:top w:val="nil"/>
              <w:left w:val="nil"/>
              <w:bottom w:val="single" w:sz="4" w:space="0" w:color="auto"/>
              <w:right w:val="single" w:sz="4" w:space="0" w:color="auto"/>
            </w:tcBorders>
            <w:shd w:val="clear" w:color="auto" w:fill="auto"/>
            <w:vAlign w:val="bottom"/>
            <w:hideMark/>
          </w:tcPr>
          <w:p w14:paraId="620409D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w:t>
            </w:r>
          </w:p>
        </w:tc>
        <w:tc>
          <w:tcPr>
            <w:tcW w:w="1000" w:type="pct"/>
            <w:tcBorders>
              <w:top w:val="nil"/>
              <w:left w:val="nil"/>
              <w:bottom w:val="single" w:sz="4" w:space="0" w:color="auto"/>
              <w:right w:val="single" w:sz="4" w:space="0" w:color="auto"/>
            </w:tcBorders>
            <w:shd w:val="clear" w:color="auto" w:fill="auto"/>
            <w:vAlign w:val="bottom"/>
            <w:hideMark/>
          </w:tcPr>
          <w:p w14:paraId="4FF9E97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417EB08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206,230</w:t>
            </w:r>
          </w:p>
        </w:tc>
        <w:tc>
          <w:tcPr>
            <w:tcW w:w="1000" w:type="pct"/>
            <w:tcBorders>
              <w:top w:val="nil"/>
              <w:left w:val="nil"/>
              <w:bottom w:val="single" w:sz="4" w:space="0" w:color="auto"/>
              <w:right w:val="single" w:sz="4" w:space="0" w:color="auto"/>
            </w:tcBorders>
            <w:shd w:val="clear" w:color="auto" w:fill="auto"/>
            <w:vAlign w:val="bottom"/>
            <w:hideMark/>
          </w:tcPr>
          <w:p w14:paraId="344728A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0D7D6624"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8038A2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w:t>
            </w:r>
          </w:p>
        </w:tc>
        <w:tc>
          <w:tcPr>
            <w:tcW w:w="1000" w:type="pct"/>
            <w:tcBorders>
              <w:top w:val="nil"/>
              <w:left w:val="nil"/>
              <w:bottom w:val="single" w:sz="4" w:space="0" w:color="auto"/>
              <w:right w:val="single" w:sz="4" w:space="0" w:color="auto"/>
            </w:tcBorders>
            <w:shd w:val="clear" w:color="auto" w:fill="auto"/>
            <w:vAlign w:val="bottom"/>
            <w:hideMark/>
          </w:tcPr>
          <w:p w14:paraId="1AD854B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w:t>
            </w:r>
          </w:p>
        </w:tc>
        <w:tc>
          <w:tcPr>
            <w:tcW w:w="1000" w:type="pct"/>
            <w:tcBorders>
              <w:top w:val="nil"/>
              <w:left w:val="nil"/>
              <w:bottom w:val="single" w:sz="4" w:space="0" w:color="auto"/>
              <w:right w:val="single" w:sz="4" w:space="0" w:color="auto"/>
            </w:tcBorders>
            <w:shd w:val="clear" w:color="auto" w:fill="auto"/>
            <w:vAlign w:val="bottom"/>
            <w:hideMark/>
          </w:tcPr>
          <w:p w14:paraId="7837843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04D81C9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202,957</w:t>
            </w:r>
          </w:p>
        </w:tc>
        <w:tc>
          <w:tcPr>
            <w:tcW w:w="1000" w:type="pct"/>
            <w:tcBorders>
              <w:top w:val="nil"/>
              <w:left w:val="nil"/>
              <w:bottom w:val="single" w:sz="4" w:space="0" w:color="auto"/>
              <w:right w:val="single" w:sz="4" w:space="0" w:color="auto"/>
            </w:tcBorders>
            <w:shd w:val="clear" w:color="auto" w:fill="auto"/>
            <w:vAlign w:val="bottom"/>
            <w:hideMark/>
          </w:tcPr>
          <w:p w14:paraId="71CE2C1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7B0AA8F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EC41E2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w:t>
            </w:r>
          </w:p>
        </w:tc>
        <w:tc>
          <w:tcPr>
            <w:tcW w:w="1000" w:type="pct"/>
            <w:tcBorders>
              <w:top w:val="nil"/>
              <w:left w:val="nil"/>
              <w:bottom w:val="single" w:sz="4" w:space="0" w:color="auto"/>
              <w:right w:val="single" w:sz="4" w:space="0" w:color="auto"/>
            </w:tcBorders>
            <w:shd w:val="clear" w:color="auto" w:fill="auto"/>
            <w:vAlign w:val="bottom"/>
            <w:hideMark/>
          </w:tcPr>
          <w:p w14:paraId="64C5F5B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w:t>
            </w:r>
          </w:p>
        </w:tc>
        <w:tc>
          <w:tcPr>
            <w:tcW w:w="1000" w:type="pct"/>
            <w:tcBorders>
              <w:top w:val="nil"/>
              <w:left w:val="nil"/>
              <w:bottom w:val="single" w:sz="4" w:space="0" w:color="auto"/>
              <w:right w:val="single" w:sz="4" w:space="0" w:color="auto"/>
            </w:tcBorders>
            <w:shd w:val="clear" w:color="auto" w:fill="auto"/>
            <w:vAlign w:val="bottom"/>
            <w:hideMark/>
          </w:tcPr>
          <w:p w14:paraId="1971549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2BC7D5A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199,112</w:t>
            </w:r>
          </w:p>
        </w:tc>
        <w:tc>
          <w:tcPr>
            <w:tcW w:w="1000" w:type="pct"/>
            <w:tcBorders>
              <w:top w:val="nil"/>
              <w:left w:val="nil"/>
              <w:bottom w:val="single" w:sz="4" w:space="0" w:color="auto"/>
              <w:right w:val="single" w:sz="4" w:space="0" w:color="auto"/>
            </w:tcBorders>
            <w:shd w:val="clear" w:color="auto" w:fill="auto"/>
            <w:vAlign w:val="bottom"/>
            <w:hideMark/>
          </w:tcPr>
          <w:p w14:paraId="2C5CB14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06B553B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3001AD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w:t>
            </w:r>
          </w:p>
        </w:tc>
        <w:tc>
          <w:tcPr>
            <w:tcW w:w="1000" w:type="pct"/>
            <w:tcBorders>
              <w:top w:val="nil"/>
              <w:left w:val="nil"/>
              <w:bottom w:val="single" w:sz="4" w:space="0" w:color="auto"/>
              <w:right w:val="single" w:sz="4" w:space="0" w:color="auto"/>
            </w:tcBorders>
            <w:shd w:val="clear" w:color="auto" w:fill="auto"/>
            <w:vAlign w:val="bottom"/>
            <w:hideMark/>
          </w:tcPr>
          <w:p w14:paraId="161181B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w:t>
            </w:r>
          </w:p>
        </w:tc>
        <w:tc>
          <w:tcPr>
            <w:tcW w:w="1000" w:type="pct"/>
            <w:tcBorders>
              <w:top w:val="nil"/>
              <w:left w:val="nil"/>
              <w:bottom w:val="single" w:sz="4" w:space="0" w:color="auto"/>
              <w:right w:val="single" w:sz="4" w:space="0" w:color="auto"/>
            </w:tcBorders>
            <w:shd w:val="clear" w:color="auto" w:fill="auto"/>
            <w:vAlign w:val="bottom"/>
            <w:hideMark/>
          </w:tcPr>
          <w:p w14:paraId="38AB2A3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19806CA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195,168</w:t>
            </w:r>
          </w:p>
        </w:tc>
        <w:tc>
          <w:tcPr>
            <w:tcW w:w="1000" w:type="pct"/>
            <w:tcBorders>
              <w:top w:val="nil"/>
              <w:left w:val="nil"/>
              <w:bottom w:val="single" w:sz="4" w:space="0" w:color="auto"/>
              <w:right w:val="single" w:sz="4" w:space="0" w:color="auto"/>
            </w:tcBorders>
            <w:shd w:val="clear" w:color="auto" w:fill="auto"/>
            <w:vAlign w:val="bottom"/>
            <w:hideMark/>
          </w:tcPr>
          <w:p w14:paraId="6ED5449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5CA6B0B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559348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w:t>
            </w:r>
          </w:p>
        </w:tc>
        <w:tc>
          <w:tcPr>
            <w:tcW w:w="1000" w:type="pct"/>
            <w:tcBorders>
              <w:top w:val="nil"/>
              <w:left w:val="nil"/>
              <w:bottom w:val="single" w:sz="4" w:space="0" w:color="auto"/>
              <w:right w:val="single" w:sz="4" w:space="0" w:color="auto"/>
            </w:tcBorders>
            <w:shd w:val="clear" w:color="auto" w:fill="auto"/>
            <w:vAlign w:val="bottom"/>
            <w:hideMark/>
          </w:tcPr>
          <w:p w14:paraId="7A40D67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w:t>
            </w:r>
          </w:p>
        </w:tc>
        <w:tc>
          <w:tcPr>
            <w:tcW w:w="1000" w:type="pct"/>
            <w:tcBorders>
              <w:top w:val="nil"/>
              <w:left w:val="nil"/>
              <w:bottom w:val="single" w:sz="4" w:space="0" w:color="auto"/>
              <w:right w:val="single" w:sz="4" w:space="0" w:color="auto"/>
            </w:tcBorders>
            <w:shd w:val="clear" w:color="auto" w:fill="auto"/>
            <w:vAlign w:val="bottom"/>
            <w:hideMark/>
          </w:tcPr>
          <w:p w14:paraId="2471632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2CF4F49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190,265</w:t>
            </w:r>
          </w:p>
        </w:tc>
        <w:tc>
          <w:tcPr>
            <w:tcW w:w="1000" w:type="pct"/>
            <w:tcBorders>
              <w:top w:val="nil"/>
              <w:left w:val="nil"/>
              <w:bottom w:val="single" w:sz="4" w:space="0" w:color="auto"/>
              <w:right w:val="single" w:sz="4" w:space="0" w:color="auto"/>
            </w:tcBorders>
            <w:shd w:val="clear" w:color="auto" w:fill="auto"/>
            <w:vAlign w:val="bottom"/>
            <w:hideMark/>
          </w:tcPr>
          <w:p w14:paraId="4C57BAD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0F7531F3"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1D6B06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w:t>
            </w:r>
          </w:p>
        </w:tc>
        <w:tc>
          <w:tcPr>
            <w:tcW w:w="1000" w:type="pct"/>
            <w:tcBorders>
              <w:top w:val="nil"/>
              <w:left w:val="nil"/>
              <w:bottom w:val="single" w:sz="4" w:space="0" w:color="auto"/>
              <w:right w:val="single" w:sz="4" w:space="0" w:color="auto"/>
            </w:tcBorders>
            <w:shd w:val="clear" w:color="auto" w:fill="auto"/>
            <w:vAlign w:val="bottom"/>
            <w:hideMark/>
          </w:tcPr>
          <w:p w14:paraId="243946C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w:t>
            </w:r>
          </w:p>
        </w:tc>
        <w:tc>
          <w:tcPr>
            <w:tcW w:w="1000" w:type="pct"/>
            <w:tcBorders>
              <w:top w:val="nil"/>
              <w:left w:val="nil"/>
              <w:bottom w:val="single" w:sz="4" w:space="0" w:color="auto"/>
              <w:right w:val="single" w:sz="4" w:space="0" w:color="auto"/>
            </w:tcBorders>
            <w:shd w:val="clear" w:color="auto" w:fill="auto"/>
            <w:vAlign w:val="bottom"/>
            <w:hideMark/>
          </w:tcPr>
          <w:p w14:paraId="445D8D2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53FCCC8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188,369</w:t>
            </w:r>
          </w:p>
        </w:tc>
        <w:tc>
          <w:tcPr>
            <w:tcW w:w="1000" w:type="pct"/>
            <w:tcBorders>
              <w:top w:val="nil"/>
              <w:left w:val="nil"/>
              <w:bottom w:val="single" w:sz="4" w:space="0" w:color="auto"/>
              <w:right w:val="single" w:sz="4" w:space="0" w:color="auto"/>
            </w:tcBorders>
            <w:shd w:val="clear" w:color="auto" w:fill="auto"/>
            <w:vAlign w:val="bottom"/>
            <w:hideMark/>
          </w:tcPr>
          <w:p w14:paraId="243E920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4AAE32B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E09E01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w:t>
            </w:r>
          </w:p>
        </w:tc>
        <w:tc>
          <w:tcPr>
            <w:tcW w:w="1000" w:type="pct"/>
            <w:tcBorders>
              <w:top w:val="nil"/>
              <w:left w:val="nil"/>
              <w:bottom w:val="single" w:sz="4" w:space="0" w:color="auto"/>
              <w:right w:val="single" w:sz="4" w:space="0" w:color="auto"/>
            </w:tcBorders>
            <w:shd w:val="clear" w:color="auto" w:fill="auto"/>
            <w:vAlign w:val="bottom"/>
            <w:hideMark/>
          </w:tcPr>
          <w:p w14:paraId="7BE7922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w:t>
            </w:r>
          </w:p>
        </w:tc>
        <w:tc>
          <w:tcPr>
            <w:tcW w:w="1000" w:type="pct"/>
            <w:tcBorders>
              <w:top w:val="nil"/>
              <w:left w:val="nil"/>
              <w:bottom w:val="single" w:sz="4" w:space="0" w:color="auto"/>
              <w:right w:val="single" w:sz="4" w:space="0" w:color="auto"/>
            </w:tcBorders>
            <w:shd w:val="clear" w:color="auto" w:fill="auto"/>
            <w:vAlign w:val="bottom"/>
            <w:hideMark/>
          </w:tcPr>
          <w:p w14:paraId="7DDE9EE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60841CA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187,924</w:t>
            </w:r>
          </w:p>
        </w:tc>
        <w:tc>
          <w:tcPr>
            <w:tcW w:w="1000" w:type="pct"/>
            <w:tcBorders>
              <w:top w:val="nil"/>
              <w:left w:val="nil"/>
              <w:bottom w:val="single" w:sz="4" w:space="0" w:color="auto"/>
              <w:right w:val="single" w:sz="4" w:space="0" w:color="auto"/>
            </w:tcBorders>
            <w:shd w:val="clear" w:color="auto" w:fill="auto"/>
            <w:vAlign w:val="bottom"/>
            <w:hideMark/>
          </w:tcPr>
          <w:p w14:paraId="474C06D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7567BBA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7DCE94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w:t>
            </w:r>
          </w:p>
        </w:tc>
        <w:tc>
          <w:tcPr>
            <w:tcW w:w="1000" w:type="pct"/>
            <w:tcBorders>
              <w:top w:val="nil"/>
              <w:left w:val="nil"/>
              <w:bottom w:val="single" w:sz="4" w:space="0" w:color="auto"/>
              <w:right w:val="single" w:sz="4" w:space="0" w:color="auto"/>
            </w:tcBorders>
            <w:shd w:val="clear" w:color="auto" w:fill="auto"/>
            <w:vAlign w:val="bottom"/>
            <w:hideMark/>
          </w:tcPr>
          <w:p w14:paraId="10ED3AB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w:t>
            </w:r>
          </w:p>
        </w:tc>
        <w:tc>
          <w:tcPr>
            <w:tcW w:w="1000" w:type="pct"/>
            <w:tcBorders>
              <w:top w:val="nil"/>
              <w:left w:val="nil"/>
              <w:bottom w:val="single" w:sz="4" w:space="0" w:color="auto"/>
              <w:right w:val="single" w:sz="4" w:space="0" w:color="auto"/>
            </w:tcBorders>
            <w:shd w:val="clear" w:color="auto" w:fill="auto"/>
            <w:vAlign w:val="bottom"/>
            <w:hideMark/>
          </w:tcPr>
          <w:p w14:paraId="77F2E2C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3BF3247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187,154</w:t>
            </w:r>
          </w:p>
        </w:tc>
        <w:tc>
          <w:tcPr>
            <w:tcW w:w="1000" w:type="pct"/>
            <w:tcBorders>
              <w:top w:val="nil"/>
              <w:left w:val="nil"/>
              <w:bottom w:val="single" w:sz="4" w:space="0" w:color="auto"/>
              <w:right w:val="single" w:sz="4" w:space="0" w:color="auto"/>
            </w:tcBorders>
            <w:shd w:val="clear" w:color="auto" w:fill="auto"/>
            <w:vAlign w:val="bottom"/>
            <w:hideMark/>
          </w:tcPr>
          <w:p w14:paraId="79CAD55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7725CA2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796ED7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w:t>
            </w:r>
          </w:p>
        </w:tc>
        <w:tc>
          <w:tcPr>
            <w:tcW w:w="1000" w:type="pct"/>
            <w:tcBorders>
              <w:top w:val="nil"/>
              <w:left w:val="nil"/>
              <w:bottom w:val="single" w:sz="4" w:space="0" w:color="auto"/>
              <w:right w:val="single" w:sz="4" w:space="0" w:color="auto"/>
            </w:tcBorders>
            <w:shd w:val="clear" w:color="auto" w:fill="auto"/>
            <w:vAlign w:val="bottom"/>
            <w:hideMark/>
          </w:tcPr>
          <w:p w14:paraId="64214C3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w:t>
            </w:r>
          </w:p>
        </w:tc>
        <w:tc>
          <w:tcPr>
            <w:tcW w:w="1000" w:type="pct"/>
            <w:tcBorders>
              <w:top w:val="nil"/>
              <w:left w:val="nil"/>
              <w:bottom w:val="single" w:sz="4" w:space="0" w:color="auto"/>
              <w:right w:val="single" w:sz="4" w:space="0" w:color="auto"/>
            </w:tcBorders>
            <w:shd w:val="clear" w:color="auto" w:fill="auto"/>
            <w:vAlign w:val="bottom"/>
            <w:hideMark/>
          </w:tcPr>
          <w:p w14:paraId="6C76C81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23E6942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185,350</w:t>
            </w:r>
          </w:p>
        </w:tc>
        <w:tc>
          <w:tcPr>
            <w:tcW w:w="1000" w:type="pct"/>
            <w:tcBorders>
              <w:top w:val="nil"/>
              <w:left w:val="nil"/>
              <w:bottom w:val="single" w:sz="4" w:space="0" w:color="auto"/>
              <w:right w:val="single" w:sz="4" w:space="0" w:color="auto"/>
            </w:tcBorders>
            <w:shd w:val="clear" w:color="auto" w:fill="auto"/>
            <w:vAlign w:val="bottom"/>
            <w:hideMark/>
          </w:tcPr>
          <w:p w14:paraId="5FCDD9B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15C2FD7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FC9D68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w:t>
            </w:r>
          </w:p>
        </w:tc>
        <w:tc>
          <w:tcPr>
            <w:tcW w:w="1000" w:type="pct"/>
            <w:tcBorders>
              <w:top w:val="nil"/>
              <w:left w:val="nil"/>
              <w:bottom w:val="single" w:sz="4" w:space="0" w:color="auto"/>
              <w:right w:val="single" w:sz="4" w:space="0" w:color="auto"/>
            </w:tcBorders>
            <w:shd w:val="clear" w:color="auto" w:fill="auto"/>
            <w:vAlign w:val="bottom"/>
            <w:hideMark/>
          </w:tcPr>
          <w:p w14:paraId="7D3792B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w:t>
            </w:r>
          </w:p>
        </w:tc>
        <w:tc>
          <w:tcPr>
            <w:tcW w:w="1000" w:type="pct"/>
            <w:tcBorders>
              <w:top w:val="nil"/>
              <w:left w:val="nil"/>
              <w:bottom w:val="single" w:sz="4" w:space="0" w:color="auto"/>
              <w:right w:val="single" w:sz="4" w:space="0" w:color="auto"/>
            </w:tcBorders>
            <w:shd w:val="clear" w:color="auto" w:fill="auto"/>
            <w:vAlign w:val="bottom"/>
            <w:hideMark/>
          </w:tcPr>
          <w:p w14:paraId="5805688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6288C7D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182,518</w:t>
            </w:r>
          </w:p>
        </w:tc>
        <w:tc>
          <w:tcPr>
            <w:tcW w:w="1000" w:type="pct"/>
            <w:tcBorders>
              <w:top w:val="nil"/>
              <w:left w:val="nil"/>
              <w:bottom w:val="single" w:sz="4" w:space="0" w:color="auto"/>
              <w:right w:val="single" w:sz="4" w:space="0" w:color="auto"/>
            </w:tcBorders>
            <w:shd w:val="clear" w:color="auto" w:fill="auto"/>
            <w:vAlign w:val="bottom"/>
            <w:hideMark/>
          </w:tcPr>
          <w:p w14:paraId="3468063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25B8B4C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48197E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w:t>
            </w:r>
          </w:p>
        </w:tc>
        <w:tc>
          <w:tcPr>
            <w:tcW w:w="1000" w:type="pct"/>
            <w:tcBorders>
              <w:top w:val="nil"/>
              <w:left w:val="nil"/>
              <w:bottom w:val="single" w:sz="4" w:space="0" w:color="auto"/>
              <w:right w:val="single" w:sz="4" w:space="0" w:color="auto"/>
            </w:tcBorders>
            <w:shd w:val="clear" w:color="auto" w:fill="auto"/>
            <w:vAlign w:val="bottom"/>
            <w:hideMark/>
          </w:tcPr>
          <w:p w14:paraId="2AACD66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w:t>
            </w:r>
          </w:p>
        </w:tc>
        <w:tc>
          <w:tcPr>
            <w:tcW w:w="1000" w:type="pct"/>
            <w:tcBorders>
              <w:top w:val="nil"/>
              <w:left w:val="nil"/>
              <w:bottom w:val="single" w:sz="4" w:space="0" w:color="auto"/>
              <w:right w:val="single" w:sz="4" w:space="0" w:color="auto"/>
            </w:tcBorders>
            <w:shd w:val="clear" w:color="auto" w:fill="auto"/>
            <w:vAlign w:val="bottom"/>
            <w:hideMark/>
          </w:tcPr>
          <w:p w14:paraId="43A904E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462DFE9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180,466</w:t>
            </w:r>
          </w:p>
        </w:tc>
        <w:tc>
          <w:tcPr>
            <w:tcW w:w="1000" w:type="pct"/>
            <w:tcBorders>
              <w:top w:val="nil"/>
              <w:left w:val="nil"/>
              <w:bottom w:val="single" w:sz="4" w:space="0" w:color="auto"/>
              <w:right w:val="single" w:sz="4" w:space="0" w:color="auto"/>
            </w:tcBorders>
            <w:shd w:val="clear" w:color="auto" w:fill="auto"/>
            <w:vAlign w:val="bottom"/>
            <w:hideMark/>
          </w:tcPr>
          <w:p w14:paraId="6D8BC2A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15A5729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9FB094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w:t>
            </w:r>
          </w:p>
        </w:tc>
        <w:tc>
          <w:tcPr>
            <w:tcW w:w="1000" w:type="pct"/>
            <w:tcBorders>
              <w:top w:val="nil"/>
              <w:left w:val="nil"/>
              <w:bottom w:val="single" w:sz="4" w:space="0" w:color="auto"/>
              <w:right w:val="single" w:sz="4" w:space="0" w:color="auto"/>
            </w:tcBorders>
            <w:shd w:val="clear" w:color="auto" w:fill="auto"/>
            <w:vAlign w:val="bottom"/>
            <w:hideMark/>
          </w:tcPr>
          <w:p w14:paraId="6E9FFFB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w:t>
            </w:r>
          </w:p>
        </w:tc>
        <w:tc>
          <w:tcPr>
            <w:tcW w:w="1000" w:type="pct"/>
            <w:tcBorders>
              <w:top w:val="nil"/>
              <w:left w:val="nil"/>
              <w:bottom w:val="single" w:sz="4" w:space="0" w:color="auto"/>
              <w:right w:val="single" w:sz="4" w:space="0" w:color="auto"/>
            </w:tcBorders>
            <w:shd w:val="clear" w:color="auto" w:fill="auto"/>
            <w:vAlign w:val="bottom"/>
            <w:hideMark/>
          </w:tcPr>
          <w:p w14:paraId="0B21492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16FF150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180,199</w:t>
            </w:r>
          </w:p>
        </w:tc>
        <w:tc>
          <w:tcPr>
            <w:tcW w:w="1000" w:type="pct"/>
            <w:tcBorders>
              <w:top w:val="nil"/>
              <w:left w:val="nil"/>
              <w:bottom w:val="single" w:sz="4" w:space="0" w:color="auto"/>
              <w:right w:val="single" w:sz="4" w:space="0" w:color="auto"/>
            </w:tcBorders>
            <w:shd w:val="clear" w:color="auto" w:fill="auto"/>
            <w:vAlign w:val="bottom"/>
            <w:hideMark/>
          </w:tcPr>
          <w:p w14:paraId="52D6CDE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24EF271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7296DF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w:t>
            </w:r>
          </w:p>
        </w:tc>
        <w:tc>
          <w:tcPr>
            <w:tcW w:w="1000" w:type="pct"/>
            <w:tcBorders>
              <w:top w:val="nil"/>
              <w:left w:val="nil"/>
              <w:bottom w:val="single" w:sz="4" w:space="0" w:color="auto"/>
              <w:right w:val="single" w:sz="4" w:space="0" w:color="auto"/>
            </w:tcBorders>
            <w:shd w:val="clear" w:color="auto" w:fill="auto"/>
            <w:vAlign w:val="bottom"/>
            <w:hideMark/>
          </w:tcPr>
          <w:p w14:paraId="5B6B3F5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w:t>
            </w:r>
          </w:p>
        </w:tc>
        <w:tc>
          <w:tcPr>
            <w:tcW w:w="1000" w:type="pct"/>
            <w:tcBorders>
              <w:top w:val="nil"/>
              <w:left w:val="nil"/>
              <w:bottom w:val="single" w:sz="4" w:space="0" w:color="auto"/>
              <w:right w:val="single" w:sz="4" w:space="0" w:color="auto"/>
            </w:tcBorders>
            <w:shd w:val="clear" w:color="auto" w:fill="auto"/>
            <w:vAlign w:val="bottom"/>
            <w:hideMark/>
          </w:tcPr>
          <w:p w14:paraId="3C68E9E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1FE331B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179,736</w:t>
            </w:r>
          </w:p>
        </w:tc>
        <w:tc>
          <w:tcPr>
            <w:tcW w:w="1000" w:type="pct"/>
            <w:tcBorders>
              <w:top w:val="nil"/>
              <w:left w:val="nil"/>
              <w:bottom w:val="single" w:sz="4" w:space="0" w:color="auto"/>
              <w:right w:val="single" w:sz="4" w:space="0" w:color="auto"/>
            </w:tcBorders>
            <w:shd w:val="clear" w:color="auto" w:fill="auto"/>
            <w:vAlign w:val="bottom"/>
            <w:hideMark/>
          </w:tcPr>
          <w:p w14:paraId="69F6322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5AB71E7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5BB48D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w:t>
            </w:r>
          </w:p>
        </w:tc>
        <w:tc>
          <w:tcPr>
            <w:tcW w:w="1000" w:type="pct"/>
            <w:tcBorders>
              <w:top w:val="nil"/>
              <w:left w:val="nil"/>
              <w:bottom w:val="single" w:sz="4" w:space="0" w:color="auto"/>
              <w:right w:val="single" w:sz="4" w:space="0" w:color="auto"/>
            </w:tcBorders>
            <w:shd w:val="clear" w:color="auto" w:fill="auto"/>
            <w:vAlign w:val="bottom"/>
            <w:hideMark/>
          </w:tcPr>
          <w:p w14:paraId="7CE53AE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w:t>
            </w:r>
          </w:p>
        </w:tc>
        <w:tc>
          <w:tcPr>
            <w:tcW w:w="1000" w:type="pct"/>
            <w:tcBorders>
              <w:top w:val="nil"/>
              <w:left w:val="nil"/>
              <w:bottom w:val="single" w:sz="4" w:space="0" w:color="auto"/>
              <w:right w:val="single" w:sz="4" w:space="0" w:color="auto"/>
            </w:tcBorders>
            <w:shd w:val="clear" w:color="auto" w:fill="auto"/>
            <w:vAlign w:val="bottom"/>
            <w:hideMark/>
          </w:tcPr>
          <w:p w14:paraId="011102D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04A5B23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177,089</w:t>
            </w:r>
          </w:p>
        </w:tc>
        <w:tc>
          <w:tcPr>
            <w:tcW w:w="1000" w:type="pct"/>
            <w:tcBorders>
              <w:top w:val="nil"/>
              <w:left w:val="nil"/>
              <w:bottom w:val="single" w:sz="4" w:space="0" w:color="auto"/>
              <w:right w:val="single" w:sz="4" w:space="0" w:color="auto"/>
            </w:tcBorders>
            <w:shd w:val="clear" w:color="auto" w:fill="auto"/>
            <w:vAlign w:val="bottom"/>
            <w:hideMark/>
          </w:tcPr>
          <w:p w14:paraId="63B2BAD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4397F064"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E195B1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w:t>
            </w:r>
          </w:p>
        </w:tc>
        <w:tc>
          <w:tcPr>
            <w:tcW w:w="1000" w:type="pct"/>
            <w:tcBorders>
              <w:top w:val="nil"/>
              <w:left w:val="nil"/>
              <w:bottom w:val="single" w:sz="4" w:space="0" w:color="auto"/>
              <w:right w:val="single" w:sz="4" w:space="0" w:color="auto"/>
            </w:tcBorders>
            <w:shd w:val="clear" w:color="auto" w:fill="auto"/>
            <w:vAlign w:val="bottom"/>
            <w:hideMark/>
          </w:tcPr>
          <w:p w14:paraId="6DC8EF6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w:t>
            </w:r>
          </w:p>
        </w:tc>
        <w:tc>
          <w:tcPr>
            <w:tcW w:w="1000" w:type="pct"/>
            <w:tcBorders>
              <w:top w:val="nil"/>
              <w:left w:val="nil"/>
              <w:bottom w:val="single" w:sz="4" w:space="0" w:color="auto"/>
              <w:right w:val="single" w:sz="4" w:space="0" w:color="auto"/>
            </w:tcBorders>
            <w:shd w:val="clear" w:color="auto" w:fill="auto"/>
            <w:vAlign w:val="bottom"/>
            <w:hideMark/>
          </w:tcPr>
          <w:p w14:paraId="50951F0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03D43CD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176,732</w:t>
            </w:r>
          </w:p>
        </w:tc>
        <w:tc>
          <w:tcPr>
            <w:tcW w:w="1000" w:type="pct"/>
            <w:tcBorders>
              <w:top w:val="nil"/>
              <w:left w:val="nil"/>
              <w:bottom w:val="single" w:sz="4" w:space="0" w:color="auto"/>
              <w:right w:val="single" w:sz="4" w:space="0" w:color="auto"/>
            </w:tcBorders>
            <w:shd w:val="clear" w:color="auto" w:fill="auto"/>
            <w:vAlign w:val="bottom"/>
            <w:hideMark/>
          </w:tcPr>
          <w:p w14:paraId="002FC4A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5170655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6EE0F3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w:t>
            </w:r>
          </w:p>
        </w:tc>
        <w:tc>
          <w:tcPr>
            <w:tcW w:w="1000" w:type="pct"/>
            <w:tcBorders>
              <w:top w:val="nil"/>
              <w:left w:val="nil"/>
              <w:bottom w:val="single" w:sz="4" w:space="0" w:color="auto"/>
              <w:right w:val="single" w:sz="4" w:space="0" w:color="auto"/>
            </w:tcBorders>
            <w:shd w:val="clear" w:color="auto" w:fill="auto"/>
            <w:vAlign w:val="bottom"/>
            <w:hideMark/>
          </w:tcPr>
          <w:p w14:paraId="65CB500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w:t>
            </w:r>
          </w:p>
        </w:tc>
        <w:tc>
          <w:tcPr>
            <w:tcW w:w="1000" w:type="pct"/>
            <w:tcBorders>
              <w:top w:val="nil"/>
              <w:left w:val="nil"/>
              <w:bottom w:val="single" w:sz="4" w:space="0" w:color="auto"/>
              <w:right w:val="single" w:sz="4" w:space="0" w:color="auto"/>
            </w:tcBorders>
            <w:shd w:val="clear" w:color="auto" w:fill="auto"/>
            <w:vAlign w:val="bottom"/>
            <w:hideMark/>
          </w:tcPr>
          <w:p w14:paraId="43CA179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3AF745F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175,403</w:t>
            </w:r>
          </w:p>
        </w:tc>
        <w:tc>
          <w:tcPr>
            <w:tcW w:w="1000" w:type="pct"/>
            <w:tcBorders>
              <w:top w:val="nil"/>
              <w:left w:val="nil"/>
              <w:bottom w:val="single" w:sz="4" w:space="0" w:color="auto"/>
              <w:right w:val="single" w:sz="4" w:space="0" w:color="auto"/>
            </w:tcBorders>
            <w:shd w:val="clear" w:color="auto" w:fill="auto"/>
            <w:vAlign w:val="bottom"/>
            <w:hideMark/>
          </w:tcPr>
          <w:p w14:paraId="3B44976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7119890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FEC932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w:t>
            </w:r>
          </w:p>
        </w:tc>
        <w:tc>
          <w:tcPr>
            <w:tcW w:w="1000" w:type="pct"/>
            <w:tcBorders>
              <w:top w:val="nil"/>
              <w:left w:val="nil"/>
              <w:bottom w:val="single" w:sz="4" w:space="0" w:color="auto"/>
              <w:right w:val="single" w:sz="4" w:space="0" w:color="auto"/>
            </w:tcBorders>
            <w:shd w:val="clear" w:color="auto" w:fill="auto"/>
            <w:vAlign w:val="bottom"/>
            <w:hideMark/>
          </w:tcPr>
          <w:p w14:paraId="11D6CD4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w:t>
            </w:r>
          </w:p>
        </w:tc>
        <w:tc>
          <w:tcPr>
            <w:tcW w:w="1000" w:type="pct"/>
            <w:tcBorders>
              <w:top w:val="nil"/>
              <w:left w:val="nil"/>
              <w:bottom w:val="single" w:sz="4" w:space="0" w:color="auto"/>
              <w:right w:val="single" w:sz="4" w:space="0" w:color="auto"/>
            </w:tcBorders>
            <w:shd w:val="clear" w:color="auto" w:fill="auto"/>
            <w:vAlign w:val="bottom"/>
            <w:hideMark/>
          </w:tcPr>
          <w:p w14:paraId="788E3C3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03A9DE6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171,211</w:t>
            </w:r>
          </w:p>
        </w:tc>
        <w:tc>
          <w:tcPr>
            <w:tcW w:w="1000" w:type="pct"/>
            <w:tcBorders>
              <w:top w:val="nil"/>
              <w:left w:val="nil"/>
              <w:bottom w:val="single" w:sz="4" w:space="0" w:color="auto"/>
              <w:right w:val="single" w:sz="4" w:space="0" w:color="auto"/>
            </w:tcBorders>
            <w:shd w:val="clear" w:color="auto" w:fill="auto"/>
            <w:vAlign w:val="bottom"/>
            <w:hideMark/>
          </w:tcPr>
          <w:p w14:paraId="26C5109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6FF3CBED"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BA9CEA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w:t>
            </w:r>
          </w:p>
        </w:tc>
        <w:tc>
          <w:tcPr>
            <w:tcW w:w="1000" w:type="pct"/>
            <w:tcBorders>
              <w:top w:val="nil"/>
              <w:left w:val="nil"/>
              <w:bottom w:val="single" w:sz="4" w:space="0" w:color="auto"/>
              <w:right w:val="single" w:sz="4" w:space="0" w:color="auto"/>
            </w:tcBorders>
            <w:shd w:val="clear" w:color="auto" w:fill="auto"/>
            <w:vAlign w:val="bottom"/>
            <w:hideMark/>
          </w:tcPr>
          <w:p w14:paraId="3C695D5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w:t>
            </w:r>
          </w:p>
        </w:tc>
        <w:tc>
          <w:tcPr>
            <w:tcW w:w="1000" w:type="pct"/>
            <w:tcBorders>
              <w:top w:val="nil"/>
              <w:left w:val="nil"/>
              <w:bottom w:val="single" w:sz="4" w:space="0" w:color="auto"/>
              <w:right w:val="single" w:sz="4" w:space="0" w:color="auto"/>
            </w:tcBorders>
            <w:shd w:val="clear" w:color="auto" w:fill="auto"/>
            <w:vAlign w:val="bottom"/>
            <w:hideMark/>
          </w:tcPr>
          <w:p w14:paraId="312EC4D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6A4378E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170,937</w:t>
            </w:r>
          </w:p>
        </w:tc>
        <w:tc>
          <w:tcPr>
            <w:tcW w:w="1000" w:type="pct"/>
            <w:tcBorders>
              <w:top w:val="nil"/>
              <w:left w:val="nil"/>
              <w:bottom w:val="single" w:sz="4" w:space="0" w:color="auto"/>
              <w:right w:val="single" w:sz="4" w:space="0" w:color="auto"/>
            </w:tcBorders>
            <w:shd w:val="clear" w:color="auto" w:fill="auto"/>
            <w:vAlign w:val="bottom"/>
            <w:hideMark/>
          </w:tcPr>
          <w:p w14:paraId="3982F4B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3C85C2E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6E3380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Other</w:t>
            </w:r>
          </w:p>
        </w:tc>
        <w:tc>
          <w:tcPr>
            <w:tcW w:w="1000" w:type="pct"/>
            <w:tcBorders>
              <w:top w:val="nil"/>
              <w:left w:val="nil"/>
              <w:bottom w:val="single" w:sz="4" w:space="0" w:color="auto"/>
              <w:right w:val="single" w:sz="4" w:space="0" w:color="auto"/>
            </w:tcBorders>
            <w:shd w:val="clear" w:color="auto" w:fill="auto"/>
            <w:vAlign w:val="bottom"/>
            <w:hideMark/>
          </w:tcPr>
          <w:p w14:paraId="05EA861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66,248</w:t>
            </w:r>
          </w:p>
        </w:tc>
        <w:tc>
          <w:tcPr>
            <w:tcW w:w="1000" w:type="pct"/>
            <w:tcBorders>
              <w:top w:val="nil"/>
              <w:left w:val="nil"/>
              <w:bottom w:val="single" w:sz="4" w:space="0" w:color="auto"/>
              <w:right w:val="single" w:sz="4" w:space="0" w:color="auto"/>
            </w:tcBorders>
            <w:shd w:val="clear" w:color="auto" w:fill="auto"/>
            <w:vAlign w:val="bottom"/>
            <w:hideMark/>
          </w:tcPr>
          <w:p w14:paraId="112811A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99.68%</w:t>
            </w:r>
          </w:p>
        </w:tc>
        <w:tc>
          <w:tcPr>
            <w:tcW w:w="1000" w:type="pct"/>
            <w:tcBorders>
              <w:top w:val="nil"/>
              <w:left w:val="nil"/>
              <w:bottom w:val="single" w:sz="4" w:space="0" w:color="auto"/>
              <w:right w:val="single" w:sz="4" w:space="0" w:color="auto"/>
            </w:tcBorders>
            <w:shd w:val="clear" w:color="auto" w:fill="auto"/>
            <w:vAlign w:val="bottom"/>
            <w:hideMark/>
          </w:tcPr>
          <w:p w14:paraId="493AFF7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1,235,822,987</w:t>
            </w:r>
          </w:p>
        </w:tc>
        <w:tc>
          <w:tcPr>
            <w:tcW w:w="1000" w:type="pct"/>
            <w:tcBorders>
              <w:top w:val="nil"/>
              <w:left w:val="nil"/>
              <w:bottom w:val="single" w:sz="4" w:space="0" w:color="auto"/>
              <w:right w:val="single" w:sz="4" w:space="0" w:color="auto"/>
            </w:tcBorders>
            <w:shd w:val="clear" w:color="auto" w:fill="auto"/>
            <w:vAlign w:val="bottom"/>
            <w:hideMark/>
          </w:tcPr>
          <w:p w14:paraId="7766C44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99.66%</w:t>
            </w:r>
          </w:p>
        </w:tc>
      </w:tr>
      <w:tr w:rsidR="006A523F" w:rsidRPr="006A523F" w14:paraId="4C7025C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292AE05"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002AE61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08C8AB3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100.00%</w:t>
            </w:r>
          </w:p>
        </w:tc>
        <w:tc>
          <w:tcPr>
            <w:tcW w:w="1000" w:type="pct"/>
            <w:tcBorders>
              <w:top w:val="nil"/>
              <w:left w:val="nil"/>
              <w:bottom w:val="single" w:sz="4" w:space="0" w:color="auto"/>
              <w:right w:val="single" w:sz="4" w:space="0" w:color="auto"/>
            </w:tcBorders>
            <w:shd w:val="clear" w:color="auto" w:fill="auto"/>
            <w:vAlign w:val="bottom"/>
            <w:hideMark/>
          </w:tcPr>
          <w:p w14:paraId="155C0CD6"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076518A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100.00%</w:t>
            </w:r>
          </w:p>
        </w:tc>
      </w:tr>
    </w:tbl>
    <w:p w14:paraId="5AB9D41E" w14:textId="4CB00384" w:rsidR="003C771F" w:rsidRDefault="003C771F" w:rsidP="000D0E23">
      <w:pPr>
        <w:pStyle w:val="Body1"/>
      </w:pPr>
    </w:p>
    <w:p w14:paraId="48159DAD" w14:textId="01CFC18B" w:rsidR="000D0E23" w:rsidRDefault="000D0E23" w:rsidP="000D0E23">
      <w:pPr>
        <w:pStyle w:val="Body1"/>
      </w:pPr>
      <w:r>
        <w:t>14.</w:t>
      </w:r>
      <w:r>
        <w:tab/>
      </w:r>
      <w:r w:rsidRPr="000D0E23">
        <w:rPr>
          <w:b/>
          <w:bCs/>
        </w:rPr>
        <w:t>RV Exposure by Maturity Quarter</w:t>
      </w:r>
    </w:p>
    <w:tbl>
      <w:tblPr>
        <w:tblW w:w="5000" w:type="pct"/>
        <w:tblLayout w:type="fixed"/>
        <w:tblCellMar>
          <w:left w:w="70" w:type="dxa"/>
          <w:right w:w="70" w:type="dxa"/>
        </w:tblCellMar>
        <w:tblLook w:val="04A0" w:firstRow="1" w:lastRow="0" w:firstColumn="1" w:lastColumn="0" w:noHBand="0" w:noVBand="1"/>
      </w:tblPr>
      <w:tblGrid>
        <w:gridCol w:w="2690"/>
        <w:gridCol w:w="1984"/>
        <w:gridCol w:w="765"/>
        <w:gridCol w:w="1812"/>
        <w:gridCol w:w="1810"/>
      </w:tblGrid>
      <w:tr w:rsidR="006A523F" w:rsidRPr="006A523F" w14:paraId="4CD150C6" w14:textId="77777777" w:rsidTr="006A523F">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02ECB" w14:textId="77777777" w:rsidR="006A523F" w:rsidRPr="00CB16CF" w:rsidRDefault="006A523F" w:rsidP="006A523F">
            <w:pPr>
              <w:spacing w:line="240" w:lineRule="auto"/>
              <w:jc w:val="center"/>
              <w:rPr>
                <w:rFonts w:ascii="Aptos Narrow" w:hAnsi="Aptos Narrow"/>
                <w:b/>
                <w:bCs/>
                <w:sz w:val="14"/>
                <w:szCs w:val="14"/>
                <w:lang w:val="en-US" w:eastAsia="de-DE"/>
              </w:rPr>
            </w:pPr>
            <w:r w:rsidRPr="00CB16CF">
              <w:rPr>
                <w:rFonts w:ascii="Aptos Narrow" w:hAnsi="Aptos Narrow"/>
                <w:b/>
                <w:bCs/>
                <w:sz w:val="14"/>
                <w:szCs w:val="14"/>
                <w:lang w:val="en-US" w:eastAsia="de-DE"/>
              </w:rPr>
              <w:t>RV Exposure by Maturity Quarter</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142018BC"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Number of Leases</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2E61A8DC"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397BB1D"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RV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EF23469"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of Total</w:t>
            </w:r>
          </w:p>
        </w:tc>
      </w:tr>
      <w:tr w:rsidR="006A523F" w:rsidRPr="006A523F" w14:paraId="20BBDCE8"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1514915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Q3 2025</w:t>
            </w:r>
          </w:p>
        </w:tc>
        <w:tc>
          <w:tcPr>
            <w:tcW w:w="1095" w:type="pct"/>
            <w:tcBorders>
              <w:top w:val="nil"/>
              <w:left w:val="nil"/>
              <w:bottom w:val="single" w:sz="4" w:space="0" w:color="auto"/>
              <w:right w:val="single" w:sz="4" w:space="0" w:color="auto"/>
            </w:tcBorders>
            <w:shd w:val="clear" w:color="auto" w:fill="auto"/>
            <w:vAlign w:val="bottom"/>
            <w:hideMark/>
          </w:tcPr>
          <w:p w14:paraId="5118DFDE"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w:t>
            </w:r>
          </w:p>
        </w:tc>
        <w:tc>
          <w:tcPr>
            <w:tcW w:w="422" w:type="pct"/>
            <w:tcBorders>
              <w:top w:val="nil"/>
              <w:left w:val="nil"/>
              <w:bottom w:val="single" w:sz="4" w:space="0" w:color="auto"/>
              <w:right w:val="single" w:sz="4" w:space="0" w:color="auto"/>
            </w:tcBorders>
            <w:shd w:val="clear" w:color="auto" w:fill="auto"/>
            <w:vAlign w:val="bottom"/>
            <w:hideMark/>
          </w:tcPr>
          <w:p w14:paraId="42512E0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3F5E947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10,817</w:t>
            </w:r>
          </w:p>
        </w:tc>
        <w:tc>
          <w:tcPr>
            <w:tcW w:w="1000" w:type="pct"/>
            <w:tcBorders>
              <w:top w:val="nil"/>
              <w:left w:val="nil"/>
              <w:bottom w:val="single" w:sz="4" w:space="0" w:color="auto"/>
              <w:right w:val="single" w:sz="4" w:space="0" w:color="auto"/>
            </w:tcBorders>
            <w:shd w:val="clear" w:color="auto" w:fill="auto"/>
            <w:vAlign w:val="bottom"/>
            <w:hideMark/>
          </w:tcPr>
          <w:p w14:paraId="2A7334C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0.00%</w:t>
            </w:r>
          </w:p>
        </w:tc>
      </w:tr>
      <w:tr w:rsidR="006A523F" w:rsidRPr="006A523F" w14:paraId="031F4A1C"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62166F5E"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Q4 2025</w:t>
            </w:r>
          </w:p>
        </w:tc>
        <w:tc>
          <w:tcPr>
            <w:tcW w:w="1095" w:type="pct"/>
            <w:tcBorders>
              <w:top w:val="nil"/>
              <w:left w:val="nil"/>
              <w:bottom w:val="single" w:sz="4" w:space="0" w:color="auto"/>
              <w:right w:val="single" w:sz="4" w:space="0" w:color="auto"/>
            </w:tcBorders>
            <w:shd w:val="clear" w:color="auto" w:fill="auto"/>
            <w:vAlign w:val="bottom"/>
            <w:hideMark/>
          </w:tcPr>
          <w:p w14:paraId="11BB671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939</w:t>
            </w:r>
          </w:p>
        </w:tc>
        <w:tc>
          <w:tcPr>
            <w:tcW w:w="422" w:type="pct"/>
            <w:tcBorders>
              <w:top w:val="nil"/>
              <w:left w:val="nil"/>
              <w:bottom w:val="single" w:sz="4" w:space="0" w:color="auto"/>
              <w:right w:val="single" w:sz="4" w:space="0" w:color="auto"/>
            </w:tcBorders>
            <w:shd w:val="clear" w:color="auto" w:fill="auto"/>
            <w:vAlign w:val="bottom"/>
            <w:hideMark/>
          </w:tcPr>
          <w:p w14:paraId="5D6F373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1.41%</w:t>
            </w:r>
          </w:p>
        </w:tc>
        <w:tc>
          <w:tcPr>
            <w:tcW w:w="1000" w:type="pct"/>
            <w:tcBorders>
              <w:top w:val="nil"/>
              <w:left w:val="nil"/>
              <w:bottom w:val="single" w:sz="4" w:space="0" w:color="auto"/>
              <w:right w:val="single" w:sz="4" w:space="0" w:color="auto"/>
            </w:tcBorders>
            <w:shd w:val="clear" w:color="auto" w:fill="auto"/>
            <w:vAlign w:val="bottom"/>
            <w:hideMark/>
          </w:tcPr>
          <w:p w14:paraId="0EA74DD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12,161,045</w:t>
            </w:r>
          </w:p>
        </w:tc>
        <w:tc>
          <w:tcPr>
            <w:tcW w:w="1000" w:type="pct"/>
            <w:tcBorders>
              <w:top w:val="nil"/>
              <w:left w:val="nil"/>
              <w:bottom w:val="single" w:sz="4" w:space="0" w:color="auto"/>
              <w:right w:val="single" w:sz="4" w:space="0" w:color="auto"/>
            </w:tcBorders>
            <w:shd w:val="clear" w:color="auto" w:fill="auto"/>
            <w:vAlign w:val="bottom"/>
            <w:hideMark/>
          </w:tcPr>
          <w:p w14:paraId="43613446"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1.26%</w:t>
            </w:r>
          </w:p>
        </w:tc>
      </w:tr>
      <w:tr w:rsidR="006A523F" w:rsidRPr="006A523F" w14:paraId="4771AED1"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626ABE2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Q1 2026</w:t>
            </w:r>
          </w:p>
        </w:tc>
        <w:tc>
          <w:tcPr>
            <w:tcW w:w="1095" w:type="pct"/>
            <w:tcBorders>
              <w:top w:val="nil"/>
              <w:left w:val="nil"/>
              <w:bottom w:val="single" w:sz="4" w:space="0" w:color="auto"/>
              <w:right w:val="single" w:sz="4" w:space="0" w:color="auto"/>
            </w:tcBorders>
            <w:shd w:val="clear" w:color="auto" w:fill="auto"/>
            <w:vAlign w:val="bottom"/>
            <w:hideMark/>
          </w:tcPr>
          <w:p w14:paraId="340CED6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3,195</w:t>
            </w:r>
          </w:p>
        </w:tc>
        <w:tc>
          <w:tcPr>
            <w:tcW w:w="422" w:type="pct"/>
            <w:tcBorders>
              <w:top w:val="nil"/>
              <w:left w:val="nil"/>
              <w:bottom w:val="single" w:sz="4" w:space="0" w:color="auto"/>
              <w:right w:val="single" w:sz="4" w:space="0" w:color="auto"/>
            </w:tcBorders>
            <w:shd w:val="clear" w:color="auto" w:fill="auto"/>
            <w:vAlign w:val="bottom"/>
            <w:hideMark/>
          </w:tcPr>
          <w:p w14:paraId="6EFC6B19"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4.81%</w:t>
            </w:r>
          </w:p>
        </w:tc>
        <w:tc>
          <w:tcPr>
            <w:tcW w:w="1000" w:type="pct"/>
            <w:tcBorders>
              <w:top w:val="nil"/>
              <w:left w:val="nil"/>
              <w:bottom w:val="single" w:sz="4" w:space="0" w:color="auto"/>
              <w:right w:val="single" w:sz="4" w:space="0" w:color="auto"/>
            </w:tcBorders>
            <w:shd w:val="clear" w:color="auto" w:fill="auto"/>
            <w:vAlign w:val="bottom"/>
            <w:hideMark/>
          </w:tcPr>
          <w:p w14:paraId="64A5806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45,659,963</w:t>
            </w:r>
          </w:p>
        </w:tc>
        <w:tc>
          <w:tcPr>
            <w:tcW w:w="1000" w:type="pct"/>
            <w:tcBorders>
              <w:top w:val="nil"/>
              <w:left w:val="nil"/>
              <w:bottom w:val="single" w:sz="4" w:space="0" w:color="auto"/>
              <w:right w:val="single" w:sz="4" w:space="0" w:color="auto"/>
            </w:tcBorders>
            <w:shd w:val="clear" w:color="auto" w:fill="auto"/>
            <w:vAlign w:val="bottom"/>
            <w:hideMark/>
          </w:tcPr>
          <w:p w14:paraId="3C3B3BC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4.72%</w:t>
            </w:r>
          </w:p>
        </w:tc>
      </w:tr>
      <w:tr w:rsidR="006A523F" w:rsidRPr="006A523F" w14:paraId="5D5D7EBE"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6F4C5A1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Q2 2026</w:t>
            </w:r>
          </w:p>
        </w:tc>
        <w:tc>
          <w:tcPr>
            <w:tcW w:w="1095" w:type="pct"/>
            <w:tcBorders>
              <w:top w:val="nil"/>
              <w:left w:val="nil"/>
              <w:bottom w:val="single" w:sz="4" w:space="0" w:color="auto"/>
              <w:right w:val="single" w:sz="4" w:space="0" w:color="auto"/>
            </w:tcBorders>
            <w:shd w:val="clear" w:color="auto" w:fill="auto"/>
            <w:vAlign w:val="bottom"/>
            <w:hideMark/>
          </w:tcPr>
          <w:p w14:paraId="5F2A3B1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5,108</w:t>
            </w:r>
          </w:p>
        </w:tc>
        <w:tc>
          <w:tcPr>
            <w:tcW w:w="422" w:type="pct"/>
            <w:tcBorders>
              <w:top w:val="nil"/>
              <w:left w:val="nil"/>
              <w:bottom w:val="single" w:sz="4" w:space="0" w:color="auto"/>
              <w:right w:val="single" w:sz="4" w:space="0" w:color="auto"/>
            </w:tcBorders>
            <w:shd w:val="clear" w:color="auto" w:fill="auto"/>
            <w:vAlign w:val="bottom"/>
            <w:hideMark/>
          </w:tcPr>
          <w:p w14:paraId="7228D2E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7.69%</w:t>
            </w:r>
          </w:p>
        </w:tc>
        <w:tc>
          <w:tcPr>
            <w:tcW w:w="1000" w:type="pct"/>
            <w:tcBorders>
              <w:top w:val="nil"/>
              <w:left w:val="nil"/>
              <w:bottom w:val="single" w:sz="4" w:space="0" w:color="auto"/>
              <w:right w:val="single" w:sz="4" w:space="0" w:color="auto"/>
            </w:tcBorders>
            <w:shd w:val="clear" w:color="auto" w:fill="auto"/>
            <w:vAlign w:val="bottom"/>
            <w:hideMark/>
          </w:tcPr>
          <w:p w14:paraId="23304FC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73,969,200</w:t>
            </w:r>
          </w:p>
        </w:tc>
        <w:tc>
          <w:tcPr>
            <w:tcW w:w="1000" w:type="pct"/>
            <w:tcBorders>
              <w:top w:val="nil"/>
              <w:left w:val="nil"/>
              <w:bottom w:val="single" w:sz="4" w:space="0" w:color="auto"/>
              <w:right w:val="single" w:sz="4" w:space="0" w:color="auto"/>
            </w:tcBorders>
            <w:shd w:val="clear" w:color="auto" w:fill="auto"/>
            <w:vAlign w:val="bottom"/>
            <w:hideMark/>
          </w:tcPr>
          <w:p w14:paraId="0F702C3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7.65%</w:t>
            </w:r>
          </w:p>
        </w:tc>
      </w:tr>
      <w:tr w:rsidR="006A523F" w:rsidRPr="006A523F" w14:paraId="1112FDEE"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66D41869"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Q3 2026</w:t>
            </w:r>
          </w:p>
        </w:tc>
        <w:tc>
          <w:tcPr>
            <w:tcW w:w="1095" w:type="pct"/>
            <w:tcBorders>
              <w:top w:val="nil"/>
              <w:left w:val="nil"/>
              <w:bottom w:val="single" w:sz="4" w:space="0" w:color="auto"/>
              <w:right w:val="single" w:sz="4" w:space="0" w:color="auto"/>
            </w:tcBorders>
            <w:shd w:val="clear" w:color="auto" w:fill="auto"/>
            <w:vAlign w:val="bottom"/>
            <w:hideMark/>
          </w:tcPr>
          <w:p w14:paraId="71B968B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7,017</w:t>
            </w:r>
          </w:p>
        </w:tc>
        <w:tc>
          <w:tcPr>
            <w:tcW w:w="422" w:type="pct"/>
            <w:tcBorders>
              <w:top w:val="nil"/>
              <w:left w:val="nil"/>
              <w:bottom w:val="single" w:sz="4" w:space="0" w:color="auto"/>
              <w:right w:val="single" w:sz="4" w:space="0" w:color="auto"/>
            </w:tcBorders>
            <w:shd w:val="clear" w:color="auto" w:fill="auto"/>
            <w:vAlign w:val="bottom"/>
            <w:hideMark/>
          </w:tcPr>
          <w:p w14:paraId="70F3C00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10.56%</w:t>
            </w:r>
          </w:p>
        </w:tc>
        <w:tc>
          <w:tcPr>
            <w:tcW w:w="1000" w:type="pct"/>
            <w:tcBorders>
              <w:top w:val="nil"/>
              <w:left w:val="nil"/>
              <w:bottom w:val="single" w:sz="4" w:space="0" w:color="auto"/>
              <w:right w:val="single" w:sz="4" w:space="0" w:color="auto"/>
            </w:tcBorders>
            <w:shd w:val="clear" w:color="auto" w:fill="auto"/>
            <w:vAlign w:val="bottom"/>
            <w:hideMark/>
          </w:tcPr>
          <w:p w14:paraId="521B7EC6"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102,770,850</w:t>
            </w:r>
          </w:p>
        </w:tc>
        <w:tc>
          <w:tcPr>
            <w:tcW w:w="1000" w:type="pct"/>
            <w:tcBorders>
              <w:top w:val="nil"/>
              <w:left w:val="nil"/>
              <w:bottom w:val="single" w:sz="4" w:space="0" w:color="auto"/>
              <w:right w:val="single" w:sz="4" w:space="0" w:color="auto"/>
            </w:tcBorders>
            <w:shd w:val="clear" w:color="auto" w:fill="auto"/>
            <w:vAlign w:val="bottom"/>
            <w:hideMark/>
          </w:tcPr>
          <w:p w14:paraId="03DB59D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10.62%</w:t>
            </w:r>
          </w:p>
        </w:tc>
      </w:tr>
      <w:tr w:rsidR="006A523F" w:rsidRPr="006A523F" w14:paraId="66522D1B"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20A43EF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Q4 2026</w:t>
            </w:r>
          </w:p>
        </w:tc>
        <w:tc>
          <w:tcPr>
            <w:tcW w:w="1095" w:type="pct"/>
            <w:tcBorders>
              <w:top w:val="nil"/>
              <w:left w:val="nil"/>
              <w:bottom w:val="single" w:sz="4" w:space="0" w:color="auto"/>
              <w:right w:val="single" w:sz="4" w:space="0" w:color="auto"/>
            </w:tcBorders>
            <w:shd w:val="clear" w:color="auto" w:fill="auto"/>
            <w:vAlign w:val="bottom"/>
            <w:hideMark/>
          </w:tcPr>
          <w:p w14:paraId="5811849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7,020</w:t>
            </w:r>
          </w:p>
        </w:tc>
        <w:tc>
          <w:tcPr>
            <w:tcW w:w="422" w:type="pct"/>
            <w:tcBorders>
              <w:top w:val="nil"/>
              <w:left w:val="nil"/>
              <w:bottom w:val="single" w:sz="4" w:space="0" w:color="auto"/>
              <w:right w:val="single" w:sz="4" w:space="0" w:color="auto"/>
            </w:tcBorders>
            <w:shd w:val="clear" w:color="auto" w:fill="auto"/>
            <w:vAlign w:val="bottom"/>
            <w:hideMark/>
          </w:tcPr>
          <w:p w14:paraId="331796E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10.56%</w:t>
            </w:r>
          </w:p>
        </w:tc>
        <w:tc>
          <w:tcPr>
            <w:tcW w:w="1000" w:type="pct"/>
            <w:tcBorders>
              <w:top w:val="nil"/>
              <w:left w:val="nil"/>
              <w:bottom w:val="single" w:sz="4" w:space="0" w:color="auto"/>
              <w:right w:val="single" w:sz="4" w:space="0" w:color="auto"/>
            </w:tcBorders>
            <w:shd w:val="clear" w:color="auto" w:fill="auto"/>
            <w:vAlign w:val="bottom"/>
            <w:hideMark/>
          </w:tcPr>
          <w:p w14:paraId="2B04E8CC"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106,851,970</w:t>
            </w:r>
          </w:p>
        </w:tc>
        <w:tc>
          <w:tcPr>
            <w:tcW w:w="1000" w:type="pct"/>
            <w:tcBorders>
              <w:top w:val="nil"/>
              <w:left w:val="nil"/>
              <w:bottom w:val="single" w:sz="4" w:space="0" w:color="auto"/>
              <w:right w:val="single" w:sz="4" w:space="0" w:color="auto"/>
            </w:tcBorders>
            <w:shd w:val="clear" w:color="auto" w:fill="auto"/>
            <w:vAlign w:val="bottom"/>
            <w:hideMark/>
          </w:tcPr>
          <w:p w14:paraId="76639B8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11.05%</w:t>
            </w:r>
          </w:p>
        </w:tc>
      </w:tr>
      <w:tr w:rsidR="006A523F" w:rsidRPr="006A523F" w14:paraId="29C858E4"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7999654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Q1 2027</w:t>
            </w:r>
          </w:p>
        </w:tc>
        <w:tc>
          <w:tcPr>
            <w:tcW w:w="1095" w:type="pct"/>
            <w:tcBorders>
              <w:top w:val="nil"/>
              <w:left w:val="nil"/>
              <w:bottom w:val="single" w:sz="4" w:space="0" w:color="auto"/>
              <w:right w:val="single" w:sz="4" w:space="0" w:color="auto"/>
            </w:tcBorders>
            <w:shd w:val="clear" w:color="auto" w:fill="auto"/>
            <w:vAlign w:val="bottom"/>
            <w:hideMark/>
          </w:tcPr>
          <w:p w14:paraId="0CD0753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7,195</w:t>
            </w:r>
          </w:p>
        </w:tc>
        <w:tc>
          <w:tcPr>
            <w:tcW w:w="422" w:type="pct"/>
            <w:tcBorders>
              <w:top w:val="nil"/>
              <w:left w:val="nil"/>
              <w:bottom w:val="single" w:sz="4" w:space="0" w:color="auto"/>
              <w:right w:val="single" w:sz="4" w:space="0" w:color="auto"/>
            </w:tcBorders>
            <w:shd w:val="clear" w:color="auto" w:fill="auto"/>
            <w:vAlign w:val="bottom"/>
            <w:hideMark/>
          </w:tcPr>
          <w:p w14:paraId="342EBAF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10.83%</w:t>
            </w:r>
          </w:p>
        </w:tc>
        <w:tc>
          <w:tcPr>
            <w:tcW w:w="1000" w:type="pct"/>
            <w:tcBorders>
              <w:top w:val="nil"/>
              <w:left w:val="nil"/>
              <w:bottom w:val="single" w:sz="4" w:space="0" w:color="auto"/>
              <w:right w:val="single" w:sz="4" w:space="0" w:color="auto"/>
            </w:tcBorders>
            <w:shd w:val="clear" w:color="auto" w:fill="auto"/>
            <w:vAlign w:val="bottom"/>
            <w:hideMark/>
          </w:tcPr>
          <w:p w14:paraId="7FC68D3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108,258,865</w:t>
            </w:r>
          </w:p>
        </w:tc>
        <w:tc>
          <w:tcPr>
            <w:tcW w:w="1000" w:type="pct"/>
            <w:tcBorders>
              <w:top w:val="nil"/>
              <w:left w:val="nil"/>
              <w:bottom w:val="single" w:sz="4" w:space="0" w:color="auto"/>
              <w:right w:val="single" w:sz="4" w:space="0" w:color="auto"/>
            </w:tcBorders>
            <w:shd w:val="clear" w:color="auto" w:fill="auto"/>
            <w:vAlign w:val="bottom"/>
            <w:hideMark/>
          </w:tcPr>
          <w:p w14:paraId="7F242C6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11.19%</w:t>
            </w:r>
          </w:p>
        </w:tc>
      </w:tr>
      <w:tr w:rsidR="006A523F" w:rsidRPr="006A523F" w14:paraId="4B945711"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0606E4D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Q2 2027</w:t>
            </w:r>
          </w:p>
        </w:tc>
        <w:tc>
          <w:tcPr>
            <w:tcW w:w="1095" w:type="pct"/>
            <w:tcBorders>
              <w:top w:val="nil"/>
              <w:left w:val="nil"/>
              <w:bottom w:val="single" w:sz="4" w:space="0" w:color="auto"/>
              <w:right w:val="single" w:sz="4" w:space="0" w:color="auto"/>
            </w:tcBorders>
            <w:shd w:val="clear" w:color="auto" w:fill="auto"/>
            <w:vAlign w:val="bottom"/>
            <w:hideMark/>
          </w:tcPr>
          <w:p w14:paraId="5185E6E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5,606</w:t>
            </w:r>
          </w:p>
        </w:tc>
        <w:tc>
          <w:tcPr>
            <w:tcW w:w="422" w:type="pct"/>
            <w:tcBorders>
              <w:top w:val="nil"/>
              <w:left w:val="nil"/>
              <w:bottom w:val="single" w:sz="4" w:space="0" w:color="auto"/>
              <w:right w:val="single" w:sz="4" w:space="0" w:color="auto"/>
            </w:tcBorders>
            <w:shd w:val="clear" w:color="auto" w:fill="auto"/>
            <w:vAlign w:val="bottom"/>
            <w:hideMark/>
          </w:tcPr>
          <w:p w14:paraId="18F8A4E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8.43%</w:t>
            </w:r>
          </w:p>
        </w:tc>
        <w:tc>
          <w:tcPr>
            <w:tcW w:w="1000" w:type="pct"/>
            <w:tcBorders>
              <w:top w:val="nil"/>
              <w:left w:val="nil"/>
              <w:bottom w:val="single" w:sz="4" w:space="0" w:color="auto"/>
              <w:right w:val="single" w:sz="4" w:space="0" w:color="auto"/>
            </w:tcBorders>
            <w:shd w:val="clear" w:color="auto" w:fill="auto"/>
            <w:vAlign w:val="bottom"/>
            <w:hideMark/>
          </w:tcPr>
          <w:p w14:paraId="15DB227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83,020,504</w:t>
            </w:r>
          </w:p>
        </w:tc>
        <w:tc>
          <w:tcPr>
            <w:tcW w:w="1000" w:type="pct"/>
            <w:tcBorders>
              <w:top w:val="nil"/>
              <w:left w:val="nil"/>
              <w:bottom w:val="single" w:sz="4" w:space="0" w:color="auto"/>
              <w:right w:val="single" w:sz="4" w:space="0" w:color="auto"/>
            </w:tcBorders>
            <w:shd w:val="clear" w:color="auto" w:fill="auto"/>
            <w:vAlign w:val="bottom"/>
            <w:hideMark/>
          </w:tcPr>
          <w:p w14:paraId="12C5DBF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8.58%</w:t>
            </w:r>
          </w:p>
        </w:tc>
      </w:tr>
      <w:tr w:rsidR="006A523F" w:rsidRPr="006A523F" w14:paraId="57654010"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14DCF3D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Q3 2027</w:t>
            </w:r>
          </w:p>
        </w:tc>
        <w:tc>
          <w:tcPr>
            <w:tcW w:w="1095" w:type="pct"/>
            <w:tcBorders>
              <w:top w:val="nil"/>
              <w:left w:val="nil"/>
              <w:bottom w:val="single" w:sz="4" w:space="0" w:color="auto"/>
              <w:right w:val="single" w:sz="4" w:space="0" w:color="auto"/>
            </w:tcBorders>
            <w:shd w:val="clear" w:color="auto" w:fill="auto"/>
            <w:vAlign w:val="bottom"/>
            <w:hideMark/>
          </w:tcPr>
          <w:p w14:paraId="7B82DEE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6,424</w:t>
            </w:r>
          </w:p>
        </w:tc>
        <w:tc>
          <w:tcPr>
            <w:tcW w:w="422" w:type="pct"/>
            <w:tcBorders>
              <w:top w:val="nil"/>
              <w:left w:val="nil"/>
              <w:bottom w:val="single" w:sz="4" w:space="0" w:color="auto"/>
              <w:right w:val="single" w:sz="4" w:space="0" w:color="auto"/>
            </w:tcBorders>
            <w:shd w:val="clear" w:color="auto" w:fill="auto"/>
            <w:vAlign w:val="bottom"/>
            <w:hideMark/>
          </w:tcPr>
          <w:p w14:paraId="66AD804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9.67%</w:t>
            </w:r>
          </w:p>
        </w:tc>
        <w:tc>
          <w:tcPr>
            <w:tcW w:w="1000" w:type="pct"/>
            <w:tcBorders>
              <w:top w:val="nil"/>
              <w:left w:val="nil"/>
              <w:bottom w:val="single" w:sz="4" w:space="0" w:color="auto"/>
              <w:right w:val="single" w:sz="4" w:space="0" w:color="auto"/>
            </w:tcBorders>
            <w:shd w:val="clear" w:color="auto" w:fill="auto"/>
            <w:vAlign w:val="bottom"/>
            <w:hideMark/>
          </w:tcPr>
          <w:p w14:paraId="291E3D1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92,060,750</w:t>
            </w:r>
          </w:p>
        </w:tc>
        <w:tc>
          <w:tcPr>
            <w:tcW w:w="1000" w:type="pct"/>
            <w:tcBorders>
              <w:top w:val="nil"/>
              <w:left w:val="nil"/>
              <w:bottom w:val="single" w:sz="4" w:space="0" w:color="auto"/>
              <w:right w:val="single" w:sz="4" w:space="0" w:color="auto"/>
            </w:tcBorders>
            <w:shd w:val="clear" w:color="auto" w:fill="auto"/>
            <w:vAlign w:val="bottom"/>
            <w:hideMark/>
          </w:tcPr>
          <w:p w14:paraId="08198DE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9.52%</w:t>
            </w:r>
          </w:p>
        </w:tc>
      </w:tr>
      <w:tr w:rsidR="006A523F" w:rsidRPr="006A523F" w14:paraId="274002E4"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625796A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Q4 2027</w:t>
            </w:r>
          </w:p>
        </w:tc>
        <w:tc>
          <w:tcPr>
            <w:tcW w:w="1095" w:type="pct"/>
            <w:tcBorders>
              <w:top w:val="nil"/>
              <w:left w:val="nil"/>
              <w:bottom w:val="single" w:sz="4" w:space="0" w:color="auto"/>
              <w:right w:val="single" w:sz="4" w:space="0" w:color="auto"/>
            </w:tcBorders>
            <w:shd w:val="clear" w:color="auto" w:fill="auto"/>
            <w:vAlign w:val="bottom"/>
            <w:hideMark/>
          </w:tcPr>
          <w:p w14:paraId="553B73A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5,924</w:t>
            </w:r>
          </w:p>
        </w:tc>
        <w:tc>
          <w:tcPr>
            <w:tcW w:w="422" w:type="pct"/>
            <w:tcBorders>
              <w:top w:val="nil"/>
              <w:left w:val="nil"/>
              <w:bottom w:val="single" w:sz="4" w:space="0" w:color="auto"/>
              <w:right w:val="single" w:sz="4" w:space="0" w:color="auto"/>
            </w:tcBorders>
            <w:shd w:val="clear" w:color="auto" w:fill="auto"/>
            <w:vAlign w:val="bottom"/>
            <w:hideMark/>
          </w:tcPr>
          <w:p w14:paraId="64D00E6D"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8.91%</w:t>
            </w:r>
          </w:p>
        </w:tc>
        <w:tc>
          <w:tcPr>
            <w:tcW w:w="1000" w:type="pct"/>
            <w:tcBorders>
              <w:top w:val="nil"/>
              <w:left w:val="nil"/>
              <w:bottom w:val="single" w:sz="4" w:space="0" w:color="auto"/>
              <w:right w:val="single" w:sz="4" w:space="0" w:color="auto"/>
            </w:tcBorders>
            <w:shd w:val="clear" w:color="auto" w:fill="auto"/>
            <w:vAlign w:val="bottom"/>
            <w:hideMark/>
          </w:tcPr>
          <w:p w14:paraId="1CC6601D"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85,127,004</w:t>
            </w:r>
          </w:p>
        </w:tc>
        <w:tc>
          <w:tcPr>
            <w:tcW w:w="1000" w:type="pct"/>
            <w:tcBorders>
              <w:top w:val="nil"/>
              <w:left w:val="nil"/>
              <w:bottom w:val="single" w:sz="4" w:space="0" w:color="auto"/>
              <w:right w:val="single" w:sz="4" w:space="0" w:color="auto"/>
            </w:tcBorders>
            <w:shd w:val="clear" w:color="auto" w:fill="auto"/>
            <w:vAlign w:val="bottom"/>
            <w:hideMark/>
          </w:tcPr>
          <w:p w14:paraId="0161FD5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8.80%</w:t>
            </w:r>
          </w:p>
        </w:tc>
      </w:tr>
      <w:tr w:rsidR="006A523F" w:rsidRPr="006A523F" w14:paraId="24FC436E"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5DBB9EF9"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Q1 2028</w:t>
            </w:r>
          </w:p>
        </w:tc>
        <w:tc>
          <w:tcPr>
            <w:tcW w:w="1095" w:type="pct"/>
            <w:tcBorders>
              <w:top w:val="nil"/>
              <w:left w:val="nil"/>
              <w:bottom w:val="single" w:sz="4" w:space="0" w:color="auto"/>
              <w:right w:val="single" w:sz="4" w:space="0" w:color="auto"/>
            </w:tcBorders>
            <w:shd w:val="clear" w:color="auto" w:fill="auto"/>
            <w:vAlign w:val="bottom"/>
            <w:hideMark/>
          </w:tcPr>
          <w:p w14:paraId="01CE9A0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5,381</w:t>
            </w:r>
          </w:p>
        </w:tc>
        <w:tc>
          <w:tcPr>
            <w:tcW w:w="422" w:type="pct"/>
            <w:tcBorders>
              <w:top w:val="nil"/>
              <w:left w:val="nil"/>
              <w:bottom w:val="single" w:sz="4" w:space="0" w:color="auto"/>
              <w:right w:val="single" w:sz="4" w:space="0" w:color="auto"/>
            </w:tcBorders>
            <w:shd w:val="clear" w:color="auto" w:fill="auto"/>
            <w:vAlign w:val="bottom"/>
            <w:hideMark/>
          </w:tcPr>
          <w:p w14:paraId="6DF6C49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8.10%</w:t>
            </w:r>
          </w:p>
        </w:tc>
        <w:tc>
          <w:tcPr>
            <w:tcW w:w="1000" w:type="pct"/>
            <w:tcBorders>
              <w:top w:val="nil"/>
              <w:left w:val="nil"/>
              <w:bottom w:val="single" w:sz="4" w:space="0" w:color="auto"/>
              <w:right w:val="single" w:sz="4" w:space="0" w:color="auto"/>
            </w:tcBorders>
            <w:shd w:val="clear" w:color="auto" w:fill="auto"/>
            <w:vAlign w:val="bottom"/>
            <w:hideMark/>
          </w:tcPr>
          <w:p w14:paraId="2EDFF55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78,525,875</w:t>
            </w:r>
          </w:p>
        </w:tc>
        <w:tc>
          <w:tcPr>
            <w:tcW w:w="1000" w:type="pct"/>
            <w:tcBorders>
              <w:top w:val="nil"/>
              <w:left w:val="nil"/>
              <w:bottom w:val="single" w:sz="4" w:space="0" w:color="auto"/>
              <w:right w:val="single" w:sz="4" w:space="0" w:color="auto"/>
            </w:tcBorders>
            <w:shd w:val="clear" w:color="auto" w:fill="auto"/>
            <w:vAlign w:val="bottom"/>
            <w:hideMark/>
          </w:tcPr>
          <w:p w14:paraId="60D34B4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8.12%</w:t>
            </w:r>
          </w:p>
        </w:tc>
      </w:tr>
      <w:tr w:rsidR="006A523F" w:rsidRPr="006A523F" w14:paraId="58AE29AD"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7CB39BDD"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Q2 2028</w:t>
            </w:r>
          </w:p>
        </w:tc>
        <w:tc>
          <w:tcPr>
            <w:tcW w:w="1095" w:type="pct"/>
            <w:tcBorders>
              <w:top w:val="nil"/>
              <w:left w:val="nil"/>
              <w:bottom w:val="single" w:sz="4" w:space="0" w:color="auto"/>
              <w:right w:val="single" w:sz="4" w:space="0" w:color="auto"/>
            </w:tcBorders>
            <w:shd w:val="clear" w:color="auto" w:fill="auto"/>
            <w:vAlign w:val="bottom"/>
            <w:hideMark/>
          </w:tcPr>
          <w:p w14:paraId="116F636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3,257</w:t>
            </w:r>
          </w:p>
        </w:tc>
        <w:tc>
          <w:tcPr>
            <w:tcW w:w="422" w:type="pct"/>
            <w:tcBorders>
              <w:top w:val="nil"/>
              <w:left w:val="nil"/>
              <w:bottom w:val="single" w:sz="4" w:space="0" w:color="auto"/>
              <w:right w:val="single" w:sz="4" w:space="0" w:color="auto"/>
            </w:tcBorders>
            <w:shd w:val="clear" w:color="auto" w:fill="auto"/>
            <w:vAlign w:val="bottom"/>
            <w:hideMark/>
          </w:tcPr>
          <w:p w14:paraId="7944178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4.90%</w:t>
            </w:r>
          </w:p>
        </w:tc>
        <w:tc>
          <w:tcPr>
            <w:tcW w:w="1000" w:type="pct"/>
            <w:tcBorders>
              <w:top w:val="nil"/>
              <w:left w:val="nil"/>
              <w:bottom w:val="single" w:sz="4" w:space="0" w:color="auto"/>
              <w:right w:val="single" w:sz="4" w:space="0" w:color="auto"/>
            </w:tcBorders>
            <w:shd w:val="clear" w:color="auto" w:fill="auto"/>
            <w:vAlign w:val="bottom"/>
            <w:hideMark/>
          </w:tcPr>
          <w:p w14:paraId="4447F5C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45,398,581</w:t>
            </w:r>
          </w:p>
        </w:tc>
        <w:tc>
          <w:tcPr>
            <w:tcW w:w="1000" w:type="pct"/>
            <w:tcBorders>
              <w:top w:val="nil"/>
              <w:left w:val="nil"/>
              <w:bottom w:val="single" w:sz="4" w:space="0" w:color="auto"/>
              <w:right w:val="single" w:sz="4" w:space="0" w:color="auto"/>
            </w:tcBorders>
            <w:shd w:val="clear" w:color="auto" w:fill="auto"/>
            <w:vAlign w:val="bottom"/>
            <w:hideMark/>
          </w:tcPr>
          <w:p w14:paraId="17ACBBD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4.69%</w:t>
            </w:r>
          </w:p>
        </w:tc>
      </w:tr>
      <w:tr w:rsidR="006A523F" w:rsidRPr="006A523F" w14:paraId="0F884420"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2C81A924"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Q3 2028</w:t>
            </w:r>
          </w:p>
        </w:tc>
        <w:tc>
          <w:tcPr>
            <w:tcW w:w="1095" w:type="pct"/>
            <w:tcBorders>
              <w:top w:val="nil"/>
              <w:left w:val="nil"/>
              <w:bottom w:val="single" w:sz="4" w:space="0" w:color="auto"/>
              <w:right w:val="single" w:sz="4" w:space="0" w:color="auto"/>
            </w:tcBorders>
            <w:shd w:val="clear" w:color="auto" w:fill="auto"/>
            <w:vAlign w:val="bottom"/>
            <w:hideMark/>
          </w:tcPr>
          <w:p w14:paraId="0542950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3,303</w:t>
            </w:r>
          </w:p>
        </w:tc>
        <w:tc>
          <w:tcPr>
            <w:tcW w:w="422" w:type="pct"/>
            <w:tcBorders>
              <w:top w:val="nil"/>
              <w:left w:val="nil"/>
              <w:bottom w:val="single" w:sz="4" w:space="0" w:color="auto"/>
              <w:right w:val="single" w:sz="4" w:space="0" w:color="auto"/>
            </w:tcBorders>
            <w:shd w:val="clear" w:color="auto" w:fill="auto"/>
            <w:vAlign w:val="bottom"/>
            <w:hideMark/>
          </w:tcPr>
          <w:p w14:paraId="665B39C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4.97%</w:t>
            </w:r>
          </w:p>
        </w:tc>
        <w:tc>
          <w:tcPr>
            <w:tcW w:w="1000" w:type="pct"/>
            <w:tcBorders>
              <w:top w:val="nil"/>
              <w:left w:val="nil"/>
              <w:bottom w:val="single" w:sz="4" w:space="0" w:color="auto"/>
              <w:right w:val="single" w:sz="4" w:space="0" w:color="auto"/>
            </w:tcBorders>
            <w:shd w:val="clear" w:color="auto" w:fill="auto"/>
            <w:vAlign w:val="bottom"/>
            <w:hideMark/>
          </w:tcPr>
          <w:p w14:paraId="54C46F2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47,288,411</w:t>
            </w:r>
          </w:p>
        </w:tc>
        <w:tc>
          <w:tcPr>
            <w:tcW w:w="1000" w:type="pct"/>
            <w:tcBorders>
              <w:top w:val="nil"/>
              <w:left w:val="nil"/>
              <w:bottom w:val="single" w:sz="4" w:space="0" w:color="auto"/>
              <w:right w:val="single" w:sz="4" w:space="0" w:color="auto"/>
            </w:tcBorders>
            <w:shd w:val="clear" w:color="auto" w:fill="auto"/>
            <w:vAlign w:val="bottom"/>
            <w:hideMark/>
          </w:tcPr>
          <w:p w14:paraId="0EE8AED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4.89%</w:t>
            </w:r>
          </w:p>
        </w:tc>
      </w:tr>
      <w:tr w:rsidR="006A523F" w:rsidRPr="006A523F" w14:paraId="24C7077C"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79AA472E"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Q4 2028</w:t>
            </w:r>
          </w:p>
        </w:tc>
        <w:tc>
          <w:tcPr>
            <w:tcW w:w="1095" w:type="pct"/>
            <w:tcBorders>
              <w:top w:val="nil"/>
              <w:left w:val="nil"/>
              <w:bottom w:val="single" w:sz="4" w:space="0" w:color="auto"/>
              <w:right w:val="single" w:sz="4" w:space="0" w:color="auto"/>
            </w:tcBorders>
            <w:shd w:val="clear" w:color="auto" w:fill="auto"/>
            <w:vAlign w:val="bottom"/>
            <w:hideMark/>
          </w:tcPr>
          <w:p w14:paraId="14799B76"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3,133</w:t>
            </w:r>
          </w:p>
        </w:tc>
        <w:tc>
          <w:tcPr>
            <w:tcW w:w="422" w:type="pct"/>
            <w:tcBorders>
              <w:top w:val="nil"/>
              <w:left w:val="nil"/>
              <w:bottom w:val="single" w:sz="4" w:space="0" w:color="auto"/>
              <w:right w:val="single" w:sz="4" w:space="0" w:color="auto"/>
            </w:tcBorders>
            <w:shd w:val="clear" w:color="auto" w:fill="auto"/>
            <w:vAlign w:val="bottom"/>
            <w:hideMark/>
          </w:tcPr>
          <w:p w14:paraId="184DB92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4.71%</w:t>
            </w:r>
          </w:p>
        </w:tc>
        <w:tc>
          <w:tcPr>
            <w:tcW w:w="1000" w:type="pct"/>
            <w:tcBorders>
              <w:top w:val="nil"/>
              <w:left w:val="nil"/>
              <w:bottom w:val="single" w:sz="4" w:space="0" w:color="auto"/>
              <w:right w:val="single" w:sz="4" w:space="0" w:color="auto"/>
            </w:tcBorders>
            <w:shd w:val="clear" w:color="auto" w:fill="auto"/>
            <w:vAlign w:val="bottom"/>
            <w:hideMark/>
          </w:tcPr>
          <w:p w14:paraId="78C4413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44,338,064</w:t>
            </w:r>
          </w:p>
        </w:tc>
        <w:tc>
          <w:tcPr>
            <w:tcW w:w="1000" w:type="pct"/>
            <w:tcBorders>
              <w:top w:val="nil"/>
              <w:left w:val="nil"/>
              <w:bottom w:val="single" w:sz="4" w:space="0" w:color="auto"/>
              <w:right w:val="single" w:sz="4" w:space="0" w:color="auto"/>
            </w:tcBorders>
            <w:shd w:val="clear" w:color="auto" w:fill="auto"/>
            <w:vAlign w:val="bottom"/>
            <w:hideMark/>
          </w:tcPr>
          <w:p w14:paraId="1C05C799"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4.58%</w:t>
            </w:r>
          </w:p>
        </w:tc>
      </w:tr>
      <w:tr w:rsidR="006A523F" w:rsidRPr="006A523F" w14:paraId="30F2FAAD"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0276DDC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Q1 2029</w:t>
            </w:r>
          </w:p>
        </w:tc>
        <w:tc>
          <w:tcPr>
            <w:tcW w:w="1095" w:type="pct"/>
            <w:tcBorders>
              <w:top w:val="nil"/>
              <w:left w:val="nil"/>
              <w:bottom w:val="single" w:sz="4" w:space="0" w:color="auto"/>
              <w:right w:val="single" w:sz="4" w:space="0" w:color="auto"/>
            </w:tcBorders>
            <w:shd w:val="clear" w:color="auto" w:fill="auto"/>
            <w:vAlign w:val="bottom"/>
            <w:hideMark/>
          </w:tcPr>
          <w:p w14:paraId="25275BA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2,643</w:t>
            </w:r>
          </w:p>
        </w:tc>
        <w:tc>
          <w:tcPr>
            <w:tcW w:w="422" w:type="pct"/>
            <w:tcBorders>
              <w:top w:val="nil"/>
              <w:left w:val="nil"/>
              <w:bottom w:val="single" w:sz="4" w:space="0" w:color="auto"/>
              <w:right w:val="single" w:sz="4" w:space="0" w:color="auto"/>
            </w:tcBorders>
            <w:shd w:val="clear" w:color="auto" w:fill="auto"/>
            <w:vAlign w:val="bottom"/>
            <w:hideMark/>
          </w:tcPr>
          <w:p w14:paraId="71F33A1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3.98%</w:t>
            </w:r>
          </w:p>
        </w:tc>
        <w:tc>
          <w:tcPr>
            <w:tcW w:w="1000" w:type="pct"/>
            <w:tcBorders>
              <w:top w:val="nil"/>
              <w:left w:val="nil"/>
              <w:bottom w:val="single" w:sz="4" w:space="0" w:color="auto"/>
              <w:right w:val="single" w:sz="4" w:space="0" w:color="auto"/>
            </w:tcBorders>
            <w:shd w:val="clear" w:color="auto" w:fill="auto"/>
            <w:vAlign w:val="bottom"/>
            <w:hideMark/>
          </w:tcPr>
          <w:p w14:paraId="1B09100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37,948,396</w:t>
            </w:r>
          </w:p>
        </w:tc>
        <w:tc>
          <w:tcPr>
            <w:tcW w:w="1000" w:type="pct"/>
            <w:tcBorders>
              <w:top w:val="nil"/>
              <w:left w:val="nil"/>
              <w:bottom w:val="single" w:sz="4" w:space="0" w:color="auto"/>
              <w:right w:val="single" w:sz="4" w:space="0" w:color="auto"/>
            </w:tcBorders>
            <w:shd w:val="clear" w:color="auto" w:fill="auto"/>
            <w:vAlign w:val="bottom"/>
            <w:hideMark/>
          </w:tcPr>
          <w:p w14:paraId="45B7A2F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3.92%</w:t>
            </w:r>
          </w:p>
        </w:tc>
      </w:tr>
      <w:tr w:rsidR="006A523F" w:rsidRPr="006A523F" w14:paraId="2048501F"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748793BD"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Q2 2029</w:t>
            </w:r>
          </w:p>
        </w:tc>
        <w:tc>
          <w:tcPr>
            <w:tcW w:w="1095" w:type="pct"/>
            <w:tcBorders>
              <w:top w:val="nil"/>
              <w:left w:val="nil"/>
              <w:bottom w:val="single" w:sz="4" w:space="0" w:color="auto"/>
              <w:right w:val="single" w:sz="4" w:space="0" w:color="auto"/>
            </w:tcBorders>
            <w:shd w:val="clear" w:color="auto" w:fill="auto"/>
            <w:vAlign w:val="bottom"/>
            <w:hideMark/>
          </w:tcPr>
          <w:p w14:paraId="103BB226"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79</w:t>
            </w:r>
          </w:p>
        </w:tc>
        <w:tc>
          <w:tcPr>
            <w:tcW w:w="422" w:type="pct"/>
            <w:tcBorders>
              <w:top w:val="nil"/>
              <w:left w:val="nil"/>
              <w:bottom w:val="single" w:sz="4" w:space="0" w:color="auto"/>
              <w:right w:val="single" w:sz="4" w:space="0" w:color="auto"/>
            </w:tcBorders>
            <w:shd w:val="clear" w:color="auto" w:fill="auto"/>
            <w:vAlign w:val="bottom"/>
            <w:hideMark/>
          </w:tcPr>
          <w:p w14:paraId="5D2E1247"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0.12%</w:t>
            </w:r>
          </w:p>
        </w:tc>
        <w:tc>
          <w:tcPr>
            <w:tcW w:w="1000" w:type="pct"/>
            <w:tcBorders>
              <w:top w:val="nil"/>
              <w:left w:val="nil"/>
              <w:bottom w:val="single" w:sz="4" w:space="0" w:color="auto"/>
              <w:right w:val="single" w:sz="4" w:space="0" w:color="auto"/>
            </w:tcBorders>
            <w:shd w:val="clear" w:color="auto" w:fill="auto"/>
            <w:vAlign w:val="bottom"/>
            <w:hideMark/>
          </w:tcPr>
          <w:p w14:paraId="4B8009A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1,015,298</w:t>
            </w:r>
          </w:p>
        </w:tc>
        <w:tc>
          <w:tcPr>
            <w:tcW w:w="1000" w:type="pct"/>
            <w:tcBorders>
              <w:top w:val="nil"/>
              <w:left w:val="nil"/>
              <w:bottom w:val="single" w:sz="4" w:space="0" w:color="auto"/>
              <w:right w:val="single" w:sz="4" w:space="0" w:color="auto"/>
            </w:tcBorders>
            <w:shd w:val="clear" w:color="auto" w:fill="auto"/>
            <w:vAlign w:val="bottom"/>
            <w:hideMark/>
          </w:tcPr>
          <w:p w14:paraId="09FF4009"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0.10%</w:t>
            </w:r>
          </w:p>
        </w:tc>
      </w:tr>
      <w:tr w:rsidR="006A523F" w:rsidRPr="006A523F" w14:paraId="3564E7BD"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1136673E"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Q3 2029</w:t>
            </w:r>
          </w:p>
        </w:tc>
        <w:tc>
          <w:tcPr>
            <w:tcW w:w="1095" w:type="pct"/>
            <w:tcBorders>
              <w:top w:val="nil"/>
              <w:left w:val="nil"/>
              <w:bottom w:val="single" w:sz="4" w:space="0" w:color="auto"/>
              <w:right w:val="single" w:sz="4" w:space="0" w:color="auto"/>
            </w:tcBorders>
            <w:shd w:val="clear" w:color="auto" w:fill="auto"/>
            <w:vAlign w:val="bottom"/>
            <w:hideMark/>
          </w:tcPr>
          <w:p w14:paraId="6F236EE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38</w:t>
            </w:r>
          </w:p>
        </w:tc>
        <w:tc>
          <w:tcPr>
            <w:tcW w:w="422" w:type="pct"/>
            <w:tcBorders>
              <w:top w:val="nil"/>
              <w:left w:val="nil"/>
              <w:bottom w:val="single" w:sz="4" w:space="0" w:color="auto"/>
              <w:right w:val="single" w:sz="4" w:space="0" w:color="auto"/>
            </w:tcBorders>
            <w:shd w:val="clear" w:color="auto" w:fill="auto"/>
            <w:vAlign w:val="bottom"/>
            <w:hideMark/>
          </w:tcPr>
          <w:p w14:paraId="3D630C75"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0.06%</w:t>
            </w:r>
          </w:p>
        </w:tc>
        <w:tc>
          <w:tcPr>
            <w:tcW w:w="1000" w:type="pct"/>
            <w:tcBorders>
              <w:top w:val="nil"/>
              <w:left w:val="nil"/>
              <w:bottom w:val="single" w:sz="4" w:space="0" w:color="auto"/>
              <w:right w:val="single" w:sz="4" w:space="0" w:color="auto"/>
            </w:tcBorders>
            <w:shd w:val="clear" w:color="auto" w:fill="auto"/>
            <w:vAlign w:val="bottom"/>
            <w:hideMark/>
          </w:tcPr>
          <w:p w14:paraId="1BE1AB5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450,752</w:t>
            </w:r>
          </w:p>
        </w:tc>
        <w:tc>
          <w:tcPr>
            <w:tcW w:w="1000" w:type="pct"/>
            <w:tcBorders>
              <w:top w:val="nil"/>
              <w:left w:val="nil"/>
              <w:bottom w:val="single" w:sz="4" w:space="0" w:color="auto"/>
              <w:right w:val="single" w:sz="4" w:space="0" w:color="auto"/>
            </w:tcBorders>
            <w:shd w:val="clear" w:color="auto" w:fill="auto"/>
            <w:vAlign w:val="bottom"/>
            <w:hideMark/>
          </w:tcPr>
          <w:p w14:paraId="3B75E87D"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0.05%</w:t>
            </w:r>
          </w:p>
        </w:tc>
      </w:tr>
      <w:tr w:rsidR="006A523F" w:rsidRPr="006A523F" w14:paraId="1B560953"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7B1B1FD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Q4 2029</w:t>
            </w:r>
          </w:p>
        </w:tc>
        <w:tc>
          <w:tcPr>
            <w:tcW w:w="1095" w:type="pct"/>
            <w:tcBorders>
              <w:top w:val="nil"/>
              <w:left w:val="nil"/>
              <w:bottom w:val="single" w:sz="4" w:space="0" w:color="auto"/>
              <w:right w:val="single" w:sz="4" w:space="0" w:color="auto"/>
            </w:tcBorders>
            <w:shd w:val="clear" w:color="auto" w:fill="auto"/>
            <w:vAlign w:val="bottom"/>
            <w:hideMark/>
          </w:tcPr>
          <w:p w14:paraId="5AA06CD1"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52</w:t>
            </w:r>
          </w:p>
        </w:tc>
        <w:tc>
          <w:tcPr>
            <w:tcW w:w="422" w:type="pct"/>
            <w:tcBorders>
              <w:top w:val="nil"/>
              <w:left w:val="nil"/>
              <w:bottom w:val="single" w:sz="4" w:space="0" w:color="auto"/>
              <w:right w:val="single" w:sz="4" w:space="0" w:color="auto"/>
            </w:tcBorders>
            <w:shd w:val="clear" w:color="auto" w:fill="auto"/>
            <w:vAlign w:val="bottom"/>
            <w:hideMark/>
          </w:tcPr>
          <w:p w14:paraId="577B6A50"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0.08%</w:t>
            </w:r>
          </w:p>
        </w:tc>
        <w:tc>
          <w:tcPr>
            <w:tcW w:w="1000" w:type="pct"/>
            <w:tcBorders>
              <w:top w:val="nil"/>
              <w:left w:val="nil"/>
              <w:bottom w:val="single" w:sz="4" w:space="0" w:color="auto"/>
              <w:right w:val="single" w:sz="4" w:space="0" w:color="auto"/>
            </w:tcBorders>
            <w:shd w:val="clear" w:color="auto" w:fill="auto"/>
            <w:vAlign w:val="bottom"/>
            <w:hideMark/>
          </w:tcPr>
          <w:p w14:paraId="34AA577B"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631,970</w:t>
            </w:r>
          </w:p>
        </w:tc>
        <w:tc>
          <w:tcPr>
            <w:tcW w:w="1000" w:type="pct"/>
            <w:tcBorders>
              <w:top w:val="nil"/>
              <w:left w:val="nil"/>
              <w:bottom w:val="single" w:sz="4" w:space="0" w:color="auto"/>
              <w:right w:val="single" w:sz="4" w:space="0" w:color="auto"/>
            </w:tcBorders>
            <w:shd w:val="clear" w:color="auto" w:fill="auto"/>
            <w:vAlign w:val="bottom"/>
            <w:hideMark/>
          </w:tcPr>
          <w:p w14:paraId="05EACA0D"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0.07%</w:t>
            </w:r>
          </w:p>
        </w:tc>
      </w:tr>
      <w:tr w:rsidR="006A523F" w:rsidRPr="006A523F" w14:paraId="5A9F4748"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4EB07C42"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Q1 2030</w:t>
            </w:r>
          </w:p>
        </w:tc>
        <w:tc>
          <w:tcPr>
            <w:tcW w:w="1095" w:type="pct"/>
            <w:tcBorders>
              <w:top w:val="nil"/>
              <w:left w:val="nil"/>
              <w:bottom w:val="single" w:sz="4" w:space="0" w:color="auto"/>
              <w:right w:val="single" w:sz="4" w:space="0" w:color="auto"/>
            </w:tcBorders>
            <w:shd w:val="clear" w:color="auto" w:fill="auto"/>
            <w:vAlign w:val="bottom"/>
            <w:hideMark/>
          </w:tcPr>
          <w:p w14:paraId="639BD846"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144</w:t>
            </w:r>
          </w:p>
        </w:tc>
        <w:tc>
          <w:tcPr>
            <w:tcW w:w="422" w:type="pct"/>
            <w:tcBorders>
              <w:top w:val="nil"/>
              <w:left w:val="nil"/>
              <w:bottom w:val="single" w:sz="4" w:space="0" w:color="auto"/>
              <w:right w:val="single" w:sz="4" w:space="0" w:color="auto"/>
            </w:tcBorders>
            <w:shd w:val="clear" w:color="auto" w:fill="auto"/>
            <w:vAlign w:val="bottom"/>
            <w:hideMark/>
          </w:tcPr>
          <w:p w14:paraId="6CC4EFA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0.22%</w:t>
            </w:r>
          </w:p>
        </w:tc>
        <w:tc>
          <w:tcPr>
            <w:tcW w:w="1000" w:type="pct"/>
            <w:tcBorders>
              <w:top w:val="nil"/>
              <w:left w:val="nil"/>
              <w:bottom w:val="single" w:sz="4" w:space="0" w:color="auto"/>
              <w:right w:val="single" w:sz="4" w:space="0" w:color="auto"/>
            </w:tcBorders>
            <w:shd w:val="clear" w:color="auto" w:fill="auto"/>
            <w:vAlign w:val="bottom"/>
            <w:hideMark/>
          </w:tcPr>
          <w:p w14:paraId="5A2A23DE"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1,840,600</w:t>
            </w:r>
          </w:p>
        </w:tc>
        <w:tc>
          <w:tcPr>
            <w:tcW w:w="1000" w:type="pct"/>
            <w:tcBorders>
              <w:top w:val="nil"/>
              <w:left w:val="nil"/>
              <w:bottom w:val="single" w:sz="4" w:space="0" w:color="auto"/>
              <w:right w:val="single" w:sz="4" w:space="0" w:color="auto"/>
            </w:tcBorders>
            <w:shd w:val="clear" w:color="auto" w:fill="auto"/>
            <w:vAlign w:val="bottom"/>
            <w:hideMark/>
          </w:tcPr>
          <w:p w14:paraId="1DAEEBF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0.19%</w:t>
            </w:r>
          </w:p>
        </w:tc>
      </w:tr>
      <w:tr w:rsidR="006A523F" w:rsidRPr="006A523F" w14:paraId="7707E8AA"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2B7E8C3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Q2 2030</w:t>
            </w:r>
          </w:p>
        </w:tc>
        <w:tc>
          <w:tcPr>
            <w:tcW w:w="1095" w:type="pct"/>
            <w:tcBorders>
              <w:top w:val="nil"/>
              <w:left w:val="nil"/>
              <w:bottom w:val="single" w:sz="4" w:space="0" w:color="auto"/>
              <w:right w:val="single" w:sz="4" w:space="0" w:color="auto"/>
            </w:tcBorders>
            <w:shd w:val="clear" w:color="auto" w:fill="auto"/>
            <w:vAlign w:val="bottom"/>
            <w:hideMark/>
          </w:tcPr>
          <w:p w14:paraId="30D60BDF"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w:t>
            </w:r>
          </w:p>
        </w:tc>
        <w:tc>
          <w:tcPr>
            <w:tcW w:w="422" w:type="pct"/>
            <w:tcBorders>
              <w:top w:val="nil"/>
              <w:left w:val="nil"/>
              <w:bottom w:val="single" w:sz="4" w:space="0" w:color="auto"/>
              <w:right w:val="single" w:sz="4" w:space="0" w:color="auto"/>
            </w:tcBorders>
            <w:shd w:val="clear" w:color="auto" w:fill="auto"/>
            <w:vAlign w:val="bottom"/>
            <w:hideMark/>
          </w:tcPr>
          <w:p w14:paraId="1E924773"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6CCBCDA8"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40,369</w:t>
            </w:r>
          </w:p>
        </w:tc>
        <w:tc>
          <w:tcPr>
            <w:tcW w:w="1000" w:type="pct"/>
            <w:tcBorders>
              <w:top w:val="nil"/>
              <w:left w:val="nil"/>
              <w:bottom w:val="single" w:sz="4" w:space="0" w:color="auto"/>
              <w:right w:val="single" w:sz="4" w:space="0" w:color="auto"/>
            </w:tcBorders>
            <w:shd w:val="clear" w:color="auto" w:fill="auto"/>
            <w:vAlign w:val="bottom"/>
            <w:hideMark/>
          </w:tcPr>
          <w:p w14:paraId="619D9FCA" w14:textId="77777777" w:rsidR="006A523F" w:rsidRPr="006A523F" w:rsidRDefault="006A523F" w:rsidP="006A523F">
            <w:pPr>
              <w:spacing w:line="240" w:lineRule="auto"/>
              <w:jc w:val="center"/>
              <w:rPr>
                <w:rFonts w:ascii="Aptos Narrow" w:hAnsi="Aptos Narrow"/>
                <w:color w:val="161518"/>
                <w:sz w:val="14"/>
                <w:szCs w:val="14"/>
                <w:lang w:val="de-DE" w:eastAsia="de-DE"/>
              </w:rPr>
            </w:pPr>
            <w:r w:rsidRPr="006A523F">
              <w:rPr>
                <w:rFonts w:ascii="Aptos Narrow" w:hAnsi="Aptos Narrow"/>
                <w:color w:val="161518"/>
                <w:sz w:val="14"/>
                <w:szCs w:val="14"/>
                <w:lang w:val="de-DE" w:eastAsia="de-DE"/>
              </w:rPr>
              <w:t>0.00%</w:t>
            </w:r>
          </w:p>
        </w:tc>
      </w:tr>
      <w:tr w:rsidR="006A523F" w:rsidRPr="006A523F" w14:paraId="7FFBFD17"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0575AB43"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Total</w:t>
            </w:r>
          </w:p>
        </w:tc>
        <w:tc>
          <w:tcPr>
            <w:tcW w:w="1095" w:type="pct"/>
            <w:tcBorders>
              <w:top w:val="nil"/>
              <w:left w:val="nil"/>
              <w:bottom w:val="single" w:sz="4" w:space="0" w:color="auto"/>
              <w:right w:val="single" w:sz="4" w:space="0" w:color="auto"/>
            </w:tcBorders>
            <w:shd w:val="clear" w:color="auto" w:fill="auto"/>
            <w:vAlign w:val="bottom"/>
            <w:hideMark/>
          </w:tcPr>
          <w:p w14:paraId="0E37D33A"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66,463</w:t>
            </w:r>
          </w:p>
        </w:tc>
        <w:tc>
          <w:tcPr>
            <w:tcW w:w="422" w:type="pct"/>
            <w:tcBorders>
              <w:top w:val="nil"/>
              <w:left w:val="nil"/>
              <w:bottom w:val="single" w:sz="4" w:space="0" w:color="auto"/>
              <w:right w:val="single" w:sz="4" w:space="0" w:color="auto"/>
            </w:tcBorders>
            <w:shd w:val="clear" w:color="auto" w:fill="auto"/>
            <w:vAlign w:val="bottom"/>
            <w:hideMark/>
          </w:tcPr>
          <w:p w14:paraId="0EAF2028"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6F7147F7"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967,369,281</w:t>
            </w:r>
          </w:p>
        </w:tc>
        <w:tc>
          <w:tcPr>
            <w:tcW w:w="1000" w:type="pct"/>
            <w:tcBorders>
              <w:top w:val="nil"/>
              <w:left w:val="nil"/>
              <w:bottom w:val="single" w:sz="4" w:space="0" w:color="auto"/>
              <w:right w:val="single" w:sz="4" w:space="0" w:color="auto"/>
            </w:tcBorders>
            <w:shd w:val="clear" w:color="auto" w:fill="auto"/>
            <w:vAlign w:val="bottom"/>
            <w:hideMark/>
          </w:tcPr>
          <w:p w14:paraId="67E2B9BA"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r w:rsidRPr="006A523F">
              <w:rPr>
                <w:rFonts w:ascii="Aptos Narrow" w:hAnsi="Aptos Narrow"/>
                <w:b/>
                <w:bCs/>
                <w:color w:val="161518"/>
                <w:sz w:val="14"/>
                <w:szCs w:val="14"/>
                <w:lang w:val="de-DE" w:eastAsia="de-DE"/>
              </w:rPr>
              <w:t>100%</w:t>
            </w:r>
          </w:p>
        </w:tc>
      </w:tr>
      <w:tr w:rsidR="006A523F" w:rsidRPr="006A523F" w14:paraId="4E0CEBB1" w14:textId="77777777" w:rsidTr="006A523F">
        <w:trPr>
          <w:trHeight w:val="20"/>
        </w:trPr>
        <w:tc>
          <w:tcPr>
            <w:tcW w:w="1484" w:type="pct"/>
            <w:tcBorders>
              <w:top w:val="nil"/>
              <w:left w:val="nil"/>
              <w:bottom w:val="nil"/>
              <w:right w:val="nil"/>
            </w:tcBorders>
            <w:shd w:val="clear" w:color="auto" w:fill="auto"/>
            <w:noWrap/>
            <w:vAlign w:val="bottom"/>
            <w:hideMark/>
          </w:tcPr>
          <w:p w14:paraId="01296A79" w14:textId="77777777" w:rsidR="006A523F" w:rsidRPr="006A523F" w:rsidRDefault="006A523F" w:rsidP="006A523F">
            <w:pPr>
              <w:spacing w:line="240" w:lineRule="auto"/>
              <w:jc w:val="center"/>
              <w:rPr>
                <w:rFonts w:ascii="Aptos Narrow" w:hAnsi="Aptos Narrow"/>
                <w:b/>
                <w:bCs/>
                <w:color w:val="161518"/>
                <w:sz w:val="14"/>
                <w:szCs w:val="14"/>
                <w:lang w:val="de-DE" w:eastAsia="de-DE"/>
              </w:rPr>
            </w:pPr>
          </w:p>
        </w:tc>
        <w:tc>
          <w:tcPr>
            <w:tcW w:w="1095" w:type="pct"/>
            <w:tcBorders>
              <w:top w:val="nil"/>
              <w:left w:val="nil"/>
              <w:bottom w:val="nil"/>
              <w:right w:val="nil"/>
            </w:tcBorders>
            <w:shd w:val="clear" w:color="auto" w:fill="auto"/>
            <w:noWrap/>
            <w:vAlign w:val="bottom"/>
            <w:hideMark/>
          </w:tcPr>
          <w:p w14:paraId="2CE65509"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422" w:type="pct"/>
            <w:tcBorders>
              <w:top w:val="nil"/>
              <w:left w:val="nil"/>
              <w:bottom w:val="nil"/>
              <w:right w:val="nil"/>
            </w:tcBorders>
            <w:shd w:val="clear" w:color="auto" w:fill="auto"/>
            <w:noWrap/>
            <w:vAlign w:val="bottom"/>
            <w:hideMark/>
          </w:tcPr>
          <w:p w14:paraId="1B591323"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noWrap/>
            <w:vAlign w:val="bottom"/>
            <w:hideMark/>
          </w:tcPr>
          <w:p w14:paraId="433FF507"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noWrap/>
            <w:vAlign w:val="bottom"/>
            <w:hideMark/>
          </w:tcPr>
          <w:p w14:paraId="07A7DE6F"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150837F3" w14:textId="77777777" w:rsidTr="006A523F">
        <w:trPr>
          <w:trHeight w:val="20"/>
        </w:trPr>
        <w:tc>
          <w:tcPr>
            <w:tcW w:w="1484" w:type="pct"/>
            <w:tcBorders>
              <w:top w:val="nil"/>
              <w:left w:val="nil"/>
              <w:bottom w:val="nil"/>
              <w:right w:val="nil"/>
            </w:tcBorders>
            <w:shd w:val="clear" w:color="auto" w:fill="auto"/>
            <w:noWrap/>
            <w:vAlign w:val="bottom"/>
            <w:hideMark/>
          </w:tcPr>
          <w:p w14:paraId="60BAB4F3"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95" w:type="pct"/>
            <w:tcBorders>
              <w:top w:val="nil"/>
              <w:left w:val="nil"/>
              <w:bottom w:val="nil"/>
              <w:right w:val="nil"/>
            </w:tcBorders>
            <w:shd w:val="clear" w:color="auto" w:fill="auto"/>
            <w:noWrap/>
            <w:vAlign w:val="bottom"/>
            <w:hideMark/>
          </w:tcPr>
          <w:p w14:paraId="75BCAB56"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422" w:type="pct"/>
            <w:tcBorders>
              <w:top w:val="nil"/>
              <w:left w:val="nil"/>
              <w:bottom w:val="nil"/>
              <w:right w:val="nil"/>
            </w:tcBorders>
            <w:shd w:val="clear" w:color="auto" w:fill="auto"/>
            <w:noWrap/>
            <w:vAlign w:val="bottom"/>
            <w:hideMark/>
          </w:tcPr>
          <w:p w14:paraId="6205F302"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noWrap/>
            <w:vAlign w:val="bottom"/>
            <w:hideMark/>
          </w:tcPr>
          <w:p w14:paraId="19487BCE"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vAlign w:val="bottom"/>
            <w:hideMark/>
          </w:tcPr>
          <w:p w14:paraId="0CC24CC7"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2FB1E268" w14:textId="77777777" w:rsidTr="006A523F">
        <w:trPr>
          <w:trHeight w:val="20"/>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72DF4"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RV Discounted Principal Balance(€)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668AF12F"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xml:space="preserve">                         967,369,281 </w:t>
            </w:r>
          </w:p>
        </w:tc>
        <w:tc>
          <w:tcPr>
            <w:tcW w:w="422" w:type="pct"/>
            <w:tcBorders>
              <w:top w:val="nil"/>
              <w:left w:val="nil"/>
              <w:bottom w:val="nil"/>
              <w:right w:val="nil"/>
            </w:tcBorders>
            <w:shd w:val="clear" w:color="auto" w:fill="auto"/>
            <w:noWrap/>
            <w:vAlign w:val="bottom"/>
            <w:hideMark/>
          </w:tcPr>
          <w:p w14:paraId="7B53888A" w14:textId="77777777" w:rsidR="006A523F" w:rsidRPr="006A523F" w:rsidRDefault="006A523F" w:rsidP="006A523F">
            <w:pPr>
              <w:spacing w:line="240" w:lineRule="auto"/>
              <w:jc w:val="left"/>
              <w:rPr>
                <w:rFonts w:ascii="Aptos Narrow" w:hAnsi="Aptos Narrow"/>
                <w:color w:val="000000"/>
                <w:sz w:val="14"/>
                <w:szCs w:val="14"/>
                <w:lang w:val="de-DE" w:eastAsia="de-DE"/>
              </w:rPr>
            </w:pPr>
          </w:p>
        </w:tc>
        <w:tc>
          <w:tcPr>
            <w:tcW w:w="1000" w:type="pct"/>
            <w:tcBorders>
              <w:top w:val="nil"/>
              <w:left w:val="nil"/>
              <w:bottom w:val="nil"/>
              <w:right w:val="nil"/>
            </w:tcBorders>
            <w:shd w:val="clear" w:color="auto" w:fill="auto"/>
            <w:noWrap/>
            <w:vAlign w:val="bottom"/>
            <w:hideMark/>
          </w:tcPr>
          <w:p w14:paraId="4EAA089F"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vAlign w:val="bottom"/>
            <w:hideMark/>
          </w:tcPr>
          <w:p w14:paraId="6C19AA94"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3E25A152"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noWrap/>
            <w:vAlign w:val="bottom"/>
            <w:hideMark/>
          </w:tcPr>
          <w:p w14:paraId="56478653"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Aggregate Discounted Principal Balance(€)</w:t>
            </w:r>
          </w:p>
        </w:tc>
        <w:tc>
          <w:tcPr>
            <w:tcW w:w="1095" w:type="pct"/>
            <w:tcBorders>
              <w:top w:val="nil"/>
              <w:left w:val="nil"/>
              <w:bottom w:val="single" w:sz="4" w:space="0" w:color="auto"/>
              <w:right w:val="single" w:sz="4" w:space="0" w:color="auto"/>
            </w:tcBorders>
            <w:shd w:val="clear" w:color="auto" w:fill="auto"/>
            <w:noWrap/>
            <w:vAlign w:val="bottom"/>
            <w:hideMark/>
          </w:tcPr>
          <w:p w14:paraId="10F8F021"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xml:space="preserve">                     1,239,997,050 </w:t>
            </w:r>
          </w:p>
        </w:tc>
        <w:tc>
          <w:tcPr>
            <w:tcW w:w="422" w:type="pct"/>
            <w:tcBorders>
              <w:top w:val="nil"/>
              <w:left w:val="nil"/>
              <w:bottom w:val="nil"/>
              <w:right w:val="nil"/>
            </w:tcBorders>
            <w:shd w:val="clear" w:color="auto" w:fill="auto"/>
            <w:noWrap/>
            <w:vAlign w:val="bottom"/>
            <w:hideMark/>
          </w:tcPr>
          <w:p w14:paraId="3920CA86" w14:textId="77777777" w:rsidR="006A523F" w:rsidRPr="006A523F" w:rsidRDefault="006A523F" w:rsidP="006A523F">
            <w:pPr>
              <w:spacing w:line="240" w:lineRule="auto"/>
              <w:jc w:val="left"/>
              <w:rPr>
                <w:rFonts w:ascii="Aptos Narrow" w:hAnsi="Aptos Narrow"/>
                <w:color w:val="000000"/>
                <w:sz w:val="14"/>
                <w:szCs w:val="14"/>
                <w:lang w:val="de-DE" w:eastAsia="de-DE"/>
              </w:rPr>
            </w:pPr>
          </w:p>
        </w:tc>
        <w:tc>
          <w:tcPr>
            <w:tcW w:w="1000" w:type="pct"/>
            <w:tcBorders>
              <w:top w:val="nil"/>
              <w:left w:val="nil"/>
              <w:bottom w:val="nil"/>
              <w:right w:val="nil"/>
            </w:tcBorders>
            <w:shd w:val="clear" w:color="auto" w:fill="auto"/>
            <w:noWrap/>
            <w:vAlign w:val="bottom"/>
            <w:hideMark/>
          </w:tcPr>
          <w:p w14:paraId="3A065AC9"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vAlign w:val="bottom"/>
            <w:hideMark/>
          </w:tcPr>
          <w:p w14:paraId="20D59E46"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62ED5A1C" w14:textId="77777777" w:rsidTr="006A523F">
        <w:trPr>
          <w:trHeight w:val="20"/>
        </w:trPr>
        <w:tc>
          <w:tcPr>
            <w:tcW w:w="1484" w:type="pct"/>
            <w:tcBorders>
              <w:top w:val="nil"/>
              <w:left w:val="single" w:sz="4" w:space="0" w:color="auto"/>
              <w:bottom w:val="single" w:sz="4" w:space="0" w:color="auto"/>
              <w:right w:val="single" w:sz="4" w:space="0" w:color="auto"/>
            </w:tcBorders>
            <w:shd w:val="clear" w:color="auto" w:fill="auto"/>
            <w:vAlign w:val="bottom"/>
            <w:hideMark/>
          </w:tcPr>
          <w:p w14:paraId="44AAA1FA" w14:textId="6116D44A" w:rsidR="006A523F" w:rsidRPr="006A523F" w:rsidRDefault="003B6A20" w:rsidP="006A523F">
            <w:pPr>
              <w:spacing w:line="240" w:lineRule="auto"/>
              <w:jc w:val="left"/>
              <w:rPr>
                <w:rFonts w:ascii="Aptos Narrow" w:hAnsi="Aptos Narrow"/>
                <w:color w:val="000000"/>
                <w:sz w:val="14"/>
                <w:szCs w:val="14"/>
                <w:lang w:val="en-US" w:eastAsia="de-DE"/>
              </w:rPr>
            </w:pPr>
            <w:r w:rsidRPr="003B6A20">
              <w:rPr>
                <w:rFonts w:ascii="Aptos Narrow" w:hAnsi="Aptos Narrow"/>
                <w:color w:val="000000"/>
                <w:sz w:val="14"/>
                <w:szCs w:val="14"/>
                <w:lang w:val="en-US" w:eastAsia="de-DE"/>
              </w:rPr>
              <w:t>RV Discounted Principal Balance as a Percentage of Aggregate Discounted Principal Balance</w:t>
            </w:r>
          </w:p>
        </w:tc>
        <w:tc>
          <w:tcPr>
            <w:tcW w:w="1095" w:type="pct"/>
            <w:tcBorders>
              <w:top w:val="nil"/>
              <w:left w:val="nil"/>
              <w:bottom w:val="single" w:sz="4" w:space="0" w:color="auto"/>
              <w:right w:val="single" w:sz="4" w:space="0" w:color="auto"/>
            </w:tcBorders>
            <w:shd w:val="clear" w:color="auto" w:fill="auto"/>
            <w:noWrap/>
            <w:vAlign w:val="bottom"/>
            <w:hideMark/>
          </w:tcPr>
          <w:p w14:paraId="6114CFD5" w14:textId="77777777" w:rsidR="006A523F" w:rsidRPr="006A523F" w:rsidRDefault="006A523F" w:rsidP="006A523F">
            <w:pPr>
              <w:spacing w:line="240" w:lineRule="auto"/>
              <w:jc w:val="righ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78.0%</w:t>
            </w:r>
          </w:p>
        </w:tc>
        <w:tc>
          <w:tcPr>
            <w:tcW w:w="422" w:type="pct"/>
            <w:tcBorders>
              <w:top w:val="nil"/>
              <w:left w:val="nil"/>
              <w:bottom w:val="nil"/>
              <w:right w:val="nil"/>
            </w:tcBorders>
            <w:shd w:val="clear" w:color="auto" w:fill="auto"/>
            <w:noWrap/>
            <w:vAlign w:val="bottom"/>
            <w:hideMark/>
          </w:tcPr>
          <w:p w14:paraId="7675FA50" w14:textId="77777777" w:rsidR="006A523F" w:rsidRPr="006A523F" w:rsidRDefault="006A523F" w:rsidP="006A523F">
            <w:pPr>
              <w:spacing w:line="240" w:lineRule="auto"/>
              <w:jc w:val="right"/>
              <w:rPr>
                <w:rFonts w:ascii="Aptos Narrow" w:hAnsi="Aptos Narrow"/>
                <w:color w:val="000000"/>
                <w:sz w:val="14"/>
                <w:szCs w:val="14"/>
                <w:lang w:val="de-DE" w:eastAsia="de-DE"/>
              </w:rPr>
            </w:pPr>
          </w:p>
        </w:tc>
        <w:tc>
          <w:tcPr>
            <w:tcW w:w="1000" w:type="pct"/>
            <w:tcBorders>
              <w:top w:val="nil"/>
              <w:left w:val="nil"/>
              <w:bottom w:val="nil"/>
              <w:right w:val="nil"/>
            </w:tcBorders>
            <w:shd w:val="clear" w:color="auto" w:fill="auto"/>
            <w:noWrap/>
            <w:vAlign w:val="bottom"/>
            <w:hideMark/>
          </w:tcPr>
          <w:p w14:paraId="2710CA65"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vAlign w:val="bottom"/>
            <w:hideMark/>
          </w:tcPr>
          <w:p w14:paraId="4A315DEE" w14:textId="77777777" w:rsidR="006A523F" w:rsidRPr="006A523F" w:rsidRDefault="006A523F" w:rsidP="006A523F">
            <w:pPr>
              <w:spacing w:line="240" w:lineRule="auto"/>
              <w:jc w:val="left"/>
              <w:rPr>
                <w:rFonts w:ascii="Times New Roman" w:hAnsi="Times New Roman"/>
                <w:sz w:val="14"/>
                <w:szCs w:val="14"/>
                <w:lang w:val="de-DE" w:eastAsia="de-DE"/>
              </w:rPr>
            </w:pPr>
          </w:p>
        </w:tc>
      </w:tr>
    </w:tbl>
    <w:p w14:paraId="539F23F0" w14:textId="7D714F95" w:rsidR="003C771F" w:rsidRDefault="003C771F" w:rsidP="000D0E23">
      <w:pPr>
        <w:pStyle w:val="Body1"/>
      </w:pPr>
    </w:p>
    <w:p w14:paraId="7F070B73" w14:textId="77777777" w:rsidR="003C771F" w:rsidRDefault="003C771F">
      <w:r>
        <w:br w:type="page"/>
      </w:r>
    </w:p>
    <w:p w14:paraId="03299DAE" w14:textId="3CCEF5E9" w:rsidR="000D0E23" w:rsidRDefault="000D0E23" w:rsidP="000D0E23">
      <w:pPr>
        <w:pStyle w:val="Body1"/>
      </w:pPr>
      <w:r>
        <w:lastRenderedPageBreak/>
        <w:t>15.</w:t>
      </w:r>
      <w:r>
        <w:tab/>
      </w:r>
      <w:r w:rsidRPr="000D0E23">
        <w:rPr>
          <w:b/>
          <w:bCs/>
        </w:rPr>
        <w:t>All Leases by Discounted RV Amount (€)</w:t>
      </w:r>
    </w:p>
    <w:tbl>
      <w:tblPr>
        <w:tblW w:w="5000" w:type="pct"/>
        <w:tblLayout w:type="fixed"/>
        <w:tblCellMar>
          <w:left w:w="70" w:type="dxa"/>
          <w:right w:w="70" w:type="dxa"/>
        </w:tblCellMar>
        <w:tblLook w:val="04A0" w:firstRow="1" w:lastRow="0" w:firstColumn="1" w:lastColumn="0" w:noHBand="0" w:noVBand="1"/>
      </w:tblPr>
      <w:tblGrid>
        <w:gridCol w:w="2264"/>
        <w:gridCol w:w="1841"/>
        <w:gridCol w:w="1334"/>
        <w:gridCol w:w="1812"/>
        <w:gridCol w:w="1810"/>
      </w:tblGrid>
      <w:tr w:rsidR="006A523F" w:rsidRPr="006A523F" w14:paraId="0E2DDBE2" w14:textId="77777777" w:rsidTr="006A523F">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4038E" w14:textId="77777777" w:rsidR="006A523F" w:rsidRPr="006A523F" w:rsidRDefault="006A523F" w:rsidP="006A523F">
            <w:pPr>
              <w:spacing w:line="240" w:lineRule="auto"/>
              <w:jc w:val="center"/>
              <w:rPr>
                <w:rFonts w:ascii="Aptos Narrow" w:hAnsi="Aptos Narrow"/>
                <w:b/>
                <w:bCs/>
                <w:sz w:val="14"/>
                <w:szCs w:val="14"/>
                <w:lang w:val="en-US" w:eastAsia="de-DE"/>
              </w:rPr>
            </w:pPr>
            <w:r w:rsidRPr="006A523F">
              <w:rPr>
                <w:rFonts w:ascii="Aptos Narrow" w:hAnsi="Aptos Narrow"/>
                <w:b/>
                <w:bCs/>
                <w:sz w:val="14"/>
                <w:szCs w:val="14"/>
                <w:lang w:val="en-US" w:eastAsia="de-DE"/>
              </w:rPr>
              <w:t>All Leases by Discounted RV Amount(€)</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14:paraId="30891BCE"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Number of Leases</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16FC70AD"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D7B5138"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Aggregate Discounted Principal Balance(€)</w:t>
            </w:r>
          </w:p>
        </w:tc>
        <w:tc>
          <w:tcPr>
            <w:tcW w:w="999" w:type="pct"/>
            <w:tcBorders>
              <w:top w:val="single" w:sz="4" w:space="0" w:color="auto"/>
              <w:left w:val="nil"/>
              <w:bottom w:val="single" w:sz="4" w:space="0" w:color="auto"/>
              <w:right w:val="single" w:sz="4" w:space="0" w:color="auto"/>
            </w:tcBorders>
            <w:shd w:val="clear" w:color="auto" w:fill="auto"/>
            <w:vAlign w:val="center"/>
            <w:hideMark/>
          </w:tcPr>
          <w:p w14:paraId="2EE7D046"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of Total</w:t>
            </w:r>
          </w:p>
        </w:tc>
      </w:tr>
      <w:tr w:rsidR="006A523F" w:rsidRPr="006A523F" w14:paraId="68BD9681"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059276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0.01 - 5000.00</w:t>
            </w:r>
          </w:p>
        </w:tc>
        <w:tc>
          <w:tcPr>
            <w:tcW w:w="1016" w:type="pct"/>
            <w:tcBorders>
              <w:top w:val="nil"/>
              <w:left w:val="nil"/>
              <w:bottom w:val="single" w:sz="4" w:space="0" w:color="auto"/>
              <w:right w:val="single" w:sz="4" w:space="0" w:color="auto"/>
            </w:tcBorders>
            <w:shd w:val="clear" w:color="auto" w:fill="auto"/>
            <w:vAlign w:val="bottom"/>
            <w:hideMark/>
          </w:tcPr>
          <w:p w14:paraId="474933A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1,384</w:t>
            </w:r>
          </w:p>
        </w:tc>
        <w:tc>
          <w:tcPr>
            <w:tcW w:w="736" w:type="pct"/>
            <w:tcBorders>
              <w:top w:val="nil"/>
              <w:left w:val="nil"/>
              <w:bottom w:val="single" w:sz="4" w:space="0" w:color="auto"/>
              <w:right w:val="single" w:sz="4" w:space="0" w:color="auto"/>
            </w:tcBorders>
            <w:shd w:val="clear" w:color="auto" w:fill="auto"/>
            <w:vAlign w:val="bottom"/>
            <w:hideMark/>
          </w:tcPr>
          <w:p w14:paraId="5E50092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2.08%</w:t>
            </w:r>
          </w:p>
        </w:tc>
        <w:tc>
          <w:tcPr>
            <w:tcW w:w="1000" w:type="pct"/>
            <w:tcBorders>
              <w:top w:val="nil"/>
              <w:left w:val="nil"/>
              <w:bottom w:val="single" w:sz="4" w:space="0" w:color="auto"/>
              <w:right w:val="single" w:sz="4" w:space="0" w:color="auto"/>
            </w:tcBorders>
            <w:shd w:val="clear" w:color="auto" w:fill="auto"/>
            <w:vAlign w:val="bottom"/>
            <w:hideMark/>
          </w:tcPr>
          <w:p w14:paraId="3F7B00F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10,658,151</w:t>
            </w:r>
          </w:p>
        </w:tc>
        <w:tc>
          <w:tcPr>
            <w:tcW w:w="999" w:type="pct"/>
            <w:tcBorders>
              <w:top w:val="nil"/>
              <w:left w:val="nil"/>
              <w:bottom w:val="single" w:sz="4" w:space="0" w:color="auto"/>
              <w:right w:val="single" w:sz="4" w:space="0" w:color="auto"/>
            </w:tcBorders>
            <w:shd w:val="clear" w:color="auto" w:fill="auto"/>
            <w:vAlign w:val="bottom"/>
            <w:hideMark/>
          </w:tcPr>
          <w:p w14:paraId="6CE0021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0.86%</w:t>
            </w:r>
          </w:p>
        </w:tc>
      </w:tr>
      <w:tr w:rsidR="006A523F" w:rsidRPr="006A523F" w14:paraId="51CF2F85"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C43C4D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5000.01 - 10000.00</w:t>
            </w:r>
          </w:p>
        </w:tc>
        <w:tc>
          <w:tcPr>
            <w:tcW w:w="1016" w:type="pct"/>
            <w:tcBorders>
              <w:top w:val="nil"/>
              <w:left w:val="nil"/>
              <w:bottom w:val="single" w:sz="4" w:space="0" w:color="auto"/>
              <w:right w:val="single" w:sz="4" w:space="0" w:color="auto"/>
            </w:tcBorders>
            <w:shd w:val="clear" w:color="auto" w:fill="auto"/>
            <w:vAlign w:val="bottom"/>
            <w:hideMark/>
          </w:tcPr>
          <w:p w14:paraId="5EE2DD6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7,975</w:t>
            </w:r>
          </w:p>
        </w:tc>
        <w:tc>
          <w:tcPr>
            <w:tcW w:w="736" w:type="pct"/>
            <w:tcBorders>
              <w:top w:val="nil"/>
              <w:left w:val="nil"/>
              <w:bottom w:val="single" w:sz="4" w:space="0" w:color="auto"/>
              <w:right w:val="single" w:sz="4" w:space="0" w:color="auto"/>
            </w:tcBorders>
            <w:shd w:val="clear" w:color="auto" w:fill="auto"/>
            <w:vAlign w:val="bottom"/>
            <w:hideMark/>
          </w:tcPr>
          <w:p w14:paraId="40553AF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12.00%</w:t>
            </w:r>
          </w:p>
        </w:tc>
        <w:tc>
          <w:tcPr>
            <w:tcW w:w="1000" w:type="pct"/>
            <w:tcBorders>
              <w:top w:val="nil"/>
              <w:left w:val="nil"/>
              <w:bottom w:val="single" w:sz="4" w:space="0" w:color="auto"/>
              <w:right w:val="single" w:sz="4" w:space="0" w:color="auto"/>
            </w:tcBorders>
            <w:shd w:val="clear" w:color="auto" w:fill="auto"/>
            <w:vAlign w:val="bottom"/>
            <w:hideMark/>
          </w:tcPr>
          <w:p w14:paraId="20C51C6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95,763,148</w:t>
            </w:r>
          </w:p>
        </w:tc>
        <w:tc>
          <w:tcPr>
            <w:tcW w:w="999" w:type="pct"/>
            <w:tcBorders>
              <w:top w:val="nil"/>
              <w:left w:val="nil"/>
              <w:bottom w:val="single" w:sz="4" w:space="0" w:color="auto"/>
              <w:right w:val="single" w:sz="4" w:space="0" w:color="auto"/>
            </w:tcBorders>
            <w:shd w:val="clear" w:color="auto" w:fill="auto"/>
            <w:vAlign w:val="bottom"/>
            <w:hideMark/>
          </w:tcPr>
          <w:p w14:paraId="44DF9E7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7.72%</w:t>
            </w:r>
          </w:p>
        </w:tc>
      </w:tr>
      <w:tr w:rsidR="006A523F" w:rsidRPr="006A523F" w14:paraId="6C21AD86"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45ED79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10000.01 - 15000.00</w:t>
            </w:r>
          </w:p>
        </w:tc>
        <w:tc>
          <w:tcPr>
            <w:tcW w:w="1016" w:type="pct"/>
            <w:tcBorders>
              <w:top w:val="nil"/>
              <w:left w:val="nil"/>
              <w:bottom w:val="single" w:sz="4" w:space="0" w:color="auto"/>
              <w:right w:val="single" w:sz="4" w:space="0" w:color="auto"/>
            </w:tcBorders>
            <w:shd w:val="clear" w:color="auto" w:fill="auto"/>
            <w:vAlign w:val="bottom"/>
            <w:hideMark/>
          </w:tcPr>
          <w:p w14:paraId="1580656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28,894</w:t>
            </w:r>
          </w:p>
        </w:tc>
        <w:tc>
          <w:tcPr>
            <w:tcW w:w="736" w:type="pct"/>
            <w:tcBorders>
              <w:top w:val="nil"/>
              <w:left w:val="nil"/>
              <w:bottom w:val="single" w:sz="4" w:space="0" w:color="auto"/>
              <w:right w:val="single" w:sz="4" w:space="0" w:color="auto"/>
            </w:tcBorders>
            <w:shd w:val="clear" w:color="auto" w:fill="auto"/>
            <w:vAlign w:val="bottom"/>
            <w:hideMark/>
          </w:tcPr>
          <w:p w14:paraId="79BF4C8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43.47%</w:t>
            </w:r>
          </w:p>
        </w:tc>
        <w:tc>
          <w:tcPr>
            <w:tcW w:w="1000" w:type="pct"/>
            <w:tcBorders>
              <w:top w:val="nil"/>
              <w:left w:val="nil"/>
              <w:bottom w:val="single" w:sz="4" w:space="0" w:color="auto"/>
              <w:right w:val="single" w:sz="4" w:space="0" w:color="auto"/>
            </w:tcBorders>
            <w:shd w:val="clear" w:color="auto" w:fill="auto"/>
            <w:vAlign w:val="bottom"/>
            <w:hideMark/>
          </w:tcPr>
          <w:p w14:paraId="3AE7B9A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474,747,735</w:t>
            </w:r>
          </w:p>
        </w:tc>
        <w:tc>
          <w:tcPr>
            <w:tcW w:w="999" w:type="pct"/>
            <w:tcBorders>
              <w:top w:val="nil"/>
              <w:left w:val="nil"/>
              <w:bottom w:val="single" w:sz="4" w:space="0" w:color="auto"/>
              <w:right w:val="single" w:sz="4" w:space="0" w:color="auto"/>
            </w:tcBorders>
            <w:shd w:val="clear" w:color="auto" w:fill="auto"/>
            <w:vAlign w:val="bottom"/>
            <w:hideMark/>
          </w:tcPr>
          <w:p w14:paraId="66C9F0A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38.29%</w:t>
            </w:r>
          </w:p>
        </w:tc>
      </w:tr>
      <w:tr w:rsidR="006A523F" w:rsidRPr="006A523F" w14:paraId="7CA79045"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30AE7B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15000.01 - 20000.00</w:t>
            </w:r>
          </w:p>
        </w:tc>
        <w:tc>
          <w:tcPr>
            <w:tcW w:w="1016" w:type="pct"/>
            <w:tcBorders>
              <w:top w:val="nil"/>
              <w:left w:val="nil"/>
              <w:bottom w:val="single" w:sz="4" w:space="0" w:color="auto"/>
              <w:right w:val="single" w:sz="4" w:space="0" w:color="auto"/>
            </w:tcBorders>
            <w:shd w:val="clear" w:color="auto" w:fill="auto"/>
            <w:vAlign w:val="bottom"/>
            <w:hideMark/>
          </w:tcPr>
          <w:p w14:paraId="3469137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20,830</w:t>
            </w:r>
          </w:p>
        </w:tc>
        <w:tc>
          <w:tcPr>
            <w:tcW w:w="736" w:type="pct"/>
            <w:tcBorders>
              <w:top w:val="nil"/>
              <w:left w:val="nil"/>
              <w:bottom w:val="single" w:sz="4" w:space="0" w:color="auto"/>
              <w:right w:val="single" w:sz="4" w:space="0" w:color="auto"/>
            </w:tcBorders>
            <w:shd w:val="clear" w:color="auto" w:fill="auto"/>
            <w:vAlign w:val="bottom"/>
            <w:hideMark/>
          </w:tcPr>
          <w:p w14:paraId="3E1C222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31.34%</w:t>
            </w:r>
          </w:p>
        </w:tc>
        <w:tc>
          <w:tcPr>
            <w:tcW w:w="1000" w:type="pct"/>
            <w:tcBorders>
              <w:top w:val="nil"/>
              <w:left w:val="nil"/>
              <w:bottom w:val="single" w:sz="4" w:space="0" w:color="auto"/>
              <w:right w:val="single" w:sz="4" w:space="0" w:color="auto"/>
            </w:tcBorders>
            <w:shd w:val="clear" w:color="auto" w:fill="auto"/>
            <w:vAlign w:val="bottom"/>
            <w:hideMark/>
          </w:tcPr>
          <w:p w14:paraId="58572A4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448,497,057</w:t>
            </w:r>
          </w:p>
        </w:tc>
        <w:tc>
          <w:tcPr>
            <w:tcW w:w="999" w:type="pct"/>
            <w:tcBorders>
              <w:top w:val="nil"/>
              <w:left w:val="nil"/>
              <w:bottom w:val="single" w:sz="4" w:space="0" w:color="auto"/>
              <w:right w:val="single" w:sz="4" w:space="0" w:color="auto"/>
            </w:tcBorders>
            <w:shd w:val="clear" w:color="auto" w:fill="auto"/>
            <w:vAlign w:val="bottom"/>
            <w:hideMark/>
          </w:tcPr>
          <w:p w14:paraId="22FDC62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36.17%</w:t>
            </w:r>
          </w:p>
        </w:tc>
      </w:tr>
      <w:tr w:rsidR="006A523F" w:rsidRPr="006A523F" w14:paraId="28C75BA9"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356998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20000.01 - 25000.00</w:t>
            </w:r>
          </w:p>
        </w:tc>
        <w:tc>
          <w:tcPr>
            <w:tcW w:w="1016" w:type="pct"/>
            <w:tcBorders>
              <w:top w:val="nil"/>
              <w:left w:val="nil"/>
              <w:bottom w:val="single" w:sz="4" w:space="0" w:color="auto"/>
              <w:right w:val="single" w:sz="4" w:space="0" w:color="auto"/>
            </w:tcBorders>
            <w:shd w:val="clear" w:color="auto" w:fill="auto"/>
            <w:vAlign w:val="bottom"/>
            <w:hideMark/>
          </w:tcPr>
          <w:p w14:paraId="6C4DCB6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5,888</w:t>
            </w:r>
          </w:p>
        </w:tc>
        <w:tc>
          <w:tcPr>
            <w:tcW w:w="736" w:type="pct"/>
            <w:tcBorders>
              <w:top w:val="nil"/>
              <w:left w:val="nil"/>
              <w:bottom w:val="single" w:sz="4" w:space="0" w:color="auto"/>
              <w:right w:val="single" w:sz="4" w:space="0" w:color="auto"/>
            </w:tcBorders>
            <w:shd w:val="clear" w:color="auto" w:fill="auto"/>
            <w:vAlign w:val="bottom"/>
            <w:hideMark/>
          </w:tcPr>
          <w:p w14:paraId="7F81210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8.86%</w:t>
            </w:r>
          </w:p>
        </w:tc>
        <w:tc>
          <w:tcPr>
            <w:tcW w:w="1000" w:type="pct"/>
            <w:tcBorders>
              <w:top w:val="nil"/>
              <w:left w:val="nil"/>
              <w:bottom w:val="single" w:sz="4" w:space="0" w:color="auto"/>
              <w:right w:val="single" w:sz="4" w:space="0" w:color="auto"/>
            </w:tcBorders>
            <w:shd w:val="clear" w:color="auto" w:fill="auto"/>
            <w:vAlign w:val="bottom"/>
            <w:hideMark/>
          </w:tcPr>
          <w:p w14:paraId="17DE12F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155,525,304</w:t>
            </w:r>
          </w:p>
        </w:tc>
        <w:tc>
          <w:tcPr>
            <w:tcW w:w="999" w:type="pct"/>
            <w:tcBorders>
              <w:top w:val="nil"/>
              <w:left w:val="nil"/>
              <w:bottom w:val="single" w:sz="4" w:space="0" w:color="auto"/>
              <w:right w:val="single" w:sz="4" w:space="0" w:color="auto"/>
            </w:tcBorders>
            <w:shd w:val="clear" w:color="auto" w:fill="auto"/>
            <w:vAlign w:val="bottom"/>
            <w:hideMark/>
          </w:tcPr>
          <w:p w14:paraId="3D8B6C5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12.54%</w:t>
            </w:r>
          </w:p>
        </w:tc>
      </w:tr>
      <w:tr w:rsidR="006A523F" w:rsidRPr="006A523F" w14:paraId="62C86337"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3141C0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25000.01 - 30000.00</w:t>
            </w:r>
          </w:p>
        </w:tc>
        <w:tc>
          <w:tcPr>
            <w:tcW w:w="1016" w:type="pct"/>
            <w:tcBorders>
              <w:top w:val="nil"/>
              <w:left w:val="nil"/>
              <w:bottom w:val="single" w:sz="4" w:space="0" w:color="auto"/>
              <w:right w:val="single" w:sz="4" w:space="0" w:color="auto"/>
            </w:tcBorders>
            <w:shd w:val="clear" w:color="auto" w:fill="auto"/>
            <w:vAlign w:val="bottom"/>
            <w:hideMark/>
          </w:tcPr>
          <w:p w14:paraId="3583931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1,010</w:t>
            </w:r>
          </w:p>
        </w:tc>
        <w:tc>
          <w:tcPr>
            <w:tcW w:w="736" w:type="pct"/>
            <w:tcBorders>
              <w:top w:val="nil"/>
              <w:left w:val="nil"/>
              <w:bottom w:val="single" w:sz="4" w:space="0" w:color="auto"/>
              <w:right w:val="single" w:sz="4" w:space="0" w:color="auto"/>
            </w:tcBorders>
            <w:shd w:val="clear" w:color="auto" w:fill="auto"/>
            <w:vAlign w:val="bottom"/>
            <w:hideMark/>
          </w:tcPr>
          <w:p w14:paraId="13AE470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1.52%</w:t>
            </w:r>
          </w:p>
        </w:tc>
        <w:tc>
          <w:tcPr>
            <w:tcW w:w="1000" w:type="pct"/>
            <w:tcBorders>
              <w:top w:val="nil"/>
              <w:left w:val="nil"/>
              <w:bottom w:val="single" w:sz="4" w:space="0" w:color="auto"/>
              <w:right w:val="single" w:sz="4" w:space="0" w:color="auto"/>
            </w:tcBorders>
            <w:shd w:val="clear" w:color="auto" w:fill="auto"/>
            <w:vAlign w:val="bottom"/>
            <w:hideMark/>
          </w:tcPr>
          <w:p w14:paraId="1FE6A89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32,246,491</w:t>
            </w:r>
          </w:p>
        </w:tc>
        <w:tc>
          <w:tcPr>
            <w:tcW w:w="999" w:type="pct"/>
            <w:tcBorders>
              <w:top w:val="nil"/>
              <w:left w:val="nil"/>
              <w:bottom w:val="single" w:sz="4" w:space="0" w:color="auto"/>
              <w:right w:val="single" w:sz="4" w:space="0" w:color="auto"/>
            </w:tcBorders>
            <w:shd w:val="clear" w:color="auto" w:fill="auto"/>
            <w:vAlign w:val="bottom"/>
            <w:hideMark/>
          </w:tcPr>
          <w:p w14:paraId="6EDE574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2.60%</w:t>
            </w:r>
          </w:p>
        </w:tc>
      </w:tr>
      <w:tr w:rsidR="006A523F" w:rsidRPr="006A523F" w14:paraId="69C14632"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C93160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30000.01 - 35000.00</w:t>
            </w:r>
          </w:p>
        </w:tc>
        <w:tc>
          <w:tcPr>
            <w:tcW w:w="1016" w:type="pct"/>
            <w:tcBorders>
              <w:top w:val="nil"/>
              <w:left w:val="nil"/>
              <w:bottom w:val="single" w:sz="4" w:space="0" w:color="auto"/>
              <w:right w:val="single" w:sz="4" w:space="0" w:color="auto"/>
            </w:tcBorders>
            <w:shd w:val="clear" w:color="auto" w:fill="auto"/>
            <w:vAlign w:val="bottom"/>
            <w:hideMark/>
          </w:tcPr>
          <w:p w14:paraId="71C0538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221</w:t>
            </w:r>
          </w:p>
        </w:tc>
        <w:tc>
          <w:tcPr>
            <w:tcW w:w="736" w:type="pct"/>
            <w:tcBorders>
              <w:top w:val="nil"/>
              <w:left w:val="nil"/>
              <w:bottom w:val="single" w:sz="4" w:space="0" w:color="auto"/>
              <w:right w:val="single" w:sz="4" w:space="0" w:color="auto"/>
            </w:tcBorders>
            <w:shd w:val="clear" w:color="auto" w:fill="auto"/>
            <w:vAlign w:val="bottom"/>
            <w:hideMark/>
          </w:tcPr>
          <w:p w14:paraId="7A51EF4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0.33%</w:t>
            </w:r>
          </w:p>
        </w:tc>
        <w:tc>
          <w:tcPr>
            <w:tcW w:w="1000" w:type="pct"/>
            <w:tcBorders>
              <w:top w:val="nil"/>
              <w:left w:val="nil"/>
              <w:bottom w:val="single" w:sz="4" w:space="0" w:color="auto"/>
              <w:right w:val="single" w:sz="4" w:space="0" w:color="auto"/>
            </w:tcBorders>
            <w:shd w:val="clear" w:color="auto" w:fill="auto"/>
            <w:vAlign w:val="bottom"/>
            <w:hideMark/>
          </w:tcPr>
          <w:p w14:paraId="3454A93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8,858,420</w:t>
            </w:r>
          </w:p>
        </w:tc>
        <w:tc>
          <w:tcPr>
            <w:tcW w:w="999" w:type="pct"/>
            <w:tcBorders>
              <w:top w:val="nil"/>
              <w:left w:val="nil"/>
              <w:bottom w:val="single" w:sz="4" w:space="0" w:color="auto"/>
              <w:right w:val="single" w:sz="4" w:space="0" w:color="auto"/>
            </w:tcBorders>
            <w:shd w:val="clear" w:color="auto" w:fill="auto"/>
            <w:vAlign w:val="bottom"/>
            <w:hideMark/>
          </w:tcPr>
          <w:p w14:paraId="2EED898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0.71%</w:t>
            </w:r>
          </w:p>
        </w:tc>
      </w:tr>
      <w:tr w:rsidR="006A523F" w:rsidRPr="006A523F" w14:paraId="18B5E8C6"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6AEE3A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35000.01 - 40000.00</w:t>
            </w:r>
          </w:p>
        </w:tc>
        <w:tc>
          <w:tcPr>
            <w:tcW w:w="1016" w:type="pct"/>
            <w:tcBorders>
              <w:top w:val="nil"/>
              <w:left w:val="nil"/>
              <w:bottom w:val="single" w:sz="4" w:space="0" w:color="auto"/>
              <w:right w:val="single" w:sz="4" w:space="0" w:color="auto"/>
            </w:tcBorders>
            <w:shd w:val="clear" w:color="auto" w:fill="auto"/>
            <w:vAlign w:val="bottom"/>
            <w:hideMark/>
          </w:tcPr>
          <w:p w14:paraId="6E6132D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120</w:t>
            </w:r>
          </w:p>
        </w:tc>
        <w:tc>
          <w:tcPr>
            <w:tcW w:w="736" w:type="pct"/>
            <w:tcBorders>
              <w:top w:val="nil"/>
              <w:left w:val="nil"/>
              <w:bottom w:val="single" w:sz="4" w:space="0" w:color="auto"/>
              <w:right w:val="single" w:sz="4" w:space="0" w:color="auto"/>
            </w:tcBorders>
            <w:shd w:val="clear" w:color="auto" w:fill="auto"/>
            <w:vAlign w:val="bottom"/>
            <w:hideMark/>
          </w:tcPr>
          <w:p w14:paraId="21E78D5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0.18%</w:t>
            </w:r>
          </w:p>
        </w:tc>
        <w:tc>
          <w:tcPr>
            <w:tcW w:w="1000" w:type="pct"/>
            <w:tcBorders>
              <w:top w:val="nil"/>
              <w:left w:val="nil"/>
              <w:bottom w:val="single" w:sz="4" w:space="0" w:color="auto"/>
              <w:right w:val="single" w:sz="4" w:space="0" w:color="auto"/>
            </w:tcBorders>
            <w:shd w:val="clear" w:color="auto" w:fill="auto"/>
            <w:vAlign w:val="bottom"/>
            <w:hideMark/>
          </w:tcPr>
          <w:p w14:paraId="4B26F1F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5,303,303</w:t>
            </w:r>
          </w:p>
        </w:tc>
        <w:tc>
          <w:tcPr>
            <w:tcW w:w="999" w:type="pct"/>
            <w:tcBorders>
              <w:top w:val="nil"/>
              <w:left w:val="nil"/>
              <w:bottom w:val="single" w:sz="4" w:space="0" w:color="auto"/>
              <w:right w:val="single" w:sz="4" w:space="0" w:color="auto"/>
            </w:tcBorders>
            <w:shd w:val="clear" w:color="auto" w:fill="auto"/>
            <w:vAlign w:val="bottom"/>
            <w:hideMark/>
          </w:tcPr>
          <w:p w14:paraId="301E628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0.43%</w:t>
            </w:r>
          </w:p>
        </w:tc>
      </w:tr>
      <w:tr w:rsidR="006A523F" w:rsidRPr="006A523F" w14:paraId="44DB23EE"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5AFBBB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40000.01 - 45000.00</w:t>
            </w:r>
          </w:p>
        </w:tc>
        <w:tc>
          <w:tcPr>
            <w:tcW w:w="1016" w:type="pct"/>
            <w:tcBorders>
              <w:top w:val="nil"/>
              <w:left w:val="nil"/>
              <w:bottom w:val="single" w:sz="4" w:space="0" w:color="auto"/>
              <w:right w:val="single" w:sz="4" w:space="0" w:color="auto"/>
            </w:tcBorders>
            <w:shd w:val="clear" w:color="auto" w:fill="auto"/>
            <w:vAlign w:val="bottom"/>
            <w:hideMark/>
          </w:tcPr>
          <w:p w14:paraId="11C10F6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52</w:t>
            </w:r>
          </w:p>
        </w:tc>
        <w:tc>
          <w:tcPr>
            <w:tcW w:w="736" w:type="pct"/>
            <w:tcBorders>
              <w:top w:val="nil"/>
              <w:left w:val="nil"/>
              <w:bottom w:val="single" w:sz="4" w:space="0" w:color="auto"/>
              <w:right w:val="single" w:sz="4" w:space="0" w:color="auto"/>
            </w:tcBorders>
            <w:shd w:val="clear" w:color="auto" w:fill="auto"/>
            <w:vAlign w:val="bottom"/>
            <w:hideMark/>
          </w:tcPr>
          <w:p w14:paraId="3678DDE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0.08%</w:t>
            </w:r>
          </w:p>
        </w:tc>
        <w:tc>
          <w:tcPr>
            <w:tcW w:w="1000" w:type="pct"/>
            <w:tcBorders>
              <w:top w:val="nil"/>
              <w:left w:val="nil"/>
              <w:bottom w:val="single" w:sz="4" w:space="0" w:color="auto"/>
              <w:right w:val="single" w:sz="4" w:space="0" w:color="auto"/>
            </w:tcBorders>
            <w:shd w:val="clear" w:color="auto" w:fill="auto"/>
            <w:vAlign w:val="bottom"/>
            <w:hideMark/>
          </w:tcPr>
          <w:p w14:paraId="55E5A79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2,924,308</w:t>
            </w:r>
          </w:p>
        </w:tc>
        <w:tc>
          <w:tcPr>
            <w:tcW w:w="999" w:type="pct"/>
            <w:tcBorders>
              <w:top w:val="nil"/>
              <w:left w:val="nil"/>
              <w:bottom w:val="single" w:sz="4" w:space="0" w:color="auto"/>
              <w:right w:val="single" w:sz="4" w:space="0" w:color="auto"/>
            </w:tcBorders>
            <w:shd w:val="clear" w:color="auto" w:fill="auto"/>
            <w:vAlign w:val="bottom"/>
            <w:hideMark/>
          </w:tcPr>
          <w:p w14:paraId="665ACF9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0.24%</w:t>
            </w:r>
          </w:p>
        </w:tc>
      </w:tr>
      <w:tr w:rsidR="006A523F" w:rsidRPr="006A523F" w14:paraId="55B1125C"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5FE4B4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45000.01 - 50000.00</w:t>
            </w:r>
          </w:p>
        </w:tc>
        <w:tc>
          <w:tcPr>
            <w:tcW w:w="1016" w:type="pct"/>
            <w:tcBorders>
              <w:top w:val="nil"/>
              <w:left w:val="nil"/>
              <w:bottom w:val="single" w:sz="4" w:space="0" w:color="auto"/>
              <w:right w:val="single" w:sz="4" w:space="0" w:color="auto"/>
            </w:tcBorders>
            <w:shd w:val="clear" w:color="auto" w:fill="auto"/>
            <w:vAlign w:val="bottom"/>
            <w:hideMark/>
          </w:tcPr>
          <w:p w14:paraId="279A0F1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37</w:t>
            </w:r>
          </w:p>
        </w:tc>
        <w:tc>
          <w:tcPr>
            <w:tcW w:w="736" w:type="pct"/>
            <w:tcBorders>
              <w:top w:val="nil"/>
              <w:left w:val="nil"/>
              <w:bottom w:val="single" w:sz="4" w:space="0" w:color="auto"/>
              <w:right w:val="single" w:sz="4" w:space="0" w:color="auto"/>
            </w:tcBorders>
            <w:shd w:val="clear" w:color="auto" w:fill="auto"/>
            <w:vAlign w:val="bottom"/>
            <w:hideMark/>
          </w:tcPr>
          <w:p w14:paraId="5C42100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1000" w:type="pct"/>
            <w:tcBorders>
              <w:top w:val="nil"/>
              <w:left w:val="nil"/>
              <w:bottom w:val="single" w:sz="4" w:space="0" w:color="auto"/>
              <w:right w:val="single" w:sz="4" w:space="0" w:color="auto"/>
            </w:tcBorders>
            <w:shd w:val="clear" w:color="auto" w:fill="auto"/>
            <w:vAlign w:val="bottom"/>
            <w:hideMark/>
          </w:tcPr>
          <w:p w14:paraId="6D6E474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2,242,903</w:t>
            </w:r>
          </w:p>
        </w:tc>
        <w:tc>
          <w:tcPr>
            <w:tcW w:w="999" w:type="pct"/>
            <w:tcBorders>
              <w:top w:val="nil"/>
              <w:left w:val="nil"/>
              <w:bottom w:val="single" w:sz="4" w:space="0" w:color="auto"/>
              <w:right w:val="single" w:sz="4" w:space="0" w:color="auto"/>
            </w:tcBorders>
            <w:shd w:val="clear" w:color="auto" w:fill="auto"/>
            <w:vAlign w:val="bottom"/>
            <w:hideMark/>
          </w:tcPr>
          <w:p w14:paraId="3AB1E52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0.18%</w:t>
            </w:r>
          </w:p>
        </w:tc>
      </w:tr>
      <w:tr w:rsidR="006A523F" w:rsidRPr="006A523F" w14:paraId="25CF350F"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51A43A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50000.01 - 55000.00</w:t>
            </w:r>
          </w:p>
        </w:tc>
        <w:tc>
          <w:tcPr>
            <w:tcW w:w="1016" w:type="pct"/>
            <w:tcBorders>
              <w:top w:val="nil"/>
              <w:left w:val="nil"/>
              <w:bottom w:val="single" w:sz="4" w:space="0" w:color="auto"/>
              <w:right w:val="single" w:sz="4" w:space="0" w:color="auto"/>
            </w:tcBorders>
            <w:shd w:val="clear" w:color="auto" w:fill="auto"/>
            <w:vAlign w:val="bottom"/>
            <w:hideMark/>
          </w:tcPr>
          <w:p w14:paraId="5BA2AE5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30</w:t>
            </w:r>
          </w:p>
        </w:tc>
        <w:tc>
          <w:tcPr>
            <w:tcW w:w="736" w:type="pct"/>
            <w:tcBorders>
              <w:top w:val="nil"/>
              <w:left w:val="nil"/>
              <w:bottom w:val="single" w:sz="4" w:space="0" w:color="auto"/>
              <w:right w:val="single" w:sz="4" w:space="0" w:color="auto"/>
            </w:tcBorders>
            <w:shd w:val="clear" w:color="auto" w:fill="auto"/>
            <w:vAlign w:val="bottom"/>
            <w:hideMark/>
          </w:tcPr>
          <w:p w14:paraId="0B073AC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1000" w:type="pct"/>
            <w:tcBorders>
              <w:top w:val="nil"/>
              <w:left w:val="nil"/>
              <w:bottom w:val="single" w:sz="4" w:space="0" w:color="auto"/>
              <w:right w:val="single" w:sz="4" w:space="0" w:color="auto"/>
            </w:tcBorders>
            <w:shd w:val="clear" w:color="auto" w:fill="auto"/>
            <w:vAlign w:val="bottom"/>
            <w:hideMark/>
          </w:tcPr>
          <w:p w14:paraId="2F67228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1,782,576</w:t>
            </w:r>
          </w:p>
        </w:tc>
        <w:tc>
          <w:tcPr>
            <w:tcW w:w="999" w:type="pct"/>
            <w:tcBorders>
              <w:top w:val="nil"/>
              <w:left w:val="nil"/>
              <w:bottom w:val="single" w:sz="4" w:space="0" w:color="auto"/>
              <w:right w:val="single" w:sz="4" w:space="0" w:color="auto"/>
            </w:tcBorders>
            <w:shd w:val="clear" w:color="auto" w:fill="auto"/>
            <w:vAlign w:val="bottom"/>
            <w:hideMark/>
          </w:tcPr>
          <w:p w14:paraId="22A4C2B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r>
      <w:tr w:rsidR="006A523F" w:rsidRPr="006A523F" w14:paraId="2C29E0E6"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93351F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55000.01 - 60000.00</w:t>
            </w:r>
          </w:p>
        </w:tc>
        <w:tc>
          <w:tcPr>
            <w:tcW w:w="1016" w:type="pct"/>
            <w:tcBorders>
              <w:top w:val="nil"/>
              <w:left w:val="nil"/>
              <w:bottom w:val="single" w:sz="4" w:space="0" w:color="auto"/>
              <w:right w:val="single" w:sz="4" w:space="0" w:color="auto"/>
            </w:tcBorders>
            <w:shd w:val="clear" w:color="auto" w:fill="auto"/>
            <w:vAlign w:val="bottom"/>
            <w:hideMark/>
          </w:tcPr>
          <w:p w14:paraId="60DC88E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17</w:t>
            </w:r>
          </w:p>
        </w:tc>
        <w:tc>
          <w:tcPr>
            <w:tcW w:w="736" w:type="pct"/>
            <w:tcBorders>
              <w:top w:val="nil"/>
              <w:left w:val="nil"/>
              <w:bottom w:val="single" w:sz="4" w:space="0" w:color="auto"/>
              <w:right w:val="single" w:sz="4" w:space="0" w:color="auto"/>
            </w:tcBorders>
            <w:shd w:val="clear" w:color="auto" w:fill="auto"/>
            <w:vAlign w:val="bottom"/>
            <w:hideMark/>
          </w:tcPr>
          <w:p w14:paraId="077D291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1000" w:type="pct"/>
            <w:tcBorders>
              <w:top w:val="nil"/>
              <w:left w:val="nil"/>
              <w:bottom w:val="single" w:sz="4" w:space="0" w:color="auto"/>
              <w:right w:val="single" w:sz="4" w:space="0" w:color="auto"/>
            </w:tcBorders>
            <w:shd w:val="clear" w:color="auto" w:fill="auto"/>
            <w:vAlign w:val="bottom"/>
            <w:hideMark/>
          </w:tcPr>
          <w:p w14:paraId="679F088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1,106,435</w:t>
            </w:r>
          </w:p>
        </w:tc>
        <w:tc>
          <w:tcPr>
            <w:tcW w:w="999" w:type="pct"/>
            <w:tcBorders>
              <w:top w:val="nil"/>
              <w:left w:val="nil"/>
              <w:bottom w:val="single" w:sz="4" w:space="0" w:color="auto"/>
              <w:right w:val="single" w:sz="4" w:space="0" w:color="auto"/>
            </w:tcBorders>
            <w:shd w:val="clear" w:color="auto" w:fill="auto"/>
            <w:vAlign w:val="bottom"/>
            <w:hideMark/>
          </w:tcPr>
          <w:p w14:paraId="5B17692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r>
      <w:tr w:rsidR="006A523F" w:rsidRPr="006A523F" w14:paraId="3D57BBD5"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DA5A85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Larger 60000.00</w:t>
            </w:r>
          </w:p>
        </w:tc>
        <w:tc>
          <w:tcPr>
            <w:tcW w:w="1016" w:type="pct"/>
            <w:tcBorders>
              <w:top w:val="nil"/>
              <w:left w:val="nil"/>
              <w:bottom w:val="single" w:sz="4" w:space="0" w:color="auto"/>
              <w:right w:val="single" w:sz="4" w:space="0" w:color="auto"/>
            </w:tcBorders>
            <w:shd w:val="clear" w:color="auto" w:fill="auto"/>
            <w:vAlign w:val="bottom"/>
            <w:hideMark/>
          </w:tcPr>
          <w:p w14:paraId="3737710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w:t>
            </w:r>
          </w:p>
        </w:tc>
        <w:tc>
          <w:tcPr>
            <w:tcW w:w="736" w:type="pct"/>
            <w:tcBorders>
              <w:top w:val="nil"/>
              <w:left w:val="nil"/>
              <w:bottom w:val="single" w:sz="4" w:space="0" w:color="auto"/>
              <w:right w:val="single" w:sz="4" w:space="0" w:color="auto"/>
            </w:tcBorders>
            <w:shd w:val="clear" w:color="auto" w:fill="auto"/>
            <w:vAlign w:val="bottom"/>
            <w:hideMark/>
          </w:tcPr>
          <w:p w14:paraId="64F7596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002DB20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341,220</w:t>
            </w:r>
          </w:p>
        </w:tc>
        <w:tc>
          <w:tcPr>
            <w:tcW w:w="999" w:type="pct"/>
            <w:tcBorders>
              <w:top w:val="nil"/>
              <w:left w:val="nil"/>
              <w:bottom w:val="single" w:sz="4" w:space="0" w:color="auto"/>
              <w:right w:val="single" w:sz="4" w:space="0" w:color="auto"/>
            </w:tcBorders>
            <w:shd w:val="clear" w:color="auto" w:fill="auto"/>
            <w:vAlign w:val="bottom"/>
            <w:hideMark/>
          </w:tcPr>
          <w:p w14:paraId="7413F98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r>
      <w:tr w:rsidR="006A523F" w:rsidRPr="006A523F" w14:paraId="401A6794"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center"/>
            <w:hideMark/>
          </w:tcPr>
          <w:p w14:paraId="69CDA6E1"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Total</w:t>
            </w:r>
          </w:p>
        </w:tc>
        <w:tc>
          <w:tcPr>
            <w:tcW w:w="1016" w:type="pct"/>
            <w:tcBorders>
              <w:top w:val="nil"/>
              <w:left w:val="nil"/>
              <w:bottom w:val="single" w:sz="4" w:space="0" w:color="auto"/>
              <w:right w:val="single" w:sz="4" w:space="0" w:color="auto"/>
            </w:tcBorders>
            <w:shd w:val="clear" w:color="auto" w:fill="auto"/>
            <w:vAlign w:val="center"/>
            <w:hideMark/>
          </w:tcPr>
          <w:p w14:paraId="1187F10A"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66,463</w:t>
            </w:r>
          </w:p>
        </w:tc>
        <w:tc>
          <w:tcPr>
            <w:tcW w:w="736" w:type="pct"/>
            <w:tcBorders>
              <w:top w:val="nil"/>
              <w:left w:val="nil"/>
              <w:bottom w:val="single" w:sz="4" w:space="0" w:color="auto"/>
              <w:right w:val="single" w:sz="4" w:space="0" w:color="auto"/>
            </w:tcBorders>
            <w:shd w:val="clear" w:color="auto" w:fill="auto"/>
            <w:vAlign w:val="center"/>
            <w:hideMark/>
          </w:tcPr>
          <w:p w14:paraId="2736C44E"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100%</w:t>
            </w:r>
          </w:p>
        </w:tc>
        <w:tc>
          <w:tcPr>
            <w:tcW w:w="1000" w:type="pct"/>
            <w:tcBorders>
              <w:top w:val="nil"/>
              <w:left w:val="nil"/>
              <w:bottom w:val="single" w:sz="4" w:space="0" w:color="auto"/>
              <w:right w:val="single" w:sz="4" w:space="0" w:color="auto"/>
            </w:tcBorders>
            <w:shd w:val="clear" w:color="auto" w:fill="auto"/>
            <w:vAlign w:val="center"/>
            <w:hideMark/>
          </w:tcPr>
          <w:p w14:paraId="7B15BC99"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1,239,997,050</w:t>
            </w:r>
          </w:p>
        </w:tc>
        <w:tc>
          <w:tcPr>
            <w:tcW w:w="999" w:type="pct"/>
            <w:tcBorders>
              <w:top w:val="nil"/>
              <w:left w:val="nil"/>
              <w:bottom w:val="single" w:sz="4" w:space="0" w:color="auto"/>
              <w:right w:val="single" w:sz="4" w:space="0" w:color="auto"/>
            </w:tcBorders>
            <w:shd w:val="clear" w:color="auto" w:fill="auto"/>
            <w:vAlign w:val="center"/>
            <w:hideMark/>
          </w:tcPr>
          <w:p w14:paraId="0BF138BD"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100%</w:t>
            </w:r>
          </w:p>
        </w:tc>
      </w:tr>
      <w:tr w:rsidR="006A523F" w:rsidRPr="006A523F" w14:paraId="3B483D20" w14:textId="77777777" w:rsidTr="006A523F">
        <w:trPr>
          <w:trHeight w:val="20"/>
        </w:trPr>
        <w:tc>
          <w:tcPr>
            <w:tcW w:w="1249" w:type="pct"/>
            <w:tcBorders>
              <w:top w:val="nil"/>
              <w:left w:val="nil"/>
              <w:bottom w:val="nil"/>
              <w:right w:val="nil"/>
            </w:tcBorders>
            <w:shd w:val="clear" w:color="auto" w:fill="auto"/>
            <w:noWrap/>
            <w:vAlign w:val="bottom"/>
            <w:hideMark/>
          </w:tcPr>
          <w:p w14:paraId="50046617" w14:textId="77777777" w:rsidR="006A523F" w:rsidRPr="006A523F" w:rsidRDefault="006A523F" w:rsidP="006A523F">
            <w:pPr>
              <w:spacing w:line="240" w:lineRule="auto"/>
              <w:jc w:val="center"/>
              <w:rPr>
                <w:rFonts w:ascii="Aptos Narrow" w:hAnsi="Aptos Narrow"/>
                <w:b/>
                <w:bCs/>
                <w:sz w:val="14"/>
                <w:szCs w:val="14"/>
                <w:lang w:val="de-DE" w:eastAsia="de-DE"/>
              </w:rPr>
            </w:pPr>
          </w:p>
        </w:tc>
        <w:tc>
          <w:tcPr>
            <w:tcW w:w="1016" w:type="pct"/>
            <w:tcBorders>
              <w:top w:val="nil"/>
              <w:left w:val="nil"/>
              <w:bottom w:val="nil"/>
              <w:right w:val="nil"/>
            </w:tcBorders>
            <w:shd w:val="clear" w:color="auto" w:fill="auto"/>
            <w:noWrap/>
            <w:vAlign w:val="bottom"/>
            <w:hideMark/>
          </w:tcPr>
          <w:p w14:paraId="53CD6B94"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736" w:type="pct"/>
            <w:tcBorders>
              <w:top w:val="nil"/>
              <w:left w:val="nil"/>
              <w:bottom w:val="nil"/>
              <w:right w:val="nil"/>
            </w:tcBorders>
            <w:shd w:val="clear" w:color="auto" w:fill="auto"/>
            <w:noWrap/>
            <w:vAlign w:val="bottom"/>
            <w:hideMark/>
          </w:tcPr>
          <w:p w14:paraId="0AA4E3D6"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1000" w:type="pct"/>
            <w:tcBorders>
              <w:top w:val="nil"/>
              <w:left w:val="nil"/>
              <w:bottom w:val="nil"/>
              <w:right w:val="nil"/>
            </w:tcBorders>
            <w:shd w:val="clear" w:color="auto" w:fill="auto"/>
            <w:noWrap/>
            <w:vAlign w:val="bottom"/>
            <w:hideMark/>
          </w:tcPr>
          <w:p w14:paraId="72C53EC3"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999" w:type="pct"/>
            <w:tcBorders>
              <w:top w:val="nil"/>
              <w:left w:val="nil"/>
              <w:bottom w:val="nil"/>
              <w:right w:val="nil"/>
            </w:tcBorders>
            <w:shd w:val="clear" w:color="auto" w:fill="auto"/>
            <w:vAlign w:val="bottom"/>
            <w:hideMark/>
          </w:tcPr>
          <w:p w14:paraId="1405BD9F"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7AB368C4" w14:textId="77777777" w:rsidTr="006A523F">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DCF96" w14:textId="77777777" w:rsidR="006A523F" w:rsidRPr="00CB16CF" w:rsidRDefault="006A523F" w:rsidP="006A523F">
            <w:pPr>
              <w:spacing w:line="240" w:lineRule="auto"/>
              <w:jc w:val="left"/>
              <w:rPr>
                <w:rFonts w:ascii="Aptos Narrow" w:hAnsi="Aptos Narrow"/>
                <w:color w:val="000000"/>
                <w:sz w:val="14"/>
                <w:szCs w:val="14"/>
                <w:lang w:val="en-US" w:eastAsia="de-DE"/>
              </w:rPr>
            </w:pPr>
            <w:r w:rsidRPr="00CB16CF">
              <w:rPr>
                <w:rFonts w:ascii="Aptos Narrow" w:hAnsi="Aptos Narrow"/>
                <w:color w:val="000000"/>
                <w:sz w:val="14"/>
                <w:szCs w:val="14"/>
                <w:lang w:val="en-US" w:eastAsia="de-DE"/>
              </w:rPr>
              <w:t>All Leases Minimum Discounted Residual Value(€)</w:t>
            </w:r>
          </w:p>
        </w:tc>
        <w:tc>
          <w:tcPr>
            <w:tcW w:w="1016" w:type="pct"/>
            <w:tcBorders>
              <w:top w:val="single" w:sz="4" w:space="0" w:color="auto"/>
              <w:left w:val="nil"/>
              <w:bottom w:val="single" w:sz="4" w:space="0" w:color="auto"/>
              <w:right w:val="single" w:sz="4" w:space="0" w:color="auto"/>
            </w:tcBorders>
            <w:shd w:val="clear" w:color="auto" w:fill="auto"/>
            <w:noWrap/>
            <w:vAlign w:val="bottom"/>
            <w:hideMark/>
          </w:tcPr>
          <w:p w14:paraId="72F19AF6"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CB16CF">
              <w:rPr>
                <w:rFonts w:ascii="Aptos Narrow" w:hAnsi="Aptos Narrow"/>
                <w:color w:val="000000"/>
                <w:sz w:val="14"/>
                <w:szCs w:val="14"/>
                <w:lang w:val="en-US" w:eastAsia="de-DE"/>
              </w:rPr>
              <w:t xml:space="preserve">                                          </w:t>
            </w:r>
            <w:r w:rsidRPr="006A523F">
              <w:rPr>
                <w:rFonts w:ascii="Aptos Narrow" w:hAnsi="Aptos Narrow"/>
                <w:color w:val="000000"/>
                <w:sz w:val="14"/>
                <w:szCs w:val="14"/>
                <w:lang w:val="de-DE" w:eastAsia="de-DE"/>
              </w:rPr>
              <w:t xml:space="preserve">217 </w:t>
            </w:r>
          </w:p>
        </w:tc>
        <w:tc>
          <w:tcPr>
            <w:tcW w:w="736" w:type="pct"/>
            <w:tcBorders>
              <w:top w:val="nil"/>
              <w:left w:val="nil"/>
              <w:bottom w:val="nil"/>
              <w:right w:val="nil"/>
            </w:tcBorders>
            <w:shd w:val="clear" w:color="auto" w:fill="auto"/>
            <w:noWrap/>
            <w:vAlign w:val="bottom"/>
            <w:hideMark/>
          </w:tcPr>
          <w:p w14:paraId="39D2B7AB" w14:textId="77777777" w:rsidR="006A523F" w:rsidRPr="006A523F" w:rsidRDefault="006A523F" w:rsidP="006A523F">
            <w:pPr>
              <w:spacing w:line="240" w:lineRule="auto"/>
              <w:jc w:val="left"/>
              <w:rPr>
                <w:rFonts w:ascii="Aptos Narrow" w:hAnsi="Aptos Narrow"/>
                <w:color w:val="000000"/>
                <w:sz w:val="14"/>
                <w:szCs w:val="14"/>
                <w:lang w:val="de-DE" w:eastAsia="de-DE"/>
              </w:rPr>
            </w:pPr>
          </w:p>
        </w:tc>
        <w:tc>
          <w:tcPr>
            <w:tcW w:w="1000" w:type="pct"/>
            <w:tcBorders>
              <w:top w:val="nil"/>
              <w:left w:val="nil"/>
              <w:bottom w:val="nil"/>
              <w:right w:val="nil"/>
            </w:tcBorders>
            <w:shd w:val="clear" w:color="auto" w:fill="auto"/>
            <w:noWrap/>
            <w:vAlign w:val="bottom"/>
            <w:hideMark/>
          </w:tcPr>
          <w:p w14:paraId="63DCEEF7"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999" w:type="pct"/>
            <w:tcBorders>
              <w:top w:val="nil"/>
              <w:left w:val="nil"/>
              <w:bottom w:val="nil"/>
              <w:right w:val="nil"/>
            </w:tcBorders>
            <w:shd w:val="clear" w:color="auto" w:fill="auto"/>
            <w:vAlign w:val="bottom"/>
            <w:hideMark/>
          </w:tcPr>
          <w:p w14:paraId="2DC85D63"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012E9350"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14:paraId="4FC7242F" w14:textId="77777777" w:rsidR="006A523F" w:rsidRPr="00CB16CF" w:rsidRDefault="006A523F" w:rsidP="006A523F">
            <w:pPr>
              <w:spacing w:line="240" w:lineRule="auto"/>
              <w:jc w:val="left"/>
              <w:rPr>
                <w:rFonts w:ascii="Aptos Narrow" w:hAnsi="Aptos Narrow"/>
                <w:color w:val="000000"/>
                <w:sz w:val="14"/>
                <w:szCs w:val="14"/>
                <w:lang w:val="en-US" w:eastAsia="de-DE"/>
              </w:rPr>
            </w:pPr>
            <w:r w:rsidRPr="00CB16CF">
              <w:rPr>
                <w:rFonts w:ascii="Aptos Narrow" w:hAnsi="Aptos Narrow"/>
                <w:color w:val="000000"/>
                <w:sz w:val="14"/>
                <w:szCs w:val="14"/>
                <w:lang w:val="en-US" w:eastAsia="de-DE"/>
              </w:rPr>
              <w:t>All Leases Maximum Discounted Residual Value(€)</w:t>
            </w:r>
          </w:p>
        </w:tc>
        <w:tc>
          <w:tcPr>
            <w:tcW w:w="1016" w:type="pct"/>
            <w:tcBorders>
              <w:top w:val="nil"/>
              <w:left w:val="nil"/>
              <w:bottom w:val="single" w:sz="4" w:space="0" w:color="auto"/>
              <w:right w:val="single" w:sz="4" w:space="0" w:color="auto"/>
            </w:tcBorders>
            <w:shd w:val="clear" w:color="auto" w:fill="auto"/>
            <w:noWrap/>
            <w:vAlign w:val="bottom"/>
            <w:hideMark/>
          </w:tcPr>
          <w:p w14:paraId="25C3F804"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CB16CF">
              <w:rPr>
                <w:rFonts w:ascii="Aptos Narrow" w:hAnsi="Aptos Narrow"/>
                <w:color w:val="000000"/>
                <w:sz w:val="14"/>
                <w:szCs w:val="14"/>
                <w:lang w:val="en-US" w:eastAsia="de-DE"/>
              </w:rPr>
              <w:t xml:space="preserve">                                    </w:t>
            </w:r>
            <w:r w:rsidRPr="006A523F">
              <w:rPr>
                <w:rFonts w:ascii="Aptos Narrow" w:hAnsi="Aptos Narrow"/>
                <w:color w:val="000000"/>
                <w:sz w:val="14"/>
                <w:szCs w:val="14"/>
                <w:lang w:val="de-DE" w:eastAsia="de-DE"/>
              </w:rPr>
              <w:t xml:space="preserve">68,682 </w:t>
            </w:r>
          </w:p>
        </w:tc>
        <w:tc>
          <w:tcPr>
            <w:tcW w:w="736" w:type="pct"/>
            <w:tcBorders>
              <w:top w:val="nil"/>
              <w:left w:val="nil"/>
              <w:bottom w:val="nil"/>
              <w:right w:val="nil"/>
            </w:tcBorders>
            <w:shd w:val="clear" w:color="auto" w:fill="auto"/>
            <w:noWrap/>
            <w:vAlign w:val="bottom"/>
            <w:hideMark/>
          </w:tcPr>
          <w:p w14:paraId="6A0E7C3B" w14:textId="77777777" w:rsidR="006A523F" w:rsidRPr="006A523F" w:rsidRDefault="006A523F" w:rsidP="006A523F">
            <w:pPr>
              <w:spacing w:line="240" w:lineRule="auto"/>
              <w:jc w:val="left"/>
              <w:rPr>
                <w:rFonts w:ascii="Aptos Narrow" w:hAnsi="Aptos Narrow"/>
                <w:color w:val="000000"/>
                <w:sz w:val="14"/>
                <w:szCs w:val="14"/>
                <w:lang w:val="de-DE" w:eastAsia="de-DE"/>
              </w:rPr>
            </w:pPr>
          </w:p>
        </w:tc>
        <w:tc>
          <w:tcPr>
            <w:tcW w:w="1000" w:type="pct"/>
            <w:tcBorders>
              <w:top w:val="nil"/>
              <w:left w:val="nil"/>
              <w:bottom w:val="nil"/>
              <w:right w:val="nil"/>
            </w:tcBorders>
            <w:shd w:val="clear" w:color="auto" w:fill="auto"/>
            <w:noWrap/>
            <w:vAlign w:val="bottom"/>
            <w:hideMark/>
          </w:tcPr>
          <w:p w14:paraId="48C0C7EA"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999" w:type="pct"/>
            <w:tcBorders>
              <w:top w:val="nil"/>
              <w:left w:val="nil"/>
              <w:bottom w:val="nil"/>
              <w:right w:val="nil"/>
            </w:tcBorders>
            <w:shd w:val="clear" w:color="auto" w:fill="auto"/>
            <w:vAlign w:val="bottom"/>
            <w:hideMark/>
          </w:tcPr>
          <w:p w14:paraId="26C225BD"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1906E42C" w14:textId="77777777" w:rsidTr="006A523F">
        <w:trPr>
          <w:trHeight w:val="2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2D61AC2" w14:textId="77777777" w:rsidR="006A523F" w:rsidRPr="006A523F" w:rsidRDefault="006A523F" w:rsidP="006A523F">
            <w:pPr>
              <w:spacing w:line="240" w:lineRule="auto"/>
              <w:jc w:val="left"/>
              <w:rPr>
                <w:rFonts w:ascii="Aptos Narrow" w:hAnsi="Aptos Narrow"/>
                <w:color w:val="000000"/>
                <w:sz w:val="14"/>
                <w:szCs w:val="14"/>
                <w:lang w:val="en-US" w:eastAsia="de-DE"/>
              </w:rPr>
            </w:pPr>
            <w:r w:rsidRPr="006A523F">
              <w:rPr>
                <w:rFonts w:ascii="Aptos Narrow" w:hAnsi="Aptos Narrow"/>
                <w:color w:val="000000"/>
                <w:sz w:val="14"/>
                <w:szCs w:val="14"/>
                <w:lang w:val="en-US" w:eastAsia="de-DE"/>
              </w:rPr>
              <w:t>All Leases Average Discounted Residual Value</w:t>
            </w:r>
          </w:p>
        </w:tc>
        <w:tc>
          <w:tcPr>
            <w:tcW w:w="1016" w:type="pct"/>
            <w:tcBorders>
              <w:top w:val="nil"/>
              <w:left w:val="nil"/>
              <w:bottom w:val="single" w:sz="4" w:space="0" w:color="auto"/>
              <w:right w:val="single" w:sz="4" w:space="0" w:color="auto"/>
            </w:tcBorders>
            <w:shd w:val="clear" w:color="auto" w:fill="auto"/>
            <w:noWrap/>
            <w:vAlign w:val="bottom"/>
            <w:hideMark/>
          </w:tcPr>
          <w:p w14:paraId="1ACD753F"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en-US" w:eastAsia="de-DE"/>
              </w:rPr>
              <w:t xml:space="preserve">                                    </w:t>
            </w:r>
            <w:r w:rsidRPr="006A523F">
              <w:rPr>
                <w:rFonts w:ascii="Aptos Narrow" w:hAnsi="Aptos Narrow"/>
                <w:color w:val="000000"/>
                <w:sz w:val="14"/>
                <w:szCs w:val="14"/>
                <w:lang w:val="de-DE" w:eastAsia="de-DE"/>
              </w:rPr>
              <w:t xml:space="preserve">14,555 </w:t>
            </w:r>
          </w:p>
        </w:tc>
        <w:tc>
          <w:tcPr>
            <w:tcW w:w="736" w:type="pct"/>
            <w:tcBorders>
              <w:top w:val="nil"/>
              <w:left w:val="nil"/>
              <w:bottom w:val="nil"/>
              <w:right w:val="nil"/>
            </w:tcBorders>
            <w:shd w:val="clear" w:color="auto" w:fill="auto"/>
            <w:noWrap/>
            <w:vAlign w:val="bottom"/>
            <w:hideMark/>
          </w:tcPr>
          <w:p w14:paraId="5717BF23" w14:textId="77777777" w:rsidR="006A523F" w:rsidRPr="006A523F" w:rsidRDefault="006A523F" w:rsidP="006A523F">
            <w:pPr>
              <w:spacing w:line="240" w:lineRule="auto"/>
              <w:jc w:val="left"/>
              <w:rPr>
                <w:rFonts w:ascii="Aptos Narrow" w:hAnsi="Aptos Narrow"/>
                <w:color w:val="000000"/>
                <w:sz w:val="14"/>
                <w:szCs w:val="14"/>
                <w:lang w:val="de-DE" w:eastAsia="de-DE"/>
              </w:rPr>
            </w:pPr>
          </w:p>
        </w:tc>
        <w:tc>
          <w:tcPr>
            <w:tcW w:w="1000" w:type="pct"/>
            <w:tcBorders>
              <w:top w:val="nil"/>
              <w:left w:val="nil"/>
              <w:bottom w:val="nil"/>
              <w:right w:val="nil"/>
            </w:tcBorders>
            <w:shd w:val="clear" w:color="auto" w:fill="auto"/>
            <w:noWrap/>
            <w:vAlign w:val="bottom"/>
            <w:hideMark/>
          </w:tcPr>
          <w:p w14:paraId="450C85F8"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999" w:type="pct"/>
            <w:tcBorders>
              <w:top w:val="nil"/>
              <w:left w:val="nil"/>
              <w:bottom w:val="nil"/>
              <w:right w:val="nil"/>
            </w:tcBorders>
            <w:shd w:val="clear" w:color="auto" w:fill="auto"/>
            <w:vAlign w:val="bottom"/>
            <w:hideMark/>
          </w:tcPr>
          <w:p w14:paraId="0C7C5649" w14:textId="77777777" w:rsidR="006A523F" w:rsidRPr="006A523F" w:rsidRDefault="006A523F" w:rsidP="006A523F">
            <w:pPr>
              <w:spacing w:line="240" w:lineRule="auto"/>
              <w:jc w:val="left"/>
              <w:rPr>
                <w:rFonts w:ascii="Times New Roman" w:hAnsi="Times New Roman"/>
                <w:sz w:val="14"/>
                <w:szCs w:val="14"/>
                <w:lang w:val="de-DE" w:eastAsia="de-DE"/>
              </w:rPr>
            </w:pPr>
          </w:p>
        </w:tc>
      </w:tr>
    </w:tbl>
    <w:p w14:paraId="58E8A92E" w14:textId="77777777" w:rsidR="004A63B5" w:rsidRDefault="004A63B5" w:rsidP="000D0E23">
      <w:pPr>
        <w:pStyle w:val="Body1"/>
      </w:pPr>
    </w:p>
    <w:p w14:paraId="44ADB969" w14:textId="6F7E3CA0" w:rsidR="000D0E23" w:rsidRPr="000D0E23" w:rsidRDefault="000D0E23" w:rsidP="000D0E23">
      <w:pPr>
        <w:pStyle w:val="Body1"/>
        <w:rPr>
          <w:b/>
          <w:bCs/>
        </w:rPr>
      </w:pPr>
      <w:r>
        <w:t>16.</w:t>
      </w:r>
      <w:r>
        <w:tab/>
      </w:r>
      <w:r>
        <w:rPr>
          <w:b/>
          <w:bCs/>
        </w:rPr>
        <w:t>KM Leases by Discounted RV Amount (€)</w:t>
      </w:r>
    </w:p>
    <w:tbl>
      <w:tblPr>
        <w:tblW w:w="5000" w:type="pct"/>
        <w:tblLayout w:type="fixed"/>
        <w:tblCellMar>
          <w:left w:w="70" w:type="dxa"/>
          <w:right w:w="70" w:type="dxa"/>
        </w:tblCellMar>
        <w:tblLook w:val="04A0" w:firstRow="1" w:lastRow="0" w:firstColumn="1" w:lastColumn="0" w:noHBand="0" w:noVBand="1"/>
      </w:tblPr>
      <w:tblGrid>
        <w:gridCol w:w="3256"/>
        <w:gridCol w:w="1702"/>
        <w:gridCol w:w="1134"/>
        <w:gridCol w:w="1702"/>
        <w:gridCol w:w="1267"/>
      </w:tblGrid>
      <w:tr w:rsidR="006A523F" w:rsidRPr="006A523F" w14:paraId="5C20D797" w14:textId="77777777" w:rsidTr="006A523F">
        <w:trPr>
          <w:trHeight w:val="20"/>
        </w:trPr>
        <w:tc>
          <w:tcPr>
            <w:tcW w:w="17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62A88" w14:textId="77777777" w:rsidR="006A523F" w:rsidRPr="006A523F" w:rsidRDefault="006A523F" w:rsidP="006A523F">
            <w:pPr>
              <w:spacing w:line="240" w:lineRule="auto"/>
              <w:jc w:val="center"/>
              <w:rPr>
                <w:rFonts w:ascii="Aptos Narrow" w:hAnsi="Aptos Narrow"/>
                <w:b/>
                <w:bCs/>
                <w:sz w:val="14"/>
                <w:szCs w:val="14"/>
                <w:lang w:val="en-US" w:eastAsia="de-DE"/>
              </w:rPr>
            </w:pPr>
            <w:r w:rsidRPr="006A523F">
              <w:rPr>
                <w:rFonts w:ascii="Aptos Narrow" w:hAnsi="Aptos Narrow"/>
                <w:b/>
                <w:bCs/>
                <w:sz w:val="14"/>
                <w:szCs w:val="14"/>
                <w:lang w:val="en-US" w:eastAsia="de-DE"/>
              </w:rPr>
              <w:t>KM Leases by Discounted RV Amount(€)</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751A6E8E"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Number of Leases</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121044E9"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of Total</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153053EC"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Aggregate Discounted Principal Balance(€)</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7A103DD4"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 of Total</w:t>
            </w:r>
          </w:p>
        </w:tc>
      </w:tr>
      <w:tr w:rsidR="006A523F" w:rsidRPr="006A523F" w14:paraId="659B600C"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72FB932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0.01 - 5000.00</w:t>
            </w:r>
          </w:p>
        </w:tc>
        <w:tc>
          <w:tcPr>
            <w:tcW w:w="939" w:type="pct"/>
            <w:tcBorders>
              <w:top w:val="nil"/>
              <w:left w:val="nil"/>
              <w:bottom w:val="single" w:sz="4" w:space="0" w:color="auto"/>
              <w:right w:val="single" w:sz="4" w:space="0" w:color="auto"/>
            </w:tcBorders>
            <w:shd w:val="clear" w:color="auto" w:fill="auto"/>
            <w:vAlign w:val="bottom"/>
            <w:hideMark/>
          </w:tcPr>
          <w:p w14:paraId="3848E3B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710</w:t>
            </w:r>
          </w:p>
        </w:tc>
        <w:tc>
          <w:tcPr>
            <w:tcW w:w="626" w:type="pct"/>
            <w:tcBorders>
              <w:top w:val="nil"/>
              <w:left w:val="nil"/>
              <w:bottom w:val="single" w:sz="4" w:space="0" w:color="auto"/>
              <w:right w:val="single" w:sz="4" w:space="0" w:color="auto"/>
            </w:tcBorders>
            <w:shd w:val="clear" w:color="auto" w:fill="auto"/>
            <w:vAlign w:val="bottom"/>
            <w:hideMark/>
          </w:tcPr>
          <w:p w14:paraId="5F556F5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1.07%</w:t>
            </w:r>
          </w:p>
        </w:tc>
        <w:tc>
          <w:tcPr>
            <w:tcW w:w="939" w:type="pct"/>
            <w:tcBorders>
              <w:top w:val="nil"/>
              <w:left w:val="nil"/>
              <w:bottom w:val="single" w:sz="4" w:space="0" w:color="auto"/>
              <w:right w:val="single" w:sz="4" w:space="0" w:color="auto"/>
            </w:tcBorders>
            <w:shd w:val="clear" w:color="auto" w:fill="auto"/>
            <w:vAlign w:val="bottom"/>
            <w:hideMark/>
          </w:tcPr>
          <w:p w14:paraId="6B9D912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5,043,754</w:t>
            </w:r>
          </w:p>
        </w:tc>
        <w:tc>
          <w:tcPr>
            <w:tcW w:w="699" w:type="pct"/>
            <w:tcBorders>
              <w:top w:val="nil"/>
              <w:left w:val="nil"/>
              <w:bottom w:val="single" w:sz="4" w:space="0" w:color="auto"/>
              <w:right w:val="single" w:sz="4" w:space="0" w:color="auto"/>
            </w:tcBorders>
            <w:shd w:val="clear" w:color="auto" w:fill="auto"/>
            <w:vAlign w:val="bottom"/>
            <w:hideMark/>
          </w:tcPr>
          <w:p w14:paraId="16D7887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0.41%</w:t>
            </w:r>
          </w:p>
        </w:tc>
      </w:tr>
      <w:tr w:rsidR="006A523F" w:rsidRPr="006A523F" w14:paraId="3803FF72"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14C0A14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5000.01 - 10000.00</w:t>
            </w:r>
          </w:p>
        </w:tc>
        <w:tc>
          <w:tcPr>
            <w:tcW w:w="939" w:type="pct"/>
            <w:tcBorders>
              <w:top w:val="nil"/>
              <w:left w:val="nil"/>
              <w:bottom w:val="single" w:sz="4" w:space="0" w:color="auto"/>
              <w:right w:val="single" w:sz="4" w:space="0" w:color="auto"/>
            </w:tcBorders>
            <w:shd w:val="clear" w:color="auto" w:fill="auto"/>
            <w:vAlign w:val="bottom"/>
            <w:hideMark/>
          </w:tcPr>
          <w:p w14:paraId="3CF6D58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5,838</w:t>
            </w:r>
          </w:p>
        </w:tc>
        <w:tc>
          <w:tcPr>
            <w:tcW w:w="626" w:type="pct"/>
            <w:tcBorders>
              <w:top w:val="nil"/>
              <w:left w:val="nil"/>
              <w:bottom w:val="single" w:sz="4" w:space="0" w:color="auto"/>
              <w:right w:val="single" w:sz="4" w:space="0" w:color="auto"/>
            </w:tcBorders>
            <w:shd w:val="clear" w:color="auto" w:fill="auto"/>
            <w:vAlign w:val="bottom"/>
            <w:hideMark/>
          </w:tcPr>
          <w:p w14:paraId="6469E47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8.78%</w:t>
            </w:r>
          </w:p>
        </w:tc>
        <w:tc>
          <w:tcPr>
            <w:tcW w:w="939" w:type="pct"/>
            <w:tcBorders>
              <w:top w:val="nil"/>
              <w:left w:val="nil"/>
              <w:bottom w:val="single" w:sz="4" w:space="0" w:color="auto"/>
              <w:right w:val="single" w:sz="4" w:space="0" w:color="auto"/>
            </w:tcBorders>
            <w:shd w:val="clear" w:color="auto" w:fill="auto"/>
            <w:vAlign w:val="bottom"/>
            <w:hideMark/>
          </w:tcPr>
          <w:p w14:paraId="4D6DCBC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69,284,659</w:t>
            </w:r>
          </w:p>
        </w:tc>
        <w:tc>
          <w:tcPr>
            <w:tcW w:w="699" w:type="pct"/>
            <w:tcBorders>
              <w:top w:val="nil"/>
              <w:left w:val="nil"/>
              <w:bottom w:val="single" w:sz="4" w:space="0" w:color="auto"/>
              <w:right w:val="single" w:sz="4" w:space="0" w:color="auto"/>
            </w:tcBorders>
            <w:shd w:val="clear" w:color="auto" w:fill="auto"/>
            <w:vAlign w:val="bottom"/>
            <w:hideMark/>
          </w:tcPr>
          <w:p w14:paraId="0830178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5.59%</w:t>
            </w:r>
          </w:p>
        </w:tc>
      </w:tr>
      <w:tr w:rsidR="006A523F" w:rsidRPr="006A523F" w14:paraId="56C8BD68"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0C6B8AF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10000.01 - 15000.00</w:t>
            </w:r>
          </w:p>
        </w:tc>
        <w:tc>
          <w:tcPr>
            <w:tcW w:w="939" w:type="pct"/>
            <w:tcBorders>
              <w:top w:val="nil"/>
              <w:left w:val="nil"/>
              <w:bottom w:val="single" w:sz="4" w:space="0" w:color="auto"/>
              <w:right w:val="single" w:sz="4" w:space="0" w:color="auto"/>
            </w:tcBorders>
            <w:shd w:val="clear" w:color="auto" w:fill="auto"/>
            <w:vAlign w:val="bottom"/>
            <w:hideMark/>
          </w:tcPr>
          <w:p w14:paraId="14BFC5D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25,314</w:t>
            </w:r>
          </w:p>
        </w:tc>
        <w:tc>
          <w:tcPr>
            <w:tcW w:w="626" w:type="pct"/>
            <w:tcBorders>
              <w:top w:val="nil"/>
              <w:left w:val="nil"/>
              <w:bottom w:val="single" w:sz="4" w:space="0" w:color="auto"/>
              <w:right w:val="single" w:sz="4" w:space="0" w:color="auto"/>
            </w:tcBorders>
            <w:shd w:val="clear" w:color="auto" w:fill="auto"/>
            <w:vAlign w:val="bottom"/>
            <w:hideMark/>
          </w:tcPr>
          <w:p w14:paraId="1C153F8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38.09%</w:t>
            </w:r>
          </w:p>
        </w:tc>
        <w:tc>
          <w:tcPr>
            <w:tcW w:w="939" w:type="pct"/>
            <w:tcBorders>
              <w:top w:val="nil"/>
              <w:left w:val="nil"/>
              <w:bottom w:val="single" w:sz="4" w:space="0" w:color="auto"/>
              <w:right w:val="single" w:sz="4" w:space="0" w:color="auto"/>
            </w:tcBorders>
            <w:shd w:val="clear" w:color="auto" w:fill="auto"/>
            <w:vAlign w:val="bottom"/>
            <w:hideMark/>
          </w:tcPr>
          <w:p w14:paraId="76327B3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412,738,576</w:t>
            </w:r>
          </w:p>
        </w:tc>
        <w:tc>
          <w:tcPr>
            <w:tcW w:w="699" w:type="pct"/>
            <w:tcBorders>
              <w:top w:val="nil"/>
              <w:left w:val="nil"/>
              <w:bottom w:val="single" w:sz="4" w:space="0" w:color="auto"/>
              <w:right w:val="single" w:sz="4" w:space="0" w:color="auto"/>
            </w:tcBorders>
            <w:shd w:val="clear" w:color="auto" w:fill="auto"/>
            <w:vAlign w:val="bottom"/>
            <w:hideMark/>
          </w:tcPr>
          <w:p w14:paraId="09AD41F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33.29%</w:t>
            </w:r>
          </w:p>
        </w:tc>
      </w:tr>
      <w:tr w:rsidR="006A523F" w:rsidRPr="006A523F" w14:paraId="6E717A7B"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6E17115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15000.01 - 20000.00</w:t>
            </w:r>
          </w:p>
        </w:tc>
        <w:tc>
          <w:tcPr>
            <w:tcW w:w="939" w:type="pct"/>
            <w:tcBorders>
              <w:top w:val="nil"/>
              <w:left w:val="nil"/>
              <w:bottom w:val="single" w:sz="4" w:space="0" w:color="auto"/>
              <w:right w:val="single" w:sz="4" w:space="0" w:color="auto"/>
            </w:tcBorders>
            <w:shd w:val="clear" w:color="auto" w:fill="auto"/>
            <w:vAlign w:val="bottom"/>
            <w:hideMark/>
          </w:tcPr>
          <w:p w14:paraId="060189F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18,595</w:t>
            </w:r>
          </w:p>
        </w:tc>
        <w:tc>
          <w:tcPr>
            <w:tcW w:w="626" w:type="pct"/>
            <w:tcBorders>
              <w:top w:val="nil"/>
              <w:left w:val="nil"/>
              <w:bottom w:val="single" w:sz="4" w:space="0" w:color="auto"/>
              <w:right w:val="single" w:sz="4" w:space="0" w:color="auto"/>
            </w:tcBorders>
            <w:shd w:val="clear" w:color="auto" w:fill="auto"/>
            <w:vAlign w:val="bottom"/>
            <w:hideMark/>
          </w:tcPr>
          <w:p w14:paraId="0417256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27.98%</w:t>
            </w:r>
          </w:p>
        </w:tc>
        <w:tc>
          <w:tcPr>
            <w:tcW w:w="939" w:type="pct"/>
            <w:tcBorders>
              <w:top w:val="nil"/>
              <w:left w:val="nil"/>
              <w:bottom w:val="single" w:sz="4" w:space="0" w:color="auto"/>
              <w:right w:val="single" w:sz="4" w:space="0" w:color="auto"/>
            </w:tcBorders>
            <w:shd w:val="clear" w:color="auto" w:fill="auto"/>
            <w:vAlign w:val="bottom"/>
            <w:hideMark/>
          </w:tcPr>
          <w:p w14:paraId="07026AE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399,104,254</w:t>
            </w:r>
          </w:p>
        </w:tc>
        <w:tc>
          <w:tcPr>
            <w:tcW w:w="699" w:type="pct"/>
            <w:tcBorders>
              <w:top w:val="nil"/>
              <w:left w:val="nil"/>
              <w:bottom w:val="single" w:sz="4" w:space="0" w:color="auto"/>
              <w:right w:val="single" w:sz="4" w:space="0" w:color="auto"/>
            </w:tcBorders>
            <w:shd w:val="clear" w:color="auto" w:fill="auto"/>
            <w:vAlign w:val="bottom"/>
            <w:hideMark/>
          </w:tcPr>
          <w:p w14:paraId="02CC309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32.19%</w:t>
            </w:r>
          </w:p>
        </w:tc>
      </w:tr>
      <w:tr w:rsidR="006A523F" w:rsidRPr="006A523F" w14:paraId="0D734251"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1274A82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20000.01 - 25000.00</w:t>
            </w:r>
          </w:p>
        </w:tc>
        <w:tc>
          <w:tcPr>
            <w:tcW w:w="939" w:type="pct"/>
            <w:tcBorders>
              <w:top w:val="nil"/>
              <w:left w:val="nil"/>
              <w:bottom w:val="single" w:sz="4" w:space="0" w:color="auto"/>
              <w:right w:val="single" w:sz="4" w:space="0" w:color="auto"/>
            </w:tcBorders>
            <w:shd w:val="clear" w:color="auto" w:fill="auto"/>
            <w:vAlign w:val="bottom"/>
            <w:hideMark/>
          </w:tcPr>
          <w:p w14:paraId="206417D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5,178</w:t>
            </w:r>
          </w:p>
        </w:tc>
        <w:tc>
          <w:tcPr>
            <w:tcW w:w="626" w:type="pct"/>
            <w:tcBorders>
              <w:top w:val="nil"/>
              <w:left w:val="nil"/>
              <w:bottom w:val="single" w:sz="4" w:space="0" w:color="auto"/>
              <w:right w:val="single" w:sz="4" w:space="0" w:color="auto"/>
            </w:tcBorders>
            <w:shd w:val="clear" w:color="auto" w:fill="auto"/>
            <w:vAlign w:val="bottom"/>
            <w:hideMark/>
          </w:tcPr>
          <w:p w14:paraId="3AF28E7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7.79%</w:t>
            </w:r>
          </w:p>
        </w:tc>
        <w:tc>
          <w:tcPr>
            <w:tcW w:w="939" w:type="pct"/>
            <w:tcBorders>
              <w:top w:val="nil"/>
              <w:left w:val="nil"/>
              <w:bottom w:val="single" w:sz="4" w:space="0" w:color="auto"/>
              <w:right w:val="single" w:sz="4" w:space="0" w:color="auto"/>
            </w:tcBorders>
            <w:shd w:val="clear" w:color="auto" w:fill="auto"/>
            <w:vAlign w:val="bottom"/>
            <w:hideMark/>
          </w:tcPr>
          <w:p w14:paraId="0650F18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136,410,648</w:t>
            </w:r>
          </w:p>
        </w:tc>
        <w:tc>
          <w:tcPr>
            <w:tcW w:w="699" w:type="pct"/>
            <w:tcBorders>
              <w:top w:val="nil"/>
              <w:left w:val="nil"/>
              <w:bottom w:val="single" w:sz="4" w:space="0" w:color="auto"/>
              <w:right w:val="single" w:sz="4" w:space="0" w:color="auto"/>
            </w:tcBorders>
            <w:shd w:val="clear" w:color="auto" w:fill="auto"/>
            <w:vAlign w:val="bottom"/>
            <w:hideMark/>
          </w:tcPr>
          <w:p w14:paraId="6A4FAB8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11.00%</w:t>
            </w:r>
          </w:p>
        </w:tc>
      </w:tr>
      <w:tr w:rsidR="006A523F" w:rsidRPr="006A523F" w14:paraId="6569C758"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19C3D7B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25000.01 - 30000.00</w:t>
            </w:r>
          </w:p>
        </w:tc>
        <w:tc>
          <w:tcPr>
            <w:tcW w:w="939" w:type="pct"/>
            <w:tcBorders>
              <w:top w:val="nil"/>
              <w:left w:val="nil"/>
              <w:bottom w:val="single" w:sz="4" w:space="0" w:color="auto"/>
              <w:right w:val="single" w:sz="4" w:space="0" w:color="auto"/>
            </w:tcBorders>
            <w:shd w:val="clear" w:color="auto" w:fill="auto"/>
            <w:vAlign w:val="bottom"/>
            <w:hideMark/>
          </w:tcPr>
          <w:p w14:paraId="093793D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893</w:t>
            </w:r>
          </w:p>
        </w:tc>
        <w:tc>
          <w:tcPr>
            <w:tcW w:w="626" w:type="pct"/>
            <w:tcBorders>
              <w:top w:val="nil"/>
              <w:left w:val="nil"/>
              <w:bottom w:val="single" w:sz="4" w:space="0" w:color="auto"/>
              <w:right w:val="single" w:sz="4" w:space="0" w:color="auto"/>
            </w:tcBorders>
            <w:shd w:val="clear" w:color="auto" w:fill="auto"/>
            <w:vAlign w:val="bottom"/>
            <w:hideMark/>
          </w:tcPr>
          <w:p w14:paraId="342EC14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1.34%</w:t>
            </w:r>
          </w:p>
        </w:tc>
        <w:tc>
          <w:tcPr>
            <w:tcW w:w="939" w:type="pct"/>
            <w:tcBorders>
              <w:top w:val="nil"/>
              <w:left w:val="nil"/>
              <w:bottom w:val="single" w:sz="4" w:space="0" w:color="auto"/>
              <w:right w:val="single" w:sz="4" w:space="0" w:color="auto"/>
            </w:tcBorders>
            <w:shd w:val="clear" w:color="auto" w:fill="auto"/>
            <w:vAlign w:val="bottom"/>
            <w:hideMark/>
          </w:tcPr>
          <w:p w14:paraId="00BA4A9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28,571,977</w:t>
            </w:r>
          </w:p>
        </w:tc>
        <w:tc>
          <w:tcPr>
            <w:tcW w:w="699" w:type="pct"/>
            <w:tcBorders>
              <w:top w:val="nil"/>
              <w:left w:val="nil"/>
              <w:bottom w:val="single" w:sz="4" w:space="0" w:color="auto"/>
              <w:right w:val="single" w:sz="4" w:space="0" w:color="auto"/>
            </w:tcBorders>
            <w:shd w:val="clear" w:color="auto" w:fill="auto"/>
            <w:vAlign w:val="bottom"/>
            <w:hideMark/>
          </w:tcPr>
          <w:p w14:paraId="05CB5AD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2.30%</w:t>
            </w:r>
          </w:p>
        </w:tc>
      </w:tr>
      <w:tr w:rsidR="006A523F" w:rsidRPr="006A523F" w14:paraId="58785EDE"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2611785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30000.01 - 35000.00</w:t>
            </w:r>
          </w:p>
        </w:tc>
        <w:tc>
          <w:tcPr>
            <w:tcW w:w="939" w:type="pct"/>
            <w:tcBorders>
              <w:top w:val="nil"/>
              <w:left w:val="nil"/>
              <w:bottom w:val="single" w:sz="4" w:space="0" w:color="auto"/>
              <w:right w:val="single" w:sz="4" w:space="0" w:color="auto"/>
            </w:tcBorders>
            <w:shd w:val="clear" w:color="auto" w:fill="auto"/>
            <w:vAlign w:val="bottom"/>
            <w:hideMark/>
          </w:tcPr>
          <w:p w14:paraId="07431F8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210</w:t>
            </w:r>
          </w:p>
        </w:tc>
        <w:tc>
          <w:tcPr>
            <w:tcW w:w="626" w:type="pct"/>
            <w:tcBorders>
              <w:top w:val="nil"/>
              <w:left w:val="nil"/>
              <w:bottom w:val="single" w:sz="4" w:space="0" w:color="auto"/>
              <w:right w:val="single" w:sz="4" w:space="0" w:color="auto"/>
            </w:tcBorders>
            <w:shd w:val="clear" w:color="auto" w:fill="auto"/>
            <w:vAlign w:val="bottom"/>
            <w:hideMark/>
          </w:tcPr>
          <w:p w14:paraId="351DBAD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0.32%</w:t>
            </w:r>
          </w:p>
        </w:tc>
        <w:tc>
          <w:tcPr>
            <w:tcW w:w="939" w:type="pct"/>
            <w:tcBorders>
              <w:top w:val="nil"/>
              <w:left w:val="nil"/>
              <w:bottom w:val="single" w:sz="4" w:space="0" w:color="auto"/>
              <w:right w:val="single" w:sz="4" w:space="0" w:color="auto"/>
            </w:tcBorders>
            <w:shd w:val="clear" w:color="auto" w:fill="auto"/>
            <w:vAlign w:val="bottom"/>
            <w:hideMark/>
          </w:tcPr>
          <w:p w14:paraId="50967FE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8,447,502</w:t>
            </w:r>
          </w:p>
        </w:tc>
        <w:tc>
          <w:tcPr>
            <w:tcW w:w="699" w:type="pct"/>
            <w:tcBorders>
              <w:top w:val="nil"/>
              <w:left w:val="nil"/>
              <w:bottom w:val="single" w:sz="4" w:space="0" w:color="auto"/>
              <w:right w:val="single" w:sz="4" w:space="0" w:color="auto"/>
            </w:tcBorders>
            <w:shd w:val="clear" w:color="auto" w:fill="auto"/>
            <w:vAlign w:val="bottom"/>
            <w:hideMark/>
          </w:tcPr>
          <w:p w14:paraId="38B6D0E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0.68%</w:t>
            </w:r>
          </w:p>
        </w:tc>
      </w:tr>
      <w:tr w:rsidR="006A523F" w:rsidRPr="006A523F" w14:paraId="15088E0C"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1CDC52A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35000.01 - 40000.00</w:t>
            </w:r>
          </w:p>
        </w:tc>
        <w:tc>
          <w:tcPr>
            <w:tcW w:w="939" w:type="pct"/>
            <w:tcBorders>
              <w:top w:val="nil"/>
              <w:left w:val="nil"/>
              <w:bottom w:val="single" w:sz="4" w:space="0" w:color="auto"/>
              <w:right w:val="single" w:sz="4" w:space="0" w:color="auto"/>
            </w:tcBorders>
            <w:shd w:val="clear" w:color="auto" w:fill="auto"/>
            <w:vAlign w:val="bottom"/>
            <w:hideMark/>
          </w:tcPr>
          <w:p w14:paraId="4B5B88A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119</w:t>
            </w:r>
          </w:p>
        </w:tc>
        <w:tc>
          <w:tcPr>
            <w:tcW w:w="626" w:type="pct"/>
            <w:tcBorders>
              <w:top w:val="nil"/>
              <w:left w:val="nil"/>
              <w:bottom w:val="single" w:sz="4" w:space="0" w:color="auto"/>
              <w:right w:val="single" w:sz="4" w:space="0" w:color="auto"/>
            </w:tcBorders>
            <w:shd w:val="clear" w:color="auto" w:fill="auto"/>
            <w:vAlign w:val="bottom"/>
            <w:hideMark/>
          </w:tcPr>
          <w:p w14:paraId="1195C95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0.18%</w:t>
            </w:r>
          </w:p>
        </w:tc>
        <w:tc>
          <w:tcPr>
            <w:tcW w:w="939" w:type="pct"/>
            <w:tcBorders>
              <w:top w:val="nil"/>
              <w:left w:val="nil"/>
              <w:bottom w:val="single" w:sz="4" w:space="0" w:color="auto"/>
              <w:right w:val="single" w:sz="4" w:space="0" w:color="auto"/>
            </w:tcBorders>
            <w:shd w:val="clear" w:color="auto" w:fill="auto"/>
            <w:vAlign w:val="bottom"/>
            <w:hideMark/>
          </w:tcPr>
          <w:p w14:paraId="3A5A705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5,262,837</w:t>
            </w:r>
          </w:p>
        </w:tc>
        <w:tc>
          <w:tcPr>
            <w:tcW w:w="699" w:type="pct"/>
            <w:tcBorders>
              <w:top w:val="nil"/>
              <w:left w:val="nil"/>
              <w:bottom w:val="single" w:sz="4" w:space="0" w:color="auto"/>
              <w:right w:val="single" w:sz="4" w:space="0" w:color="auto"/>
            </w:tcBorders>
            <w:shd w:val="clear" w:color="auto" w:fill="auto"/>
            <w:vAlign w:val="bottom"/>
            <w:hideMark/>
          </w:tcPr>
          <w:p w14:paraId="3A95847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0.42%</w:t>
            </w:r>
          </w:p>
        </w:tc>
      </w:tr>
      <w:tr w:rsidR="006A523F" w:rsidRPr="006A523F" w14:paraId="3C9C7962"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043E25A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40000.01 - 45000.00</w:t>
            </w:r>
          </w:p>
        </w:tc>
        <w:tc>
          <w:tcPr>
            <w:tcW w:w="939" w:type="pct"/>
            <w:tcBorders>
              <w:top w:val="nil"/>
              <w:left w:val="nil"/>
              <w:bottom w:val="single" w:sz="4" w:space="0" w:color="auto"/>
              <w:right w:val="single" w:sz="4" w:space="0" w:color="auto"/>
            </w:tcBorders>
            <w:shd w:val="clear" w:color="auto" w:fill="auto"/>
            <w:vAlign w:val="bottom"/>
            <w:hideMark/>
          </w:tcPr>
          <w:p w14:paraId="5F37092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52</w:t>
            </w:r>
          </w:p>
        </w:tc>
        <w:tc>
          <w:tcPr>
            <w:tcW w:w="626" w:type="pct"/>
            <w:tcBorders>
              <w:top w:val="nil"/>
              <w:left w:val="nil"/>
              <w:bottom w:val="single" w:sz="4" w:space="0" w:color="auto"/>
              <w:right w:val="single" w:sz="4" w:space="0" w:color="auto"/>
            </w:tcBorders>
            <w:shd w:val="clear" w:color="auto" w:fill="auto"/>
            <w:vAlign w:val="bottom"/>
            <w:hideMark/>
          </w:tcPr>
          <w:p w14:paraId="5D65F6D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0.08%</w:t>
            </w:r>
          </w:p>
        </w:tc>
        <w:tc>
          <w:tcPr>
            <w:tcW w:w="939" w:type="pct"/>
            <w:tcBorders>
              <w:top w:val="nil"/>
              <w:left w:val="nil"/>
              <w:bottom w:val="single" w:sz="4" w:space="0" w:color="auto"/>
              <w:right w:val="single" w:sz="4" w:space="0" w:color="auto"/>
            </w:tcBorders>
            <w:shd w:val="clear" w:color="auto" w:fill="auto"/>
            <w:vAlign w:val="bottom"/>
            <w:hideMark/>
          </w:tcPr>
          <w:p w14:paraId="2BBAF39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2,924,308</w:t>
            </w:r>
          </w:p>
        </w:tc>
        <w:tc>
          <w:tcPr>
            <w:tcW w:w="699" w:type="pct"/>
            <w:tcBorders>
              <w:top w:val="nil"/>
              <w:left w:val="nil"/>
              <w:bottom w:val="single" w:sz="4" w:space="0" w:color="auto"/>
              <w:right w:val="single" w:sz="4" w:space="0" w:color="auto"/>
            </w:tcBorders>
            <w:shd w:val="clear" w:color="auto" w:fill="auto"/>
            <w:vAlign w:val="bottom"/>
            <w:hideMark/>
          </w:tcPr>
          <w:p w14:paraId="3E1EBF4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0.24%</w:t>
            </w:r>
          </w:p>
        </w:tc>
      </w:tr>
      <w:tr w:rsidR="006A523F" w:rsidRPr="006A523F" w14:paraId="54204339"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59E96AB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45000.01 - 50000.00</w:t>
            </w:r>
          </w:p>
        </w:tc>
        <w:tc>
          <w:tcPr>
            <w:tcW w:w="939" w:type="pct"/>
            <w:tcBorders>
              <w:top w:val="nil"/>
              <w:left w:val="nil"/>
              <w:bottom w:val="single" w:sz="4" w:space="0" w:color="auto"/>
              <w:right w:val="single" w:sz="4" w:space="0" w:color="auto"/>
            </w:tcBorders>
            <w:shd w:val="clear" w:color="auto" w:fill="auto"/>
            <w:vAlign w:val="bottom"/>
            <w:hideMark/>
          </w:tcPr>
          <w:p w14:paraId="6AB088B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36</w:t>
            </w:r>
          </w:p>
        </w:tc>
        <w:tc>
          <w:tcPr>
            <w:tcW w:w="626" w:type="pct"/>
            <w:tcBorders>
              <w:top w:val="nil"/>
              <w:left w:val="nil"/>
              <w:bottom w:val="single" w:sz="4" w:space="0" w:color="auto"/>
              <w:right w:val="single" w:sz="4" w:space="0" w:color="auto"/>
            </w:tcBorders>
            <w:shd w:val="clear" w:color="auto" w:fill="auto"/>
            <w:vAlign w:val="bottom"/>
            <w:hideMark/>
          </w:tcPr>
          <w:p w14:paraId="117A775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939" w:type="pct"/>
            <w:tcBorders>
              <w:top w:val="nil"/>
              <w:left w:val="nil"/>
              <w:bottom w:val="single" w:sz="4" w:space="0" w:color="auto"/>
              <w:right w:val="single" w:sz="4" w:space="0" w:color="auto"/>
            </w:tcBorders>
            <w:shd w:val="clear" w:color="auto" w:fill="auto"/>
            <w:vAlign w:val="bottom"/>
            <w:hideMark/>
          </w:tcPr>
          <w:p w14:paraId="2241967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2,189,232</w:t>
            </w:r>
          </w:p>
        </w:tc>
        <w:tc>
          <w:tcPr>
            <w:tcW w:w="699" w:type="pct"/>
            <w:tcBorders>
              <w:top w:val="nil"/>
              <w:left w:val="nil"/>
              <w:bottom w:val="single" w:sz="4" w:space="0" w:color="auto"/>
              <w:right w:val="single" w:sz="4" w:space="0" w:color="auto"/>
            </w:tcBorders>
            <w:shd w:val="clear" w:color="auto" w:fill="auto"/>
            <w:vAlign w:val="bottom"/>
            <w:hideMark/>
          </w:tcPr>
          <w:p w14:paraId="4936BDE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0.18%</w:t>
            </w:r>
          </w:p>
        </w:tc>
      </w:tr>
      <w:tr w:rsidR="006A523F" w:rsidRPr="006A523F" w14:paraId="3539DC56"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74BFC8A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50000.01 - 55000.00</w:t>
            </w:r>
          </w:p>
        </w:tc>
        <w:tc>
          <w:tcPr>
            <w:tcW w:w="939" w:type="pct"/>
            <w:tcBorders>
              <w:top w:val="nil"/>
              <w:left w:val="nil"/>
              <w:bottom w:val="single" w:sz="4" w:space="0" w:color="auto"/>
              <w:right w:val="single" w:sz="4" w:space="0" w:color="auto"/>
            </w:tcBorders>
            <w:shd w:val="clear" w:color="auto" w:fill="auto"/>
            <w:vAlign w:val="bottom"/>
            <w:hideMark/>
          </w:tcPr>
          <w:p w14:paraId="7C81C4E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30</w:t>
            </w:r>
          </w:p>
        </w:tc>
        <w:tc>
          <w:tcPr>
            <w:tcW w:w="626" w:type="pct"/>
            <w:tcBorders>
              <w:top w:val="nil"/>
              <w:left w:val="nil"/>
              <w:bottom w:val="single" w:sz="4" w:space="0" w:color="auto"/>
              <w:right w:val="single" w:sz="4" w:space="0" w:color="auto"/>
            </w:tcBorders>
            <w:shd w:val="clear" w:color="auto" w:fill="auto"/>
            <w:vAlign w:val="bottom"/>
            <w:hideMark/>
          </w:tcPr>
          <w:p w14:paraId="196B8CB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939" w:type="pct"/>
            <w:tcBorders>
              <w:top w:val="nil"/>
              <w:left w:val="nil"/>
              <w:bottom w:val="single" w:sz="4" w:space="0" w:color="auto"/>
              <w:right w:val="single" w:sz="4" w:space="0" w:color="auto"/>
            </w:tcBorders>
            <w:shd w:val="clear" w:color="auto" w:fill="auto"/>
            <w:vAlign w:val="bottom"/>
            <w:hideMark/>
          </w:tcPr>
          <w:p w14:paraId="4E02F8C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1,782,576</w:t>
            </w:r>
          </w:p>
        </w:tc>
        <w:tc>
          <w:tcPr>
            <w:tcW w:w="699" w:type="pct"/>
            <w:tcBorders>
              <w:top w:val="nil"/>
              <w:left w:val="nil"/>
              <w:bottom w:val="single" w:sz="4" w:space="0" w:color="auto"/>
              <w:right w:val="single" w:sz="4" w:space="0" w:color="auto"/>
            </w:tcBorders>
            <w:shd w:val="clear" w:color="auto" w:fill="auto"/>
            <w:vAlign w:val="bottom"/>
            <w:hideMark/>
          </w:tcPr>
          <w:p w14:paraId="630E435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r>
      <w:tr w:rsidR="006A523F" w:rsidRPr="006A523F" w14:paraId="056A9B62"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07C69B8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55000.01 - 60000.00</w:t>
            </w:r>
          </w:p>
        </w:tc>
        <w:tc>
          <w:tcPr>
            <w:tcW w:w="939" w:type="pct"/>
            <w:tcBorders>
              <w:top w:val="nil"/>
              <w:left w:val="nil"/>
              <w:bottom w:val="single" w:sz="4" w:space="0" w:color="auto"/>
              <w:right w:val="single" w:sz="4" w:space="0" w:color="auto"/>
            </w:tcBorders>
            <w:shd w:val="clear" w:color="auto" w:fill="auto"/>
            <w:vAlign w:val="bottom"/>
            <w:hideMark/>
          </w:tcPr>
          <w:p w14:paraId="694913B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17</w:t>
            </w:r>
          </w:p>
        </w:tc>
        <w:tc>
          <w:tcPr>
            <w:tcW w:w="626" w:type="pct"/>
            <w:tcBorders>
              <w:top w:val="nil"/>
              <w:left w:val="nil"/>
              <w:bottom w:val="single" w:sz="4" w:space="0" w:color="auto"/>
              <w:right w:val="single" w:sz="4" w:space="0" w:color="auto"/>
            </w:tcBorders>
            <w:shd w:val="clear" w:color="auto" w:fill="auto"/>
            <w:vAlign w:val="bottom"/>
            <w:hideMark/>
          </w:tcPr>
          <w:p w14:paraId="3385F12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939" w:type="pct"/>
            <w:tcBorders>
              <w:top w:val="nil"/>
              <w:left w:val="nil"/>
              <w:bottom w:val="single" w:sz="4" w:space="0" w:color="auto"/>
              <w:right w:val="single" w:sz="4" w:space="0" w:color="auto"/>
            </w:tcBorders>
            <w:shd w:val="clear" w:color="auto" w:fill="auto"/>
            <w:vAlign w:val="bottom"/>
            <w:hideMark/>
          </w:tcPr>
          <w:p w14:paraId="34813C5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1,106,435</w:t>
            </w:r>
          </w:p>
        </w:tc>
        <w:tc>
          <w:tcPr>
            <w:tcW w:w="699" w:type="pct"/>
            <w:tcBorders>
              <w:top w:val="nil"/>
              <w:left w:val="nil"/>
              <w:bottom w:val="single" w:sz="4" w:space="0" w:color="auto"/>
              <w:right w:val="single" w:sz="4" w:space="0" w:color="auto"/>
            </w:tcBorders>
            <w:shd w:val="clear" w:color="auto" w:fill="auto"/>
            <w:vAlign w:val="bottom"/>
            <w:hideMark/>
          </w:tcPr>
          <w:p w14:paraId="5CF3860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r>
      <w:tr w:rsidR="006A523F" w:rsidRPr="006A523F" w14:paraId="391EC3F6"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65D7BF5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Larger 60000.00</w:t>
            </w:r>
          </w:p>
        </w:tc>
        <w:tc>
          <w:tcPr>
            <w:tcW w:w="939" w:type="pct"/>
            <w:tcBorders>
              <w:top w:val="nil"/>
              <w:left w:val="nil"/>
              <w:bottom w:val="single" w:sz="4" w:space="0" w:color="auto"/>
              <w:right w:val="single" w:sz="4" w:space="0" w:color="auto"/>
            </w:tcBorders>
            <w:shd w:val="clear" w:color="auto" w:fill="auto"/>
            <w:vAlign w:val="bottom"/>
            <w:hideMark/>
          </w:tcPr>
          <w:p w14:paraId="20D4440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5</w:t>
            </w:r>
          </w:p>
        </w:tc>
        <w:tc>
          <w:tcPr>
            <w:tcW w:w="626" w:type="pct"/>
            <w:tcBorders>
              <w:top w:val="nil"/>
              <w:left w:val="nil"/>
              <w:bottom w:val="single" w:sz="4" w:space="0" w:color="auto"/>
              <w:right w:val="single" w:sz="4" w:space="0" w:color="auto"/>
            </w:tcBorders>
            <w:shd w:val="clear" w:color="auto" w:fill="auto"/>
            <w:vAlign w:val="bottom"/>
            <w:hideMark/>
          </w:tcPr>
          <w:p w14:paraId="0A43593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939" w:type="pct"/>
            <w:tcBorders>
              <w:top w:val="nil"/>
              <w:left w:val="nil"/>
              <w:bottom w:val="single" w:sz="4" w:space="0" w:color="auto"/>
              <w:right w:val="single" w:sz="4" w:space="0" w:color="auto"/>
            </w:tcBorders>
            <w:shd w:val="clear" w:color="auto" w:fill="auto"/>
            <w:vAlign w:val="bottom"/>
            <w:hideMark/>
          </w:tcPr>
          <w:p w14:paraId="54C2C9E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341,220</w:t>
            </w:r>
          </w:p>
        </w:tc>
        <w:tc>
          <w:tcPr>
            <w:tcW w:w="699" w:type="pct"/>
            <w:tcBorders>
              <w:top w:val="nil"/>
              <w:left w:val="nil"/>
              <w:bottom w:val="single" w:sz="4" w:space="0" w:color="auto"/>
              <w:right w:val="single" w:sz="4" w:space="0" w:color="auto"/>
            </w:tcBorders>
            <w:shd w:val="clear" w:color="auto" w:fill="auto"/>
            <w:vAlign w:val="bottom"/>
            <w:hideMark/>
          </w:tcPr>
          <w:p w14:paraId="4FC7A55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r>
      <w:tr w:rsidR="006A523F" w:rsidRPr="006A523F" w14:paraId="412395AD"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center"/>
            <w:hideMark/>
          </w:tcPr>
          <w:p w14:paraId="6C508789"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Total</w:t>
            </w:r>
          </w:p>
        </w:tc>
        <w:tc>
          <w:tcPr>
            <w:tcW w:w="939" w:type="pct"/>
            <w:tcBorders>
              <w:top w:val="nil"/>
              <w:left w:val="nil"/>
              <w:bottom w:val="single" w:sz="4" w:space="0" w:color="auto"/>
              <w:right w:val="single" w:sz="4" w:space="0" w:color="auto"/>
            </w:tcBorders>
            <w:shd w:val="clear" w:color="auto" w:fill="auto"/>
            <w:vAlign w:val="center"/>
            <w:hideMark/>
          </w:tcPr>
          <w:p w14:paraId="686C846F"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56,997</w:t>
            </w:r>
          </w:p>
        </w:tc>
        <w:tc>
          <w:tcPr>
            <w:tcW w:w="626" w:type="pct"/>
            <w:tcBorders>
              <w:top w:val="nil"/>
              <w:left w:val="nil"/>
              <w:bottom w:val="single" w:sz="4" w:space="0" w:color="auto"/>
              <w:right w:val="single" w:sz="4" w:space="0" w:color="auto"/>
            </w:tcBorders>
            <w:shd w:val="clear" w:color="auto" w:fill="auto"/>
            <w:vAlign w:val="center"/>
            <w:hideMark/>
          </w:tcPr>
          <w:p w14:paraId="2621854B"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86%</w:t>
            </w:r>
          </w:p>
        </w:tc>
        <w:tc>
          <w:tcPr>
            <w:tcW w:w="939" w:type="pct"/>
            <w:tcBorders>
              <w:top w:val="nil"/>
              <w:left w:val="nil"/>
              <w:bottom w:val="single" w:sz="4" w:space="0" w:color="auto"/>
              <w:right w:val="single" w:sz="4" w:space="0" w:color="auto"/>
            </w:tcBorders>
            <w:shd w:val="clear" w:color="auto" w:fill="auto"/>
            <w:vAlign w:val="center"/>
            <w:hideMark/>
          </w:tcPr>
          <w:p w14:paraId="6F036875"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1,073,207,977</w:t>
            </w:r>
          </w:p>
        </w:tc>
        <w:tc>
          <w:tcPr>
            <w:tcW w:w="699" w:type="pct"/>
            <w:tcBorders>
              <w:top w:val="nil"/>
              <w:left w:val="nil"/>
              <w:bottom w:val="single" w:sz="4" w:space="0" w:color="auto"/>
              <w:right w:val="single" w:sz="4" w:space="0" w:color="auto"/>
            </w:tcBorders>
            <w:shd w:val="clear" w:color="auto" w:fill="auto"/>
            <w:vAlign w:val="center"/>
            <w:hideMark/>
          </w:tcPr>
          <w:p w14:paraId="70CB4504" w14:textId="77777777" w:rsidR="006A523F" w:rsidRPr="006A523F" w:rsidRDefault="006A523F" w:rsidP="006A523F">
            <w:pPr>
              <w:spacing w:line="240" w:lineRule="auto"/>
              <w:jc w:val="center"/>
              <w:rPr>
                <w:rFonts w:ascii="Aptos Narrow" w:hAnsi="Aptos Narrow"/>
                <w:b/>
                <w:bCs/>
                <w:sz w:val="14"/>
                <w:szCs w:val="14"/>
                <w:lang w:val="de-DE" w:eastAsia="de-DE"/>
              </w:rPr>
            </w:pPr>
            <w:r w:rsidRPr="006A523F">
              <w:rPr>
                <w:rFonts w:ascii="Aptos Narrow" w:hAnsi="Aptos Narrow"/>
                <w:b/>
                <w:bCs/>
                <w:sz w:val="14"/>
                <w:szCs w:val="14"/>
                <w:lang w:val="de-DE" w:eastAsia="de-DE"/>
              </w:rPr>
              <w:t>87%</w:t>
            </w:r>
          </w:p>
        </w:tc>
      </w:tr>
      <w:tr w:rsidR="006A523F" w:rsidRPr="006A523F" w14:paraId="35F34A50" w14:textId="77777777" w:rsidTr="006A523F">
        <w:trPr>
          <w:trHeight w:val="20"/>
        </w:trPr>
        <w:tc>
          <w:tcPr>
            <w:tcW w:w="1797" w:type="pct"/>
            <w:tcBorders>
              <w:top w:val="nil"/>
              <w:left w:val="nil"/>
              <w:bottom w:val="nil"/>
              <w:right w:val="nil"/>
            </w:tcBorders>
            <w:shd w:val="clear" w:color="auto" w:fill="auto"/>
            <w:noWrap/>
            <w:vAlign w:val="bottom"/>
            <w:hideMark/>
          </w:tcPr>
          <w:p w14:paraId="0D31E4FE" w14:textId="77777777" w:rsidR="006A523F" w:rsidRPr="006A523F" w:rsidRDefault="006A523F" w:rsidP="006A523F">
            <w:pPr>
              <w:spacing w:line="240" w:lineRule="auto"/>
              <w:jc w:val="center"/>
              <w:rPr>
                <w:rFonts w:ascii="Aptos Narrow" w:hAnsi="Aptos Narrow"/>
                <w:b/>
                <w:bCs/>
                <w:sz w:val="14"/>
                <w:szCs w:val="14"/>
                <w:lang w:val="de-DE" w:eastAsia="de-DE"/>
              </w:rPr>
            </w:pPr>
          </w:p>
        </w:tc>
        <w:tc>
          <w:tcPr>
            <w:tcW w:w="939" w:type="pct"/>
            <w:tcBorders>
              <w:top w:val="nil"/>
              <w:left w:val="nil"/>
              <w:bottom w:val="nil"/>
              <w:right w:val="nil"/>
            </w:tcBorders>
            <w:shd w:val="clear" w:color="auto" w:fill="auto"/>
            <w:noWrap/>
            <w:vAlign w:val="bottom"/>
            <w:hideMark/>
          </w:tcPr>
          <w:p w14:paraId="4E2AA144"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626" w:type="pct"/>
            <w:tcBorders>
              <w:top w:val="nil"/>
              <w:left w:val="nil"/>
              <w:bottom w:val="nil"/>
              <w:right w:val="nil"/>
            </w:tcBorders>
            <w:shd w:val="clear" w:color="auto" w:fill="auto"/>
            <w:noWrap/>
            <w:vAlign w:val="bottom"/>
            <w:hideMark/>
          </w:tcPr>
          <w:p w14:paraId="547981FF"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939" w:type="pct"/>
            <w:tcBorders>
              <w:top w:val="nil"/>
              <w:left w:val="nil"/>
              <w:bottom w:val="nil"/>
              <w:right w:val="nil"/>
            </w:tcBorders>
            <w:shd w:val="clear" w:color="auto" w:fill="auto"/>
            <w:noWrap/>
            <w:vAlign w:val="bottom"/>
            <w:hideMark/>
          </w:tcPr>
          <w:p w14:paraId="547CFABD"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699" w:type="pct"/>
            <w:tcBorders>
              <w:top w:val="nil"/>
              <w:left w:val="nil"/>
              <w:bottom w:val="nil"/>
              <w:right w:val="nil"/>
            </w:tcBorders>
            <w:shd w:val="clear" w:color="auto" w:fill="auto"/>
            <w:vAlign w:val="bottom"/>
            <w:hideMark/>
          </w:tcPr>
          <w:p w14:paraId="59ABFC1A"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269FF05E" w14:textId="77777777" w:rsidTr="006A523F">
        <w:trPr>
          <w:trHeight w:val="20"/>
        </w:trPr>
        <w:tc>
          <w:tcPr>
            <w:tcW w:w="17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6A2DF" w14:textId="77777777" w:rsidR="006A523F" w:rsidRPr="006A523F" w:rsidRDefault="006A523F" w:rsidP="006A523F">
            <w:pPr>
              <w:spacing w:line="240" w:lineRule="auto"/>
              <w:jc w:val="left"/>
              <w:rPr>
                <w:rFonts w:ascii="Aptos Narrow" w:hAnsi="Aptos Narrow"/>
                <w:color w:val="000000"/>
                <w:sz w:val="14"/>
                <w:szCs w:val="14"/>
                <w:lang w:val="en-US" w:eastAsia="de-DE"/>
              </w:rPr>
            </w:pPr>
            <w:r w:rsidRPr="006A523F">
              <w:rPr>
                <w:rFonts w:ascii="Aptos Narrow" w:hAnsi="Aptos Narrow"/>
                <w:color w:val="000000"/>
                <w:sz w:val="14"/>
                <w:szCs w:val="14"/>
                <w:lang w:val="en-US" w:eastAsia="de-DE"/>
              </w:rPr>
              <w:t>KM Leases Minimum Discounted Residual Value(€)</w:t>
            </w:r>
          </w:p>
        </w:tc>
        <w:tc>
          <w:tcPr>
            <w:tcW w:w="939" w:type="pct"/>
            <w:tcBorders>
              <w:top w:val="single" w:sz="4" w:space="0" w:color="auto"/>
              <w:left w:val="nil"/>
              <w:bottom w:val="single" w:sz="4" w:space="0" w:color="auto"/>
              <w:right w:val="single" w:sz="4" w:space="0" w:color="auto"/>
            </w:tcBorders>
            <w:shd w:val="clear" w:color="auto" w:fill="auto"/>
            <w:noWrap/>
            <w:vAlign w:val="bottom"/>
            <w:hideMark/>
          </w:tcPr>
          <w:p w14:paraId="4F532D9C"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en-US" w:eastAsia="de-DE"/>
              </w:rPr>
              <w:t xml:space="preserve">                                          </w:t>
            </w:r>
            <w:r w:rsidRPr="006A523F">
              <w:rPr>
                <w:rFonts w:ascii="Aptos Narrow" w:hAnsi="Aptos Narrow"/>
                <w:color w:val="000000"/>
                <w:sz w:val="14"/>
                <w:szCs w:val="14"/>
                <w:lang w:val="de-DE" w:eastAsia="de-DE"/>
              </w:rPr>
              <w:t xml:space="preserve">226 </w:t>
            </w:r>
          </w:p>
        </w:tc>
        <w:tc>
          <w:tcPr>
            <w:tcW w:w="626" w:type="pct"/>
            <w:tcBorders>
              <w:top w:val="nil"/>
              <w:left w:val="nil"/>
              <w:bottom w:val="nil"/>
              <w:right w:val="nil"/>
            </w:tcBorders>
            <w:shd w:val="clear" w:color="auto" w:fill="auto"/>
            <w:noWrap/>
            <w:vAlign w:val="bottom"/>
            <w:hideMark/>
          </w:tcPr>
          <w:p w14:paraId="4509A964" w14:textId="77777777" w:rsidR="006A523F" w:rsidRPr="006A523F" w:rsidRDefault="006A523F" w:rsidP="006A523F">
            <w:pPr>
              <w:spacing w:line="240" w:lineRule="auto"/>
              <w:jc w:val="left"/>
              <w:rPr>
                <w:rFonts w:ascii="Aptos Narrow" w:hAnsi="Aptos Narrow"/>
                <w:color w:val="000000"/>
                <w:sz w:val="14"/>
                <w:szCs w:val="14"/>
                <w:lang w:val="de-DE" w:eastAsia="de-DE"/>
              </w:rPr>
            </w:pPr>
          </w:p>
        </w:tc>
        <w:tc>
          <w:tcPr>
            <w:tcW w:w="939" w:type="pct"/>
            <w:tcBorders>
              <w:top w:val="nil"/>
              <w:left w:val="nil"/>
              <w:bottom w:val="nil"/>
              <w:right w:val="nil"/>
            </w:tcBorders>
            <w:shd w:val="clear" w:color="auto" w:fill="auto"/>
            <w:noWrap/>
            <w:vAlign w:val="bottom"/>
            <w:hideMark/>
          </w:tcPr>
          <w:p w14:paraId="1EB43480"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699" w:type="pct"/>
            <w:tcBorders>
              <w:top w:val="nil"/>
              <w:left w:val="nil"/>
              <w:bottom w:val="nil"/>
              <w:right w:val="nil"/>
            </w:tcBorders>
            <w:shd w:val="clear" w:color="auto" w:fill="auto"/>
            <w:vAlign w:val="bottom"/>
            <w:hideMark/>
          </w:tcPr>
          <w:p w14:paraId="024EDDCF"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10D9A4BF"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noWrap/>
            <w:vAlign w:val="bottom"/>
            <w:hideMark/>
          </w:tcPr>
          <w:p w14:paraId="60D51965" w14:textId="77777777" w:rsidR="006A523F" w:rsidRPr="006A523F" w:rsidRDefault="006A523F" w:rsidP="006A523F">
            <w:pPr>
              <w:spacing w:line="240" w:lineRule="auto"/>
              <w:jc w:val="left"/>
              <w:rPr>
                <w:rFonts w:ascii="Aptos Narrow" w:hAnsi="Aptos Narrow"/>
                <w:color w:val="000000"/>
                <w:sz w:val="14"/>
                <w:szCs w:val="14"/>
                <w:lang w:val="en-US" w:eastAsia="de-DE"/>
              </w:rPr>
            </w:pPr>
            <w:r w:rsidRPr="006A523F">
              <w:rPr>
                <w:rFonts w:ascii="Aptos Narrow" w:hAnsi="Aptos Narrow"/>
                <w:color w:val="000000"/>
                <w:sz w:val="14"/>
                <w:szCs w:val="14"/>
                <w:lang w:val="en-US" w:eastAsia="de-DE"/>
              </w:rPr>
              <w:t>KM Leases Maximum Discounted Residual Value(€)</w:t>
            </w:r>
          </w:p>
        </w:tc>
        <w:tc>
          <w:tcPr>
            <w:tcW w:w="939" w:type="pct"/>
            <w:tcBorders>
              <w:top w:val="nil"/>
              <w:left w:val="nil"/>
              <w:bottom w:val="single" w:sz="4" w:space="0" w:color="auto"/>
              <w:right w:val="single" w:sz="4" w:space="0" w:color="auto"/>
            </w:tcBorders>
            <w:shd w:val="clear" w:color="auto" w:fill="auto"/>
            <w:noWrap/>
            <w:vAlign w:val="bottom"/>
            <w:hideMark/>
          </w:tcPr>
          <w:p w14:paraId="6A3C20F7"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en-US" w:eastAsia="de-DE"/>
              </w:rPr>
              <w:t xml:space="preserve">                                    </w:t>
            </w:r>
            <w:r w:rsidRPr="006A523F">
              <w:rPr>
                <w:rFonts w:ascii="Aptos Narrow" w:hAnsi="Aptos Narrow"/>
                <w:color w:val="000000"/>
                <w:sz w:val="14"/>
                <w:szCs w:val="14"/>
                <w:lang w:val="de-DE" w:eastAsia="de-DE"/>
              </w:rPr>
              <w:t xml:space="preserve">68,682 </w:t>
            </w:r>
          </w:p>
        </w:tc>
        <w:tc>
          <w:tcPr>
            <w:tcW w:w="626" w:type="pct"/>
            <w:tcBorders>
              <w:top w:val="nil"/>
              <w:left w:val="nil"/>
              <w:bottom w:val="nil"/>
              <w:right w:val="nil"/>
            </w:tcBorders>
            <w:shd w:val="clear" w:color="auto" w:fill="auto"/>
            <w:noWrap/>
            <w:vAlign w:val="bottom"/>
            <w:hideMark/>
          </w:tcPr>
          <w:p w14:paraId="1FC98570" w14:textId="77777777" w:rsidR="006A523F" w:rsidRPr="006A523F" w:rsidRDefault="006A523F" w:rsidP="006A523F">
            <w:pPr>
              <w:spacing w:line="240" w:lineRule="auto"/>
              <w:jc w:val="left"/>
              <w:rPr>
                <w:rFonts w:ascii="Aptos Narrow" w:hAnsi="Aptos Narrow"/>
                <w:color w:val="000000"/>
                <w:sz w:val="14"/>
                <w:szCs w:val="14"/>
                <w:lang w:val="de-DE" w:eastAsia="de-DE"/>
              </w:rPr>
            </w:pPr>
          </w:p>
        </w:tc>
        <w:tc>
          <w:tcPr>
            <w:tcW w:w="939" w:type="pct"/>
            <w:tcBorders>
              <w:top w:val="nil"/>
              <w:left w:val="nil"/>
              <w:bottom w:val="nil"/>
              <w:right w:val="nil"/>
            </w:tcBorders>
            <w:shd w:val="clear" w:color="auto" w:fill="auto"/>
            <w:noWrap/>
            <w:vAlign w:val="bottom"/>
            <w:hideMark/>
          </w:tcPr>
          <w:p w14:paraId="1110EE23"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699" w:type="pct"/>
            <w:tcBorders>
              <w:top w:val="nil"/>
              <w:left w:val="nil"/>
              <w:bottom w:val="nil"/>
              <w:right w:val="nil"/>
            </w:tcBorders>
            <w:shd w:val="clear" w:color="auto" w:fill="auto"/>
            <w:vAlign w:val="bottom"/>
            <w:hideMark/>
          </w:tcPr>
          <w:p w14:paraId="518C5D07" w14:textId="77777777" w:rsidR="006A523F" w:rsidRPr="006A523F" w:rsidRDefault="006A523F" w:rsidP="006A523F">
            <w:pPr>
              <w:spacing w:line="240" w:lineRule="auto"/>
              <w:jc w:val="left"/>
              <w:rPr>
                <w:rFonts w:ascii="Times New Roman" w:hAnsi="Times New Roman"/>
                <w:sz w:val="14"/>
                <w:szCs w:val="14"/>
                <w:lang w:val="de-DE" w:eastAsia="de-DE"/>
              </w:rPr>
            </w:pPr>
          </w:p>
        </w:tc>
      </w:tr>
      <w:tr w:rsidR="006A523F" w:rsidRPr="006A523F" w14:paraId="1FFC32E3" w14:textId="77777777" w:rsidTr="006A523F">
        <w:trPr>
          <w:trHeight w:val="20"/>
        </w:trPr>
        <w:tc>
          <w:tcPr>
            <w:tcW w:w="1797" w:type="pct"/>
            <w:tcBorders>
              <w:top w:val="nil"/>
              <w:left w:val="single" w:sz="4" w:space="0" w:color="auto"/>
              <w:bottom w:val="single" w:sz="4" w:space="0" w:color="auto"/>
              <w:right w:val="single" w:sz="4" w:space="0" w:color="auto"/>
            </w:tcBorders>
            <w:shd w:val="clear" w:color="auto" w:fill="auto"/>
            <w:vAlign w:val="bottom"/>
            <w:hideMark/>
          </w:tcPr>
          <w:p w14:paraId="0891E6A4" w14:textId="77777777" w:rsidR="006A523F" w:rsidRPr="006A523F" w:rsidRDefault="006A523F" w:rsidP="006A523F">
            <w:pPr>
              <w:spacing w:line="240" w:lineRule="auto"/>
              <w:jc w:val="left"/>
              <w:rPr>
                <w:rFonts w:ascii="Aptos Narrow" w:hAnsi="Aptos Narrow"/>
                <w:color w:val="000000"/>
                <w:sz w:val="14"/>
                <w:szCs w:val="14"/>
                <w:lang w:val="en-US" w:eastAsia="de-DE"/>
              </w:rPr>
            </w:pPr>
            <w:r w:rsidRPr="006A523F">
              <w:rPr>
                <w:rFonts w:ascii="Aptos Narrow" w:hAnsi="Aptos Narrow"/>
                <w:color w:val="000000"/>
                <w:sz w:val="14"/>
                <w:szCs w:val="14"/>
                <w:lang w:val="en-US" w:eastAsia="de-DE"/>
              </w:rPr>
              <w:t>KM Leases Average Discounted Residual Value</w:t>
            </w:r>
          </w:p>
        </w:tc>
        <w:tc>
          <w:tcPr>
            <w:tcW w:w="939" w:type="pct"/>
            <w:tcBorders>
              <w:top w:val="nil"/>
              <w:left w:val="nil"/>
              <w:bottom w:val="single" w:sz="4" w:space="0" w:color="auto"/>
              <w:right w:val="single" w:sz="4" w:space="0" w:color="auto"/>
            </w:tcBorders>
            <w:shd w:val="clear" w:color="auto" w:fill="auto"/>
            <w:noWrap/>
            <w:vAlign w:val="bottom"/>
            <w:hideMark/>
          </w:tcPr>
          <w:p w14:paraId="6049DE58"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en-US" w:eastAsia="de-DE"/>
              </w:rPr>
              <w:t xml:space="preserve">                                    </w:t>
            </w:r>
            <w:r w:rsidRPr="006A523F">
              <w:rPr>
                <w:rFonts w:ascii="Aptos Narrow" w:hAnsi="Aptos Narrow"/>
                <w:color w:val="000000"/>
                <w:sz w:val="14"/>
                <w:szCs w:val="14"/>
                <w:lang w:val="de-DE" w:eastAsia="de-DE"/>
              </w:rPr>
              <w:t xml:space="preserve">14,846 </w:t>
            </w:r>
          </w:p>
        </w:tc>
        <w:tc>
          <w:tcPr>
            <w:tcW w:w="626" w:type="pct"/>
            <w:tcBorders>
              <w:top w:val="nil"/>
              <w:left w:val="nil"/>
              <w:bottom w:val="nil"/>
              <w:right w:val="nil"/>
            </w:tcBorders>
            <w:shd w:val="clear" w:color="auto" w:fill="auto"/>
            <w:noWrap/>
            <w:vAlign w:val="bottom"/>
            <w:hideMark/>
          </w:tcPr>
          <w:p w14:paraId="0CE3BBBA" w14:textId="77777777" w:rsidR="006A523F" w:rsidRPr="006A523F" w:rsidRDefault="006A523F" w:rsidP="006A523F">
            <w:pPr>
              <w:spacing w:line="240" w:lineRule="auto"/>
              <w:jc w:val="left"/>
              <w:rPr>
                <w:rFonts w:ascii="Aptos Narrow" w:hAnsi="Aptos Narrow"/>
                <w:color w:val="000000"/>
                <w:sz w:val="14"/>
                <w:szCs w:val="14"/>
                <w:lang w:val="de-DE" w:eastAsia="de-DE"/>
              </w:rPr>
            </w:pPr>
          </w:p>
        </w:tc>
        <w:tc>
          <w:tcPr>
            <w:tcW w:w="939" w:type="pct"/>
            <w:tcBorders>
              <w:top w:val="nil"/>
              <w:left w:val="nil"/>
              <w:bottom w:val="nil"/>
              <w:right w:val="nil"/>
            </w:tcBorders>
            <w:shd w:val="clear" w:color="auto" w:fill="auto"/>
            <w:noWrap/>
            <w:vAlign w:val="bottom"/>
            <w:hideMark/>
          </w:tcPr>
          <w:p w14:paraId="17A57550" w14:textId="77777777" w:rsidR="006A523F" w:rsidRPr="006A523F" w:rsidRDefault="006A523F" w:rsidP="006A523F">
            <w:pPr>
              <w:spacing w:line="240" w:lineRule="auto"/>
              <w:jc w:val="left"/>
              <w:rPr>
                <w:rFonts w:ascii="Times New Roman" w:hAnsi="Times New Roman"/>
                <w:sz w:val="14"/>
                <w:szCs w:val="14"/>
                <w:lang w:val="de-DE" w:eastAsia="de-DE"/>
              </w:rPr>
            </w:pPr>
          </w:p>
        </w:tc>
        <w:tc>
          <w:tcPr>
            <w:tcW w:w="699" w:type="pct"/>
            <w:tcBorders>
              <w:top w:val="nil"/>
              <w:left w:val="nil"/>
              <w:bottom w:val="nil"/>
              <w:right w:val="nil"/>
            </w:tcBorders>
            <w:shd w:val="clear" w:color="auto" w:fill="auto"/>
            <w:vAlign w:val="bottom"/>
            <w:hideMark/>
          </w:tcPr>
          <w:p w14:paraId="41922E04" w14:textId="77777777" w:rsidR="006A523F" w:rsidRPr="006A523F" w:rsidRDefault="006A523F" w:rsidP="006A523F">
            <w:pPr>
              <w:spacing w:line="240" w:lineRule="auto"/>
              <w:jc w:val="left"/>
              <w:rPr>
                <w:rFonts w:ascii="Times New Roman" w:hAnsi="Times New Roman"/>
                <w:sz w:val="14"/>
                <w:szCs w:val="14"/>
                <w:lang w:val="de-DE" w:eastAsia="de-DE"/>
              </w:rPr>
            </w:pPr>
          </w:p>
        </w:tc>
      </w:tr>
    </w:tbl>
    <w:p w14:paraId="50867F92" w14:textId="77777777" w:rsidR="000D0E23" w:rsidRDefault="000D0E23" w:rsidP="000D0E23">
      <w:pPr>
        <w:pStyle w:val="Body1"/>
      </w:pPr>
    </w:p>
    <w:p w14:paraId="60C99437" w14:textId="0B8C28A1" w:rsidR="000D0E23" w:rsidRDefault="000D0E23" w:rsidP="000D0E23">
      <w:pPr>
        <w:pStyle w:val="Body1"/>
        <w:rPr>
          <w:b/>
          <w:bCs/>
        </w:rPr>
      </w:pPr>
      <w:r>
        <w:t>17.</w:t>
      </w:r>
      <w:r>
        <w:tab/>
      </w:r>
      <w:r>
        <w:rPr>
          <w:b/>
          <w:bCs/>
        </w:rPr>
        <w:t>RW Leases by Discounted RV Amount (€)</w:t>
      </w:r>
    </w:p>
    <w:tbl>
      <w:tblPr>
        <w:tblW w:w="5000" w:type="pct"/>
        <w:tblLayout w:type="fixed"/>
        <w:tblCellMar>
          <w:left w:w="70" w:type="dxa"/>
          <w:right w:w="70" w:type="dxa"/>
        </w:tblCellMar>
        <w:tblLook w:val="04A0" w:firstRow="1" w:lastRow="0" w:firstColumn="1" w:lastColumn="0" w:noHBand="0" w:noVBand="1"/>
      </w:tblPr>
      <w:tblGrid>
        <w:gridCol w:w="2830"/>
        <w:gridCol w:w="1702"/>
        <w:gridCol w:w="1417"/>
        <w:gridCol w:w="1700"/>
        <w:gridCol w:w="1412"/>
      </w:tblGrid>
      <w:tr w:rsidR="006A523F" w:rsidRPr="006A523F" w14:paraId="18B0B006" w14:textId="77777777" w:rsidTr="006A523F">
        <w:trPr>
          <w:trHeight w:val="20"/>
        </w:trPr>
        <w:tc>
          <w:tcPr>
            <w:tcW w:w="1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742AA" w14:textId="77777777" w:rsidR="006A523F" w:rsidRPr="006A523F" w:rsidRDefault="006A523F" w:rsidP="006A523F">
            <w:pPr>
              <w:spacing w:line="240" w:lineRule="auto"/>
              <w:jc w:val="center"/>
              <w:rPr>
                <w:rFonts w:ascii="Aptos Narrow" w:hAnsi="Aptos Narrow"/>
                <w:b/>
                <w:bCs/>
                <w:sz w:val="13"/>
                <w:szCs w:val="13"/>
                <w:lang w:val="en-US" w:eastAsia="de-DE"/>
              </w:rPr>
            </w:pPr>
            <w:r w:rsidRPr="006A523F">
              <w:rPr>
                <w:rFonts w:ascii="Aptos Narrow" w:hAnsi="Aptos Narrow"/>
                <w:b/>
                <w:bCs/>
                <w:sz w:val="13"/>
                <w:szCs w:val="13"/>
                <w:lang w:val="en-US" w:eastAsia="de-DE"/>
              </w:rPr>
              <w:t>RW Leases by Discounted RV Amount(€)</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5295310C"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Number of Leases</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40878987"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 of Total</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2AB3D6A9"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Aggregate Discounted Principal Balance(€)</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503EEA55"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 of Total</w:t>
            </w:r>
          </w:p>
        </w:tc>
      </w:tr>
      <w:tr w:rsidR="006A523F" w:rsidRPr="006A523F" w14:paraId="0EF4E241"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4D5D944B"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0.01 - 5000.00</w:t>
            </w:r>
          </w:p>
        </w:tc>
        <w:tc>
          <w:tcPr>
            <w:tcW w:w="939" w:type="pct"/>
            <w:tcBorders>
              <w:top w:val="nil"/>
              <w:left w:val="nil"/>
              <w:bottom w:val="single" w:sz="4" w:space="0" w:color="auto"/>
              <w:right w:val="single" w:sz="4" w:space="0" w:color="auto"/>
            </w:tcBorders>
            <w:shd w:val="clear" w:color="auto" w:fill="auto"/>
            <w:vAlign w:val="bottom"/>
            <w:hideMark/>
          </w:tcPr>
          <w:p w14:paraId="1A0EF157"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674</w:t>
            </w:r>
          </w:p>
        </w:tc>
        <w:tc>
          <w:tcPr>
            <w:tcW w:w="782" w:type="pct"/>
            <w:tcBorders>
              <w:top w:val="nil"/>
              <w:left w:val="nil"/>
              <w:bottom w:val="single" w:sz="4" w:space="0" w:color="auto"/>
              <w:right w:val="single" w:sz="4" w:space="0" w:color="auto"/>
            </w:tcBorders>
            <w:shd w:val="clear" w:color="auto" w:fill="auto"/>
            <w:vAlign w:val="bottom"/>
            <w:hideMark/>
          </w:tcPr>
          <w:p w14:paraId="4A4D6641"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1.01%</w:t>
            </w:r>
          </w:p>
        </w:tc>
        <w:tc>
          <w:tcPr>
            <w:tcW w:w="938" w:type="pct"/>
            <w:tcBorders>
              <w:top w:val="nil"/>
              <w:left w:val="nil"/>
              <w:bottom w:val="single" w:sz="4" w:space="0" w:color="auto"/>
              <w:right w:val="single" w:sz="4" w:space="0" w:color="auto"/>
            </w:tcBorders>
            <w:shd w:val="clear" w:color="auto" w:fill="auto"/>
            <w:vAlign w:val="bottom"/>
            <w:hideMark/>
          </w:tcPr>
          <w:p w14:paraId="1658A8AD"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5,614,397</w:t>
            </w:r>
          </w:p>
        </w:tc>
        <w:tc>
          <w:tcPr>
            <w:tcW w:w="779" w:type="pct"/>
            <w:tcBorders>
              <w:top w:val="nil"/>
              <w:left w:val="nil"/>
              <w:bottom w:val="single" w:sz="4" w:space="0" w:color="auto"/>
              <w:right w:val="single" w:sz="4" w:space="0" w:color="auto"/>
            </w:tcBorders>
            <w:shd w:val="clear" w:color="auto" w:fill="auto"/>
            <w:vAlign w:val="bottom"/>
            <w:hideMark/>
          </w:tcPr>
          <w:p w14:paraId="624BBF40"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0.45%</w:t>
            </w:r>
          </w:p>
        </w:tc>
      </w:tr>
      <w:tr w:rsidR="006A523F" w:rsidRPr="006A523F" w14:paraId="5E99B593"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63988F95"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5000.01 - 10000.00</w:t>
            </w:r>
          </w:p>
        </w:tc>
        <w:tc>
          <w:tcPr>
            <w:tcW w:w="939" w:type="pct"/>
            <w:tcBorders>
              <w:top w:val="nil"/>
              <w:left w:val="nil"/>
              <w:bottom w:val="single" w:sz="4" w:space="0" w:color="auto"/>
              <w:right w:val="single" w:sz="4" w:space="0" w:color="auto"/>
            </w:tcBorders>
            <w:shd w:val="clear" w:color="auto" w:fill="auto"/>
            <w:vAlign w:val="bottom"/>
            <w:hideMark/>
          </w:tcPr>
          <w:p w14:paraId="6EC93B44"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2,137</w:t>
            </w:r>
          </w:p>
        </w:tc>
        <w:tc>
          <w:tcPr>
            <w:tcW w:w="782" w:type="pct"/>
            <w:tcBorders>
              <w:top w:val="nil"/>
              <w:left w:val="nil"/>
              <w:bottom w:val="single" w:sz="4" w:space="0" w:color="auto"/>
              <w:right w:val="single" w:sz="4" w:space="0" w:color="auto"/>
            </w:tcBorders>
            <w:shd w:val="clear" w:color="auto" w:fill="auto"/>
            <w:vAlign w:val="bottom"/>
            <w:hideMark/>
          </w:tcPr>
          <w:p w14:paraId="38F38E5F"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3.22%</w:t>
            </w:r>
          </w:p>
        </w:tc>
        <w:tc>
          <w:tcPr>
            <w:tcW w:w="938" w:type="pct"/>
            <w:tcBorders>
              <w:top w:val="nil"/>
              <w:left w:val="nil"/>
              <w:bottom w:val="single" w:sz="4" w:space="0" w:color="auto"/>
              <w:right w:val="single" w:sz="4" w:space="0" w:color="auto"/>
            </w:tcBorders>
            <w:shd w:val="clear" w:color="auto" w:fill="auto"/>
            <w:vAlign w:val="bottom"/>
            <w:hideMark/>
          </w:tcPr>
          <w:p w14:paraId="72A9B74A"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26,478,489</w:t>
            </w:r>
          </w:p>
        </w:tc>
        <w:tc>
          <w:tcPr>
            <w:tcW w:w="779" w:type="pct"/>
            <w:tcBorders>
              <w:top w:val="nil"/>
              <w:left w:val="nil"/>
              <w:bottom w:val="single" w:sz="4" w:space="0" w:color="auto"/>
              <w:right w:val="single" w:sz="4" w:space="0" w:color="auto"/>
            </w:tcBorders>
            <w:shd w:val="clear" w:color="auto" w:fill="auto"/>
            <w:vAlign w:val="bottom"/>
            <w:hideMark/>
          </w:tcPr>
          <w:p w14:paraId="73E9777C"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2.14%</w:t>
            </w:r>
          </w:p>
        </w:tc>
      </w:tr>
      <w:tr w:rsidR="006A523F" w:rsidRPr="006A523F" w14:paraId="211DD44F"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49D7A709"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10000.01 - 15000.00</w:t>
            </w:r>
          </w:p>
        </w:tc>
        <w:tc>
          <w:tcPr>
            <w:tcW w:w="939" w:type="pct"/>
            <w:tcBorders>
              <w:top w:val="nil"/>
              <w:left w:val="nil"/>
              <w:bottom w:val="single" w:sz="4" w:space="0" w:color="auto"/>
              <w:right w:val="single" w:sz="4" w:space="0" w:color="auto"/>
            </w:tcBorders>
            <w:shd w:val="clear" w:color="auto" w:fill="auto"/>
            <w:vAlign w:val="bottom"/>
            <w:hideMark/>
          </w:tcPr>
          <w:p w14:paraId="712FEDEA"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3,580</w:t>
            </w:r>
          </w:p>
        </w:tc>
        <w:tc>
          <w:tcPr>
            <w:tcW w:w="782" w:type="pct"/>
            <w:tcBorders>
              <w:top w:val="nil"/>
              <w:left w:val="nil"/>
              <w:bottom w:val="single" w:sz="4" w:space="0" w:color="auto"/>
              <w:right w:val="single" w:sz="4" w:space="0" w:color="auto"/>
            </w:tcBorders>
            <w:shd w:val="clear" w:color="auto" w:fill="auto"/>
            <w:vAlign w:val="bottom"/>
            <w:hideMark/>
          </w:tcPr>
          <w:p w14:paraId="56C72E8E"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5.39%</w:t>
            </w:r>
          </w:p>
        </w:tc>
        <w:tc>
          <w:tcPr>
            <w:tcW w:w="938" w:type="pct"/>
            <w:tcBorders>
              <w:top w:val="nil"/>
              <w:left w:val="nil"/>
              <w:bottom w:val="single" w:sz="4" w:space="0" w:color="auto"/>
              <w:right w:val="single" w:sz="4" w:space="0" w:color="auto"/>
            </w:tcBorders>
            <w:shd w:val="clear" w:color="auto" w:fill="auto"/>
            <w:vAlign w:val="bottom"/>
            <w:hideMark/>
          </w:tcPr>
          <w:p w14:paraId="3251E3DD"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62,009,159</w:t>
            </w:r>
          </w:p>
        </w:tc>
        <w:tc>
          <w:tcPr>
            <w:tcW w:w="779" w:type="pct"/>
            <w:tcBorders>
              <w:top w:val="nil"/>
              <w:left w:val="nil"/>
              <w:bottom w:val="single" w:sz="4" w:space="0" w:color="auto"/>
              <w:right w:val="single" w:sz="4" w:space="0" w:color="auto"/>
            </w:tcBorders>
            <w:shd w:val="clear" w:color="auto" w:fill="auto"/>
            <w:vAlign w:val="bottom"/>
            <w:hideMark/>
          </w:tcPr>
          <w:p w14:paraId="0A9F6CCE"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5.00%</w:t>
            </w:r>
          </w:p>
        </w:tc>
      </w:tr>
      <w:tr w:rsidR="006A523F" w:rsidRPr="006A523F" w14:paraId="05693A6B"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10669A64"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15000.01 - 20000.00</w:t>
            </w:r>
          </w:p>
        </w:tc>
        <w:tc>
          <w:tcPr>
            <w:tcW w:w="939" w:type="pct"/>
            <w:tcBorders>
              <w:top w:val="nil"/>
              <w:left w:val="nil"/>
              <w:bottom w:val="single" w:sz="4" w:space="0" w:color="auto"/>
              <w:right w:val="single" w:sz="4" w:space="0" w:color="auto"/>
            </w:tcBorders>
            <w:shd w:val="clear" w:color="auto" w:fill="auto"/>
            <w:vAlign w:val="bottom"/>
            <w:hideMark/>
          </w:tcPr>
          <w:p w14:paraId="4B3DB0F0"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2,235</w:t>
            </w:r>
          </w:p>
        </w:tc>
        <w:tc>
          <w:tcPr>
            <w:tcW w:w="782" w:type="pct"/>
            <w:tcBorders>
              <w:top w:val="nil"/>
              <w:left w:val="nil"/>
              <w:bottom w:val="single" w:sz="4" w:space="0" w:color="auto"/>
              <w:right w:val="single" w:sz="4" w:space="0" w:color="auto"/>
            </w:tcBorders>
            <w:shd w:val="clear" w:color="auto" w:fill="auto"/>
            <w:vAlign w:val="bottom"/>
            <w:hideMark/>
          </w:tcPr>
          <w:p w14:paraId="18B9D363"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3.36%</w:t>
            </w:r>
          </w:p>
        </w:tc>
        <w:tc>
          <w:tcPr>
            <w:tcW w:w="938" w:type="pct"/>
            <w:tcBorders>
              <w:top w:val="nil"/>
              <w:left w:val="nil"/>
              <w:bottom w:val="single" w:sz="4" w:space="0" w:color="auto"/>
              <w:right w:val="single" w:sz="4" w:space="0" w:color="auto"/>
            </w:tcBorders>
            <w:shd w:val="clear" w:color="auto" w:fill="auto"/>
            <w:vAlign w:val="bottom"/>
            <w:hideMark/>
          </w:tcPr>
          <w:p w14:paraId="2BEF3B88"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49,392,803</w:t>
            </w:r>
          </w:p>
        </w:tc>
        <w:tc>
          <w:tcPr>
            <w:tcW w:w="779" w:type="pct"/>
            <w:tcBorders>
              <w:top w:val="nil"/>
              <w:left w:val="nil"/>
              <w:bottom w:val="single" w:sz="4" w:space="0" w:color="auto"/>
              <w:right w:val="single" w:sz="4" w:space="0" w:color="auto"/>
            </w:tcBorders>
            <w:shd w:val="clear" w:color="auto" w:fill="auto"/>
            <w:vAlign w:val="bottom"/>
            <w:hideMark/>
          </w:tcPr>
          <w:p w14:paraId="13CB9D96"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3.98%</w:t>
            </w:r>
          </w:p>
        </w:tc>
      </w:tr>
      <w:tr w:rsidR="006A523F" w:rsidRPr="006A523F" w14:paraId="58E24159"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30F2D3D1"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20000.01 - 25000.00</w:t>
            </w:r>
          </w:p>
        </w:tc>
        <w:tc>
          <w:tcPr>
            <w:tcW w:w="939" w:type="pct"/>
            <w:tcBorders>
              <w:top w:val="nil"/>
              <w:left w:val="nil"/>
              <w:bottom w:val="single" w:sz="4" w:space="0" w:color="auto"/>
              <w:right w:val="single" w:sz="4" w:space="0" w:color="auto"/>
            </w:tcBorders>
            <w:shd w:val="clear" w:color="auto" w:fill="auto"/>
            <w:vAlign w:val="bottom"/>
            <w:hideMark/>
          </w:tcPr>
          <w:p w14:paraId="6EB4D490"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710</w:t>
            </w:r>
          </w:p>
        </w:tc>
        <w:tc>
          <w:tcPr>
            <w:tcW w:w="782" w:type="pct"/>
            <w:tcBorders>
              <w:top w:val="nil"/>
              <w:left w:val="nil"/>
              <w:bottom w:val="single" w:sz="4" w:space="0" w:color="auto"/>
              <w:right w:val="single" w:sz="4" w:space="0" w:color="auto"/>
            </w:tcBorders>
            <w:shd w:val="clear" w:color="auto" w:fill="auto"/>
            <w:vAlign w:val="bottom"/>
            <w:hideMark/>
          </w:tcPr>
          <w:p w14:paraId="2A4B77C6"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1.07%</w:t>
            </w:r>
          </w:p>
        </w:tc>
        <w:tc>
          <w:tcPr>
            <w:tcW w:w="938" w:type="pct"/>
            <w:tcBorders>
              <w:top w:val="nil"/>
              <w:left w:val="nil"/>
              <w:bottom w:val="single" w:sz="4" w:space="0" w:color="auto"/>
              <w:right w:val="single" w:sz="4" w:space="0" w:color="auto"/>
            </w:tcBorders>
            <w:shd w:val="clear" w:color="auto" w:fill="auto"/>
            <w:vAlign w:val="bottom"/>
            <w:hideMark/>
          </w:tcPr>
          <w:p w14:paraId="2C3EAA4B"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19,114,656</w:t>
            </w:r>
          </w:p>
        </w:tc>
        <w:tc>
          <w:tcPr>
            <w:tcW w:w="779" w:type="pct"/>
            <w:tcBorders>
              <w:top w:val="nil"/>
              <w:left w:val="nil"/>
              <w:bottom w:val="single" w:sz="4" w:space="0" w:color="auto"/>
              <w:right w:val="single" w:sz="4" w:space="0" w:color="auto"/>
            </w:tcBorders>
            <w:shd w:val="clear" w:color="auto" w:fill="auto"/>
            <w:vAlign w:val="bottom"/>
            <w:hideMark/>
          </w:tcPr>
          <w:p w14:paraId="7B17BE08"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1.54%</w:t>
            </w:r>
          </w:p>
        </w:tc>
      </w:tr>
      <w:tr w:rsidR="006A523F" w:rsidRPr="006A523F" w14:paraId="4F2E2FE0"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7AF1EAB1"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25000.01 - 30000.00</w:t>
            </w:r>
          </w:p>
        </w:tc>
        <w:tc>
          <w:tcPr>
            <w:tcW w:w="939" w:type="pct"/>
            <w:tcBorders>
              <w:top w:val="nil"/>
              <w:left w:val="nil"/>
              <w:bottom w:val="single" w:sz="4" w:space="0" w:color="auto"/>
              <w:right w:val="single" w:sz="4" w:space="0" w:color="auto"/>
            </w:tcBorders>
            <w:shd w:val="clear" w:color="auto" w:fill="auto"/>
            <w:vAlign w:val="bottom"/>
            <w:hideMark/>
          </w:tcPr>
          <w:p w14:paraId="2DC56FB4"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117</w:t>
            </w:r>
          </w:p>
        </w:tc>
        <w:tc>
          <w:tcPr>
            <w:tcW w:w="782" w:type="pct"/>
            <w:tcBorders>
              <w:top w:val="nil"/>
              <w:left w:val="nil"/>
              <w:bottom w:val="single" w:sz="4" w:space="0" w:color="auto"/>
              <w:right w:val="single" w:sz="4" w:space="0" w:color="auto"/>
            </w:tcBorders>
            <w:shd w:val="clear" w:color="auto" w:fill="auto"/>
            <w:vAlign w:val="bottom"/>
            <w:hideMark/>
          </w:tcPr>
          <w:p w14:paraId="0A5B1958"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0.18%</w:t>
            </w:r>
          </w:p>
        </w:tc>
        <w:tc>
          <w:tcPr>
            <w:tcW w:w="938" w:type="pct"/>
            <w:tcBorders>
              <w:top w:val="nil"/>
              <w:left w:val="nil"/>
              <w:bottom w:val="single" w:sz="4" w:space="0" w:color="auto"/>
              <w:right w:val="single" w:sz="4" w:space="0" w:color="auto"/>
            </w:tcBorders>
            <w:shd w:val="clear" w:color="auto" w:fill="auto"/>
            <w:vAlign w:val="bottom"/>
            <w:hideMark/>
          </w:tcPr>
          <w:p w14:paraId="63E80D59"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3,674,514</w:t>
            </w:r>
          </w:p>
        </w:tc>
        <w:tc>
          <w:tcPr>
            <w:tcW w:w="779" w:type="pct"/>
            <w:tcBorders>
              <w:top w:val="nil"/>
              <w:left w:val="nil"/>
              <w:bottom w:val="single" w:sz="4" w:space="0" w:color="auto"/>
              <w:right w:val="single" w:sz="4" w:space="0" w:color="auto"/>
            </w:tcBorders>
            <w:shd w:val="clear" w:color="auto" w:fill="auto"/>
            <w:vAlign w:val="bottom"/>
            <w:hideMark/>
          </w:tcPr>
          <w:p w14:paraId="5854FB01"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0.30%</w:t>
            </w:r>
          </w:p>
        </w:tc>
      </w:tr>
      <w:tr w:rsidR="006A523F" w:rsidRPr="006A523F" w14:paraId="376EA5CA"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39EF8E66"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30000.01 - 35000.00</w:t>
            </w:r>
          </w:p>
        </w:tc>
        <w:tc>
          <w:tcPr>
            <w:tcW w:w="939" w:type="pct"/>
            <w:tcBorders>
              <w:top w:val="nil"/>
              <w:left w:val="nil"/>
              <w:bottom w:val="single" w:sz="4" w:space="0" w:color="auto"/>
              <w:right w:val="single" w:sz="4" w:space="0" w:color="auto"/>
            </w:tcBorders>
            <w:shd w:val="clear" w:color="auto" w:fill="auto"/>
            <w:vAlign w:val="bottom"/>
            <w:hideMark/>
          </w:tcPr>
          <w:p w14:paraId="3636B9B8"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11</w:t>
            </w:r>
          </w:p>
        </w:tc>
        <w:tc>
          <w:tcPr>
            <w:tcW w:w="782" w:type="pct"/>
            <w:tcBorders>
              <w:top w:val="nil"/>
              <w:left w:val="nil"/>
              <w:bottom w:val="single" w:sz="4" w:space="0" w:color="auto"/>
              <w:right w:val="single" w:sz="4" w:space="0" w:color="auto"/>
            </w:tcBorders>
            <w:shd w:val="clear" w:color="auto" w:fill="auto"/>
            <w:vAlign w:val="bottom"/>
            <w:hideMark/>
          </w:tcPr>
          <w:p w14:paraId="6C7F9970"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0.02%</w:t>
            </w:r>
          </w:p>
        </w:tc>
        <w:tc>
          <w:tcPr>
            <w:tcW w:w="938" w:type="pct"/>
            <w:tcBorders>
              <w:top w:val="nil"/>
              <w:left w:val="nil"/>
              <w:bottom w:val="single" w:sz="4" w:space="0" w:color="auto"/>
              <w:right w:val="single" w:sz="4" w:space="0" w:color="auto"/>
            </w:tcBorders>
            <w:shd w:val="clear" w:color="auto" w:fill="auto"/>
            <w:vAlign w:val="bottom"/>
            <w:hideMark/>
          </w:tcPr>
          <w:p w14:paraId="762E5678"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410,917</w:t>
            </w:r>
          </w:p>
        </w:tc>
        <w:tc>
          <w:tcPr>
            <w:tcW w:w="779" w:type="pct"/>
            <w:tcBorders>
              <w:top w:val="nil"/>
              <w:left w:val="nil"/>
              <w:bottom w:val="single" w:sz="4" w:space="0" w:color="auto"/>
              <w:right w:val="single" w:sz="4" w:space="0" w:color="auto"/>
            </w:tcBorders>
            <w:shd w:val="clear" w:color="auto" w:fill="auto"/>
            <w:vAlign w:val="bottom"/>
            <w:hideMark/>
          </w:tcPr>
          <w:p w14:paraId="6AB8324D"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0.03%</w:t>
            </w:r>
          </w:p>
        </w:tc>
      </w:tr>
      <w:tr w:rsidR="006A523F" w:rsidRPr="006A523F" w14:paraId="2FD812FC"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2ADB0CDA"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35000.01 - 40000.00</w:t>
            </w:r>
          </w:p>
        </w:tc>
        <w:tc>
          <w:tcPr>
            <w:tcW w:w="939" w:type="pct"/>
            <w:tcBorders>
              <w:top w:val="nil"/>
              <w:left w:val="nil"/>
              <w:bottom w:val="single" w:sz="4" w:space="0" w:color="auto"/>
              <w:right w:val="single" w:sz="4" w:space="0" w:color="auto"/>
            </w:tcBorders>
            <w:shd w:val="clear" w:color="auto" w:fill="auto"/>
            <w:vAlign w:val="bottom"/>
            <w:hideMark/>
          </w:tcPr>
          <w:p w14:paraId="3088D233"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w:t>
            </w:r>
          </w:p>
        </w:tc>
        <w:tc>
          <w:tcPr>
            <w:tcW w:w="782" w:type="pct"/>
            <w:tcBorders>
              <w:top w:val="nil"/>
              <w:left w:val="nil"/>
              <w:bottom w:val="single" w:sz="4" w:space="0" w:color="auto"/>
              <w:right w:val="single" w:sz="4" w:space="0" w:color="auto"/>
            </w:tcBorders>
            <w:shd w:val="clear" w:color="auto" w:fill="auto"/>
            <w:vAlign w:val="bottom"/>
            <w:hideMark/>
          </w:tcPr>
          <w:p w14:paraId="0BF4C18D"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c>
          <w:tcPr>
            <w:tcW w:w="938" w:type="pct"/>
            <w:tcBorders>
              <w:top w:val="nil"/>
              <w:left w:val="nil"/>
              <w:bottom w:val="single" w:sz="4" w:space="0" w:color="auto"/>
              <w:right w:val="single" w:sz="4" w:space="0" w:color="auto"/>
            </w:tcBorders>
            <w:shd w:val="clear" w:color="auto" w:fill="auto"/>
            <w:vAlign w:val="bottom"/>
            <w:hideMark/>
          </w:tcPr>
          <w:p w14:paraId="47B1FB97"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40,466</w:t>
            </w:r>
          </w:p>
        </w:tc>
        <w:tc>
          <w:tcPr>
            <w:tcW w:w="779" w:type="pct"/>
            <w:tcBorders>
              <w:top w:val="nil"/>
              <w:left w:val="nil"/>
              <w:bottom w:val="single" w:sz="4" w:space="0" w:color="auto"/>
              <w:right w:val="single" w:sz="4" w:space="0" w:color="auto"/>
            </w:tcBorders>
            <w:shd w:val="clear" w:color="auto" w:fill="auto"/>
            <w:vAlign w:val="bottom"/>
            <w:hideMark/>
          </w:tcPr>
          <w:p w14:paraId="120DA0A2"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r>
      <w:tr w:rsidR="006A523F" w:rsidRPr="006A523F" w14:paraId="6D072B41"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0F5D26DD"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40000.01 - 45000.00</w:t>
            </w:r>
          </w:p>
        </w:tc>
        <w:tc>
          <w:tcPr>
            <w:tcW w:w="939" w:type="pct"/>
            <w:tcBorders>
              <w:top w:val="nil"/>
              <w:left w:val="nil"/>
              <w:bottom w:val="single" w:sz="4" w:space="0" w:color="auto"/>
              <w:right w:val="single" w:sz="4" w:space="0" w:color="auto"/>
            </w:tcBorders>
            <w:shd w:val="clear" w:color="auto" w:fill="auto"/>
            <w:vAlign w:val="bottom"/>
            <w:hideMark/>
          </w:tcPr>
          <w:p w14:paraId="03A8B38C"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w:t>
            </w:r>
          </w:p>
        </w:tc>
        <w:tc>
          <w:tcPr>
            <w:tcW w:w="782" w:type="pct"/>
            <w:tcBorders>
              <w:top w:val="nil"/>
              <w:left w:val="nil"/>
              <w:bottom w:val="single" w:sz="4" w:space="0" w:color="auto"/>
              <w:right w:val="single" w:sz="4" w:space="0" w:color="auto"/>
            </w:tcBorders>
            <w:shd w:val="clear" w:color="auto" w:fill="auto"/>
            <w:vAlign w:val="bottom"/>
            <w:hideMark/>
          </w:tcPr>
          <w:p w14:paraId="79FCAB5E"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c>
          <w:tcPr>
            <w:tcW w:w="938" w:type="pct"/>
            <w:tcBorders>
              <w:top w:val="nil"/>
              <w:left w:val="nil"/>
              <w:bottom w:val="single" w:sz="4" w:space="0" w:color="auto"/>
              <w:right w:val="single" w:sz="4" w:space="0" w:color="auto"/>
            </w:tcBorders>
            <w:shd w:val="clear" w:color="auto" w:fill="auto"/>
            <w:vAlign w:val="bottom"/>
            <w:hideMark/>
          </w:tcPr>
          <w:p w14:paraId="6D47271D"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w:t>
            </w:r>
          </w:p>
        </w:tc>
        <w:tc>
          <w:tcPr>
            <w:tcW w:w="779" w:type="pct"/>
            <w:tcBorders>
              <w:top w:val="nil"/>
              <w:left w:val="nil"/>
              <w:bottom w:val="single" w:sz="4" w:space="0" w:color="auto"/>
              <w:right w:val="single" w:sz="4" w:space="0" w:color="auto"/>
            </w:tcBorders>
            <w:shd w:val="clear" w:color="auto" w:fill="auto"/>
            <w:vAlign w:val="bottom"/>
            <w:hideMark/>
          </w:tcPr>
          <w:p w14:paraId="5DB46803"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r>
      <w:tr w:rsidR="006A523F" w:rsidRPr="006A523F" w14:paraId="60532184"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47135998"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45000.01 - 50000.00</w:t>
            </w:r>
          </w:p>
        </w:tc>
        <w:tc>
          <w:tcPr>
            <w:tcW w:w="939" w:type="pct"/>
            <w:tcBorders>
              <w:top w:val="nil"/>
              <w:left w:val="nil"/>
              <w:bottom w:val="single" w:sz="4" w:space="0" w:color="auto"/>
              <w:right w:val="single" w:sz="4" w:space="0" w:color="auto"/>
            </w:tcBorders>
            <w:shd w:val="clear" w:color="auto" w:fill="auto"/>
            <w:vAlign w:val="bottom"/>
            <w:hideMark/>
          </w:tcPr>
          <w:p w14:paraId="4C60F528"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1</w:t>
            </w:r>
          </w:p>
        </w:tc>
        <w:tc>
          <w:tcPr>
            <w:tcW w:w="782" w:type="pct"/>
            <w:tcBorders>
              <w:top w:val="nil"/>
              <w:left w:val="nil"/>
              <w:bottom w:val="single" w:sz="4" w:space="0" w:color="auto"/>
              <w:right w:val="single" w:sz="4" w:space="0" w:color="auto"/>
            </w:tcBorders>
            <w:shd w:val="clear" w:color="auto" w:fill="auto"/>
            <w:vAlign w:val="bottom"/>
            <w:hideMark/>
          </w:tcPr>
          <w:p w14:paraId="3EA9F0AC"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c>
          <w:tcPr>
            <w:tcW w:w="938" w:type="pct"/>
            <w:tcBorders>
              <w:top w:val="nil"/>
              <w:left w:val="nil"/>
              <w:bottom w:val="single" w:sz="4" w:space="0" w:color="auto"/>
              <w:right w:val="single" w:sz="4" w:space="0" w:color="auto"/>
            </w:tcBorders>
            <w:shd w:val="clear" w:color="auto" w:fill="auto"/>
            <w:vAlign w:val="bottom"/>
            <w:hideMark/>
          </w:tcPr>
          <w:p w14:paraId="1882DAF7"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53,672</w:t>
            </w:r>
          </w:p>
        </w:tc>
        <w:tc>
          <w:tcPr>
            <w:tcW w:w="779" w:type="pct"/>
            <w:tcBorders>
              <w:top w:val="nil"/>
              <w:left w:val="nil"/>
              <w:bottom w:val="single" w:sz="4" w:space="0" w:color="auto"/>
              <w:right w:val="single" w:sz="4" w:space="0" w:color="auto"/>
            </w:tcBorders>
            <w:shd w:val="clear" w:color="auto" w:fill="auto"/>
            <w:vAlign w:val="bottom"/>
            <w:hideMark/>
          </w:tcPr>
          <w:p w14:paraId="6F16FF75"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r>
      <w:tr w:rsidR="006A523F" w:rsidRPr="006A523F" w14:paraId="72BD951E"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7039A216"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50000.01 - 55000.00</w:t>
            </w:r>
          </w:p>
        </w:tc>
        <w:tc>
          <w:tcPr>
            <w:tcW w:w="939" w:type="pct"/>
            <w:tcBorders>
              <w:top w:val="nil"/>
              <w:left w:val="nil"/>
              <w:bottom w:val="single" w:sz="4" w:space="0" w:color="auto"/>
              <w:right w:val="single" w:sz="4" w:space="0" w:color="auto"/>
            </w:tcBorders>
            <w:shd w:val="clear" w:color="auto" w:fill="auto"/>
            <w:vAlign w:val="bottom"/>
            <w:hideMark/>
          </w:tcPr>
          <w:p w14:paraId="6E0C1DBA"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w:t>
            </w:r>
          </w:p>
        </w:tc>
        <w:tc>
          <w:tcPr>
            <w:tcW w:w="782" w:type="pct"/>
            <w:tcBorders>
              <w:top w:val="nil"/>
              <w:left w:val="nil"/>
              <w:bottom w:val="single" w:sz="4" w:space="0" w:color="auto"/>
              <w:right w:val="single" w:sz="4" w:space="0" w:color="auto"/>
            </w:tcBorders>
            <w:shd w:val="clear" w:color="auto" w:fill="auto"/>
            <w:vAlign w:val="bottom"/>
            <w:hideMark/>
          </w:tcPr>
          <w:p w14:paraId="61DD4C99"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c>
          <w:tcPr>
            <w:tcW w:w="938" w:type="pct"/>
            <w:tcBorders>
              <w:top w:val="nil"/>
              <w:left w:val="nil"/>
              <w:bottom w:val="single" w:sz="4" w:space="0" w:color="auto"/>
              <w:right w:val="single" w:sz="4" w:space="0" w:color="auto"/>
            </w:tcBorders>
            <w:shd w:val="clear" w:color="auto" w:fill="auto"/>
            <w:vAlign w:val="bottom"/>
            <w:hideMark/>
          </w:tcPr>
          <w:p w14:paraId="01D0764F"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w:t>
            </w:r>
          </w:p>
        </w:tc>
        <w:tc>
          <w:tcPr>
            <w:tcW w:w="779" w:type="pct"/>
            <w:tcBorders>
              <w:top w:val="nil"/>
              <w:left w:val="nil"/>
              <w:bottom w:val="single" w:sz="4" w:space="0" w:color="auto"/>
              <w:right w:val="single" w:sz="4" w:space="0" w:color="auto"/>
            </w:tcBorders>
            <w:shd w:val="clear" w:color="auto" w:fill="auto"/>
            <w:vAlign w:val="bottom"/>
            <w:hideMark/>
          </w:tcPr>
          <w:p w14:paraId="35575751"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r>
      <w:tr w:rsidR="006A523F" w:rsidRPr="006A523F" w14:paraId="628A0452"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6E0E96CF"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55000.01 - 60000.00</w:t>
            </w:r>
          </w:p>
        </w:tc>
        <w:tc>
          <w:tcPr>
            <w:tcW w:w="939" w:type="pct"/>
            <w:tcBorders>
              <w:top w:val="nil"/>
              <w:left w:val="nil"/>
              <w:bottom w:val="single" w:sz="4" w:space="0" w:color="auto"/>
              <w:right w:val="single" w:sz="4" w:space="0" w:color="auto"/>
            </w:tcBorders>
            <w:shd w:val="clear" w:color="auto" w:fill="auto"/>
            <w:vAlign w:val="bottom"/>
            <w:hideMark/>
          </w:tcPr>
          <w:p w14:paraId="40BC673B"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w:t>
            </w:r>
          </w:p>
        </w:tc>
        <w:tc>
          <w:tcPr>
            <w:tcW w:w="782" w:type="pct"/>
            <w:tcBorders>
              <w:top w:val="nil"/>
              <w:left w:val="nil"/>
              <w:bottom w:val="single" w:sz="4" w:space="0" w:color="auto"/>
              <w:right w:val="single" w:sz="4" w:space="0" w:color="auto"/>
            </w:tcBorders>
            <w:shd w:val="clear" w:color="auto" w:fill="auto"/>
            <w:vAlign w:val="bottom"/>
            <w:hideMark/>
          </w:tcPr>
          <w:p w14:paraId="16D108CB"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c>
          <w:tcPr>
            <w:tcW w:w="938" w:type="pct"/>
            <w:tcBorders>
              <w:top w:val="nil"/>
              <w:left w:val="nil"/>
              <w:bottom w:val="single" w:sz="4" w:space="0" w:color="auto"/>
              <w:right w:val="single" w:sz="4" w:space="0" w:color="auto"/>
            </w:tcBorders>
            <w:shd w:val="clear" w:color="auto" w:fill="auto"/>
            <w:vAlign w:val="bottom"/>
            <w:hideMark/>
          </w:tcPr>
          <w:p w14:paraId="6C4B1CB9"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w:t>
            </w:r>
          </w:p>
        </w:tc>
        <w:tc>
          <w:tcPr>
            <w:tcW w:w="779" w:type="pct"/>
            <w:tcBorders>
              <w:top w:val="nil"/>
              <w:left w:val="nil"/>
              <w:bottom w:val="single" w:sz="4" w:space="0" w:color="auto"/>
              <w:right w:val="single" w:sz="4" w:space="0" w:color="auto"/>
            </w:tcBorders>
            <w:shd w:val="clear" w:color="auto" w:fill="auto"/>
            <w:vAlign w:val="bottom"/>
            <w:hideMark/>
          </w:tcPr>
          <w:p w14:paraId="1899E244"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r>
      <w:tr w:rsidR="006A523F" w:rsidRPr="006A523F" w14:paraId="68EA9B2F"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63D4B1C7"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Larger 60000.00</w:t>
            </w:r>
          </w:p>
        </w:tc>
        <w:tc>
          <w:tcPr>
            <w:tcW w:w="939" w:type="pct"/>
            <w:tcBorders>
              <w:top w:val="nil"/>
              <w:left w:val="nil"/>
              <w:bottom w:val="single" w:sz="4" w:space="0" w:color="auto"/>
              <w:right w:val="single" w:sz="4" w:space="0" w:color="auto"/>
            </w:tcBorders>
            <w:shd w:val="clear" w:color="auto" w:fill="auto"/>
            <w:vAlign w:val="bottom"/>
            <w:hideMark/>
          </w:tcPr>
          <w:p w14:paraId="71B50006"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w:t>
            </w:r>
          </w:p>
        </w:tc>
        <w:tc>
          <w:tcPr>
            <w:tcW w:w="782" w:type="pct"/>
            <w:tcBorders>
              <w:top w:val="nil"/>
              <w:left w:val="nil"/>
              <w:bottom w:val="single" w:sz="4" w:space="0" w:color="auto"/>
              <w:right w:val="single" w:sz="4" w:space="0" w:color="auto"/>
            </w:tcBorders>
            <w:shd w:val="clear" w:color="auto" w:fill="auto"/>
            <w:vAlign w:val="bottom"/>
            <w:hideMark/>
          </w:tcPr>
          <w:p w14:paraId="47CED320"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c>
          <w:tcPr>
            <w:tcW w:w="938" w:type="pct"/>
            <w:tcBorders>
              <w:top w:val="nil"/>
              <w:left w:val="nil"/>
              <w:bottom w:val="single" w:sz="4" w:space="0" w:color="auto"/>
              <w:right w:val="single" w:sz="4" w:space="0" w:color="auto"/>
            </w:tcBorders>
            <w:shd w:val="clear" w:color="auto" w:fill="auto"/>
            <w:vAlign w:val="bottom"/>
            <w:hideMark/>
          </w:tcPr>
          <w:p w14:paraId="648650A8"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w:t>
            </w:r>
          </w:p>
        </w:tc>
        <w:tc>
          <w:tcPr>
            <w:tcW w:w="779" w:type="pct"/>
            <w:tcBorders>
              <w:top w:val="nil"/>
              <w:left w:val="nil"/>
              <w:bottom w:val="single" w:sz="4" w:space="0" w:color="auto"/>
              <w:right w:val="single" w:sz="4" w:space="0" w:color="auto"/>
            </w:tcBorders>
            <w:shd w:val="clear" w:color="auto" w:fill="auto"/>
            <w:vAlign w:val="bottom"/>
            <w:hideMark/>
          </w:tcPr>
          <w:p w14:paraId="0FD13BAA" w14:textId="77777777" w:rsidR="006A523F" w:rsidRPr="006A523F" w:rsidRDefault="006A523F" w:rsidP="006A523F">
            <w:pPr>
              <w:spacing w:line="240" w:lineRule="auto"/>
              <w:jc w:val="center"/>
              <w:rPr>
                <w:rFonts w:ascii="Aptos Narrow" w:hAnsi="Aptos Narrow"/>
                <w:sz w:val="13"/>
                <w:szCs w:val="13"/>
                <w:lang w:val="de-DE" w:eastAsia="de-DE"/>
              </w:rPr>
            </w:pPr>
            <w:r w:rsidRPr="006A523F">
              <w:rPr>
                <w:rFonts w:ascii="Aptos Narrow" w:hAnsi="Aptos Narrow"/>
                <w:sz w:val="13"/>
                <w:szCs w:val="13"/>
                <w:lang w:val="de-DE" w:eastAsia="de-DE"/>
              </w:rPr>
              <w:t>0.00%</w:t>
            </w:r>
          </w:p>
        </w:tc>
      </w:tr>
      <w:tr w:rsidR="006A523F" w:rsidRPr="006A523F" w14:paraId="49B687F1"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center"/>
            <w:hideMark/>
          </w:tcPr>
          <w:p w14:paraId="0B503D48"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Total</w:t>
            </w:r>
          </w:p>
        </w:tc>
        <w:tc>
          <w:tcPr>
            <w:tcW w:w="939" w:type="pct"/>
            <w:tcBorders>
              <w:top w:val="nil"/>
              <w:left w:val="nil"/>
              <w:bottom w:val="single" w:sz="4" w:space="0" w:color="auto"/>
              <w:right w:val="single" w:sz="4" w:space="0" w:color="auto"/>
            </w:tcBorders>
            <w:shd w:val="clear" w:color="auto" w:fill="auto"/>
            <w:vAlign w:val="center"/>
            <w:hideMark/>
          </w:tcPr>
          <w:p w14:paraId="204BB984"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9,466</w:t>
            </w:r>
          </w:p>
        </w:tc>
        <w:tc>
          <w:tcPr>
            <w:tcW w:w="782" w:type="pct"/>
            <w:tcBorders>
              <w:top w:val="nil"/>
              <w:left w:val="nil"/>
              <w:bottom w:val="single" w:sz="4" w:space="0" w:color="auto"/>
              <w:right w:val="single" w:sz="4" w:space="0" w:color="auto"/>
            </w:tcBorders>
            <w:shd w:val="clear" w:color="auto" w:fill="auto"/>
            <w:vAlign w:val="center"/>
            <w:hideMark/>
          </w:tcPr>
          <w:p w14:paraId="1418C5F0"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14%</w:t>
            </w:r>
          </w:p>
        </w:tc>
        <w:tc>
          <w:tcPr>
            <w:tcW w:w="938" w:type="pct"/>
            <w:tcBorders>
              <w:top w:val="nil"/>
              <w:left w:val="nil"/>
              <w:bottom w:val="single" w:sz="4" w:space="0" w:color="auto"/>
              <w:right w:val="single" w:sz="4" w:space="0" w:color="auto"/>
            </w:tcBorders>
            <w:shd w:val="clear" w:color="auto" w:fill="auto"/>
            <w:vAlign w:val="center"/>
            <w:hideMark/>
          </w:tcPr>
          <w:p w14:paraId="156E3885"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166,789,073</w:t>
            </w:r>
          </w:p>
        </w:tc>
        <w:tc>
          <w:tcPr>
            <w:tcW w:w="779" w:type="pct"/>
            <w:tcBorders>
              <w:top w:val="nil"/>
              <w:left w:val="nil"/>
              <w:bottom w:val="single" w:sz="4" w:space="0" w:color="auto"/>
              <w:right w:val="single" w:sz="4" w:space="0" w:color="auto"/>
            </w:tcBorders>
            <w:shd w:val="clear" w:color="auto" w:fill="auto"/>
            <w:vAlign w:val="center"/>
            <w:hideMark/>
          </w:tcPr>
          <w:p w14:paraId="407AFFDD" w14:textId="77777777" w:rsidR="006A523F" w:rsidRPr="006A523F" w:rsidRDefault="006A523F" w:rsidP="006A523F">
            <w:pPr>
              <w:spacing w:line="240" w:lineRule="auto"/>
              <w:jc w:val="center"/>
              <w:rPr>
                <w:rFonts w:ascii="Aptos Narrow" w:hAnsi="Aptos Narrow"/>
                <w:b/>
                <w:bCs/>
                <w:sz w:val="13"/>
                <w:szCs w:val="13"/>
                <w:lang w:val="de-DE" w:eastAsia="de-DE"/>
              </w:rPr>
            </w:pPr>
            <w:r w:rsidRPr="006A523F">
              <w:rPr>
                <w:rFonts w:ascii="Aptos Narrow" w:hAnsi="Aptos Narrow"/>
                <w:b/>
                <w:bCs/>
                <w:sz w:val="13"/>
                <w:szCs w:val="13"/>
                <w:lang w:val="de-DE" w:eastAsia="de-DE"/>
              </w:rPr>
              <w:t>13%</w:t>
            </w:r>
          </w:p>
        </w:tc>
      </w:tr>
      <w:tr w:rsidR="006A523F" w:rsidRPr="006A523F" w14:paraId="42DE5708" w14:textId="77777777" w:rsidTr="006A523F">
        <w:trPr>
          <w:trHeight w:val="20"/>
        </w:trPr>
        <w:tc>
          <w:tcPr>
            <w:tcW w:w="1562" w:type="pct"/>
            <w:tcBorders>
              <w:top w:val="nil"/>
              <w:left w:val="nil"/>
              <w:bottom w:val="nil"/>
              <w:right w:val="nil"/>
            </w:tcBorders>
            <w:shd w:val="clear" w:color="auto" w:fill="auto"/>
            <w:noWrap/>
            <w:vAlign w:val="bottom"/>
            <w:hideMark/>
          </w:tcPr>
          <w:p w14:paraId="7A8A0D67" w14:textId="77777777" w:rsidR="006A523F" w:rsidRPr="006A523F" w:rsidRDefault="006A523F" w:rsidP="006A523F">
            <w:pPr>
              <w:spacing w:line="240" w:lineRule="auto"/>
              <w:jc w:val="center"/>
              <w:rPr>
                <w:rFonts w:ascii="Aptos Narrow" w:hAnsi="Aptos Narrow"/>
                <w:b/>
                <w:bCs/>
                <w:sz w:val="13"/>
                <w:szCs w:val="13"/>
                <w:lang w:val="de-DE" w:eastAsia="de-DE"/>
              </w:rPr>
            </w:pPr>
          </w:p>
        </w:tc>
        <w:tc>
          <w:tcPr>
            <w:tcW w:w="939" w:type="pct"/>
            <w:tcBorders>
              <w:top w:val="nil"/>
              <w:left w:val="nil"/>
              <w:bottom w:val="nil"/>
              <w:right w:val="nil"/>
            </w:tcBorders>
            <w:shd w:val="clear" w:color="auto" w:fill="auto"/>
            <w:noWrap/>
            <w:vAlign w:val="bottom"/>
            <w:hideMark/>
          </w:tcPr>
          <w:p w14:paraId="1D3114FE" w14:textId="77777777" w:rsidR="006A523F" w:rsidRPr="006A523F" w:rsidRDefault="006A523F" w:rsidP="006A523F">
            <w:pPr>
              <w:spacing w:line="240" w:lineRule="auto"/>
              <w:jc w:val="left"/>
              <w:rPr>
                <w:rFonts w:ascii="Times New Roman" w:hAnsi="Times New Roman"/>
                <w:sz w:val="13"/>
                <w:szCs w:val="13"/>
                <w:lang w:val="de-DE" w:eastAsia="de-DE"/>
              </w:rPr>
            </w:pPr>
          </w:p>
        </w:tc>
        <w:tc>
          <w:tcPr>
            <w:tcW w:w="782" w:type="pct"/>
            <w:tcBorders>
              <w:top w:val="nil"/>
              <w:left w:val="nil"/>
              <w:bottom w:val="nil"/>
              <w:right w:val="nil"/>
            </w:tcBorders>
            <w:shd w:val="clear" w:color="auto" w:fill="auto"/>
            <w:noWrap/>
            <w:vAlign w:val="bottom"/>
            <w:hideMark/>
          </w:tcPr>
          <w:p w14:paraId="7EFF0F63" w14:textId="77777777" w:rsidR="006A523F" w:rsidRPr="006A523F" w:rsidRDefault="006A523F" w:rsidP="006A523F">
            <w:pPr>
              <w:spacing w:line="240" w:lineRule="auto"/>
              <w:jc w:val="left"/>
              <w:rPr>
                <w:rFonts w:ascii="Times New Roman" w:hAnsi="Times New Roman"/>
                <w:sz w:val="13"/>
                <w:szCs w:val="13"/>
                <w:lang w:val="de-DE" w:eastAsia="de-DE"/>
              </w:rPr>
            </w:pPr>
          </w:p>
        </w:tc>
        <w:tc>
          <w:tcPr>
            <w:tcW w:w="938" w:type="pct"/>
            <w:tcBorders>
              <w:top w:val="nil"/>
              <w:left w:val="nil"/>
              <w:bottom w:val="nil"/>
              <w:right w:val="nil"/>
            </w:tcBorders>
            <w:shd w:val="clear" w:color="auto" w:fill="auto"/>
            <w:noWrap/>
            <w:vAlign w:val="bottom"/>
            <w:hideMark/>
          </w:tcPr>
          <w:p w14:paraId="19FE553C" w14:textId="77777777" w:rsidR="006A523F" w:rsidRPr="006A523F" w:rsidRDefault="006A523F" w:rsidP="006A523F">
            <w:pPr>
              <w:spacing w:line="240" w:lineRule="auto"/>
              <w:jc w:val="left"/>
              <w:rPr>
                <w:rFonts w:ascii="Times New Roman" w:hAnsi="Times New Roman"/>
                <w:sz w:val="13"/>
                <w:szCs w:val="13"/>
                <w:lang w:val="de-DE" w:eastAsia="de-DE"/>
              </w:rPr>
            </w:pPr>
          </w:p>
        </w:tc>
        <w:tc>
          <w:tcPr>
            <w:tcW w:w="779" w:type="pct"/>
            <w:tcBorders>
              <w:top w:val="nil"/>
              <w:left w:val="nil"/>
              <w:bottom w:val="nil"/>
              <w:right w:val="nil"/>
            </w:tcBorders>
            <w:shd w:val="clear" w:color="auto" w:fill="auto"/>
            <w:vAlign w:val="bottom"/>
            <w:hideMark/>
          </w:tcPr>
          <w:p w14:paraId="4D189379" w14:textId="77777777" w:rsidR="006A523F" w:rsidRPr="006A523F" w:rsidRDefault="006A523F" w:rsidP="006A523F">
            <w:pPr>
              <w:spacing w:line="240" w:lineRule="auto"/>
              <w:jc w:val="left"/>
              <w:rPr>
                <w:rFonts w:ascii="Times New Roman" w:hAnsi="Times New Roman"/>
                <w:sz w:val="13"/>
                <w:szCs w:val="13"/>
                <w:lang w:val="de-DE" w:eastAsia="de-DE"/>
              </w:rPr>
            </w:pPr>
          </w:p>
        </w:tc>
      </w:tr>
      <w:tr w:rsidR="006A523F" w:rsidRPr="006A523F" w14:paraId="4C1295EB" w14:textId="77777777" w:rsidTr="006A523F">
        <w:trPr>
          <w:trHeight w:val="20"/>
        </w:trPr>
        <w:tc>
          <w:tcPr>
            <w:tcW w:w="1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DB215" w14:textId="77777777" w:rsidR="006A523F" w:rsidRPr="006A523F" w:rsidRDefault="006A523F" w:rsidP="006A523F">
            <w:pPr>
              <w:spacing w:line="240" w:lineRule="auto"/>
              <w:jc w:val="left"/>
              <w:rPr>
                <w:rFonts w:ascii="Aptos Narrow" w:hAnsi="Aptos Narrow"/>
                <w:color w:val="000000"/>
                <w:sz w:val="13"/>
                <w:szCs w:val="13"/>
                <w:lang w:val="en-US" w:eastAsia="de-DE"/>
              </w:rPr>
            </w:pPr>
            <w:r w:rsidRPr="006A523F">
              <w:rPr>
                <w:rFonts w:ascii="Aptos Narrow" w:hAnsi="Aptos Narrow"/>
                <w:color w:val="000000"/>
                <w:sz w:val="13"/>
                <w:szCs w:val="13"/>
                <w:lang w:val="en-US" w:eastAsia="de-DE"/>
              </w:rPr>
              <w:t>RW Leases Minimum Discounted Residual Value(€)</w:t>
            </w:r>
          </w:p>
        </w:tc>
        <w:tc>
          <w:tcPr>
            <w:tcW w:w="939" w:type="pct"/>
            <w:tcBorders>
              <w:top w:val="single" w:sz="4" w:space="0" w:color="auto"/>
              <w:left w:val="nil"/>
              <w:bottom w:val="single" w:sz="4" w:space="0" w:color="auto"/>
              <w:right w:val="single" w:sz="4" w:space="0" w:color="auto"/>
            </w:tcBorders>
            <w:shd w:val="clear" w:color="auto" w:fill="auto"/>
            <w:noWrap/>
            <w:vAlign w:val="bottom"/>
            <w:hideMark/>
          </w:tcPr>
          <w:p w14:paraId="1665CA37"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en-US" w:eastAsia="de-DE"/>
              </w:rPr>
              <w:t xml:space="preserve">                                          </w:t>
            </w:r>
            <w:r w:rsidRPr="006A523F">
              <w:rPr>
                <w:rFonts w:ascii="Aptos Narrow" w:hAnsi="Aptos Narrow"/>
                <w:color w:val="000000"/>
                <w:sz w:val="13"/>
                <w:szCs w:val="13"/>
                <w:lang w:val="de-DE" w:eastAsia="de-DE"/>
              </w:rPr>
              <w:t xml:space="preserve">217 </w:t>
            </w:r>
          </w:p>
        </w:tc>
        <w:tc>
          <w:tcPr>
            <w:tcW w:w="782" w:type="pct"/>
            <w:tcBorders>
              <w:top w:val="nil"/>
              <w:left w:val="nil"/>
              <w:bottom w:val="nil"/>
              <w:right w:val="nil"/>
            </w:tcBorders>
            <w:shd w:val="clear" w:color="auto" w:fill="auto"/>
            <w:noWrap/>
            <w:vAlign w:val="bottom"/>
            <w:hideMark/>
          </w:tcPr>
          <w:p w14:paraId="5A0B59C0" w14:textId="77777777" w:rsidR="006A523F" w:rsidRPr="006A523F" w:rsidRDefault="006A523F" w:rsidP="006A523F">
            <w:pPr>
              <w:spacing w:line="240" w:lineRule="auto"/>
              <w:jc w:val="left"/>
              <w:rPr>
                <w:rFonts w:ascii="Aptos Narrow" w:hAnsi="Aptos Narrow"/>
                <w:color w:val="000000"/>
                <w:sz w:val="13"/>
                <w:szCs w:val="13"/>
                <w:lang w:val="de-DE" w:eastAsia="de-DE"/>
              </w:rPr>
            </w:pPr>
          </w:p>
        </w:tc>
        <w:tc>
          <w:tcPr>
            <w:tcW w:w="938" w:type="pct"/>
            <w:tcBorders>
              <w:top w:val="nil"/>
              <w:left w:val="nil"/>
              <w:bottom w:val="nil"/>
              <w:right w:val="nil"/>
            </w:tcBorders>
            <w:shd w:val="clear" w:color="auto" w:fill="auto"/>
            <w:noWrap/>
            <w:vAlign w:val="bottom"/>
            <w:hideMark/>
          </w:tcPr>
          <w:p w14:paraId="007EF651" w14:textId="77777777" w:rsidR="006A523F" w:rsidRPr="006A523F" w:rsidRDefault="006A523F" w:rsidP="006A523F">
            <w:pPr>
              <w:spacing w:line="240" w:lineRule="auto"/>
              <w:jc w:val="left"/>
              <w:rPr>
                <w:rFonts w:ascii="Times New Roman" w:hAnsi="Times New Roman"/>
                <w:sz w:val="13"/>
                <w:szCs w:val="13"/>
                <w:lang w:val="de-DE" w:eastAsia="de-DE"/>
              </w:rPr>
            </w:pPr>
          </w:p>
        </w:tc>
        <w:tc>
          <w:tcPr>
            <w:tcW w:w="779" w:type="pct"/>
            <w:tcBorders>
              <w:top w:val="nil"/>
              <w:left w:val="nil"/>
              <w:bottom w:val="nil"/>
              <w:right w:val="nil"/>
            </w:tcBorders>
            <w:shd w:val="clear" w:color="auto" w:fill="auto"/>
            <w:vAlign w:val="bottom"/>
            <w:hideMark/>
          </w:tcPr>
          <w:p w14:paraId="21BC338E" w14:textId="77777777" w:rsidR="006A523F" w:rsidRPr="006A523F" w:rsidRDefault="006A523F" w:rsidP="006A523F">
            <w:pPr>
              <w:spacing w:line="240" w:lineRule="auto"/>
              <w:jc w:val="left"/>
              <w:rPr>
                <w:rFonts w:ascii="Times New Roman" w:hAnsi="Times New Roman"/>
                <w:sz w:val="13"/>
                <w:szCs w:val="13"/>
                <w:lang w:val="de-DE" w:eastAsia="de-DE"/>
              </w:rPr>
            </w:pPr>
          </w:p>
        </w:tc>
      </w:tr>
      <w:tr w:rsidR="006A523F" w:rsidRPr="006A523F" w14:paraId="30CA76AA"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noWrap/>
            <w:vAlign w:val="bottom"/>
            <w:hideMark/>
          </w:tcPr>
          <w:p w14:paraId="000E3AB8" w14:textId="77777777" w:rsidR="006A523F" w:rsidRPr="00CB16CF" w:rsidRDefault="006A523F" w:rsidP="006A523F">
            <w:pPr>
              <w:spacing w:line="240" w:lineRule="auto"/>
              <w:jc w:val="left"/>
              <w:rPr>
                <w:rFonts w:ascii="Aptos Narrow" w:hAnsi="Aptos Narrow"/>
                <w:color w:val="000000"/>
                <w:sz w:val="13"/>
                <w:szCs w:val="13"/>
                <w:lang w:val="en-US" w:eastAsia="de-DE"/>
              </w:rPr>
            </w:pPr>
            <w:r w:rsidRPr="00CB16CF">
              <w:rPr>
                <w:rFonts w:ascii="Aptos Narrow" w:hAnsi="Aptos Narrow"/>
                <w:color w:val="000000"/>
                <w:sz w:val="13"/>
                <w:szCs w:val="13"/>
                <w:lang w:val="en-US" w:eastAsia="de-DE"/>
              </w:rPr>
              <w:t>RW Leases Maximum Discounted Residual Value(€)</w:t>
            </w:r>
          </w:p>
        </w:tc>
        <w:tc>
          <w:tcPr>
            <w:tcW w:w="939" w:type="pct"/>
            <w:tcBorders>
              <w:top w:val="nil"/>
              <w:left w:val="nil"/>
              <w:bottom w:val="single" w:sz="4" w:space="0" w:color="auto"/>
              <w:right w:val="single" w:sz="4" w:space="0" w:color="auto"/>
            </w:tcBorders>
            <w:shd w:val="clear" w:color="auto" w:fill="auto"/>
            <w:noWrap/>
            <w:vAlign w:val="bottom"/>
            <w:hideMark/>
          </w:tcPr>
          <w:p w14:paraId="3CEF54A6"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CB16CF">
              <w:rPr>
                <w:rFonts w:ascii="Aptos Narrow" w:hAnsi="Aptos Narrow"/>
                <w:color w:val="000000"/>
                <w:sz w:val="13"/>
                <w:szCs w:val="13"/>
                <w:lang w:val="en-US" w:eastAsia="de-DE"/>
              </w:rPr>
              <w:t xml:space="preserve">                                    </w:t>
            </w:r>
            <w:r w:rsidRPr="006A523F">
              <w:rPr>
                <w:rFonts w:ascii="Aptos Narrow" w:hAnsi="Aptos Narrow"/>
                <w:color w:val="000000"/>
                <w:sz w:val="13"/>
                <w:szCs w:val="13"/>
                <w:lang w:val="de-DE" w:eastAsia="de-DE"/>
              </w:rPr>
              <w:t xml:space="preserve">47,462 </w:t>
            </w:r>
          </w:p>
        </w:tc>
        <w:tc>
          <w:tcPr>
            <w:tcW w:w="782" w:type="pct"/>
            <w:tcBorders>
              <w:top w:val="nil"/>
              <w:left w:val="nil"/>
              <w:bottom w:val="nil"/>
              <w:right w:val="nil"/>
            </w:tcBorders>
            <w:shd w:val="clear" w:color="auto" w:fill="auto"/>
            <w:noWrap/>
            <w:vAlign w:val="bottom"/>
            <w:hideMark/>
          </w:tcPr>
          <w:p w14:paraId="448F39CD" w14:textId="77777777" w:rsidR="006A523F" w:rsidRPr="006A523F" w:rsidRDefault="006A523F" w:rsidP="006A523F">
            <w:pPr>
              <w:spacing w:line="240" w:lineRule="auto"/>
              <w:jc w:val="left"/>
              <w:rPr>
                <w:rFonts w:ascii="Aptos Narrow" w:hAnsi="Aptos Narrow"/>
                <w:color w:val="000000"/>
                <w:sz w:val="13"/>
                <w:szCs w:val="13"/>
                <w:lang w:val="de-DE" w:eastAsia="de-DE"/>
              </w:rPr>
            </w:pPr>
          </w:p>
        </w:tc>
        <w:tc>
          <w:tcPr>
            <w:tcW w:w="938" w:type="pct"/>
            <w:tcBorders>
              <w:top w:val="nil"/>
              <w:left w:val="nil"/>
              <w:bottom w:val="nil"/>
              <w:right w:val="nil"/>
            </w:tcBorders>
            <w:shd w:val="clear" w:color="auto" w:fill="auto"/>
            <w:noWrap/>
            <w:vAlign w:val="bottom"/>
            <w:hideMark/>
          </w:tcPr>
          <w:p w14:paraId="45A93840" w14:textId="77777777" w:rsidR="006A523F" w:rsidRPr="006A523F" w:rsidRDefault="006A523F" w:rsidP="006A523F">
            <w:pPr>
              <w:spacing w:line="240" w:lineRule="auto"/>
              <w:jc w:val="left"/>
              <w:rPr>
                <w:rFonts w:ascii="Times New Roman" w:hAnsi="Times New Roman"/>
                <w:sz w:val="13"/>
                <w:szCs w:val="13"/>
                <w:lang w:val="de-DE" w:eastAsia="de-DE"/>
              </w:rPr>
            </w:pPr>
          </w:p>
        </w:tc>
        <w:tc>
          <w:tcPr>
            <w:tcW w:w="779" w:type="pct"/>
            <w:tcBorders>
              <w:top w:val="nil"/>
              <w:left w:val="nil"/>
              <w:bottom w:val="nil"/>
              <w:right w:val="nil"/>
            </w:tcBorders>
            <w:shd w:val="clear" w:color="auto" w:fill="auto"/>
            <w:vAlign w:val="bottom"/>
            <w:hideMark/>
          </w:tcPr>
          <w:p w14:paraId="07DFD3BC" w14:textId="77777777" w:rsidR="006A523F" w:rsidRPr="006A523F" w:rsidRDefault="006A523F" w:rsidP="006A523F">
            <w:pPr>
              <w:spacing w:line="240" w:lineRule="auto"/>
              <w:jc w:val="left"/>
              <w:rPr>
                <w:rFonts w:ascii="Times New Roman" w:hAnsi="Times New Roman"/>
                <w:sz w:val="13"/>
                <w:szCs w:val="13"/>
                <w:lang w:val="de-DE" w:eastAsia="de-DE"/>
              </w:rPr>
            </w:pPr>
          </w:p>
        </w:tc>
      </w:tr>
      <w:tr w:rsidR="006A523F" w:rsidRPr="006A523F" w14:paraId="59D21A43" w14:textId="77777777" w:rsidTr="006A523F">
        <w:trPr>
          <w:trHeight w:val="2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62372768" w14:textId="77777777" w:rsidR="006A523F" w:rsidRPr="00CB16CF" w:rsidRDefault="006A523F" w:rsidP="006A523F">
            <w:pPr>
              <w:spacing w:line="240" w:lineRule="auto"/>
              <w:jc w:val="left"/>
              <w:rPr>
                <w:rFonts w:ascii="Aptos Narrow" w:hAnsi="Aptos Narrow"/>
                <w:color w:val="000000"/>
                <w:sz w:val="13"/>
                <w:szCs w:val="13"/>
                <w:lang w:val="en-US" w:eastAsia="de-DE"/>
              </w:rPr>
            </w:pPr>
            <w:r w:rsidRPr="00CB16CF">
              <w:rPr>
                <w:rFonts w:ascii="Aptos Narrow" w:hAnsi="Aptos Narrow"/>
                <w:color w:val="000000"/>
                <w:sz w:val="13"/>
                <w:szCs w:val="13"/>
                <w:lang w:val="en-US" w:eastAsia="de-DE"/>
              </w:rPr>
              <w:t>RW Leases Average Discounted Residual Value</w:t>
            </w:r>
          </w:p>
        </w:tc>
        <w:tc>
          <w:tcPr>
            <w:tcW w:w="939" w:type="pct"/>
            <w:tcBorders>
              <w:top w:val="nil"/>
              <w:left w:val="nil"/>
              <w:bottom w:val="single" w:sz="4" w:space="0" w:color="auto"/>
              <w:right w:val="single" w:sz="4" w:space="0" w:color="auto"/>
            </w:tcBorders>
            <w:shd w:val="clear" w:color="auto" w:fill="auto"/>
            <w:noWrap/>
            <w:vAlign w:val="bottom"/>
            <w:hideMark/>
          </w:tcPr>
          <w:p w14:paraId="78EF9DD7"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CB16CF">
              <w:rPr>
                <w:rFonts w:ascii="Aptos Narrow" w:hAnsi="Aptos Narrow"/>
                <w:color w:val="000000"/>
                <w:sz w:val="13"/>
                <w:szCs w:val="13"/>
                <w:lang w:val="en-US" w:eastAsia="de-DE"/>
              </w:rPr>
              <w:t xml:space="preserve">                                    </w:t>
            </w:r>
            <w:r w:rsidRPr="006A523F">
              <w:rPr>
                <w:rFonts w:ascii="Aptos Narrow" w:hAnsi="Aptos Narrow"/>
                <w:color w:val="000000"/>
                <w:sz w:val="13"/>
                <w:szCs w:val="13"/>
                <w:lang w:val="de-DE" w:eastAsia="de-DE"/>
              </w:rPr>
              <w:t xml:space="preserve">12,802 </w:t>
            </w:r>
          </w:p>
        </w:tc>
        <w:tc>
          <w:tcPr>
            <w:tcW w:w="782" w:type="pct"/>
            <w:tcBorders>
              <w:top w:val="nil"/>
              <w:left w:val="nil"/>
              <w:bottom w:val="nil"/>
              <w:right w:val="nil"/>
            </w:tcBorders>
            <w:shd w:val="clear" w:color="auto" w:fill="auto"/>
            <w:noWrap/>
            <w:vAlign w:val="bottom"/>
            <w:hideMark/>
          </w:tcPr>
          <w:p w14:paraId="1B8731E0" w14:textId="77777777" w:rsidR="006A523F" w:rsidRPr="006A523F" w:rsidRDefault="006A523F" w:rsidP="006A523F">
            <w:pPr>
              <w:spacing w:line="240" w:lineRule="auto"/>
              <w:jc w:val="left"/>
              <w:rPr>
                <w:rFonts w:ascii="Aptos Narrow" w:hAnsi="Aptos Narrow"/>
                <w:color w:val="000000"/>
                <w:sz w:val="13"/>
                <w:szCs w:val="13"/>
                <w:lang w:val="de-DE" w:eastAsia="de-DE"/>
              </w:rPr>
            </w:pPr>
          </w:p>
        </w:tc>
        <w:tc>
          <w:tcPr>
            <w:tcW w:w="938" w:type="pct"/>
            <w:tcBorders>
              <w:top w:val="nil"/>
              <w:left w:val="nil"/>
              <w:bottom w:val="nil"/>
              <w:right w:val="nil"/>
            </w:tcBorders>
            <w:shd w:val="clear" w:color="auto" w:fill="auto"/>
            <w:noWrap/>
            <w:vAlign w:val="bottom"/>
            <w:hideMark/>
          </w:tcPr>
          <w:p w14:paraId="2C912017" w14:textId="77777777" w:rsidR="006A523F" w:rsidRPr="006A523F" w:rsidRDefault="006A523F" w:rsidP="006A523F">
            <w:pPr>
              <w:spacing w:line="240" w:lineRule="auto"/>
              <w:jc w:val="left"/>
              <w:rPr>
                <w:rFonts w:ascii="Times New Roman" w:hAnsi="Times New Roman"/>
                <w:sz w:val="13"/>
                <w:szCs w:val="13"/>
                <w:lang w:val="de-DE" w:eastAsia="de-DE"/>
              </w:rPr>
            </w:pPr>
          </w:p>
        </w:tc>
        <w:tc>
          <w:tcPr>
            <w:tcW w:w="779" w:type="pct"/>
            <w:tcBorders>
              <w:top w:val="nil"/>
              <w:left w:val="nil"/>
              <w:bottom w:val="nil"/>
              <w:right w:val="nil"/>
            </w:tcBorders>
            <w:shd w:val="clear" w:color="auto" w:fill="auto"/>
            <w:vAlign w:val="bottom"/>
            <w:hideMark/>
          </w:tcPr>
          <w:p w14:paraId="5688D14B" w14:textId="77777777" w:rsidR="006A523F" w:rsidRPr="006A523F" w:rsidRDefault="006A523F" w:rsidP="006A523F">
            <w:pPr>
              <w:spacing w:line="240" w:lineRule="auto"/>
              <w:jc w:val="left"/>
              <w:rPr>
                <w:rFonts w:ascii="Times New Roman" w:hAnsi="Times New Roman"/>
                <w:sz w:val="13"/>
                <w:szCs w:val="13"/>
                <w:lang w:val="de-DE" w:eastAsia="de-DE"/>
              </w:rPr>
            </w:pPr>
          </w:p>
        </w:tc>
      </w:tr>
    </w:tbl>
    <w:p w14:paraId="6D9F7D6C" w14:textId="77777777" w:rsidR="006A523F" w:rsidRDefault="006A523F" w:rsidP="000D0E23">
      <w:pPr>
        <w:pStyle w:val="Body1"/>
        <w:rPr>
          <w:b/>
          <w:bCs/>
        </w:rPr>
      </w:pPr>
    </w:p>
    <w:p w14:paraId="515F7AA4" w14:textId="56F0B8F9" w:rsidR="006A523F" w:rsidRDefault="006A523F">
      <w:pPr>
        <w:rPr>
          <w:b/>
          <w:bCs/>
        </w:rPr>
      </w:pPr>
      <w:r>
        <w:rPr>
          <w:b/>
          <w:bCs/>
        </w:rPr>
        <w:br w:type="page"/>
      </w:r>
    </w:p>
    <w:p w14:paraId="52359BDE" w14:textId="68BF2830" w:rsidR="000D0E23" w:rsidRPr="000D0E23" w:rsidRDefault="000D0E23" w:rsidP="000D0E23">
      <w:pPr>
        <w:pStyle w:val="Body1"/>
        <w:rPr>
          <w:b/>
          <w:bCs/>
        </w:rPr>
      </w:pPr>
      <w:r>
        <w:lastRenderedPageBreak/>
        <w:t>18.</w:t>
      </w:r>
      <w:r>
        <w:tab/>
      </w:r>
      <w:r>
        <w:rPr>
          <w:b/>
          <w:bCs/>
        </w:rPr>
        <w:t>Regions</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22576638"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F4C3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Regions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A8C4D5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38027F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68A50B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347BE2B"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 of Total</w:t>
            </w:r>
          </w:p>
        </w:tc>
      </w:tr>
      <w:tr w:rsidR="006A523F" w:rsidRPr="006A523F" w14:paraId="004BC7A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0DF929B8"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Baden-Württemberg</w:t>
            </w:r>
          </w:p>
        </w:tc>
        <w:tc>
          <w:tcPr>
            <w:tcW w:w="1000" w:type="pct"/>
            <w:tcBorders>
              <w:top w:val="nil"/>
              <w:left w:val="nil"/>
              <w:bottom w:val="single" w:sz="4" w:space="0" w:color="auto"/>
              <w:right w:val="single" w:sz="4" w:space="0" w:color="auto"/>
            </w:tcBorders>
            <w:shd w:val="clear" w:color="auto" w:fill="auto"/>
            <w:vAlign w:val="center"/>
            <w:hideMark/>
          </w:tcPr>
          <w:p w14:paraId="2AC2343D"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10611</w:t>
            </w:r>
          </w:p>
        </w:tc>
        <w:tc>
          <w:tcPr>
            <w:tcW w:w="1000" w:type="pct"/>
            <w:tcBorders>
              <w:top w:val="nil"/>
              <w:left w:val="nil"/>
              <w:bottom w:val="single" w:sz="4" w:space="0" w:color="auto"/>
              <w:right w:val="single" w:sz="4" w:space="0" w:color="auto"/>
            </w:tcBorders>
            <w:shd w:val="clear" w:color="auto" w:fill="auto"/>
            <w:vAlign w:val="bottom"/>
            <w:hideMark/>
          </w:tcPr>
          <w:p w14:paraId="775ACB1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15.97%</w:t>
            </w:r>
          </w:p>
        </w:tc>
        <w:tc>
          <w:tcPr>
            <w:tcW w:w="1000" w:type="pct"/>
            <w:tcBorders>
              <w:top w:val="nil"/>
              <w:left w:val="nil"/>
              <w:bottom w:val="single" w:sz="4" w:space="0" w:color="auto"/>
              <w:right w:val="single" w:sz="4" w:space="0" w:color="auto"/>
            </w:tcBorders>
            <w:shd w:val="clear" w:color="auto" w:fill="auto"/>
            <w:vAlign w:val="bottom"/>
            <w:hideMark/>
          </w:tcPr>
          <w:p w14:paraId="712D533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198,260,629</w:t>
            </w:r>
          </w:p>
        </w:tc>
        <w:tc>
          <w:tcPr>
            <w:tcW w:w="1000" w:type="pct"/>
            <w:tcBorders>
              <w:top w:val="nil"/>
              <w:left w:val="nil"/>
              <w:bottom w:val="single" w:sz="4" w:space="0" w:color="auto"/>
              <w:right w:val="single" w:sz="4" w:space="0" w:color="auto"/>
            </w:tcBorders>
            <w:shd w:val="clear" w:color="auto" w:fill="auto"/>
            <w:vAlign w:val="bottom"/>
            <w:hideMark/>
          </w:tcPr>
          <w:p w14:paraId="72DF6C5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15.99%</w:t>
            </w:r>
          </w:p>
        </w:tc>
      </w:tr>
      <w:tr w:rsidR="006A523F" w:rsidRPr="006A523F" w14:paraId="01AB6F3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763641BA"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Bayern</w:t>
            </w:r>
          </w:p>
        </w:tc>
        <w:tc>
          <w:tcPr>
            <w:tcW w:w="1000" w:type="pct"/>
            <w:tcBorders>
              <w:top w:val="nil"/>
              <w:left w:val="nil"/>
              <w:bottom w:val="single" w:sz="4" w:space="0" w:color="auto"/>
              <w:right w:val="single" w:sz="4" w:space="0" w:color="auto"/>
            </w:tcBorders>
            <w:shd w:val="clear" w:color="auto" w:fill="auto"/>
            <w:vAlign w:val="center"/>
            <w:hideMark/>
          </w:tcPr>
          <w:p w14:paraId="1A847F66"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13081</w:t>
            </w:r>
          </w:p>
        </w:tc>
        <w:tc>
          <w:tcPr>
            <w:tcW w:w="1000" w:type="pct"/>
            <w:tcBorders>
              <w:top w:val="nil"/>
              <w:left w:val="nil"/>
              <w:bottom w:val="single" w:sz="4" w:space="0" w:color="auto"/>
              <w:right w:val="single" w:sz="4" w:space="0" w:color="auto"/>
            </w:tcBorders>
            <w:shd w:val="clear" w:color="auto" w:fill="auto"/>
            <w:vAlign w:val="bottom"/>
            <w:hideMark/>
          </w:tcPr>
          <w:p w14:paraId="6818337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19.68%</w:t>
            </w:r>
          </w:p>
        </w:tc>
        <w:tc>
          <w:tcPr>
            <w:tcW w:w="1000" w:type="pct"/>
            <w:tcBorders>
              <w:top w:val="nil"/>
              <w:left w:val="nil"/>
              <w:bottom w:val="single" w:sz="4" w:space="0" w:color="auto"/>
              <w:right w:val="single" w:sz="4" w:space="0" w:color="auto"/>
            </w:tcBorders>
            <w:shd w:val="clear" w:color="auto" w:fill="auto"/>
            <w:vAlign w:val="bottom"/>
            <w:hideMark/>
          </w:tcPr>
          <w:p w14:paraId="037B13A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242,525,101</w:t>
            </w:r>
          </w:p>
        </w:tc>
        <w:tc>
          <w:tcPr>
            <w:tcW w:w="1000" w:type="pct"/>
            <w:tcBorders>
              <w:top w:val="nil"/>
              <w:left w:val="nil"/>
              <w:bottom w:val="single" w:sz="4" w:space="0" w:color="auto"/>
              <w:right w:val="single" w:sz="4" w:space="0" w:color="auto"/>
            </w:tcBorders>
            <w:shd w:val="clear" w:color="auto" w:fill="auto"/>
            <w:vAlign w:val="bottom"/>
            <w:hideMark/>
          </w:tcPr>
          <w:p w14:paraId="23AEBD9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19.56%</w:t>
            </w:r>
          </w:p>
        </w:tc>
      </w:tr>
      <w:tr w:rsidR="006A523F" w:rsidRPr="006A523F" w14:paraId="545D1EC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28D58CE2"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Berlin</w:t>
            </w:r>
          </w:p>
        </w:tc>
        <w:tc>
          <w:tcPr>
            <w:tcW w:w="1000" w:type="pct"/>
            <w:tcBorders>
              <w:top w:val="nil"/>
              <w:left w:val="nil"/>
              <w:bottom w:val="single" w:sz="4" w:space="0" w:color="auto"/>
              <w:right w:val="single" w:sz="4" w:space="0" w:color="auto"/>
            </w:tcBorders>
            <w:shd w:val="clear" w:color="auto" w:fill="auto"/>
            <w:vAlign w:val="center"/>
            <w:hideMark/>
          </w:tcPr>
          <w:p w14:paraId="238A8B07"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367</w:t>
            </w:r>
          </w:p>
        </w:tc>
        <w:tc>
          <w:tcPr>
            <w:tcW w:w="1000" w:type="pct"/>
            <w:tcBorders>
              <w:top w:val="nil"/>
              <w:left w:val="nil"/>
              <w:bottom w:val="single" w:sz="4" w:space="0" w:color="auto"/>
              <w:right w:val="single" w:sz="4" w:space="0" w:color="auto"/>
            </w:tcBorders>
            <w:shd w:val="clear" w:color="auto" w:fill="auto"/>
            <w:vAlign w:val="bottom"/>
            <w:hideMark/>
          </w:tcPr>
          <w:p w14:paraId="15045C9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0.55%</w:t>
            </w:r>
          </w:p>
        </w:tc>
        <w:tc>
          <w:tcPr>
            <w:tcW w:w="1000" w:type="pct"/>
            <w:tcBorders>
              <w:top w:val="nil"/>
              <w:left w:val="nil"/>
              <w:bottom w:val="single" w:sz="4" w:space="0" w:color="auto"/>
              <w:right w:val="single" w:sz="4" w:space="0" w:color="auto"/>
            </w:tcBorders>
            <w:shd w:val="clear" w:color="auto" w:fill="auto"/>
            <w:vAlign w:val="bottom"/>
            <w:hideMark/>
          </w:tcPr>
          <w:p w14:paraId="6361E16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7,448,489</w:t>
            </w:r>
          </w:p>
        </w:tc>
        <w:tc>
          <w:tcPr>
            <w:tcW w:w="1000" w:type="pct"/>
            <w:tcBorders>
              <w:top w:val="nil"/>
              <w:left w:val="nil"/>
              <w:bottom w:val="single" w:sz="4" w:space="0" w:color="auto"/>
              <w:right w:val="single" w:sz="4" w:space="0" w:color="auto"/>
            </w:tcBorders>
            <w:shd w:val="clear" w:color="auto" w:fill="auto"/>
            <w:vAlign w:val="bottom"/>
            <w:hideMark/>
          </w:tcPr>
          <w:p w14:paraId="3D111B9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0.60%</w:t>
            </w:r>
          </w:p>
        </w:tc>
      </w:tr>
      <w:tr w:rsidR="006A523F" w:rsidRPr="006A523F" w14:paraId="60B791E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1373138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Brandenburg</w:t>
            </w:r>
          </w:p>
        </w:tc>
        <w:tc>
          <w:tcPr>
            <w:tcW w:w="1000" w:type="pct"/>
            <w:tcBorders>
              <w:top w:val="nil"/>
              <w:left w:val="nil"/>
              <w:bottom w:val="single" w:sz="4" w:space="0" w:color="auto"/>
              <w:right w:val="single" w:sz="4" w:space="0" w:color="auto"/>
            </w:tcBorders>
            <w:shd w:val="clear" w:color="auto" w:fill="auto"/>
            <w:vAlign w:val="center"/>
            <w:hideMark/>
          </w:tcPr>
          <w:p w14:paraId="40C134AE"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2335</w:t>
            </w:r>
          </w:p>
        </w:tc>
        <w:tc>
          <w:tcPr>
            <w:tcW w:w="1000" w:type="pct"/>
            <w:tcBorders>
              <w:top w:val="nil"/>
              <w:left w:val="nil"/>
              <w:bottom w:val="single" w:sz="4" w:space="0" w:color="auto"/>
              <w:right w:val="single" w:sz="4" w:space="0" w:color="auto"/>
            </w:tcBorders>
            <w:shd w:val="clear" w:color="auto" w:fill="auto"/>
            <w:vAlign w:val="bottom"/>
            <w:hideMark/>
          </w:tcPr>
          <w:p w14:paraId="4F0EBCB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3.51%</w:t>
            </w:r>
          </w:p>
        </w:tc>
        <w:tc>
          <w:tcPr>
            <w:tcW w:w="1000" w:type="pct"/>
            <w:tcBorders>
              <w:top w:val="nil"/>
              <w:left w:val="nil"/>
              <w:bottom w:val="single" w:sz="4" w:space="0" w:color="auto"/>
              <w:right w:val="single" w:sz="4" w:space="0" w:color="auto"/>
            </w:tcBorders>
            <w:shd w:val="clear" w:color="auto" w:fill="auto"/>
            <w:vAlign w:val="bottom"/>
            <w:hideMark/>
          </w:tcPr>
          <w:p w14:paraId="036BB47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44,700,138</w:t>
            </w:r>
          </w:p>
        </w:tc>
        <w:tc>
          <w:tcPr>
            <w:tcW w:w="1000" w:type="pct"/>
            <w:tcBorders>
              <w:top w:val="nil"/>
              <w:left w:val="nil"/>
              <w:bottom w:val="single" w:sz="4" w:space="0" w:color="auto"/>
              <w:right w:val="single" w:sz="4" w:space="0" w:color="auto"/>
            </w:tcBorders>
            <w:shd w:val="clear" w:color="auto" w:fill="auto"/>
            <w:vAlign w:val="bottom"/>
            <w:hideMark/>
          </w:tcPr>
          <w:p w14:paraId="55F630B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3.60%</w:t>
            </w:r>
          </w:p>
        </w:tc>
      </w:tr>
      <w:tr w:rsidR="006A523F" w:rsidRPr="006A523F" w14:paraId="4C67FB64"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7D65384F"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Bremen</w:t>
            </w:r>
          </w:p>
        </w:tc>
        <w:tc>
          <w:tcPr>
            <w:tcW w:w="1000" w:type="pct"/>
            <w:tcBorders>
              <w:top w:val="nil"/>
              <w:left w:val="nil"/>
              <w:bottom w:val="single" w:sz="4" w:space="0" w:color="auto"/>
              <w:right w:val="single" w:sz="4" w:space="0" w:color="auto"/>
            </w:tcBorders>
            <w:shd w:val="clear" w:color="auto" w:fill="auto"/>
            <w:vAlign w:val="bottom"/>
            <w:hideMark/>
          </w:tcPr>
          <w:p w14:paraId="2F2E366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315</w:t>
            </w:r>
          </w:p>
        </w:tc>
        <w:tc>
          <w:tcPr>
            <w:tcW w:w="1000" w:type="pct"/>
            <w:tcBorders>
              <w:top w:val="nil"/>
              <w:left w:val="nil"/>
              <w:bottom w:val="single" w:sz="4" w:space="0" w:color="auto"/>
              <w:right w:val="single" w:sz="4" w:space="0" w:color="auto"/>
            </w:tcBorders>
            <w:shd w:val="clear" w:color="auto" w:fill="auto"/>
            <w:vAlign w:val="bottom"/>
            <w:hideMark/>
          </w:tcPr>
          <w:p w14:paraId="1AE998B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0.47%</w:t>
            </w:r>
          </w:p>
        </w:tc>
        <w:tc>
          <w:tcPr>
            <w:tcW w:w="1000" w:type="pct"/>
            <w:tcBorders>
              <w:top w:val="nil"/>
              <w:left w:val="nil"/>
              <w:bottom w:val="single" w:sz="4" w:space="0" w:color="auto"/>
              <w:right w:val="single" w:sz="4" w:space="0" w:color="auto"/>
            </w:tcBorders>
            <w:shd w:val="clear" w:color="auto" w:fill="auto"/>
            <w:vAlign w:val="bottom"/>
            <w:hideMark/>
          </w:tcPr>
          <w:p w14:paraId="0E95282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6,276,081</w:t>
            </w:r>
          </w:p>
        </w:tc>
        <w:tc>
          <w:tcPr>
            <w:tcW w:w="1000" w:type="pct"/>
            <w:tcBorders>
              <w:top w:val="nil"/>
              <w:left w:val="nil"/>
              <w:bottom w:val="single" w:sz="4" w:space="0" w:color="auto"/>
              <w:right w:val="single" w:sz="4" w:space="0" w:color="auto"/>
            </w:tcBorders>
            <w:shd w:val="clear" w:color="auto" w:fill="auto"/>
            <w:vAlign w:val="bottom"/>
            <w:hideMark/>
          </w:tcPr>
          <w:p w14:paraId="0B335C4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0.51%</w:t>
            </w:r>
          </w:p>
        </w:tc>
      </w:tr>
      <w:tr w:rsidR="006A523F" w:rsidRPr="006A523F" w14:paraId="7B2C5DA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4C23FEDF"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Hamburg</w:t>
            </w:r>
          </w:p>
        </w:tc>
        <w:tc>
          <w:tcPr>
            <w:tcW w:w="1000" w:type="pct"/>
            <w:tcBorders>
              <w:top w:val="nil"/>
              <w:left w:val="nil"/>
              <w:bottom w:val="single" w:sz="4" w:space="0" w:color="auto"/>
              <w:right w:val="single" w:sz="4" w:space="0" w:color="auto"/>
            </w:tcBorders>
            <w:shd w:val="clear" w:color="auto" w:fill="auto"/>
            <w:vAlign w:val="bottom"/>
            <w:hideMark/>
          </w:tcPr>
          <w:p w14:paraId="1BF59F2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155</w:t>
            </w:r>
          </w:p>
        </w:tc>
        <w:tc>
          <w:tcPr>
            <w:tcW w:w="1000" w:type="pct"/>
            <w:tcBorders>
              <w:top w:val="nil"/>
              <w:left w:val="nil"/>
              <w:bottom w:val="single" w:sz="4" w:space="0" w:color="auto"/>
              <w:right w:val="single" w:sz="4" w:space="0" w:color="auto"/>
            </w:tcBorders>
            <w:shd w:val="clear" w:color="auto" w:fill="auto"/>
            <w:vAlign w:val="bottom"/>
            <w:hideMark/>
          </w:tcPr>
          <w:p w14:paraId="38E79BD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0.23%</w:t>
            </w:r>
          </w:p>
        </w:tc>
        <w:tc>
          <w:tcPr>
            <w:tcW w:w="1000" w:type="pct"/>
            <w:tcBorders>
              <w:top w:val="nil"/>
              <w:left w:val="nil"/>
              <w:bottom w:val="single" w:sz="4" w:space="0" w:color="auto"/>
              <w:right w:val="single" w:sz="4" w:space="0" w:color="auto"/>
            </w:tcBorders>
            <w:shd w:val="clear" w:color="auto" w:fill="auto"/>
            <w:vAlign w:val="bottom"/>
            <w:hideMark/>
          </w:tcPr>
          <w:p w14:paraId="28519C6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3,104,403</w:t>
            </w:r>
          </w:p>
        </w:tc>
        <w:tc>
          <w:tcPr>
            <w:tcW w:w="1000" w:type="pct"/>
            <w:tcBorders>
              <w:top w:val="nil"/>
              <w:left w:val="nil"/>
              <w:bottom w:val="single" w:sz="4" w:space="0" w:color="auto"/>
              <w:right w:val="single" w:sz="4" w:space="0" w:color="auto"/>
            </w:tcBorders>
            <w:shd w:val="clear" w:color="auto" w:fill="auto"/>
            <w:vAlign w:val="bottom"/>
            <w:hideMark/>
          </w:tcPr>
          <w:p w14:paraId="5DEA28C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0.25%</w:t>
            </w:r>
          </w:p>
        </w:tc>
      </w:tr>
      <w:tr w:rsidR="006A523F" w:rsidRPr="006A523F" w14:paraId="37DE8C7D"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70126C78"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Hessen</w:t>
            </w:r>
          </w:p>
        </w:tc>
        <w:tc>
          <w:tcPr>
            <w:tcW w:w="1000" w:type="pct"/>
            <w:tcBorders>
              <w:top w:val="nil"/>
              <w:left w:val="nil"/>
              <w:bottom w:val="single" w:sz="4" w:space="0" w:color="auto"/>
              <w:right w:val="single" w:sz="4" w:space="0" w:color="auto"/>
            </w:tcBorders>
            <w:shd w:val="clear" w:color="auto" w:fill="auto"/>
            <w:vAlign w:val="center"/>
            <w:hideMark/>
          </w:tcPr>
          <w:p w14:paraId="0DD82179"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5130</w:t>
            </w:r>
          </w:p>
        </w:tc>
        <w:tc>
          <w:tcPr>
            <w:tcW w:w="1000" w:type="pct"/>
            <w:tcBorders>
              <w:top w:val="nil"/>
              <w:left w:val="nil"/>
              <w:bottom w:val="single" w:sz="4" w:space="0" w:color="auto"/>
              <w:right w:val="single" w:sz="4" w:space="0" w:color="auto"/>
            </w:tcBorders>
            <w:shd w:val="clear" w:color="auto" w:fill="auto"/>
            <w:vAlign w:val="bottom"/>
            <w:hideMark/>
          </w:tcPr>
          <w:p w14:paraId="3788C56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7.72%</w:t>
            </w:r>
          </w:p>
        </w:tc>
        <w:tc>
          <w:tcPr>
            <w:tcW w:w="1000" w:type="pct"/>
            <w:tcBorders>
              <w:top w:val="nil"/>
              <w:left w:val="nil"/>
              <w:bottom w:val="single" w:sz="4" w:space="0" w:color="auto"/>
              <w:right w:val="single" w:sz="4" w:space="0" w:color="auto"/>
            </w:tcBorders>
            <w:shd w:val="clear" w:color="auto" w:fill="auto"/>
            <w:vAlign w:val="bottom"/>
            <w:hideMark/>
          </w:tcPr>
          <w:p w14:paraId="1509948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95,642,900</w:t>
            </w:r>
          </w:p>
        </w:tc>
        <w:tc>
          <w:tcPr>
            <w:tcW w:w="1000" w:type="pct"/>
            <w:tcBorders>
              <w:top w:val="nil"/>
              <w:left w:val="nil"/>
              <w:bottom w:val="single" w:sz="4" w:space="0" w:color="auto"/>
              <w:right w:val="single" w:sz="4" w:space="0" w:color="auto"/>
            </w:tcBorders>
            <w:shd w:val="clear" w:color="auto" w:fill="auto"/>
            <w:vAlign w:val="bottom"/>
            <w:hideMark/>
          </w:tcPr>
          <w:p w14:paraId="2B92C00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7.71%</w:t>
            </w:r>
          </w:p>
        </w:tc>
      </w:tr>
      <w:tr w:rsidR="006A523F" w:rsidRPr="006A523F" w14:paraId="3E7F022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6FC0621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Mecklenburg-Vorpomme</w:t>
            </w:r>
          </w:p>
        </w:tc>
        <w:tc>
          <w:tcPr>
            <w:tcW w:w="1000" w:type="pct"/>
            <w:tcBorders>
              <w:top w:val="nil"/>
              <w:left w:val="nil"/>
              <w:bottom w:val="single" w:sz="4" w:space="0" w:color="auto"/>
              <w:right w:val="single" w:sz="4" w:space="0" w:color="auto"/>
            </w:tcBorders>
            <w:shd w:val="clear" w:color="auto" w:fill="auto"/>
            <w:vAlign w:val="bottom"/>
            <w:hideMark/>
          </w:tcPr>
          <w:p w14:paraId="4280D00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864</w:t>
            </w:r>
          </w:p>
        </w:tc>
        <w:tc>
          <w:tcPr>
            <w:tcW w:w="1000" w:type="pct"/>
            <w:tcBorders>
              <w:top w:val="nil"/>
              <w:left w:val="nil"/>
              <w:bottom w:val="single" w:sz="4" w:space="0" w:color="auto"/>
              <w:right w:val="single" w:sz="4" w:space="0" w:color="auto"/>
            </w:tcBorders>
            <w:shd w:val="clear" w:color="auto" w:fill="auto"/>
            <w:vAlign w:val="bottom"/>
            <w:hideMark/>
          </w:tcPr>
          <w:p w14:paraId="62BA2A3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1.30%</w:t>
            </w:r>
          </w:p>
        </w:tc>
        <w:tc>
          <w:tcPr>
            <w:tcW w:w="1000" w:type="pct"/>
            <w:tcBorders>
              <w:top w:val="nil"/>
              <w:left w:val="nil"/>
              <w:bottom w:val="single" w:sz="4" w:space="0" w:color="auto"/>
              <w:right w:val="single" w:sz="4" w:space="0" w:color="auto"/>
            </w:tcBorders>
            <w:shd w:val="clear" w:color="auto" w:fill="auto"/>
            <w:vAlign w:val="bottom"/>
            <w:hideMark/>
          </w:tcPr>
          <w:p w14:paraId="1AF228E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16,244,339</w:t>
            </w:r>
          </w:p>
        </w:tc>
        <w:tc>
          <w:tcPr>
            <w:tcW w:w="1000" w:type="pct"/>
            <w:tcBorders>
              <w:top w:val="nil"/>
              <w:left w:val="nil"/>
              <w:bottom w:val="single" w:sz="4" w:space="0" w:color="auto"/>
              <w:right w:val="single" w:sz="4" w:space="0" w:color="auto"/>
            </w:tcBorders>
            <w:shd w:val="clear" w:color="auto" w:fill="auto"/>
            <w:vAlign w:val="bottom"/>
            <w:hideMark/>
          </w:tcPr>
          <w:p w14:paraId="5717936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1.31%</w:t>
            </w:r>
          </w:p>
        </w:tc>
      </w:tr>
      <w:tr w:rsidR="006A523F" w:rsidRPr="006A523F" w14:paraId="5F4A4783"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2982784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Niedersachsen</w:t>
            </w:r>
          </w:p>
        </w:tc>
        <w:tc>
          <w:tcPr>
            <w:tcW w:w="1000" w:type="pct"/>
            <w:tcBorders>
              <w:top w:val="nil"/>
              <w:left w:val="nil"/>
              <w:bottom w:val="single" w:sz="4" w:space="0" w:color="auto"/>
              <w:right w:val="single" w:sz="4" w:space="0" w:color="auto"/>
            </w:tcBorders>
            <w:shd w:val="clear" w:color="auto" w:fill="auto"/>
            <w:vAlign w:val="center"/>
            <w:hideMark/>
          </w:tcPr>
          <w:p w14:paraId="0D4DC531"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4087</w:t>
            </w:r>
          </w:p>
        </w:tc>
        <w:tc>
          <w:tcPr>
            <w:tcW w:w="1000" w:type="pct"/>
            <w:tcBorders>
              <w:top w:val="nil"/>
              <w:left w:val="nil"/>
              <w:bottom w:val="single" w:sz="4" w:space="0" w:color="auto"/>
              <w:right w:val="single" w:sz="4" w:space="0" w:color="auto"/>
            </w:tcBorders>
            <w:shd w:val="clear" w:color="auto" w:fill="auto"/>
            <w:vAlign w:val="bottom"/>
            <w:hideMark/>
          </w:tcPr>
          <w:p w14:paraId="7B92AA8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6.15%</w:t>
            </w:r>
          </w:p>
        </w:tc>
        <w:tc>
          <w:tcPr>
            <w:tcW w:w="1000" w:type="pct"/>
            <w:tcBorders>
              <w:top w:val="nil"/>
              <w:left w:val="nil"/>
              <w:bottom w:val="single" w:sz="4" w:space="0" w:color="auto"/>
              <w:right w:val="single" w:sz="4" w:space="0" w:color="auto"/>
            </w:tcBorders>
            <w:shd w:val="clear" w:color="auto" w:fill="auto"/>
            <w:vAlign w:val="bottom"/>
            <w:hideMark/>
          </w:tcPr>
          <w:p w14:paraId="44A448E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75,896,439</w:t>
            </w:r>
          </w:p>
        </w:tc>
        <w:tc>
          <w:tcPr>
            <w:tcW w:w="1000" w:type="pct"/>
            <w:tcBorders>
              <w:top w:val="nil"/>
              <w:left w:val="nil"/>
              <w:bottom w:val="single" w:sz="4" w:space="0" w:color="auto"/>
              <w:right w:val="single" w:sz="4" w:space="0" w:color="auto"/>
            </w:tcBorders>
            <w:shd w:val="clear" w:color="auto" w:fill="auto"/>
            <w:vAlign w:val="bottom"/>
            <w:hideMark/>
          </w:tcPr>
          <w:p w14:paraId="6D8D42D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6.12%</w:t>
            </w:r>
          </w:p>
        </w:tc>
      </w:tr>
      <w:tr w:rsidR="006A523F" w:rsidRPr="006A523F" w14:paraId="7ABA138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3FA64DE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Nordrhein-Westfalen</w:t>
            </w:r>
          </w:p>
        </w:tc>
        <w:tc>
          <w:tcPr>
            <w:tcW w:w="1000" w:type="pct"/>
            <w:tcBorders>
              <w:top w:val="nil"/>
              <w:left w:val="nil"/>
              <w:bottom w:val="single" w:sz="4" w:space="0" w:color="auto"/>
              <w:right w:val="single" w:sz="4" w:space="0" w:color="auto"/>
            </w:tcBorders>
            <w:shd w:val="clear" w:color="auto" w:fill="auto"/>
            <w:vAlign w:val="center"/>
            <w:hideMark/>
          </w:tcPr>
          <w:p w14:paraId="6A082EB3"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14821</w:t>
            </w:r>
          </w:p>
        </w:tc>
        <w:tc>
          <w:tcPr>
            <w:tcW w:w="1000" w:type="pct"/>
            <w:tcBorders>
              <w:top w:val="nil"/>
              <w:left w:val="nil"/>
              <w:bottom w:val="single" w:sz="4" w:space="0" w:color="auto"/>
              <w:right w:val="single" w:sz="4" w:space="0" w:color="auto"/>
            </w:tcBorders>
            <w:shd w:val="clear" w:color="auto" w:fill="auto"/>
            <w:vAlign w:val="bottom"/>
            <w:hideMark/>
          </w:tcPr>
          <w:p w14:paraId="56F46C4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22.30%</w:t>
            </w:r>
          </w:p>
        </w:tc>
        <w:tc>
          <w:tcPr>
            <w:tcW w:w="1000" w:type="pct"/>
            <w:tcBorders>
              <w:top w:val="nil"/>
              <w:left w:val="nil"/>
              <w:bottom w:val="single" w:sz="4" w:space="0" w:color="auto"/>
              <w:right w:val="single" w:sz="4" w:space="0" w:color="auto"/>
            </w:tcBorders>
            <w:shd w:val="clear" w:color="auto" w:fill="auto"/>
            <w:vAlign w:val="bottom"/>
            <w:hideMark/>
          </w:tcPr>
          <w:p w14:paraId="79EBE00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277,248,838</w:t>
            </w:r>
          </w:p>
        </w:tc>
        <w:tc>
          <w:tcPr>
            <w:tcW w:w="1000" w:type="pct"/>
            <w:tcBorders>
              <w:top w:val="nil"/>
              <w:left w:val="nil"/>
              <w:bottom w:val="single" w:sz="4" w:space="0" w:color="auto"/>
              <w:right w:val="single" w:sz="4" w:space="0" w:color="auto"/>
            </w:tcBorders>
            <w:shd w:val="clear" w:color="auto" w:fill="auto"/>
            <w:vAlign w:val="bottom"/>
            <w:hideMark/>
          </w:tcPr>
          <w:p w14:paraId="68FE316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22.36%</w:t>
            </w:r>
          </w:p>
        </w:tc>
      </w:tr>
      <w:tr w:rsidR="006A523F" w:rsidRPr="006A523F" w14:paraId="1D4251A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4F8D384E"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Rheinland-Pfalz</w:t>
            </w:r>
          </w:p>
        </w:tc>
        <w:tc>
          <w:tcPr>
            <w:tcW w:w="1000" w:type="pct"/>
            <w:tcBorders>
              <w:top w:val="nil"/>
              <w:left w:val="nil"/>
              <w:bottom w:val="single" w:sz="4" w:space="0" w:color="auto"/>
              <w:right w:val="single" w:sz="4" w:space="0" w:color="auto"/>
            </w:tcBorders>
            <w:shd w:val="clear" w:color="auto" w:fill="auto"/>
            <w:vAlign w:val="center"/>
            <w:hideMark/>
          </w:tcPr>
          <w:p w14:paraId="77B5DCC7"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3117</w:t>
            </w:r>
          </w:p>
        </w:tc>
        <w:tc>
          <w:tcPr>
            <w:tcW w:w="1000" w:type="pct"/>
            <w:tcBorders>
              <w:top w:val="nil"/>
              <w:left w:val="nil"/>
              <w:bottom w:val="single" w:sz="4" w:space="0" w:color="auto"/>
              <w:right w:val="single" w:sz="4" w:space="0" w:color="auto"/>
            </w:tcBorders>
            <w:shd w:val="clear" w:color="auto" w:fill="auto"/>
            <w:vAlign w:val="bottom"/>
            <w:hideMark/>
          </w:tcPr>
          <w:p w14:paraId="16E3B35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4.69%</w:t>
            </w:r>
          </w:p>
        </w:tc>
        <w:tc>
          <w:tcPr>
            <w:tcW w:w="1000" w:type="pct"/>
            <w:tcBorders>
              <w:top w:val="nil"/>
              <w:left w:val="nil"/>
              <w:bottom w:val="single" w:sz="4" w:space="0" w:color="auto"/>
              <w:right w:val="single" w:sz="4" w:space="0" w:color="auto"/>
            </w:tcBorders>
            <w:shd w:val="clear" w:color="auto" w:fill="auto"/>
            <w:vAlign w:val="bottom"/>
            <w:hideMark/>
          </w:tcPr>
          <w:p w14:paraId="3863933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57,401,485</w:t>
            </w:r>
          </w:p>
        </w:tc>
        <w:tc>
          <w:tcPr>
            <w:tcW w:w="1000" w:type="pct"/>
            <w:tcBorders>
              <w:top w:val="nil"/>
              <w:left w:val="nil"/>
              <w:bottom w:val="single" w:sz="4" w:space="0" w:color="auto"/>
              <w:right w:val="single" w:sz="4" w:space="0" w:color="auto"/>
            </w:tcBorders>
            <w:shd w:val="clear" w:color="auto" w:fill="auto"/>
            <w:vAlign w:val="bottom"/>
            <w:hideMark/>
          </w:tcPr>
          <w:p w14:paraId="5F13FF9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4.63%</w:t>
            </w:r>
          </w:p>
        </w:tc>
      </w:tr>
      <w:tr w:rsidR="006A523F" w:rsidRPr="006A523F" w14:paraId="187B5D3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144333CF"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Saarland</w:t>
            </w:r>
          </w:p>
        </w:tc>
        <w:tc>
          <w:tcPr>
            <w:tcW w:w="1000" w:type="pct"/>
            <w:tcBorders>
              <w:top w:val="nil"/>
              <w:left w:val="nil"/>
              <w:bottom w:val="single" w:sz="4" w:space="0" w:color="auto"/>
              <w:right w:val="single" w:sz="4" w:space="0" w:color="auto"/>
            </w:tcBorders>
            <w:shd w:val="clear" w:color="auto" w:fill="auto"/>
            <w:vAlign w:val="center"/>
            <w:hideMark/>
          </w:tcPr>
          <w:p w14:paraId="71275241"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1687</w:t>
            </w:r>
          </w:p>
        </w:tc>
        <w:tc>
          <w:tcPr>
            <w:tcW w:w="1000" w:type="pct"/>
            <w:tcBorders>
              <w:top w:val="nil"/>
              <w:left w:val="nil"/>
              <w:bottom w:val="single" w:sz="4" w:space="0" w:color="auto"/>
              <w:right w:val="single" w:sz="4" w:space="0" w:color="auto"/>
            </w:tcBorders>
            <w:shd w:val="clear" w:color="auto" w:fill="auto"/>
            <w:vAlign w:val="bottom"/>
            <w:hideMark/>
          </w:tcPr>
          <w:p w14:paraId="0C8B817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2.54%</w:t>
            </w:r>
          </w:p>
        </w:tc>
        <w:tc>
          <w:tcPr>
            <w:tcW w:w="1000" w:type="pct"/>
            <w:tcBorders>
              <w:top w:val="nil"/>
              <w:left w:val="nil"/>
              <w:bottom w:val="single" w:sz="4" w:space="0" w:color="auto"/>
              <w:right w:val="single" w:sz="4" w:space="0" w:color="auto"/>
            </w:tcBorders>
            <w:shd w:val="clear" w:color="auto" w:fill="auto"/>
            <w:vAlign w:val="bottom"/>
            <w:hideMark/>
          </w:tcPr>
          <w:p w14:paraId="5EF1D9B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32,352,955</w:t>
            </w:r>
          </w:p>
        </w:tc>
        <w:tc>
          <w:tcPr>
            <w:tcW w:w="1000" w:type="pct"/>
            <w:tcBorders>
              <w:top w:val="nil"/>
              <w:left w:val="nil"/>
              <w:bottom w:val="single" w:sz="4" w:space="0" w:color="auto"/>
              <w:right w:val="single" w:sz="4" w:space="0" w:color="auto"/>
            </w:tcBorders>
            <w:shd w:val="clear" w:color="auto" w:fill="auto"/>
            <w:vAlign w:val="bottom"/>
            <w:hideMark/>
          </w:tcPr>
          <w:p w14:paraId="7F3B140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2.61%</w:t>
            </w:r>
          </w:p>
        </w:tc>
      </w:tr>
      <w:tr w:rsidR="006A523F" w:rsidRPr="006A523F" w14:paraId="73C3F348"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4FB46571"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Sachsen</w:t>
            </w:r>
          </w:p>
        </w:tc>
        <w:tc>
          <w:tcPr>
            <w:tcW w:w="1000" w:type="pct"/>
            <w:tcBorders>
              <w:top w:val="nil"/>
              <w:left w:val="nil"/>
              <w:bottom w:val="single" w:sz="4" w:space="0" w:color="auto"/>
              <w:right w:val="single" w:sz="4" w:space="0" w:color="auto"/>
            </w:tcBorders>
            <w:shd w:val="clear" w:color="auto" w:fill="auto"/>
            <w:vAlign w:val="center"/>
            <w:hideMark/>
          </w:tcPr>
          <w:p w14:paraId="56A4850E"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3789</w:t>
            </w:r>
          </w:p>
        </w:tc>
        <w:tc>
          <w:tcPr>
            <w:tcW w:w="1000" w:type="pct"/>
            <w:tcBorders>
              <w:top w:val="nil"/>
              <w:left w:val="nil"/>
              <w:bottom w:val="single" w:sz="4" w:space="0" w:color="auto"/>
              <w:right w:val="single" w:sz="4" w:space="0" w:color="auto"/>
            </w:tcBorders>
            <w:shd w:val="clear" w:color="auto" w:fill="auto"/>
            <w:vAlign w:val="bottom"/>
            <w:hideMark/>
          </w:tcPr>
          <w:p w14:paraId="00913E3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5.70%</w:t>
            </w:r>
          </w:p>
        </w:tc>
        <w:tc>
          <w:tcPr>
            <w:tcW w:w="1000" w:type="pct"/>
            <w:tcBorders>
              <w:top w:val="nil"/>
              <w:left w:val="nil"/>
              <w:bottom w:val="single" w:sz="4" w:space="0" w:color="auto"/>
              <w:right w:val="single" w:sz="4" w:space="0" w:color="auto"/>
            </w:tcBorders>
            <w:shd w:val="clear" w:color="auto" w:fill="auto"/>
            <w:vAlign w:val="bottom"/>
            <w:hideMark/>
          </w:tcPr>
          <w:p w14:paraId="5F0D369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68,003,851</w:t>
            </w:r>
          </w:p>
        </w:tc>
        <w:tc>
          <w:tcPr>
            <w:tcW w:w="1000" w:type="pct"/>
            <w:tcBorders>
              <w:top w:val="nil"/>
              <w:left w:val="nil"/>
              <w:bottom w:val="single" w:sz="4" w:space="0" w:color="auto"/>
              <w:right w:val="single" w:sz="4" w:space="0" w:color="auto"/>
            </w:tcBorders>
            <w:shd w:val="clear" w:color="auto" w:fill="auto"/>
            <w:vAlign w:val="bottom"/>
            <w:hideMark/>
          </w:tcPr>
          <w:p w14:paraId="18F46B4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5.48%</w:t>
            </w:r>
          </w:p>
        </w:tc>
      </w:tr>
      <w:tr w:rsidR="006A523F" w:rsidRPr="006A523F" w14:paraId="41765AE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3F58FA5B"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Sachsen-Anhalt</w:t>
            </w:r>
          </w:p>
        </w:tc>
        <w:tc>
          <w:tcPr>
            <w:tcW w:w="1000" w:type="pct"/>
            <w:tcBorders>
              <w:top w:val="nil"/>
              <w:left w:val="nil"/>
              <w:bottom w:val="single" w:sz="4" w:space="0" w:color="auto"/>
              <w:right w:val="single" w:sz="4" w:space="0" w:color="auto"/>
            </w:tcBorders>
            <w:shd w:val="clear" w:color="auto" w:fill="auto"/>
            <w:vAlign w:val="center"/>
            <w:hideMark/>
          </w:tcPr>
          <w:p w14:paraId="53894FCC"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1137</w:t>
            </w:r>
          </w:p>
        </w:tc>
        <w:tc>
          <w:tcPr>
            <w:tcW w:w="1000" w:type="pct"/>
            <w:tcBorders>
              <w:top w:val="nil"/>
              <w:left w:val="nil"/>
              <w:bottom w:val="single" w:sz="4" w:space="0" w:color="auto"/>
              <w:right w:val="single" w:sz="4" w:space="0" w:color="auto"/>
            </w:tcBorders>
            <w:shd w:val="clear" w:color="auto" w:fill="auto"/>
            <w:vAlign w:val="bottom"/>
            <w:hideMark/>
          </w:tcPr>
          <w:p w14:paraId="55C71DA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1.71%</w:t>
            </w:r>
          </w:p>
        </w:tc>
        <w:tc>
          <w:tcPr>
            <w:tcW w:w="1000" w:type="pct"/>
            <w:tcBorders>
              <w:top w:val="nil"/>
              <w:left w:val="nil"/>
              <w:bottom w:val="single" w:sz="4" w:space="0" w:color="auto"/>
              <w:right w:val="single" w:sz="4" w:space="0" w:color="auto"/>
            </w:tcBorders>
            <w:shd w:val="clear" w:color="auto" w:fill="auto"/>
            <w:vAlign w:val="bottom"/>
            <w:hideMark/>
          </w:tcPr>
          <w:p w14:paraId="52CA442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21,667,590</w:t>
            </w:r>
          </w:p>
        </w:tc>
        <w:tc>
          <w:tcPr>
            <w:tcW w:w="1000" w:type="pct"/>
            <w:tcBorders>
              <w:top w:val="nil"/>
              <w:left w:val="nil"/>
              <w:bottom w:val="single" w:sz="4" w:space="0" w:color="auto"/>
              <w:right w:val="single" w:sz="4" w:space="0" w:color="auto"/>
            </w:tcBorders>
            <w:shd w:val="clear" w:color="auto" w:fill="auto"/>
            <w:vAlign w:val="bottom"/>
            <w:hideMark/>
          </w:tcPr>
          <w:p w14:paraId="34A5388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1.75%</w:t>
            </w:r>
          </w:p>
        </w:tc>
      </w:tr>
      <w:tr w:rsidR="006A523F" w:rsidRPr="006A523F" w14:paraId="0063DF58"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748A0ACF"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Schleswig Holstein</w:t>
            </w:r>
          </w:p>
        </w:tc>
        <w:tc>
          <w:tcPr>
            <w:tcW w:w="1000" w:type="pct"/>
            <w:tcBorders>
              <w:top w:val="nil"/>
              <w:left w:val="nil"/>
              <w:bottom w:val="single" w:sz="4" w:space="0" w:color="auto"/>
              <w:right w:val="single" w:sz="4" w:space="0" w:color="auto"/>
            </w:tcBorders>
            <w:shd w:val="clear" w:color="auto" w:fill="auto"/>
            <w:vAlign w:val="center"/>
            <w:hideMark/>
          </w:tcPr>
          <w:p w14:paraId="6ECD9E8F"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3535</w:t>
            </w:r>
          </w:p>
        </w:tc>
        <w:tc>
          <w:tcPr>
            <w:tcW w:w="1000" w:type="pct"/>
            <w:tcBorders>
              <w:top w:val="nil"/>
              <w:left w:val="nil"/>
              <w:bottom w:val="single" w:sz="4" w:space="0" w:color="auto"/>
              <w:right w:val="single" w:sz="4" w:space="0" w:color="auto"/>
            </w:tcBorders>
            <w:shd w:val="clear" w:color="auto" w:fill="auto"/>
            <w:vAlign w:val="bottom"/>
            <w:hideMark/>
          </w:tcPr>
          <w:p w14:paraId="6148BB6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5.32%</w:t>
            </w:r>
          </w:p>
        </w:tc>
        <w:tc>
          <w:tcPr>
            <w:tcW w:w="1000" w:type="pct"/>
            <w:tcBorders>
              <w:top w:val="nil"/>
              <w:left w:val="nil"/>
              <w:bottom w:val="single" w:sz="4" w:space="0" w:color="auto"/>
              <w:right w:val="single" w:sz="4" w:space="0" w:color="auto"/>
            </w:tcBorders>
            <w:shd w:val="clear" w:color="auto" w:fill="auto"/>
            <w:vAlign w:val="bottom"/>
            <w:hideMark/>
          </w:tcPr>
          <w:p w14:paraId="3E4B189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66,322,046</w:t>
            </w:r>
          </w:p>
        </w:tc>
        <w:tc>
          <w:tcPr>
            <w:tcW w:w="1000" w:type="pct"/>
            <w:tcBorders>
              <w:top w:val="nil"/>
              <w:left w:val="nil"/>
              <w:bottom w:val="single" w:sz="4" w:space="0" w:color="auto"/>
              <w:right w:val="single" w:sz="4" w:space="0" w:color="auto"/>
            </w:tcBorders>
            <w:shd w:val="clear" w:color="auto" w:fill="auto"/>
            <w:vAlign w:val="bottom"/>
            <w:hideMark/>
          </w:tcPr>
          <w:p w14:paraId="61FB4A7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5.35%</w:t>
            </w:r>
          </w:p>
        </w:tc>
      </w:tr>
      <w:tr w:rsidR="006A523F" w:rsidRPr="006A523F" w14:paraId="299411F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center"/>
            <w:hideMark/>
          </w:tcPr>
          <w:p w14:paraId="127BE3FA"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Thüringen</w:t>
            </w:r>
          </w:p>
        </w:tc>
        <w:tc>
          <w:tcPr>
            <w:tcW w:w="1000" w:type="pct"/>
            <w:tcBorders>
              <w:top w:val="nil"/>
              <w:left w:val="nil"/>
              <w:bottom w:val="single" w:sz="4" w:space="0" w:color="auto"/>
              <w:right w:val="single" w:sz="4" w:space="0" w:color="auto"/>
            </w:tcBorders>
            <w:shd w:val="clear" w:color="auto" w:fill="auto"/>
            <w:vAlign w:val="center"/>
            <w:hideMark/>
          </w:tcPr>
          <w:p w14:paraId="35E5995B" w14:textId="77777777" w:rsidR="006A523F" w:rsidRPr="006A523F" w:rsidRDefault="006A523F" w:rsidP="006A523F">
            <w:pPr>
              <w:spacing w:line="240" w:lineRule="auto"/>
              <w:jc w:val="center"/>
              <w:rPr>
                <w:rFonts w:ascii="Aptos Narrow" w:hAnsi="Aptos Narrow"/>
                <w:sz w:val="16"/>
                <w:szCs w:val="16"/>
                <w:lang w:val="de-DE" w:eastAsia="de-DE"/>
              </w:rPr>
            </w:pPr>
            <w:r w:rsidRPr="006A523F">
              <w:rPr>
                <w:rFonts w:ascii="Aptos Narrow" w:hAnsi="Aptos Narrow"/>
                <w:sz w:val="16"/>
                <w:szCs w:val="16"/>
                <w:lang w:val="de-DE" w:eastAsia="de-DE"/>
              </w:rPr>
              <w:t>1432</w:t>
            </w:r>
          </w:p>
        </w:tc>
        <w:tc>
          <w:tcPr>
            <w:tcW w:w="1000" w:type="pct"/>
            <w:tcBorders>
              <w:top w:val="nil"/>
              <w:left w:val="nil"/>
              <w:bottom w:val="single" w:sz="4" w:space="0" w:color="auto"/>
              <w:right w:val="single" w:sz="4" w:space="0" w:color="auto"/>
            </w:tcBorders>
            <w:shd w:val="clear" w:color="auto" w:fill="auto"/>
            <w:vAlign w:val="bottom"/>
            <w:hideMark/>
          </w:tcPr>
          <w:p w14:paraId="44390E5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2.15%</w:t>
            </w:r>
          </w:p>
        </w:tc>
        <w:tc>
          <w:tcPr>
            <w:tcW w:w="1000" w:type="pct"/>
            <w:tcBorders>
              <w:top w:val="nil"/>
              <w:left w:val="nil"/>
              <w:bottom w:val="single" w:sz="4" w:space="0" w:color="auto"/>
              <w:right w:val="single" w:sz="4" w:space="0" w:color="auto"/>
            </w:tcBorders>
            <w:shd w:val="clear" w:color="auto" w:fill="auto"/>
            <w:vAlign w:val="bottom"/>
            <w:hideMark/>
          </w:tcPr>
          <w:p w14:paraId="5BE8A45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26,901,765</w:t>
            </w:r>
          </w:p>
        </w:tc>
        <w:tc>
          <w:tcPr>
            <w:tcW w:w="1000" w:type="pct"/>
            <w:tcBorders>
              <w:top w:val="nil"/>
              <w:left w:val="nil"/>
              <w:bottom w:val="single" w:sz="4" w:space="0" w:color="auto"/>
              <w:right w:val="single" w:sz="4" w:space="0" w:color="auto"/>
            </w:tcBorders>
            <w:shd w:val="clear" w:color="auto" w:fill="auto"/>
            <w:vAlign w:val="bottom"/>
            <w:hideMark/>
          </w:tcPr>
          <w:p w14:paraId="06F6151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2.17%</w:t>
            </w:r>
          </w:p>
        </w:tc>
      </w:tr>
      <w:tr w:rsidR="006A523F" w:rsidRPr="006A523F" w14:paraId="0FC45DF8"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082C957"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2472CB73"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62F3C122"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3C4524B2"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439D975B"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52D8DCAE" w14:textId="77777777" w:rsidR="000D0E23" w:rsidRDefault="000D0E23" w:rsidP="000D0E23">
      <w:pPr>
        <w:pStyle w:val="Body1"/>
      </w:pPr>
    </w:p>
    <w:p w14:paraId="063C60F8" w14:textId="513FB91D" w:rsidR="000D0E23" w:rsidRPr="000D0E23" w:rsidRDefault="000D0E23" w:rsidP="000D0E23">
      <w:pPr>
        <w:pStyle w:val="Body1"/>
        <w:rPr>
          <w:b/>
          <w:bCs/>
        </w:rPr>
      </w:pPr>
      <w:r>
        <w:t>19.</w:t>
      </w:r>
      <w:r>
        <w:tab/>
      </w:r>
      <w:r>
        <w:rPr>
          <w:b/>
          <w:bCs/>
        </w:rPr>
        <w:t>Fuel Type</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63EED3C0"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9DEF0"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Fuel Type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D0A8EDB"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9173018"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99CB599"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BEFA737"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6C40949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C3E66C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Petrol</w:t>
            </w:r>
          </w:p>
        </w:tc>
        <w:tc>
          <w:tcPr>
            <w:tcW w:w="1000" w:type="pct"/>
            <w:tcBorders>
              <w:top w:val="nil"/>
              <w:left w:val="nil"/>
              <w:bottom w:val="single" w:sz="4" w:space="0" w:color="auto"/>
              <w:right w:val="single" w:sz="4" w:space="0" w:color="auto"/>
            </w:tcBorders>
            <w:shd w:val="clear" w:color="auto" w:fill="auto"/>
            <w:vAlign w:val="bottom"/>
            <w:hideMark/>
          </w:tcPr>
          <w:p w14:paraId="60FAE8E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34,859</w:t>
            </w:r>
          </w:p>
        </w:tc>
        <w:tc>
          <w:tcPr>
            <w:tcW w:w="1000" w:type="pct"/>
            <w:tcBorders>
              <w:top w:val="nil"/>
              <w:left w:val="nil"/>
              <w:bottom w:val="single" w:sz="4" w:space="0" w:color="auto"/>
              <w:right w:val="single" w:sz="4" w:space="0" w:color="auto"/>
            </w:tcBorders>
            <w:shd w:val="clear" w:color="auto" w:fill="auto"/>
            <w:vAlign w:val="bottom"/>
            <w:hideMark/>
          </w:tcPr>
          <w:p w14:paraId="14C6516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52.45%</w:t>
            </w:r>
          </w:p>
        </w:tc>
        <w:tc>
          <w:tcPr>
            <w:tcW w:w="1000" w:type="pct"/>
            <w:tcBorders>
              <w:top w:val="nil"/>
              <w:left w:val="nil"/>
              <w:bottom w:val="single" w:sz="4" w:space="0" w:color="auto"/>
              <w:right w:val="single" w:sz="4" w:space="0" w:color="auto"/>
            </w:tcBorders>
            <w:shd w:val="clear" w:color="auto" w:fill="auto"/>
            <w:vAlign w:val="bottom"/>
            <w:hideMark/>
          </w:tcPr>
          <w:p w14:paraId="172E4BB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585,507,980</w:t>
            </w:r>
          </w:p>
        </w:tc>
        <w:tc>
          <w:tcPr>
            <w:tcW w:w="1000" w:type="pct"/>
            <w:tcBorders>
              <w:top w:val="nil"/>
              <w:left w:val="nil"/>
              <w:bottom w:val="single" w:sz="4" w:space="0" w:color="auto"/>
              <w:right w:val="single" w:sz="4" w:space="0" w:color="auto"/>
            </w:tcBorders>
            <w:shd w:val="clear" w:color="auto" w:fill="auto"/>
            <w:vAlign w:val="bottom"/>
            <w:hideMark/>
          </w:tcPr>
          <w:p w14:paraId="661C71A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47.22%</w:t>
            </w:r>
          </w:p>
        </w:tc>
      </w:tr>
      <w:tr w:rsidR="006A523F" w:rsidRPr="006A523F" w14:paraId="5117B9F8"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4905F6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Diesel</w:t>
            </w:r>
          </w:p>
        </w:tc>
        <w:tc>
          <w:tcPr>
            <w:tcW w:w="1000" w:type="pct"/>
            <w:tcBorders>
              <w:top w:val="nil"/>
              <w:left w:val="nil"/>
              <w:bottom w:val="single" w:sz="4" w:space="0" w:color="auto"/>
              <w:right w:val="single" w:sz="4" w:space="0" w:color="auto"/>
            </w:tcBorders>
            <w:shd w:val="clear" w:color="auto" w:fill="auto"/>
            <w:vAlign w:val="bottom"/>
            <w:hideMark/>
          </w:tcPr>
          <w:p w14:paraId="31A905C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10,008</w:t>
            </w:r>
          </w:p>
        </w:tc>
        <w:tc>
          <w:tcPr>
            <w:tcW w:w="1000" w:type="pct"/>
            <w:tcBorders>
              <w:top w:val="nil"/>
              <w:left w:val="nil"/>
              <w:bottom w:val="single" w:sz="4" w:space="0" w:color="auto"/>
              <w:right w:val="single" w:sz="4" w:space="0" w:color="auto"/>
            </w:tcBorders>
            <w:shd w:val="clear" w:color="auto" w:fill="auto"/>
            <w:vAlign w:val="bottom"/>
            <w:hideMark/>
          </w:tcPr>
          <w:p w14:paraId="3C506E5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15.06%</w:t>
            </w:r>
          </w:p>
        </w:tc>
        <w:tc>
          <w:tcPr>
            <w:tcW w:w="1000" w:type="pct"/>
            <w:tcBorders>
              <w:top w:val="nil"/>
              <w:left w:val="nil"/>
              <w:bottom w:val="single" w:sz="4" w:space="0" w:color="auto"/>
              <w:right w:val="single" w:sz="4" w:space="0" w:color="auto"/>
            </w:tcBorders>
            <w:shd w:val="clear" w:color="auto" w:fill="auto"/>
            <w:vAlign w:val="bottom"/>
            <w:hideMark/>
          </w:tcPr>
          <w:p w14:paraId="74A552B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213,121,573</w:t>
            </w:r>
          </w:p>
        </w:tc>
        <w:tc>
          <w:tcPr>
            <w:tcW w:w="1000" w:type="pct"/>
            <w:tcBorders>
              <w:top w:val="nil"/>
              <w:left w:val="nil"/>
              <w:bottom w:val="single" w:sz="4" w:space="0" w:color="auto"/>
              <w:right w:val="single" w:sz="4" w:space="0" w:color="auto"/>
            </w:tcBorders>
            <w:shd w:val="clear" w:color="auto" w:fill="auto"/>
            <w:vAlign w:val="bottom"/>
            <w:hideMark/>
          </w:tcPr>
          <w:p w14:paraId="0563649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17.19%</w:t>
            </w:r>
          </w:p>
        </w:tc>
      </w:tr>
      <w:tr w:rsidR="006A523F" w:rsidRPr="006A523F" w14:paraId="03FCBCA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6463E4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Electric</w:t>
            </w:r>
          </w:p>
        </w:tc>
        <w:tc>
          <w:tcPr>
            <w:tcW w:w="1000" w:type="pct"/>
            <w:tcBorders>
              <w:top w:val="nil"/>
              <w:left w:val="nil"/>
              <w:bottom w:val="single" w:sz="4" w:space="0" w:color="auto"/>
              <w:right w:val="single" w:sz="4" w:space="0" w:color="auto"/>
            </w:tcBorders>
            <w:shd w:val="clear" w:color="auto" w:fill="auto"/>
            <w:vAlign w:val="bottom"/>
            <w:hideMark/>
          </w:tcPr>
          <w:p w14:paraId="1FCF115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12,870</w:t>
            </w:r>
          </w:p>
        </w:tc>
        <w:tc>
          <w:tcPr>
            <w:tcW w:w="1000" w:type="pct"/>
            <w:tcBorders>
              <w:top w:val="nil"/>
              <w:left w:val="nil"/>
              <w:bottom w:val="single" w:sz="4" w:space="0" w:color="auto"/>
              <w:right w:val="single" w:sz="4" w:space="0" w:color="auto"/>
            </w:tcBorders>
            <w:shd w:val="clear" w:color="auto" w:fill="auto"/>
            <w:vAlign w:val="bottom"/>
            <w:hideMark/>
          </w:tcPr>
          <w:p w14:paraId="65D811C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19.36%</w:t>
            </w:r>
          </w:p>
        </w:tc>
        <w:tc>
          <w:tcPr>
            <w:tcW w:w="1000" w:type="pct"/>
            <w:tcBorders>
              <w:top w:val="nil"/>
              <w:left w:val="nil"/>
              <w:bottom w:val="single" w:sz="4" w:space="0" w:color="auto"/>
              <w:right w:val="single" w:sz="4" w:space="0" w:color="auto"/>
            </w:tcBorders>
            <w:shd w:val="clear" w:color="auto" w:fill="auto"/>
            <w:vAlign w:val="bottom"/>
            <w:hideMark/>
          </w:tcPr>
          <w:p w14:paraId="2D2E4EA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237,617,378</w:t>
            </w:r>
          </w:p>
        </w:tc>
        <w:tc>
          <w:tcPr>
            <w:tcW w:w="1000" w:type="pct"/>
            <w:tcBorders>
              <w:top w:val="nil"/>
              <w:left w:val="nil"/>
              <w:bottom w:val="single" w:sz="4" w:space="0" w:color="auto"/>
              <w:right w:val="single" w:sz="4" w:space="0" w:color="auto"/>
            </w:tcBorders>
            <w:shd w:val="clear" w:color="auto" w:fill="auto"/>
            <w:vAlign w:val="bottom"/>
            <w:hideMark/>
          </w:tcPr>
          <w:p w14:paraId="648CAE0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19.16%</w:t>
            </w:r>
          </w:p>
        </w:tc>
      </w:tr>
      <w:tr w:rsidR="006A523F" w:rsidRPr="006A523F" w14:paraId="1BED286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1DD128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Hybrid</w:t>
            </w:r>
          </w:p>
        </w:tc>
        <w:tc>
          <w:tcPr>
            <w:tcW w:w="1000" w:type="pct"/>
            <w:tcBorders>
              <w:top w:val="nil"/>
              <w:left w:val="nil"/>
              <w:bottom w:val="single" w:sz="4" w:space="0" w:color="auto"/>
              <w:right w:val="single" w:sz="4" w:space="0" w:color="auto"/>
            </w:tcBorders>
            <w:shd w:val="clear" w:color="auto" w:fill="auto"/>
            <w:vAlign w:val="bottom"/>
            <w:hideMark/>
          </w:tcPr>
          <w:p w14:paraId="691D8F8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8,190</w:t>
            </w:r>
          </w:p>
        </w:tc>
        <w:tc>
          <w:tcPr>
            <w:tcW w:w="1000" w:type="pct"/>
            <w:tcBorders>
              <w:top w:val="nil"/>
              <w:left w:val="nil"/>
              <w:bottom w:val="single" w:sz="4" w:space="0" w:color="auto"/>
              <w:right w:val="single" w:sz="4" w:space="0" w:color="auto"/>
            </w:tcBorders>
            <w:shd w:val="clear" w:color="auto" w:fill="auto"/>
            <w:vAlign w:val="bottom"/>
            <w:hideMark/>
          </w:tcPr>
          <w:p w14:paraId="2E18F66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12.32%</w:t>
            </w:r>
          </w:p>
        </w:tc>
        <w:tc>
          <w:tcPr>
            <w:tcW w:w="1000" w:type="pct"/>
            <w:tcBorders>
              <w:top w:val="nil"/>
              <w:left w:val="nil"/>
              <w:bottom w:val="single" w:sz="4" w:space="0" w:color="auto"/>
              <w:right w:val="single" w:sz="4" w:space="0" w:color="auto"/>
            </w:tcBorders>
            <w:shd w:val="clear" w:color="auto" w:fill="auto"/>
            <w:vAlign w:val="bottom"/>
            <w:hideMark/>
          </w:tcPr>
          <w:p w14:paraId="0EB0BF2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191,511,788</w:t>
            </w:r>
          </w:p>
        </w:tc>
        <w:tc>
          <w:tcPr>
            <w:tcW w:w="1000" w:type="pct"/>
            <w:tcBorders>
              <w:top w:val="nil"/>
              <w:left w:val="nil"/>
              <w:bottom w:val="single" w:sz="4" w:space="0" w:color="auto"/>
              <w:right w:val="single" w:sz="4" w:space="0" w:color="auto"/>
            </w:tcBorders>
            <w:shd w:val="clear" w:color="auto" w:fill="auto"/>
            <w:vAlign w:val="bottom"/>
            <w:hideMark/>
          </w:tcPr>
          <w:p w14:paraId="2DA1314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15.44%</w:t>
            </w:r>
          </w:p>
        </w:tc>
      </w:tr>
      <w:tr w:rsidR="006A523F" w:rsidRPr="006A523F" w14:paraId="63EE0B8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4347BB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No data</w:t>
            </w:r>
          </w:p>
        </w:tc>
        <w:tc>
          <w:tcPr>
            <w:tcW w:w="1000" w:type="pct"/>
            <w:tcBorders>
              <w:top w:val="nil"/>
              <w:left w:val="nil"/>
              <w:bottom w:val="single" w:sz="4" w:space="0" w:color="auto"/>
              <w:right w:val="single" w:sz="4" w:space="0" w:color="auto"/>
            </w:tcBorders>
            <w:shd w:val="clear" w:color="auto" w:fill="auto"/>
            <w:vAlign w:val="bottom"/>
            <w:hideMark/>
          </w:tcPr>
          <w:p w14:paraId="1C7B1C6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536</w:t>
            </w:r>
          </w:p>
        </w:tc>
        <w:tc>
          <w:tcPr>
            <w:tcW w:w="1000" w:type="pct"/>
            <w:tcBorders>
              <w:top w:val="nil"/>
              <w:left w:val="nil"/>
              <w:bottom w:val="single" w:sz="4" w:space="0" w:color="auto"/>
              <w:right w:val="single" w:sz="4" w:space="0" w:color="auto"/>
            </w:tcBorders>
            <w:shd w:val="clear" w:color="auto" w:fill="auto"/>
            <w:vAlign w:val="bottom"/>
            <w:hideMark/>
          </w:tcPr>
          <w:p w14:paraId="39FE990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0.81%</w:t>
            </w:r>
          </w:p>
        </w:tc>
        <w:tc>
          <w:tcPr>
            <w:tcW w:w="1000" w:type="pct"/>
            <w:tcBorders>
              <w:top w:val="nil"/>
              <w:left w:val="nil"/>
              <w:bottom w:val="single" w:sz="4" w:space="0" w:color="auto"/>
              <w:right w:val="single" w:sz="4" w:space="0" w:color="auto"/>
            </w:tcBorders>
            <w:shd w:val="clear" w:color="auto" w:fill="auto"/>
            <w:vAlign w:val="bottom"/>
            <w:hideMark/>
          </w:tcPr>
          <w:p w14:paraId="77417F0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12,238,331</w:t>
            </w:r>
          </w:p>
        </w:tc>
        <w:tc>
          <w:tcPr>
            <w:tcW w:w="1000" w:type="pct"/>
            <w:tcBorders>
              <w:top w:val="nil"/>
              <w:left w:val="nil"/>
              <w:bottom w:val="single" w:sz="4" w:space="0" w:color="auto"/>
              <w:right w:val="single" w:sz="4" w:space="0" w:color="auto"/>
            </w:tcBorders>
            <w:shd w:val="clear" w:color="auto" w:fill="auto"/>
            <w:vAlign w:val="bottom"/>
            <w:hideMark/>
          </w:tcPr>
          <w:p w14:paraId="26B409F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0.99%</w:t>
            </w:r>
          </w:p>
        </w:tc>
      </w:tr>
      <w:tr w:rsidR="006A523F" w:rsidRPr="006A523F" w14:paraId="1645A92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E3D6E52"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55BE1AAD"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79124559"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4CFB53C1"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60C8E6A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7BC1AFE9" w14:textId="77777777" w:rsidR="000D0E23" w:rsidRDefault="000D0E23" w:rsidP="000D0E23">
      <w:pPr>
        <w:pStyle w:val="Body1"/>
      </w:pPr>
    </w:p>
    <w:p w14:paraId="5B218285" w14:textId="1E5EE231" w:rsidR="000D0E23" w:rsidRDefault="000D0E23" w:rsidP="000D0E23">
      <w:pPr>
        <w:pStyle w:val="Body1"/>
      </w:pPr>
      <w:r>
        <w:t>20.</w:t>
      </w:r>
      <w:r>
        <w:tab/>
      </w:r>
      <w:r w:rsidRPr="000D0E23">
        <w:rPr>
          <w:b/>
          <w:bCs/>
        </w:rPr>
        <w:t>LTV</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062DAA79"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96537"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LTV</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CCCAEE5"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35E5EB5"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46642596"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B02D18C"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0B1786A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0F1A9C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&gt;0%  &lt;=10%</w:t>
            </w:r>
          </w:p>
        </w:tc>
        <w:tc>
          <w:tcPr>
            <w:tcW w:w="1000" w:type="pct"/>
            <w:tcBorders>
              <w:top w:val="nil"/>
              <w:left w:val="nil"/>
              <w:bottom w:val="single" w:sz="4" w:space="0" w:color="auto"/>
              <w:right w:val="single" w:sz="4" w:space="0" w:color="auto"/>
            </w:tcBorders>
            <w:shd w:val="clear" w:color="auto" w:fill="auto"/>
            <w:vAlign w:val="bottom"/>
            <w:hideMark/>
          </w:tcPr>
          <w:p w14:paraId="720B8F4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w:t>
            </w:r>
          </w:p>
        </w:tc>
        <w:tc>
          <w:tcPr>
            <w:tcW w:w="1000" w:type="pct"/>
            <w:tcBorders>
              <w:top w:val="nil"/>
              <w:left w:val="nil"/>
              <w:bottom w:val="single" w:sz="4" w:space="0" w:color="auto"/>
              <w:right w:val="single" w:sz="4" w:space="0" w:color="auto"/>
            </w:tcBorders>
            <w:shd w:val="clear" w:color="auto" w:fill="auto"/>
            <w:vAlign w:val="bottom"/>
            <w:hideMark/>
          </w:tcPr>
          <w:p w14:paraId="4085BD3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65B9AA9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w:t>
            </w:r>
          </w:p>
        </w:tc>
        <w:tc>
          <w:tcPr>
            <w:tcW w:w="1000" w:type="pct"/>
            <w:tcBorders>
              <w:top w:val="nil"/>
              <w:left w:val="nil"/>
              <w:bottom w:val="single" w:sz="4" w:space="0" w:color="auto"/>
              <w:right w:val="single" w:sz="4" w:space="0" w:color="auto"/>
            </w:tcBorders>
            <w:shd w:val="clear" w:color="auto" w:fill="auto"/>
            <w:vAlign w:val="bottom"/>
            <w:hideMark/>
          </w:tcPr>
          <w:p w14:paraId="1ED2767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09AF956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094885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&gt;10% &lt;=20%</w:t>
            </w:r>
          </w:p>
        </w:tc>
        <w:tc>
          <w:tcPr>
            <w:tcW w:w="1000" w:type="pct"/>
            <w:tcBorders>
              <w:top w:val="nil"/>
              <w:left w:val="nil"/>
              <w:bottom w:val="single" w:sz="4" w:space="0" w:color="auto"/>
              <w:right w:val="single" w:sz="4" w:space="0" w:color="auto"/>
            </w:tcBorders>
            <w:shd w:val="clear" w:color="auto" w:fill="auto"/>
            <w:vAlign w:val="bottom"/>
            <w:hideMark/>
          </w:tcPr>
          <w:p w14:paraId="7D3F076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w:t>
            </w:r>
          </w:p>
        </w:tc>
        <w:tc>
          <w:tcPr>
            <w:tcW w:w="1000" w:type="pct"/>
            <w:tcBorders>
              <w:top w:val="nil"/>
              <w:left w:val="nil"/>
              <w:bottom w:val="single" w:sz="4" w:space="0" w:color="auto"/>
              <w:right w:val="single" w:sz="4" w:space="0" w:color="auto"/>
            </w:tcBorders>
            <w:shd w:val="clear" w:color="auto" w:fill="auto"/>
            <w:vAlign w:val="bottom"/>
            <w:hideMark/>
          </w:tcPr>
          <w:p w14:paraId="760C1B8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c>
          <w:tcPr>
            <w:tcW w:w="1000" w:type="pct"/>
            <w:tcBorders>
              <w:top w:val="nil"/>
              <w:left w:val="nil"/>
              <w:bottom w:val="single" w:sz="4" w:space="0" w:color="auto"/>
              <w:right w:val="single" w:sz="4" w:space="0" w:color="auto"/>
            </w:tcBorders>
            <w:shd w:val="clear" w:color="auto" w:fill="auto"/>
            <w:vAlign w:val="bottom"/>
            <w:hideMark/>
          </w:tcPr>
          <w:p w14:paraId="49885EC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19,675</w:t>
            </w:r>
          </w:p>
        </w:tc>
        <w:tc>
          <w:tcPr>
            <w:tcW w:w="1000" w:type="pct"/>
            <w:tcBorders>
              <w:top w:val="nil"/>
              <w:left w:val="nil"/>
              <w:bottom w:val="single" w:sz="4" w:space="0" w:color="auto"/>
              <w:right w:val="single" w:sz="4" w:space="0" w:color="auto"/>
            </w:tcBorders>
            <w:shd w:val="clear" w:color="auto" w:fill="auto"/>
            <w:vAlign w:val="bottom"/>
            <w:hideMark/>
          </w:tcPr>
          <w:p w14:paraId="0FAA0C8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0B95F95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00240C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&gt;20% &lt;=30%</w:t>
            </w:r>
          </w:p>
        </w:tc>
        <w:tc>
          <w:tcPr>
            <w:tcW w:w="1000" w:type="pct"/>
            <w:tcBorders>
              <w:top w:val="nil"/>
              <w:left w:val="nil"/>
              <w:bottom w:val="single" w:sz="4" w:space="0" w:color="auto"/>
              <w:right w:val="single" w:sz="4" w:space="0" w:color="auto"/>
            </w:tcBorders>
            <w:shd w:val="clear" w:color="auto" w:fill="auto"/>
            <w:vAlign w:val="bottom"/>
            <w:hideMark/>
          </w:tcPr>
          <w:p w14:paraId="617C791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w:t>
            </w:r>
          </w:p>
        </w:tc>
        <w:tc>
          <w:tcPr>
            <w:tcW w:w="1000" w:type="pct"/>
            <w:tcBorders>
              <w:top w:val="nil"/>
              <w:left w:val="nil"/>
              <w:bottom w:val="single" w:sz="4" w:space="0" w:color="auto"/>
              <w:right w:val="single" w:sz="4" w:space="0" w:color="auto"/>
            </w:tcBorders>
            <w:shd w:val="clear" w:color="auto" w:fill="auto"/>
            <w:vAlign w:val="bottom"/>
            <w:hideMark/>
          </w:tcPr>
          <w:p w14:paraId="7F3D92C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783419E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63,953</w:t>
            </w:r>
          </w:p>
        </w:tc>
        <w:tc>
          <w:tcPr>
            <w:tcW w:w="1000" w:type="pct"/>
            <w:tcBorders>
              <w:top w:val="nil"/>
              <w:left w:val="nil"/>
              <w:bottom w:val="single" w:sz="4" w:space="0" w:color="auto"/>
              <w:right w:val="single" w:sz="4" w:space="0" w:color="auto"/>
            </w:tcBorders>
            <w:shd w:val="clear" w:color="auto" w:fill="auto"/>
            <w:vAlign w:val="bottom"/>
            <w:hideMark/>
          </w:tcPr>
          <w:p w14:paraId="01D2B5D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2EE36BA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38BD72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&gt;30% &lt;=40%</w:t>
            </w:r>
          </w:p>
        </w:tc>
        <w:tc>
          <w:tcPr>
            <w:tcW w:w="1000" w:type="pct"/>
            <w:tcBorders>
              <w:top w:val="nil"/>
              <w:left w:val="nil"/>
              <w:bottom w:val="single" w:sz="4" w:space="0" w:color="auto"/>
              <w:right w:val="single" w:sz="4" w:space="0" w:color="auto"/>
            </w:tcBorders>
            <w:shd w:val="clear" w:color="auto" w:fill="auto"/>
            <w:vAlign w:val="bottom"/>
            <w:hideMark/>
          </w:tcPr>
          <w:p w14:paraId="76C9BB6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w:t>
            </w:r>
          </w:p>
        </w:tc>
        <w:tc>
          <w:tcPr>
            <w:tcW w:w="1000" w:type="pct"/>
            <w:tcBorders>
              <w:top w:val="nil"/>
              <w:left w:val="nil"/>
              <w:bottom w:val="single" w:sz="4" w:space="0" w:color="auto"/>
              <w:right w:val="single" w:sz="4" w:space="0" w:color="auto"/>
            </w:tcBorders>
            <w:shd w:val="clear" w:color="auto" w:fill="auto"/>
            <w:vAlign w:val="bottom"/>
            <w:hideMark/>
          </w:tcPr>
          <w:p w14:paraId="3426B9D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0.04%</w:t>
            </w:r>
          </w:p>
        </w:tc>
        <w:tc>
          <w:tcPr>
            <w:tcW w:w="1000" w:type="pct"/>
            <w:tcBorders>
              <w:top w:val="nil"/>
              <w:left w:val="nil"/>
              <w:bottom w:val="single" w:sz="4" w:space="0" w:color="auto"/>
              <w:right w:val="single" w:sz="4" w:space="0" w:color="auto"/>
            </w:tcBorders>
            <w:shd w:val="clear" w:color="auto" w:fill="auto"/>
            <w:vAlign w:val="bottom"/>
            <w:hideMark/>
          </w:tcPr>
          <w:p w14:paraId="4CB357E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202,621</w:t>
            </w:r>
          </w:p>
        </w:tc>
        <w:tc>
          <w:tcPr>
            <w:tcW w:w="1000" w:type="pct"/>
            <w:tcBorders>
              <w:top w:val="nil"/>
              <w:left w:val="nil"/>
              <w:bottom w:val="single" w:sz="4" w:space="0" w:color="auto"/>
              <w:right w:val="single" w:sz="4" w:space="0" w:color="auto"/>
            </w:tcBorders>
            <w:shd w:val="clear" w:color="auto" w:fill="auto"/>
            <w:vAlign w:val="bottom"/>
            <w:hideMark/>
          </w:tcPr>
          <w:p w14:paraId="1740E02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r>
      <w:tr w:rsidR="006A523F" w:rsidRPr="006A523F" w14:paraId="29D2138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5A6478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&gt;40% &lt;=50%</w:t>
            </w:r>
          </w:p>
        </w:tc>
        <w:tc>
          <w:tcPr>
            <w:tcW w:w="1000" w:type="pct"/>
            <w:tcBorders>
              <w:top w:val="nil"/>
              <w:left w:val="nil"/>
              <w:bottom w:val="single" w:sz="4" w:space="0" w:color="auto"/>
              <w:right w:val="single" w:sz="4" w:space="0" w:color="auto"/>
            </w:tcBorders>
            <w:shd w:val="clear" w:color="auto" w:fill="auto"/>
            <w:vAlign w:val="bottom"/>
            <w:hideMark/>
          </w:tcPr>
          <w:p w14:paraId="3711E52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105</w:t>
            </w:r>
          </w:p>
        </w:tc>
        <w:tc>
          <w:tcPr>
            <w:tcW w:w="1000" w:type="pct"/>
            <w:tcBorders>
              <w:top w:val="nil"/>
              <w:left w:val="nil"/>
              <w:bottom w:val="single" w:sz="4" w:space="0" w:color="auto"/>
              <w:right w:val="single" w:sz="4" w:space="0" w:color="auto"/>
            </w:tcBorders>
            <w:shd w:val="clear" w:color="auto" w:fill="auto"/>
            <w:vAlign w:val="bottom"/>
            <w:hideMark/>
          </w:tcPr>
          <w:p w14:paraId="4491A37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0.16%</w:t>
            </w:r>
          </w:p>
        </w:tc>
        <w:tc>
          <w:tcPr>
            <w:tcW w:w="1000" w:type="pct"/>
            <w:tcBorders>
              <w:top w:val="nil"/>
              <w:left w:val="nil"/>
              <w:bottom w:val="single" w:sz="4" w:space="0" w:color="auto"/>
              <w:right w:val="single" w:sz="4" w:space="0" w:color="auto"/>
            </w:tcBorders>
            <w:shd w:val="clear" w:color="auto" w:fill="auto"/>
            <w:vAlign w:val="bottom"/>
            <w:hideMark/>
          </w:tcPr>
          <w:p w14:paraId="223A292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1,141,246</w:t>
            </w:r>
          </w:p>
        </w:tc>
        <w:tc>
          <w:tcPr>
            <w:tcW w:w="1000" w:type="pct"/>
            <w:tcBorders>
              <w:top w:val="nil"/>
              <w:left w:val="nil"/>
              <w:bottom w:val="single" w:sz="4" w:space="0" w:color="auto"/>
              <w:right w:val="single" w:sz="4" w:space="0" w:color="auto"/>
            </w:tcBorders>
            <w:shd w:val="clear" w:color="auto" w:fill="auto"/>
            <w:vAlign w:val="bottom"/>
            <w:hideMark/>
          </w:tcPr>
          <w:p w14:paraId="2C49E48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0.09%</w:t>
            </w:r>
          </w:p>
        </w:tc>
      </w:tr>
      <w:tr w:rsidR="006A523F" w:rsidRPr="006A523F" w14:paraId="003F9E3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B44B44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&gt;50% &lt;=60%</w:t>
            </w:r>
          </w:p>
        </w:tc>
        <w:tc>
          <w:tcPr>
            <w:tcW w:w="1000" w:type="pct"/>
            <w:tcBorders>
              <w:top w:val="nil"/>
              <w:left w:val="nil"/>
              <w:bottom w:val="single" w:sz="4" w:space="0" w:color="auto"/>
              <w:right w:val="single" w:sz="4" w:space="0" w:color="auto"/>
            </w:tcBorders>
            <w:shd w:val="clear" w:color="auto" w:fill="auto"/>
            <w:vAlign w:val="bottom"/>
            <w:hideMark/>
          </w:tcPr>
          <w:p w14:paraId="15C5008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318</w:t>
            </w:r>
          </w:p>
        </w:tc>
        <w:tc>
          <w:tcPr>
            <w:tcW w:w="1000" w:type="pct"/>
            <w:tcBorders>
              <w:top w:val="nil"/>
              <w:left w:val="nil"/>
              <w:bottom w:val="single" w:sz="4" w:space="0" w:color="auto"/>
              <w:right w:val="single" w:sz="4" w:space="0" w:color="auto"/>
            </w:tcBorders>
            <w:shd w:val="clear" w:color="auto" w:fill="auto"/>
            <w:vAlign w:val="bottom"/>
            <w:hideMark/>
          </w:tcPr>
          <w:p w14:paraId="41B1205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0.48%</w:t>
            </w:r>
          </w:p>
        </w:tc>
        <w:tc>
          <w:tcPr>
            <w:tcW w:w="1000" w:type="pct"/>
            <w:tcBorders>
              <w:top w:val="nil"/>
              <w:left w:val="nil"/>
              <w:bottom w:val="single" w:sz="4" w:space="0" w:color="auto"/>
              <w:right w:val="single" w:sz="4" w:space="0" w:color="auto"/>
            </w:tcBorders>
            <w:shd w:val="clear" w:color="auto" w:fill="auto"/>
            <w:vAlign w:val="bottom"/>
            <w:hideMark/>
          </w:tcPr>
          <w:p w14:paraId="433199E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4,163,406</w:t>
            </w:r>
          </w:p>
        </w:tc>
        <w:tc>
          <w:tcPr>
            <w:tcW w:w="1000" w:type="pct"/>
            <w:tcBorders>
              <w:top w:val="nil"/>
              <w:left w:val="nil"/>
              <w:bottom w:val="single" w:sz="4" w:space="0" w:color="auto"/>
              <w:right w:val="single" w:sz="4" w:space="0" w:color="auto"/>
            </w:tcBorders>
            <w:shd w:val="clear" w:color="auto" w:fill="auto"/>
            <w:vAlign w:val="bottom"/>
            <w:hideMark/>
          </w:tcPr>
          <w:p w14:paraId="60E9B13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0.34%</w:t>
            </w:r>
          </w:p>
        </w:tc>
      </w:tr>
      <w:tr w:rsidR="006A523F" w:rsidRPr="006A523F" w14:paraId="14C517F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3A454C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&gt;60% &lt;=70%</w:t>
            </w:r>
          </w:p>
        </w:tc>
        <w:tc>
          <w:tcPr>
            <w:tcW w:w="1000" w:type="pct"/>
            <w:tcBorders>
              <w:top w:val="nil"/>
              <w:left w:val="nil"/>
              <w:bottom w:val="single" w:sz="4" w:space="0" w:color="auto"/>
              <w:right w:val="single" w:sz="4" w:space="0" w:color="auto"/>
            </w:tcBorders>
            <w:shd w:val="clear" w:color="auto" w:fill="auto"/>
            <w:vAlign w:val="bottom"/>
            <w:hideMark/>
          </w:tcPr>
          <w:p w14:paraId="7256339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1,347</w:t>
            </w:r>
          </w:p>
        </w:tc>
        <w:tc>
          <w:tcPr>
            <w:tcW w:w="1000" w:type="pct"/>
            <w:tcBorders>
              <w:top w:val="nil"/>
              <w:left w:val="nil"/>
              <w:bottom w:val="single" w:sz="4" w:space="0" w:color="auto"/>
              <w:right w:val="single" w:sz="4" w:space="0" w:color="auto"/>
            </w:tcBorders>
            <w:shd w:val="clear" w:color="auto" w:fill="auto"/>
            <w:vAlign w:val="bottom"/>
            <w:hideMark/>
          </w:tcPr>
          <w:p w14:paraId="7006C88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2.03%</w:t>
            </w:r>
          </w:p>
        </w:tc>
        <w:tc>
          <w:tcPr>
            <w:tcW w:w="1000" w:type="pct"/>
            <w:tcBorders>
              <w:top w:val="nil"/>
              <w:left w:val="nil"/>
              <w:bottom w:val="single" w:sz="4" w:space="0" w:color="auto"/>
              <w:right w:val="single" w:sz="4" w:space="0" w:color="auto"/>
            </w:tcBorders>
            <w:shd w:val="clear" w:color="auto" w:fill="auto"/>
            <w:vAlign w:val="bottom"/>
            <w:hideMark/>
          </w:tcPr>
          <w:p w14:paraId="4F48C42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20,885,984</w:t>
            </w:r>
          </w:p>
        </w:tc>
        <w:tc>
          <w:tcPr>
            <w:tcW w:w="1000" w:type="pct"/>
            <w:tcBorders>
              <w:top w:val="nil"/>
              <w:left w:val="nil"/>
              <w:bottom w:val="single" w:sz="4" w:space="0" w:color="auto"/>
              <w:right w:val="single" w:sz="4" w:space="0" w:color="auto"/>
            </w:tcBorders>
            <w:shd w:val="clear" w:color="auto" w:fill="auto"/>
            <w:vAlign w:val="bottom"/>
            <w:hideMark/>
          </w:tcPr>
          <w:p w14:paraId="359AF56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1.68%</w:t>
            </w:r>
          </w:p>
        </w:tc>
      </w:tr>
      <w:tr w:rsidR="006A523F" w:rsidRPr="006A523F" w14:paraId="7E99AAF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835CE6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&gt;70% &lt;=80%</w:t>
            </w:r>
          </w:p>
        </w:tc>
        <w:tc>
          <w:tcPr>
            <w:tcW w:w="1000" w:type="pct"/>
            <w:tcBorders>
              <w:top w:val="nil"/>
              <w:left w:val="nil"/>
              <w:bottom w:val="single" w:sz="4" w:space="0" w:color="auto"/>
              <w:right w:val="single" w:sz="4" w:space="0" w:color="auto"/>
            </w:tcBorders>
            <w:shd w:val="clear" w:color="auto" w:fill="auto"/>
            <w:vAlign w:val="bottom"/>
            <w:hideMark/>
          </w:tcPr>
          <w:p w14:paraId="733D080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5,054</w:t>
            </w:r>
          </w:p>
        </w:tc>
        <w:tc>
          <w:tcPr>
            <w:tcW w:w="1000" w:type="pct"/>
            <w:tcBorders>
              <w:top w:val="nil"/>
              <w:left w:val="nil"/>
              <w:bottom w:val="single" w:sz="4" w:space="0" w:color="auto"/>
              <w:right w:val="single" w:sz="4" w:space="0" w:color="auto"/>
            </w:tcBorders>
            <w:shd w:val="clear" w:color="auto" w:fill="auto"/>
            <w:vAlign w:val="bottom"/>
            <w:hideMark/>
          </w:tcPr>
          <w:p w14:paraId="076B06D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7.60%</w:t>
            </w:r>
          </w:p>
        </w:tc>
        <w:tc>
          <w:tcPr>
            <w:tcW w:w="1000" w:type="pct"/>
            <w:tcBorders>
              <w:top w:val="nil"/>
              <w:left w:val="nil"/>
              <w:bottom w:val="single" w:sz="4" w:space="0" w:color="auto"/>
              <w:right w:val="single" w:sz="4" w:space="0" w:color="auto"/>
            </w:tcBorders>
            <w:shd w:val="clear" w:color="auto" w:fill="auto"/>
            <w:vAlign w:val="bottom"/>
            <w:hideMark/>
          </w:tcPr>
          <w:p w14:paraId="2FF1FC1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85,683,079</w:t>
            </w:r>
          </w:p>
        </w:tc>
        <w:tc>
          <w:tcPr>
            <w:tcW w:w="1000" w:type="pct"/>
            <w:tcBorders>
              <w:top w:val="nil"/>
              <w:left w:val="nil"/>
              <w:bottom w:val="single" w:sz="4" w:space="0" w:color="auto"/>
              <w:right w:val="single" w:sz="4" w:space="0" w:color="auto"/>
            </w:tcBorders>
            <w:shd w:val="clear" w:color="auto" w:fill="auto"/>
            <w:vAlign w:val="bottom"/>
            <w:hideMark/>
          </w:tcPr>
          <w:p w14:paraId="715FADC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6.91%</w:t>
            </w:r>
          </w:p>
        </w:tc>
      </w:tr>
      <w:tr w:rsidR="006A523F" w:rsidRPr="006A523F" w14:paraId="7749D4D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83FB3B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&gt;80% &lt;=90%</w:t>
            </w:r>
          </w:p>
        </w:tc>
        <w:tc>
          <w:tcPr>
            <w:tcW w:w="1000" w:type="pct"/>
            <w:tcBorders>
              <w:top w:val="nil"/>
              <w:left w:val="nil"/>
              <w:bottom w:val="single" w:sz="4" w:space="0" w:color="auto"/>
              <w:right w:val="single" w:sz="4" w:space="0" w:color="auto"/>
            </w:tcBorders>
            <w:shd w:val="clear" w:color="auto" w:fill="auto"/>
            <w:vAlign w:val="bottom"/>
            <w:hideMark/>
          </w:tcPr>
          <w:p w14:paraId="6EDD8CE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14,800</w:t>
            </w:r>
          </w:p>
        </w:tc>
        <w:tc>
          <w:tcPr>
            <w:tcW w:w="1000" w:type="pct"/>
            <w:tcBorders>
              <w:top w:val="nil"/>
              <w:left w:val="nil"/>
              <w:bottom w:val="single" w:sz="4" w:space="0" w:color="auto"/>
              <w:right w:val="single" w:sz="4" w:space="0" w:color="auto"/>
            </w:tcBorders>
            <w:shd w:val="clear" w:color="auto" w:fill="auto"/>
            <w:vAlign w:val="bottom"/>
            <w:hideMark/>
          </w:tcPr>
          <w:p w14:paraId="4473609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22.27%</w:t>
            </w:r>
          </w:p>
        </w:tc>
        <w:tc>
          <w:tcPr>
            <w:tcW w:w="1000" w:type="pct"/>
            <w:tcBorders>
              <w:top w:val="nil"/>
              <w:left w:val="nil"/>
              <w:bottom w:val="single" w:sz="4" w:space="0" w:color="auto"/>
              <w:right w:val="single" w:sz="4" w:space="0" w:color="auto"/>
            </w:tcBorders>
            <w:shd w:val="clear" w:color="auto" w:fill="auto"/>
            <w:vAlign w:val="bottom"/>
            <w:hideMark/>
          </w:tcPr>
          <w:p w14:paraId="194C953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271,912,924</w:t>
            </w:r>
          </w:p>
        </w:tc>
        <w:tc>
          <w:tcPr>
            <w:tcW w:w="1000" w:type="pct"/>
            <w:tcBorders>
              <w:top w:val="nil"/>
              <w:left w:val="nil"/>
              <w:bottom w:val="single" w:sz="4" w:space="0" w:color="auto"/>
              <w:right w:val="single" w:sz="4" w:space="0" w:color="auto"/>
            </w:tcBorders>
            <w:shd w:val="clear" w:color="auto" w:fill="auto"/>
            <w:vAlign w:val="bottom"/>
            <w:hideMark/>
          </w:tcPr>
          <w:p w14:paraId="2A04053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21.93%</w:t>
            </w:r>
          </w:p>
        </w:tc>
      </w:tr>
      <w:tr w:rsidR="006A523F" w:rsidRPr="006A523F" w14:paraId="558DAB2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6773A9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&gt;90% &lt;=100%</w:t>
            </w:r>
          </w:p>
        </w:tc>
        <w:tc>
          <w:tcPr>
            <w:tcW w:w="1000" w:type="pct"/>
            <w:tcBorders>
              <w:top w:val="nil"/>
              <w:left w:val="nil"/>
              <w:bottom w:val="single" w:sz="4" w:space="0" w:color="auto"/>
              <w:right w:val="single" w:sz="4" w:space="0" w:color="auto"/>
            </w:tcBorders>
            <w:shd w:val="clear" w:color="auto" w:fill="auto"/>
            <w:vAlign w:val="bottom"/>
            <w:hideMark/>
          </w:tcPr>
          <w:p w14:paraId="070F575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44,796</w:t>
            </w:r>
          </w:p>
        </w:tc>
        <w:tc>
          <w:tcPr>
            <w:tcW w:w="1000" w:type="pct"/>
            <w:tcBorders>
              <w:top w:val="nil"/>
              <w:left w:val="nil"/>
              <w:bottom w:val="single" w:sz="4" w:space="0" w:color="auto"/>
              <w:right w:val="single" w:sz="4" w:space="0" w:color="auto"/>
            </w:tcBorders>
            <w:shd w:val="clear" w:color="auto" w:fill="auto"/>
            <w:vAlign w:val="bottom"/>
            <w:hideMark/>
          </w:tcPr>
          <w:p w14:paraId="7296B66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67.40%</w:t>
            </w:r>
          </w:p>
        </w:tc>
        <w:tc>
          <w:tcPr>
            <w:tcW w:w="1000" w:type="pct"/>
            <w:tcBorders>
              <w:top w:val="nil"/>
              <w:left w:val="nil"/>
              <w:bottom w:val="single" w:sz="4" w:space="0" w:color="auto"/>
              <w:right w:val="single" w:sz="4" w:space="0" w:color="auto"/>
            </w:tcBorders>
            <w:shd w:val="clear" w:color="auto" w:fill="auto"/>
            <w:vAlign w:val="bottom"/>
            <w:hideMark/>
          </w:tcPr>
          <w:p w14:paraId="1AE0EC7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855,924,164</w:t>
            </w:r>
          </w:p>
        </w:tc>
        <w:tc>
          <w:tcPr>
            <w:tcW w:w="1000" w:type="pct"/>
            <w:tcBorders>
              <w:top w:val="nil"/>
              <w:left w:val="nil"/>
              <w:bottom w:val="single" w:sz="4" w:space="0" w:color="auto"/>
              <w:right w:val="single" w:sz="4" w:space="0" w:color="auto"/>
            </w:tcBorders>
            <w:shd w:val="clear" w:color="auto" w:fill="auto"/>
            <w:vAlign w:val="bottom"/>
            <w:hideMark/>
          </w:tcPr>
          <w:p w14:paraId="41DCFAC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69.03%</w:t>
            </w:r>
          </w:p>
        </w:tc>
      </w:tr>
      <w:tr w:rsidR="006A523F" w:rsidRPr="006A523F" w14:paraId="1081167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6EC424D"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20B847D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58A98C2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7B71933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4F29C54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6496D47A" w14:textId="680EB710" w:rsidR="003C771F" w:rsidRDefault="003C771F" w:rsidP="000D0E23">
      <w:pPr>
        <w:pStyle w:val="Body1"/>
      </w:pPr>
    </w:p>
    <w:p w14:paraId="1791CDB0" w14:textId="77777777" w:rsidR="003C771F" w:rsidRDefault="003C771F">
      <w:r>
        <w:br w:type="page"/>
      </w:r>
    </w:p>
    <w:p w14:paraId="72DE7279" w14:textId="2385C29C" w:rsidR="000D0E23" w:rsidRPr="000D0E23" w:rsidRDefault="000D0E23" w:rsidP="000D0E23">
      <w:pPr>
        <w:pStyle w:val="Body1"/>
        <w:rPr>
          <w:b/>
          <w:bCs/>
        </w:rPr>
      </w:pPr>
      <w:r>
        <w:lastRenderedPageBreak/>
        <w:t>21.</w:t>
      </w:r>
      <w:r>
        <w:tab/>
      </w:r>
      <w:r>
        <w:rPr>
          <w:b/>
          <w:bCs/>
        </w:rPr>
        <w:t>Origination</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7EAC6657"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8FDE2"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Origination</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9B0AEF3"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A34970B"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E9330B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FC11E19"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0D12A95F"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6DF1FD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New 2021</w:t>
            </w:r>
          </w:p>
        </w:tc>
        <w:tc>
          <w:tcPr>
            <w:tcW w:w="1000" w:type="pct"/>
            <w:tcBorders>
              <w:top w:val="nil"/>
              <w:left w:val="nil"/>
              <w:bottom w:val="single" w:sz="4" w:space="0" w:color="auto"/>
              <w:right w:val="single" w:sz="4" w:space="0" w:color="auto"/>
            </w:tcBorders>
            <w:shd w:val="clear" w:color="auto" w:fill="auto"/>
            <w:vAlign w:val="bottom"/>
            <w:hideMark/>
          </w:tcPr>
          <w:p w14:paraId="28D4C42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264</w:t>
            </w:r>
          </w:p>
        </w:tc>
        <w:tc>
          <w:tcPr>
            <w:tcW w:w="1000" w:type="pct"/>
            <w:tcBorders>
              <w:top w:val="nil"/>
              <w:left w:val="nil"/>
              <w:bottom w:val="single" w:sz="4" w:space="0" w:color="auto"/>
              <w:right w:val="single" w:sz="4" w:space="0" w:color="auto"/>
            </w:tcBorders>
            <w:shd w:val="clear" w:color="auto" w:fill="auto"/>
            <w:vAlign w:val="bottom"/>
            <w:hideMark/>
          </w:tcPr>
          <w:p w14:paraId="0577137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0.40%</w:t>
            </w:r>
          </w:p>
        </w:tc>
        <w:tc>
          <w:tcPr>
            <w:tcW w:w="1000" w:type="pct"/>
            <w:tcBorders>
              <w:top w:val="nil"/>
              <w:left w:val="nil"/>
              <w:bottom w:val="single" w:sz="4" w:space="0" w:color="auto"/>
              <w:right w:val="single" w:sz="4" w:space="0" w:color="auto"/>
            </w:tcBorders>
            <w:shd w:val="clear" w:color="auto" w:fill="auto"/>
            <w:vAlign w:val="bottom"/>
            <w:hideMark/>
          </w:tcPr>
          <w:p w14:paraId="4431C41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3,500,381</w:t>
            </w:r>
          </w:p>
        </w:tc>
        <w:tc>
          <w:tcPr>
            <w:tcW w:w="1000" w:type="pct"/>
            <w:tcBorders>
              <w:top w:val="nil"/>
              <w:left w:val="nil"/>
              <w:bottom w:val="single" w:sz="4" w:space="0" w:color="auto"/>
              <w:right w:val="single" w:sz="4" w:space="0" w:color="auto"/>
            </w:tcBorders>
            <w:shd w:val="clear" w:color="auto" w:fill="auto"/>
            <w:vAlign w:val="bottom"/>
            <w:hideMark/>
          </w:tcPr>
          <w:p w14:paraId="443DAC9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0.28%</w:t>
            </w:r>
          </w:p>
        </w:tc>
      </w:tr>
      <w:tr w:rsidR="006A523F" w:rsidRPr="006A523F" w14:paraId="31F1203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FF861C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New 2022</w:t>
            </w:r>
          </w:p>
        </w:tc>
        <w:tc>
          <w:tcPr>
            <w:tcW w:w="1000" w:type="pct"/>
            <w:tcBorders>
              <w:top w:val="nil"/>
              <w:left w:val="nil"/>
              <w:bottom w:val="single" w:sz="4" w:space="0" w:color="auto"/>
              <w:right w:val="single" w:sz="4" w:space="0" w:color="auto"/>
            </w:tcBorders>
            <w:shd w:val="clear" w:color="auto" w:fill="auto"/>
            <w:vAlign w:val="bottom"/>
            <w:hideMark/>
          </w:tcPr>
          <w:p w14:paraId="16CCC97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8,140</w:t>
            </w:r>
          </w:p>
        </w:tc>
        <w:tc>
          <w:tcPr>
            <w:tcW w:w="1000" w:type="pct"/>
            <w:tcBorders>
              <w:top w:val="nil"/>
              <w:left w:val="nil"/>
              <w:bottom w:val="single" w:sz="4" w:space="0" w:color="auto"/>
              <w:right w:val="single" w:sz="4" w:space="0" w:color="auto"/>
            </w:tcBorders>
            <w:shd w:val="clear" w:color="auto" w:fill="auto"/>
            <w:vAlign w:val="bottom"/>
            <w:hideMark/>
          </w:tcPr>
          <w:p w14:paraId="4959CBD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12.25%</w:t>
            </w:r>
          </w:p>
        </w:tc>
        <w:tc>
          <w:tcPr>
            <w:tcW w:w="1000" w:type="pct"/>
            <w:tcBorders>
              <w:top w:val="nil"/>
              <w:left w:val="nil"/>
              <w:bottom w:val="single" w:sz="4" w:space="0" w:color="auto"/>
              <w:right w:val="single" w:sz="4" w:space="0" w:color="auto"/>
            </w:tcBorders>
            <w:shd w:val="clear" w:color="auto" w:fill="auto"/>
            <w:vAlign w:val="bottom"/>
            <w:hideMark/>
          </w:tcPr>
          <w:p w14:paraId="14ED1F3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134,227,036</w:t>
            </w:r>
          </w:p>
        </w:tc>
        <w:tc>
          <w:tcPr>
            <w:tcW w:w="1000" w:type="pct"/>
            <w:tcBorders>
              <w:top w:val="nil"/>
              <w:left w:val="nil"/>
              <w:bottom w:val="single" w:sz="4" w:space="0" w:color="auto"/>
              <w:right w:val="single" w:sz="4" w:space="0" w:color="auto"/>
            </w:tcBorders>
            <w:shd w:val="clear" w:color="auto" w:fill="auto"/>
            <w:vAlign w:val="bottom"/>
            <w:hideMark/>
          </w:tcPr>
          <w:p w14:paraId="67D3585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10.82%</w:t>
            </w:r>
          </w:p>
        </w:tc>
      </w:tr>
      <w:tr w:rsidR="006A523F" w:rsidRPr="006A523F" w14:paraId="7548242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A6E3F5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New 2023</w:t>
            </w:r>
          </w:p>
        </w:tc>
        <w:tc>
          <w:tcPr>
            <w:tcW w:w="1000" w:type="pct"/>
            <w:tcBorders>
              <w:top w:val="nil"/>
              <w:left w:val="nil"/>
              <w:bottom w:val="single" w:sz="4" w:space="0" w:color="auto"/>
              <w:right w:val="single" w:sz="4" w:space="0" w:color="auto"/>
            </w:tcBorders>
            <w:shd w:val="clear" w:color="auto" w:fill="auto"/>
            <w:vAlign w:val="bottom"/>
            <w:hideMark/>
          </w:tcPr>
          <w:p w14:paraId="4281BB0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13,828</w:t>
            </w:r>
          </w:p>
        </w:tc>
        <w:tc>
          <w:tcPr>
            <w:tcW w:w="1000" w:type="pct"/>
            <w:tcBorders>
              <w:top w:val="nil"/>
              <w:left w:val="nil"/>
              <w:bottom w:val="single" w:sz="4" w:space="0" w:color="auto"/>
              <w:right w:val="single" w:sz="4" w:space="0" w:color="auto"/>
            </w:tcBorders>
            <w:shd w:val="clear" w:color="auto" w:fill="auto"/>
            <w:vAlign w:val="bottom"/>
            <w:hideMark/>
          </w:tcPr>
          <w:p w14:paraId="05F02EF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20.81%</w:t>
            </w:r>
          </w:p>
        </w:tc>
        <w:tc>
          <w:tcPr>
            <w:tcW w:w="1000" w:type="pct"/>
            <w:tcBorders>
              <w:top w:val="nil"/>
              <w:left w:val="nil"/>
              <w:bottom w:val="single" w:sz="4" w:space="0" w:color="auto"/>
              <w:right w:val="single" w:sz="4" w:space="0" w:color="auto"/>
            </w:tcBorders>
            <w:shd w:val="clear" w:color="auto" w:fill="auto"/>
            <w:vAlign w:val="bottom"/>
            <w:hideMark/>
          </w:tcPr>
          <w:p w14:paraId="6A46A18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264,585,554</w:t>
            </w:r>
          </w:p>
        </w:tc>
        <w:tc>
          <w:tcPr>
            <w:tcW w:w="1000" w:type="pct"/>
            <w:tcBorders>
              <w:top w:val="nil"/>
              <w:left w:val="nil"/>
              <w:bottom w:val="single" w:sz="4" w:space="0" w:color="auto"/>
              <w:right w:val="single" w:sz="4" w:space="0" w:color="auto"/>
            </w:tcBorders>
            <w:shd w:val="clear" w:color="auto" w:fill="auto"/>
            <w:vAlign w:val="bottom"/>
            <w:hideMark/>
          </w:tcPr>
          <w:p w14:paraId="32AEC1A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21.34%</w:t>
            </w:r>
          </w:p>
        </w:tc>
      </w:tr>
      <w:tr w:rsidR="006A523F" w:rsidRPr="006A523F" w14:paraId="10BFB89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BA0732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New 2024</w:t>
            </w:r>
          </w:p>
        </w:tc>
        <w:tc>
          <w:tcPr>
            <w:tcW w:w="1000" w:type="pct"/>
            <w:tcBorders>
              <w:top w:val="nil"/>
              <w:left w:val="nil"/>
              <w:bottom w:val="single" w:sz="4" w:space="0" w:color="auto"/>
              <w:right w:val="single" w:sz="4" w:space="0" w:color="auto"/>
            </w:tcBorders>
            <w:shd w:val="clear" w:color="auto" w:fill="auto"/>
            <w:vAlign w:val="bottom"/>
            <w:hideMark/>
          </w:tcPr>
          <w:p w14:paraId="056F01A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19,544</w:t>
            </w:r>
          </w:p>
        </w:tc>
        <w:tc>
          <w:tcPr>
            <w:tcW w:w="1000" w:type="pct"/>
            <w:tcBorders>
              <w:top w:val="nil"/>
              <w:left w:val="nil"/>
              <w:bottom w:val="single" w:sz="4" w:space="0" w:color="auto"/>
              <w:right w:val="single" w:sz="4" w:space="0" w:color="auto"/>
            </w:tcBorders>
            <w:shd w:val="clear" w:color="auto" w:fill="auto"/>
            <w:vAlign w:val="bottom"/>
            <w:hideMark/>
          </w:tcPr>
          <w:p w14:paraId="0EA0279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29.41%</w:t>
            </w:r>
          </w:p>
        </w:tc>
        <w:tc>
          <w:tcPr>
            <w:tcW w:w="1000" w:type="pct"/>
            <w:tcBorders>
              <w:top w:val="nil"/>
              <w:left w:val="nil"/>
              <w:bottom w:val="single" w:sz="4" w:space="0" w:color="auto"/>
              <w:right w:val="single" w:sz="4" w:space="0" w:color="auto"/>
            </w:tcBorders>
            <w:shd w:val="clear" w:color="auto" w:fill="auto"/>
            <w:vAlign w:val="bottom"/>
            <w:hideMark/>
          </w:tcPr>
          <w:p w14:paraId="311B61E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389,879,089</w:t>
            </w:r>
          </w:p>
        </w:tc>
        <w:tc>
          <w:tcPr>
            <w:tcW w:w="1000" w:type="pct"/>
            <w:tcBorders>
              <w:top w:val="nil"/>
              <w:left w:val="nil"/>
              <w:bottom w:val="single" w:sz="4" w:space="0" w:color="auto"/>
              <w:right w:val="single" w:sz="4" w:space="0" w:color="auto"/>
            </w:tcBorders>
            <w:shd w:val="clear" w:color="auto" w:fill="auto"/>
            <w:vAlign w:val="bottom"/>
            <w:hideMark/>
          </w:tcPr>
          <w:p w14:paraId="0287046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31.44%</w:t>
            </w:r>
          </w:p>
        </w:tc>
      </w:tr>
      <w:tr w:rsidR="006A523F" w:rsidRPr="006A523F" w14:paraId="1F9810C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619009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New 2025</w:t>
            </w:r>
          </w:p>
        </w:tc>
        <w:tc>
          <w:tcPr>
            <w:tcW w:w="1000" w:type="pct"/>
            <w:tcBorders>
              <w:top w:val="nil"/>
              <w:left w:val="nil"/>
              <w:bottom w:val="single" w:sz="4" w:space="0" w:color="auto"/>
              <w:right w:val="single" w:sz="4" w:space="0" w:color="auto"/>
            </w:tcBorders>
            <w:shd w:val="clear" w:color="auto" w:fill="auto"/>
            <w:vAlign w:val="bottom"/>
            <w:hideMark/>
          </w:tcPr>
          <w:p w14:paraId="2837ED1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3,627</w:t>
            </w:r>
          </w:p>
        </w:tc>
        <w:tc>
          <w:tcPr>
            <w:tcW w:w="1000" w:type="pct"/>
            <w:tcBorders>
              <w:top w:val="nil"/>
              <w:left w:val="nil"/>
              <w:bottom w:val="single" w:sz="4" w:space="0" w:color="auto"/>
              <w:right w:val="single" w:sz="4" w:space="0" w:color="auto"/>
            </w:tcBorders>
            <w:shd w:val="clear" w:color="auto" w:fill="auto"/>
            <w:vAlign w:val="bottom"/>
            <w:hideMark/>
          </w:tcPr>
          <w:p w14:paraId="048F04C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5.46%</w:t>
            </w:r>
          </w:p>
        </w:tc>
        <w:tc>
          <w:tcPr>
            <w:tcW w:w="1000" w:type="pct"/>
            <w:tcBorders>
              <w:top w:val="nil"/>
              <w:left w:val="nil"/>
              <w:bottom w:val="single" w:sz="4" w:space="0" w:color="auto"/>
              <w:right w:val="single" w:sz="4" w:space="0" w:color="auto"/>
            </w:tcBorders>
            <w:shd w:val="clear" w:color="auto" w:fill="auto"/>
            <w:vAlign w:val="bottom"/>
            <w:hideMark/>
          </w:tcPr>
          <w:p w14:paraId="7DB6874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79,180,899</w:t>
            </w:r>
          </w:p>
        </w:tc>
        <w:tc>
          <w:tcPr>
            <w:tcW w:w="1000" w:type="pct"/>
            <w:tcBorders>
              <w:top w:val="nil"/>
              <w:left w:val="nil"/>
              <w:bottom w:val="single" w:sz="4" w:space="0" w:color="auto"/>
              <w:right w:val="single" w:sz="4" w:space="0" w:color="auto"/>
            </w:tcBorders>
            <w:shd w:val="clear" w:color="auto" w:fill="auto"/>
            <w:vAlign w:val="bottom"/>
            <w:hideMark/>
          </w:tcPr>
          <w:p w14:paraId="5E7091D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6.39%</w:t>
            </w:r>
          </w:p>
        </w:tc>
      </w:tr>
      <w:tr w:rsidR="006A523F" w:rsidRPr="006A523F" w14:paraId="1D06F68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7C80E5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 2020</w:t>
            </w:r>
          </w:p>
        </w:tc>
        <w:tc>
          <w:tcPr>
            <w:tcW w:w="1000" w:type="pct"/>
            <w:tcBorders>
              <w:top w:val="nil"/>
              <w:left w:val="nil"/>
              <w:bottom w:val="single" w:sz="4" w:space="0" w:color="auto"/>
              <w:right w:val="single" w:sz="4" w:space="0" w:color="auto"/>
            </w:tcBorders>
            <w:shd w:val="clear" w:color="auto" w:fill="auto"/>
            <w:vAlign w:val="bottom"/>
            <w:hideMark/>
          </w:tcPr>
          <w:p w14:paraId="40DBD37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w:t>
            </w:r>
          </w:p>
        </w:tc>
        <w:tc>
          <w:tcPr>
            <w:tcW w:w="1000" w:type="pct"/>
            <w:tcBorders>
              <w:top w:val="nil"/>
              <w:left w:val="nil"/>
              <w:bottom w:val="single" w:sz="4" w:space="0" w:color="auto"/>
              <w:right w:val="single" w:sz="4" w:space="0" w:color="auto"/>
            </w:tcBorders>
            <w:shd w:val="clear" w:color="auto" w:fill="auto"/>
            <w:vAlign w:val="bottom"/>
            <w:hideMark/>
          </w:tcPr>
          <w:p w14:paraId="4C4D23B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c>
          <w:tcPr>
            <w:tcW w:w="1000" w:type="pct"/>
            <w:tcBorders>
              <w:top w:val="nil"/>
              <w:left w:val="nil"/>
              <w:bottom w:val="single" w:sz="4" w:space="0" w:color="auto"/>
              <w:right w:val="single" w:sz="4" w:space="0" w:color="auto"/>
            </w:tcBorders>
            <w:shd w:val="clear" w:color="auto" w:fill="auto"/>
            <w:vAlign w:val="bottom"/>
            <w:hideMark/>
          </w:tcPr>
          <w:p w14:paraId="46613F3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13,777</w:t>
            </w:r>
          </w:p>
        </w:tc>
        <w:tc>
          <w:tcPr>
            <w:tcW w:w="1000" w:type="pct"/>
            <w:tcBorders>
              <w:top w:val="nil"/>
              <w:left w:val="nil"/>
              <w:bottom w:val="single" w:sz="4" w:space="0" w:color="auto"/>
              <w:right w:val="single" w:sz="4" w:space="0" w:color="auto"/>
            </w:tcBorders>
            <w:shd w:val="clear" w:color="auto" w:fill="auto"/>
            <w:vAlign w:val="bottom"/>
            <w:hideMark/>
          </w:tcPr>
          <w:p w14:paraId="1BC2D8E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0.00%</w:t>
            </w:r>
          </w:p>
        </w:tc>
      </w:tr>
      <w:tr w:rsidR="006A523F" w:rsidRPr="006A523F" w14:paraId="6128443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F2D254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 2021</w:t>
            </w:r>
          </w:p>
        </w:tc>
        <w:tc>
          <w:tcPr>
            <w:tcW w:w="1000" w:type="pct"/>
            <w:tcBorders>
              <w:top w:val="nil"/>
              <w:left w:val="nil"/>
              <w:bottom w:val="single" w:sz="4" w:space="0" w:color="auto"/>
              <w:right w:val="single" w:sz="4" w:space="0" w:color="auto"/>
            </w:tcBorders>
            <w:shd w:val="clear" w:color="auto" w:fill="auto"/>
            <w:vAlign w:val="bottom"/>
            <w:hideMark/>
          </w:tcPr>
          <w:p w14:paraId="71FC45D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107</w:t>
            </w:r>
          </w:p>
        </w:tc>
        <w:tc>
          <w:tcPr>
            <w:tcW w:w="1000" w:type="pct"/>
            <w:tcBorders>
              <w:top w:val="nil"/>
              <w:left w:val="nil"/>
              <w:bottom w:val="single" w:sz="4" w:space="0" w:color="auto"/>
              <w:right w:val="single" w:sz="4" w:space="0" w:color="auto"/>
            </w:tcBorders>
            <w:shd w:val="clear" w:color="auto" w:fill="auto"/>
            <w:vAlign w:val="bottom"/>
            <w:hideMark/>
          </w:tcPr>
          <w:p w14:paraId="761077F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0.16%</w:t>
            </w:r>
          </w:p>
        </w:tc>
        <w:tc>
          <w:tcPr>
            <w:tcW w:w="1000" w:type="pct"/>
            <w:tcBorders>
              <w:top w:val="nil"/>
              <w:left w:val="nil"/>
              <w:bottom w:val="single" w:sz="4" w:space="0" w:color="auto"/>
              <w:right w:val="single" w:sz="4" w:space="0" w:color="auto"/>
            </w:tcBorders>
            <w:shd w:val="clear" w:color="auto" w:fill="auto"/>
            <w:vAlign w:val="bottom"/>
            <w:hideMark/>
          </w:tcPr>
          <w:p w14:paraId="70D7FCF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1,022,794</w:t>
            </w:r>
          </w:p>
        </w:tc>
        <w:tc>
          <w:tcPr>
            <w:tcW w:w="1000" w:type="pct"/>
            <w:tcBorders>
              <w:top w:val="nil"/>
              <w:left w:val="nil"/>
              <w:bottom w:val="single" w:sz="4" w:space="0" w:color="auto"/>
              <w:right w:val="single" w:sz="4" w:space="0" w:color="auto"/>
            </w:tcBorders>
            <w:shd w:val="clear" w:color="auto" w:fill="auto"/>
            <w:vAlign w:val="bottom"/>
            <w:hideMark/>
          </w:tcPr>
          <w:p w14:paraId="290FE09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0.08%</w:t>
            </w:r>
          </w:p>
        </w:tc>
      </w:tr>
      <w:tr w:rsidR="006A523F" w:rsidRPr="006A523F" w14:paraId="7302DD1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0CCFA3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 2022</w:t>
            </w:r>
          </w:p>
        </w:tc>
        <w:tc>
          <w:tcPr>
            <w:tcW w:w="1000" w:type="pct"/>
            <w:tcBorders>
              <w:top w:val="nil"/>
              <w:left w:val="nil"/>
              <w:bottom w:val="single" w:sz="4" w:space="0" w:color="auto"/>
              <w:right w:val="single" w:sz="4" w:space="0" w:color="auto"/>
            </w:tcBorders>
            <w:shd w:val="clear" w:color="auto" w:fill="auto"/>
            <w:vAlign w:val="bottom"/>
            <w:hideMark/>
          </w:tcPr>
          <w:p w14:paraId="32A912B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1,296</w:t>
            </w:r>
          </w:p>
        </w:tc>
        <w:tc>
          <w:tcPr>
            <w:tcW w:w="1000" w:type="pct"/>
            <w:tcBorders>
              <w:top w:val="nil"/>
              <w:left w:val="nil"/>
              <w:bottom w:val="single" w:sz="4" w:space="0" w:color="auto"/>
              <w:right w:val="single" w:sz="4" w:space="0" w:color="auto"/>
            </w:tcBorders>
            <w:shd w:val="clear" w:color="auto" w:fill="auto"/>
            <w:vAlign w:val="bottom"/>
            <w:hideMark/>
          </w:tcPr>
          <w:p w14:paraId="1B3EAE9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1.95%</w:t>
            </w:r>
          </w:p>
        </w:tc>
        <w:tc>
          <w:tcPr>
            <w:tcW w:w="1000" w:type="pct"/>
            <w:tcBorders>
              <w:top w:val="nil"/>
              <w:left w:val="nil"/>
              <w:bottom w:val="single" w:sz="4" w:space="0" w:color="auto"/>
              <w:right w:val="single" w:sz="4" w:space="0" w:color="auto"/>
            </w:tcBorders>
            <w:shd w:val="clear" w:color="auto" w:fill="auto"/>
            <w:vAlign w:val="bottom"/>
            <w:hideMark/>
          </w:tcPr>
          <w:p w14:paraId="4EBBFF9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19,306,549</w:t>
            </w:r>
          </w:p>
        </w:tc>
        <w:tc>
          <w:tcPr>
            <w:tcW w:w="1000" w:type="pct"/>
            <w:tcBorders>
              <w:top w:val="nil"/>
              <w:left w:val="nil"/>
              <w:bottom w:val="single" w:sz="4" w:space="0" w:color="auto"/>
              <w:right w:val="single" w:sz="4" w:space="0" w:color="auto"/>
            </w:tcBorders>
            <w:shd w:val="clear" w:color="auto" w:fill="auto"/>
            <w:vAlign w:val="bottom"/>
            <w:hideMark/>
          </w:tcPr>
          <w:p w14:paraId="1D48201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1.56%</w:t>
            </w:r>
          </w:p>
        </w:tc>
      </w:tr>
      <w:tr w:rsidR="006A523F" w:rsidRPr="006A523F" w14:paraId="29D40A4E"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FE91FB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 2023</w:t>
            </w:r>
          </w:p>
        </w:tc>
        <w:tc>
          <w:tcPr>
            <w:tcW w:w="1000" w:type="pct"/>
            <w:tcBorders>
              <w:top w:val="nil"/>
              <w:left w:val="nil"/>
              <w:bottom w:val="single" w:sz="4" w:space="0" w:color="auto"/>
              <w:right w:val="single" w:sz="4" w:space="0" w:color="auto"/>
            </w:tcBorders>
            <w:shd w:val="clear" w:color="auto" w:fill="auto"/>
            <w:vAlign w:val="bottom"/>
            <w:hideMark/>
          </w:tcPr>
          <w:p w14:paraId="3D7361B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8,331</w:t>
            </w:r>
          </w:p>
        </w:tc>
        <w:tc>
          <w:tcPr>
            <w:tcW w:w="1000" w:type="pct"/>
            <w:tcBorders>
              <w:top w:val="nil"/>
              <w:left w:val="nil"/>
              <w:bottom w:val="single" w:sz="4" w:space="0" w:color="auto"/>
              <w:right w:val="single" w:sz="4" w:space="0" w:color="auto"/>
            </w:tcBorders>
            <w:shd w:val="clear" w:color="auto" w:fill="auto"/>
            <w:vAlign w:val="bottom"/>
            <w:hideMark/>
          </w:tcPr>
          <w:p w14:paraId="0E786AF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12.53%</w:t>
            </w:r>
          </w:p>
        </w:tc>
        <w:tc>
          <w:tcPr>
            <w:tcW w:w="1000" w:type="pct"/>
            <w:tcBorders>
              <w:top w:val="nil"/>
              <w:left w:val="nil"/>
              <w:bottom w:val="single" w:sz="4" w:space="0" w:color="auto"/>
              <w:right w:val="single" w:sz="4" w:space="0" w:color="auto"/>
            </w:tcBorders>
            <w:shd w:val="clear" w:color="auto" w:fill="auto"/>
            <w:vAlign w:val="bottom"/>
            <w:hideMark/>
          </w:tcPr>
          <w:p w14:paraId="3CAC7C7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140,146,487</w:t>
            </w:r>
          </w:p>
        </w:tc>
        <w:tc>
          <w:tcPr>
            <w:tcW w:w="1000" w:type="pct"/>
            <w:tcBorders>
              <w:top w:val="nil"/>
              <w:left w:val="nil"/>
              <w:bottom w:val="single" w:sz="4" w:space="0" w:color="auto"/>
              <w:right w:val="single" w:sz="4" w:space="0" w:color="auto"/>
            </w:tcBorders>
            <w:shd w:val="clear" w:color="auto" w:fill="auto"/>
            <w:vAlign w:val="bottom"/>
            <w:hideMark/>
          </w:tcPr>
          <w:p w14:paraId="4030C3C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11.30%</w:t>
            </w:r>
          </w:p>
        </w:tc>
      </w:tr>
      <w:tr w:rsidR="006A523F" w:rsidRPr="006A523F" w14:paraId="2AEA8D3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69C17B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 2024</w:t>
            </w:r>
          </w:p>
        </w:tc>
        <w:tc>
          <w:tcPr>
            <w:tcW w:w="1000" w:type="pct"/>
            <w:tcBorders>
              <w:top w:val="nil"/>
              <w:left w:val="nil"/>
              <w:bottom w:val="single" w:sz="4" w:space="0" w:color="auto"/>
              <w:right w:val="single" w:sz="4" w:space="0" w:color="auto"/>
            </w:tcBorders>
            <w:shd w:val="clear" w:color="auto" w:fill="auto"/>
            <w:vAlign w:val="bottom"/>
            <w:hideMark/>
          </w:tcPr>
          <w:p w14:paraId="6D46CF5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9,675</w:t>
            </w:r>
          </w:p>
        </w:tc>
        <w:tc>
          <w:tcPr>
            <w:tcW w:w="1000" w:type="pct"/>
            <w:tcBorders>
              <w:top w:val="nil"/>
              <w:left w:val="nil"/>
              <w:bottom w:val="single" w:sz="4" w:space="0" w:color="auto"/>
              <w:right w:val="single" w:sz="4" w:space="0" w:color="auto"/>
            </w:tcBorders>
            <w:shd w:val="clear" w:color="auto" w:fill="auto"/>
            <w:vAlign w:val="bottom"/>
            <w:hideMark/>
          </w:tcPr>
          <w:p w14:paraId="508C890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14.56%</w:t>
            </w:r>
          </w:p>
        </w:tc>
        <w:tc>
          <w:tcPr>
            <w:tcW w:w="1000" w:type="pct"/>
            <w:tcBorders>
              <w:top w:val="nil"/>
              <w:left w:val="nil"/>
              <w:bottom w:val="single" w:sz="4" w:space="0" w:color="auto"/>
              <w:right w:val="single" w:sz="4" w:space="0" w:color="auto"/>
            </w:tcBorders>
            <w:shd w:val="clear" w:color="auto" w:fill="auto"/>
            <w:vAlign w:val="bottom"/>
            <w:hideMark/>
          </w:tcPr>
          <w:p w14:paraId="3A72B92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175,892,867</w:t>
            </w:r>
          </w:p>
        </w:tc>
        <w:tc>
          <w:tcPr>
            <w:tcW w:w="1000" w:type="pct"/>
            <w:tcBorders>
              <w:top w:val="nil"/>
              <w:left w:val="nil"/>
              <w:bottom w:val="single" w:sz="4" w:space="0" w:color="auto"/>
              <w:right w:val="single" w:sz="4" w:space="0" w:color="auto"/>
            </w:tcBorders>
            <w:shd w:val="clear" w:color="auto" w:fill="auto"/>
            <w:vAlign w:val="bottom"/>
            <w:hideMark/>
          </w:tcPr>
          <w:p w14:paraId="5E34CEB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14.18%</w:t>
            </w:r>
          </w:p>
        </w:tc>
      </w:tr>
      <w:tr w:rsidR="006A523F" w:rsidRPr="006A523F" w14:paraId="6404C1A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337FE7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Used 2025</w:t>
            </w:r>
          </w:p>
        </w:tc>
        <w:tc>
          <w:tcPr>
            <w:tcW w:w="1000" w:type="pct"/>
            <w:tcBorders>
              <w:top w:val="nil"/>
              <w:left w:val="nil"/>
              <w:bottom w:val="single" w:sz="4" w:space="0" w:color="auto"/>
              <w:right w:val="single" w:sz="4" w:space="0" w:color="auto"/>
            </w:tcBorders>
            <w:shd w:val="clear" w:color="auto" w:fill="auto"/>
            <w:vAlign w:val="bottom"/>
            <w:hideMark/>
          </w:tcPr>
          <w:p w14:paraId="162A481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1,650</w:t>
            </w:r>
          </w:p>
        </w:tc>
        <w:tc>
          <w:tcPr>
            <w:tcW w:w="1000" w:type="pct"/>
            <w:tcBorders>
              <w:top w:val="nil"/>
              <w:left w:val="nil"/>
              <w:bottom w:val="single" w:sz="4" w:space="0" w:color="auto"/>
              <w:right w:val="single" w:sz="4" w:space="0" w:color="auto"/>
            </w:tcBorders>
            <w:shd w:val="clear" w:color="auto" w:fill="auto"/>
            <w:vAlign w:val="bottom"/>
            <w:hideMark/>
          </w:tcPr>
          <w:p w14:paraId="6F1C75E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2.48%</w:t>
            </w:r>
          </w:p>
        </w:tc>
        <w:tc>
          <w:tcPr>
            <w:tcW w:w="1000" w:type="pct"/>
            <w:tcBorders>
              <w:top w:val="nil"/>
              <w:left w:val="nil"/>
              <w:bottom w:val="single" w:sz="4" w:space="0" w:color="auto"/>
              <w:right w:val="single" w:sz="4" w:space="0" w:color="auto"/>
            </w:tcBorders>
            <w:shd w:val="clear" w:color="auto" w:fill="auto"/>
            <w:vAlign w:val="bottom"/>
            <w:hideMark/>
          </w:tcPr>
          <w:p w14:paraId="31E4A7D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32,241,617</w:t>
            </w:r>
          </w:p>
        </w:tc>
        <w:tc>
          <w:tcPr>
            <w:tcW w:w="1000" w:type="pct"/>
            <w:tcBorders>
              <w:top w:val="nil"/>
              <w:left w:val="nil"/>
              <w:bottom w:val="single" w:sz="4" w:space="0" w:color="auto"/>
              <w:right w:val="single" w:sz="4" w:space="0" w:color="auto"/>
            </w:tcBorders>
            <w:shd w:val="clear" w:color="auto" w:fill="auto"/>
            <w:vAlign w:val="bottom"/>
            <w:hideMark/>
          </w:tcPr>
          <w:p w14:paraId="2C08ADE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2.60%</w:t>
            </w:r>
          </w:p>
        </w:tc>
      </w:tr>
      <w:tr w:rsidR="006A523F" w:rsidRPr="006A523F" w14:paraId="09CDB3F6"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586D142"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4016886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3B7C80F5"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326C1C29"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78810C9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196F55C1" w14:textId="77777777" w:rsidR="000D0E23" w:rsidRDefault="000D0E23" w:rsidP="000D0E23">
      <w:pPr>
        <w:pStyle w:val="Body1"/>
      </w:pPr>
    </w:p>
    <w:p w14:paraId="699A5BD7" w14:textId="0F654BF0" w:rsidR="000D0E23" w:rsidRPr="000D0E23" w:rsidRDefault="000D0E23" w:rsidP="000D0E23">
      <w:pPr>
        <w:pStyle w:val="Body1"/>
        <w:rPr>
          <w:b/>
          <w:bCs/>
        </w:rPr>
      </w:pPr>
      <w:r>
        <w:t>22.</w:t>
      </w:r>
      <w:r>
        <w:tab/>
      </w:r>
      <w:r>
        <w:rPr>
          <w:b/>
          <w:bCs/>
        </w:rPr>
        <w:t>Year of First Registration</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1F54762E"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350FC"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Year of First Registration</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0B6CC2F"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FC3EB7C"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A2DC7AB"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951B9E0"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556306B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646983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2017</w:t>
            </w:r>
          </w:p>
        </w:tc>
        <w:tc>
          <w:tcPr>
            <w:tcW w:w="1000" w:type="pct"/>
            <w:tcBorders>
              <w:top w:val="nil"/>
              <w:left w:val="nil"/>
              <w:bottom w:val="single" w:sz="4" w:space="0" w:color="auto"/>
              <w:right w:val="single" w:sz="4" w:space="0" w:color="auto"/>
            </w:tcBorders>
            <w:shd w:val="clear" w:color="auto" w:fill="auto"/>
            <w:vAlign w:val="bottom"/>
            <w:hideMark/>
          </w:tcPr>
          <w:p w14:paraId="5D49E66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w:t>
            </w:r>
          </w:p>
        </w:tc>
        <w:tc>
          <w:tcPr>
            <w:tcW w:w="1000" w:type="pct"/>
            <w:tcBorders>
              <w:top w:val="nil"/>
              <w:left w:val="nil"/>
              <w:bottom w:val="single" w:sz="4" w:space="0" w:color="auto"/>
              <w:right w:val="single" w:sz="4" w:space="0" w:color="auto"/>
            </w:tcBorders>
            <w:shd w:val="clear" w:color="auto" w:fill="auto"/>
            <w:vAlign w:val="bottom"/>
            <w:hideMark/>
          </w:tcPr>
          <w:p w14:paraId="771892E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0.02%</w:t>
            </w:r>
          </w:p>
        </w:tc>
        <w:tc>
          <w:tcPr>
            <w:tcW w:w="1000" w:type="pct"/>
            <w:tcBorders>
              <w:top w:val="nil"/>
              <w:left w:val="nil"/>
              <w:bottom w:val="single" w:sz="4" w:space="0" w:color="auto"/>
              <w:right w:val="single" w:sz="4" w:space="0" w:color="auto"/>
            </w:tcBorders>
            <w:shd w:val="clear" w:color="auto" w:fill="auto"/>
            <w:vAlign w:val="bottom"/>
            <w:hideMark/>
          </w:tcPr>
          <w:p w14:paraId="04C9469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74,662</w:t>
            </w:r>
          </w:p>
        </w:tc>
        <w:tc>
          <w:tcPr>
            <w:tcW w:w="1000" w:type="pct"/>
            <w:tcBorders>
              <w:top w:val="nil"/>
              <w:left w:val="nil"/>
              <w:bottom w:val="single" w:sz="4" w:space="0" w:color="auto"/>
              <w:right w:val="single" w:sz="4" w:space="0" w:color="auto"/>
            </w:tcBorders>
            <w:shd w:val="clear" w:color="auto" w:fill="auto"/>
            <w:vAlign w:val="bottom"/>
            <w:hideMark/>
          </w:tcPr>
          <w:p w14:paraId="38A60D8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0.01%</w:t>
            </w:r>
          </w:p>
        </w:tc>
      </w:tr>
      <w:tr w:rsidR="006A523F" w:rsidRPr="006A523F" w14:paraId="4F8147EA"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3052CD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2018</w:t>
            </w:r>
          </w:p>
        </w:tc>
        <w:tc>
          <w:tcPr>
            <w:tcW w:w="1000" w:type="pct"/>
            <w:tcBorders>
              <w:top w:val="nil"/>
              <w:left w:val="nil"/>
              <w:bottom w:val="single" w:sz="4" w:space="0" w:color="auto"/>
              <w:right w:val="single" w:sz="4" w:space="0" w:color="auto"/>
            </w:tcBorders>
            <w:shd w:val="clear" w:color="auto" w:fill="auto"/>
            <w:vAlign w:val="bottom"/>
            <w:hideMark/>
          </w:tcPr>
          <w:p w14:paraId="0895FAD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126</w:t>
            </w:r>
          </w:p>
        </w:tc>
        <w:tc>
          <w:tcPr>
            <w:tcW w:w="1000" w:type="pct"/>
            <w:tcBorders>
              <w:top w:val="nil"/>
              <w:left w:val="nil"/>
              <w:bottom w:val="single" w:sz="4" w:space="0" w:color="auto"/>
              <w:right w:val="single" w:sz="4" w:space="0" w:color="auto"/>
            </w:tcBorders>
            <w:shd w:val="clear" w:color="auto" w:fill="auto"/>
            <w:vAlign w:val="bottom"/>
            <w:hideMark/>
          </w:tcPr>
          <w:p w14:paraId="7CC4CF9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0.19%</w:t>
            </w:r>
          </w:p>
        </w:tc>
        <w:tc>
          <w:tcPr>
            <w:tcW w:w="1000" w:type="pct"/>
            <w:tcBorders>
              <w:top w:val="nil"/>
              <w:left w:val="nil"/>
              <w:bottom w:val="single" w:sz="4" w:space="0" w:color="auto"/>
              <w:right w:val="single" w:sz="4" w:space="0" w:color="auto"/>
            </w:tcBorders>
            <w:shd w:val="clear" w:color="auto" w:fill="auto"/>
            <w:vAlign w:val="bottom"/>
            <w:hideMark/>
          </w:tcPr>
          <w:p w14:paraId="255BAFC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840,486</w:t>
            </w:r>
          </w:p>
        </w:tc>
        <w:tc>
          <w:tcPr>
            <w:tcW w:w="1000" w:type="pct"/>
            <w:tcBorders>
              <w:top w:val="nil"/>
              <w:left w:val="nil"/>
              <w:bottom w:val="single" w:sz="4" w:space="0" w:color="auto"/>
              <w:right w:val="single" w:sz="4" w:space="0" w:color="auto"/>
            </w:tcBorders>
            <w:shd w:val="clear" w:color="auto" w:fill="auto"/>
            <w:vAlign w:val="bottom"/>
            <w:hideMark/>
          </w:tcPr>
          <w:p w14:paraId="4972ADC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0.07%</w:t>
            </w:r>
          </w:p>
        </w:tc>
      </w:tr>
      <w:tr w:rsidR="006A523F" w:rsidRPr="006A523F" w14:paraId="0F5BD44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DB0C4A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2019</w:t>
            </w:r>
          </w:p>
        </w:tc>
        <w:tc>
          <w:tcPr>
            <w:tcW w:w="1000" w:type="pct"/>
            <w:tcBorders>
              <w:top w:val="nil"/>
              <w:left w:val="nil"/>
              <w:bottom w:val="single" w:sz="4" w:space="0" w:color="auto"/>
              <w:right w:val="single" w:sz="4" w:space="0" w:color="auto"/>
            </w:tcBorders>
            <w:shd w:val="clear" w:color="auto" w:fill="auto"/>
            <w:vAlign w:val="bottom"/>
            <w:hideMark/>
          </w:tcPr>
          <w:p w14:paraId="71763DE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622</w:t>
            </w:r>
          </w:p>
        </w:tc>
        <w:tc>
          <w:tcPr>
            <w:tcW w:w="1000" w:type="pct"/>
            <w:tcBorders>
              <w:top w:val="nil"/>
              <w:left w:val="nil"/>
              <w:bottom w:val="single" w:sz="4" w:space="0" w:color="auto"/>
              <w:right w:val="single" w:sz="4" w:space="0" w:color="auto"/>
            </w:tcBorders>
            <w:shd w:val="clear" w:color="auto" w:fill="auto"/>
            <w:vAlign w:val="bottom"/>
            <w:hideMark/>
          </w:tcPr>
          <w:p w14:paraId="60316F9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0.94%</w:t>
            </w:r>
          </w:p>
        </w:tc>
        <w:tc>
          <w:tcPr>
            <w:tcW w:w="1000" w:type="pct"/>
            <w:tcBorders>
              <w:top w:val="nil"/>
              <w:left w:val="nil"/>
              <w:bottom w:val="single" w:sz="4" w:space="0" w:color="auto"/>
              <w:right w:val="single" w:sz="4" w:space="0" w:color="auto"/>
            </w:tcBorders>
            <w:shd w:val="clear" w:color="auto" w:fill="auto"/>
            <w:vAlign w:val="bottom"/>
            <w:hideMark/>
          </w:tcPr>
          <w:p w14:paraId="6393590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5,792,038</w:t>
            </w:r>
          </w:p>
        </w:tc>
        <w:tc>
          <w:tcPr>
            <w:tcW w:w="1000" w:type="pct"/>
            <w:tcBorders>
              <w:top w:val="nil"/>
              <w:left w:val="nil"/>
              <w:bottom w:val="single" w:sz="4" w:space="0" w:color="auto"/>
              <w:right w:val="single" w:sz="4" w:space="0" w:color="auto"/>
            </w:tcBorders>
            <w:shd w:val="clear" w:color="auto" w:fill="auto"/>
            <w:vAlign w:val="bottom"/>
            <w:hideMark/>
          </w:tcPr>
          <w:p w14:paraId="26CC86C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0.47%</w:t>
            </w:r>
          </w:p>
        </w:tc>
      </w:tr>
      <w:tr w:rsidR="006A523F" w:rsidRPr="006A523F" w14:paraId="7EC3F154"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0EB093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2020</w:t>
            </w:r>
          </w:p>
        </w:tc>
        <w:tc>
          <w:tcPr>
            <w:tcW w:w="1000" w:type="pct"/>
            <w:tcBorders>
              <w:top w:val="nil"/>
              <w:left w:val="nil"/>
              <w:bottom w:val="single" w:sz="4" w:space="0" w:color="auto"/>
              <w:right w:val="single" w:sz="4" w:space="0" w:color="auto"/>
            </w:tcBorders>
            <w:shd w:val="clear" w:color="auto" w:fill="auto"/>
            <w:vAlign w:val="bottom"/>
            <w:hideMark/>
          </w:tcPr>
          <w:p w14:paraId="63CDA55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954</w:t>
            </w:r>
          </w:p>
        </w:tc>
        <w:tc>
          <w:tcPr>
            <w:tcW w:w="1000" w:type="pct"/>
            <w:tcBorders>
              <w:top w:val="nil"/>
              <w:left w:val="nil"/>
              <w:bottom w:val="single" w:sz="4" w:space="0" w:color="auto"/>
              <w:right w:val="single" w:sz="4" w:space="0" w:color="auto"/>
            </w:tcBorders>
            <w:shd w:val="clear" w:color="auto" w:fill="auto"/>
            <w:vAlign w:val="bottom"/>
            <w:hideMark/>
          </w:tcPr>
          <w:p w14:paraId="634D38C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1.44%</w:t>
            </w:r>
          </w:p>
        </w:tc>
        <w:tc>
          <w:tcPr>
            <w:tcW w:w="1000" w:type="pct"/>
            <w:tcBorders>
              <w:top w:val="nil"/>
              <w:left w:val="nil"/>
              <w:bottom w:val="single" w:sz="4" w:space="0" w:color="auto"/>
              <w:right w:val="single" w:sz="4" w:space="0" w:color="auto"/>
            </w:tcBorders>
            <w:shd w:val="clear" w:color="auto" w:fill="auto"/>
            <w:vAlign w:val="bottom"/>
            <w:hideMark/>
          </w:tcPr>
          <w:p w14:paraId="2487DDE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10,176,861</w:t>
            </w:r>
          </w:p>
        </w:tc>
        <w:tc>
          <w:tcPr>
            <w:tcW w:w="1000" w:type="pct"/>
            <w:tcBorders>
              <w:top w:val="nil"/>
              <w:left w:val="nil"/>
              <w:bottom w:val="single" w:sz="4" w:space="0" w:color="auto"/>
              <w:right w:val="single" w:sz="4" w:space="0" w:color="auto"/>
            </w:tcBorders>
            <w:shd w:val="clear" w:color="auto" w:fill="auto"/>
            <w:vAlign w:val="bottom"/>
            <w:hideMark/>
          </w:tcPr>
          <w:p w14:paraId="0B595FF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0.82%</w:t>
            </w:r>
          </w:p>
        </w:tc>
      </w:tr>
      <w:tr w:rsidR="006A523F" w:rsidRPr="006A523F" w14:paraId="3D13EFA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E0E18D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2021</w:t>
            </w:r>
          </w:p>
        </w:tc>
        <w:tc>
          <w:tcPr>
            <w:tcW w:w="1000" w:type="pct"/>
            <w:tcBorders>
              <w:top w:val="nil"/>
              <w:left w:val="nil"/>
              <w:bottom w:val="single" w:sz="4" w:space="0" w:color="auto"/>
              <w:right w:val="single" w:sz="4" w:space="0" w:color="auto"/>
            </w:tcBorders>
            <w:shd w:val="clear" w:color="auto" w:fill="auto"/>
            <w:vAlign w:val="bottom"/>
            <w:hideMark/>
          </w:tcPr>
          <w:p w14:paraId="3DDC4E6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1,425</w:t>
            </w:r>
          </w:p>
        </w:tc>
        <w:tc>
          <w:tcPr>
            <w:tcW w:w="1000" w:type="pct"/>
            <w:tcBorders>
              <w:top w:val="nil"/>
              <w:left w:val="nil"/>
              <w:bottom w:val="single" w:sz="4" w:space="0" w:color="auto"/>
              <w:right w:val="single" w:sz="4" w:space="0" w:color="auto"/>
            </w:tcBorders>
            <w:shd w:val="clear" w:color="auto" w:fill="auto"/>
            <w:vAlign w:val="bottom"/>
            <w:hideMark/>
          </w:tcPr>
          <w:p w14:paraId="47B935F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2.14%</w:t>
            </w:r>
          </w:p>
        </w:tc>
        <w:tc>
          <w:tcPr>
            <w:tcW w:w="1000" w:type="pct"/>
            <w:tcBorders>
              <w:top w:val="nil"/>
              <w:left w:val="nil"/>
              <w:bottom w:val="single" w:sz="4" w:space="0" w:color="auto"/>
              <w:right w:val="single" w:sz="4" w:space="0" w:color="auto"/>
            </w:tcBorders>
            <w:shd w:val="clear" w:color="auto" w:fill="auto"/>
            <w:vAlign w:val="bottom"/>
            <w:hideMark/>
          </w:tcPr>
          <w:p w14:paraId="2757149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19,388,564</w:t>
            </w:r>
          </w:p>
        </w:tc>
        <w:tc>
          <w:tcPr>
            <w:tcW w:w="1000" w:type="pct"/>
            <w:tcBorders>
              <w:top w:val="nil"/>
              <w:left w:val="nil"/>
              <w:bottom w:val="single" w:sz="4" w:space="0" w:color="auto"/>
              <w:right w:val="single" w:sz="4" w:space="0" w:color="auto"/>
            </w:tcBorders>
            <w:shd w:val="clear" w:color="auto" w:fill="auto"/>
            <w:vAlign w:val="bottom"/>
            <w:hideMark/>
          </w:tcPr>
          <w:p w14:paraId="52BD23D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1.56%</w:t>
            </w:r>
          </w:p>
        </w:tc>
      </w:tr>
      <w:tr w:rsidR="006A523F" w:rsidRPr="006A523F" w14:paraId="7CC887F3"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0DDB4A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2022</w:t>
            </w:r>
          </w:p>
        </w:tc>
        <w:tc>
          <w:tcPr>
            <w:tcW w:w="1000" w:type="pct"/>
            <w:tcBorders>
              <w:top w:val="nil"/>
              <w:left w:val="nil"/>
              <w:bottom w:val="single" w:sz="4" w:space="0" w:color="auto"/>
              <w:right w:val="single" w:sz="4" w:space="0" w:color="auto"/>
            </w:tcBorders>
            <w:shd w:val="clear" w:color="auto" w:fill="auto"/>
            <w:vAlign w:val="bottom"/>
            <w:hideMark/>
          </w:tcPr>
          <w:p w14:paraId="146771F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11,261</w:t>
            </w:r>
          </w:p>
        </w:tc>
        <w:tc>
          <w:tcPr>
            <w:tcW w:w="1000" w:type="pct"/>
            <w:tcBorders>
              <w:top w:val="nil"/>
              <w:left w:val="nil"/>
              <w:bottom w:val="single" w:sz="4" w:space="0" w:color="auto"/>
              <w:right w:val="single" w:sz="4" w:space="0" w:color="auto"/>
            </w:tcBorders>
            <w:shd w:val="clear" w:color="auto" w:fill="auto"/>
            <w:vAlign w:val="bottom"/>
            <w:hideMark/>
          </w:tcPr>
          <w:p w14:paraId="5F8BAC4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16.94%</w:t>
            </w:r>
          </w:p>
        </w:tc>
        <w:tc>
          <w:tcPr>
            <w:tcW w:w="1000" w:type="pct"/>
            <w:tcBorders>
              <w:top w:val="nil"/>
              <w:left w:val="nil"/>
              <w:bottom w:val="single" w:sz="4" w:space="0" w:color="auto"/>
              <w:right w:val="single" w:sz="4" w:space="0" w:color="auto"/>
            </w:tcBorders>
            <w:shd w:val="clear" w:color="auto" w:fill="auto"/>
            <w:vAlign w:val="bottom"/>
            <w:hideMark/>
          </w:tcPr>
          <w:p w14:paraId="0C5E002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193,364,313</w:t>
            </w:r>
          </w:p>
        </w:tc>
        <w:tc>
          <w:tcPr>
            <w:tcW w:w="1000" w:type="pct"/>
            <w:tcBorders>
              <w:top w:val="nil"/>
              <w:left w:val="nil"/>
              <w:bottom w:val="single" w:sz="4" w:space="0" w:color="auto"/>
              <w:right w:val="single" w:sz="4" w:space="0" w:color="auto"/>
            </w:tcBorders>
            <w:shd w:val="clear" w:color="auto" w:fill="auto"/>
            <w:vAlign w:val="bottom"/>
            <w:hideMark/>
          </w:tcPr>
          <w:p w14:paraId="0D39C85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15.59%</w:t>
            </w:r>
          </w:p>
        </w:tc>
      </w:tr>
      <w:tr w:rsidR="006A523F" w:rsidRPr="006A523F" w14:paraId="05FFCEE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414724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2023</w:t>
            </w:r>
          </w:p>
        </w:tc>
        <w:tc>
          <w:tcPr>
            <w:tcW w:w="1000" w:type="pct"/>
            <w:tcBorders>
              <w:top w:val="nil"/>
              <w:left w:val="nil"/>
              <w:bottom w:val="single" w:sz="4" w:space="0" w:color="auto"/>
              <w:right w:val="single" w:sz="4" w:space="0" w:color="auto"/>
            </w:tcBorders>
            <w:shd w:val="clear" w:color="auto" w:fill="auto"/>
            <w:vAlign w:val="bottom"/>
            <w:hideMark/>
          </w:tcPr>
          <w:p w14:paraId="0F7026E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23,316</w:t>
            </w:r>
          </w:p>
        </w:tc>
        <w:tc>
          <w:tcPr>
            <w:tcW w:w="1000" w:type="pct"/>
            <w:tcBorders>
              <w:top w:val="nil"/>
              <w:left w:val="nil"/>
              <w:bottom w:val="single" w:sz="4" w:space="0" w:color="auto"/>
              <w:right w:val="single" w:sz="4" w:space="0" w:color="auto"/>
            </w:tcBorders>
            <w:shd w:val="clear" w:color="auto" w:fill="auto"/>
            <w:vAlign w:val="bottom"/>
            <w:hideMark/>
          </w:tcPr>
          <w:p w14:paraId="5C91D02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35.08%</w:t>
            </w:r>
          </w:p>
        </w:tc>
        <w:tc>
          <w:tcPr>
            <w:tcW w:w="1000" w:type="pct"/>
            <w:tcBorders>
              <w:top w:val="nil"/>
              <w:left w:val="nil"/>
              <w:bottom w:val="single" w:sz="4" w:space="0" w:color="auto"/>
              <w:right w:val="single" w:sz="4" w:space="0" w:color="auto"/>
            </w:tcBorders>
            <w:shd w:val="clear" w:color="auto" w:fill="auto"/>
            <w:vAlign w:val="bottom"/>
            <w:hideMark/>
          </w:tcPr>
          <w:p w14:paraId="60EB264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435,603,165</w:t>
            </w:r>
          </w:p>
        </w:tc>
        <w:tc>
          <w:tcPr>
            <w:tcW w:w="1000" w:type="pct"/>
            <w:tcBorders>
              <w:top w:val="nil"/>
              <w:left w:val="nil"/>
              <w:bottom w:val="single" w:sz="4" w:space="0" w:color="auto"/>
              <w:right w:val="single" w:sz="4" w:space="0" w:color="auto"/>
            </w:tcBorders>
            <w:shd w:val="clear" w:color="auto" w:fill="auto"/>
            <w:vAlign w:val="bottom"/>
            <w:hideMark/>
          </w:tcPr>
          <w:p w14:paraId="3828884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35.13%</w:t>
            </w:r>
          </w:p>
        </w:tc>
      </w:tr>
      <w:tr w:rsidR="006A523F" w:rsidRPr="006A523F" w14:paraId="5C1ED67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1B12A9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2024</w:t>
            </w:r>
          </w:p>
        </w:tc>
        <w:tc>
          <w:tcPr>
            <w:tcW w:w="1000" w:type="pct"/>
            <w:tcBorders>
              <w:top w:val="nil"/>
              <w:left w:val="nil"/>
              <w:bottom w:val="single" w:sz="4" w:space="0" w:color="auto"/>
              <w:right w:val="single" w:sz="4" w:space="0" w:color="auto"/>
            </w:tcBorders>
            <w:shd w:val="clear" w:color="auto" w:fill="auto"/>
            <w:vAlign w:val="bottom"/>
            <w:hideMark/>
          </w:tcPr>
          <w:p w14:paraId="44BCB9C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25,171</w:t>
            </w:r>
          </w:p>
        </w:tc>
        <w:tc>
          <w:tcPr>
            <w:tcW w:w="1000" w:type="pct"/>
            <w:tcBorders>
              <w:top w:val="nil"/>
              <w:left w:val="nil"/>
              <w:bottom w:val="single" w:sz="4" w:space="0" w:color="auto"/>
              <w:right w:val="single" w:sz="4" w:space="0" w:color="auto"/>
            </w:tcBorders>
            <w:shd w:val="clear" w:color="auto" w:fill="auto"/>
            <w:vAlign w:val="bottom"/>
            <w:hideMark/>
          </w:tcPr>
          <w:p w14:paraId="1730D57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37.87%</w:t>
            </w:r>
          </w:p>
        </w:tc>
        <w:tc>
          <w:tcPr>
            <w:tcW w:w="1000" w:type="pct"/>
            <w:tcBorders>
              <w:top w:val="nil"/>
              <w:left w:val="nil"/>
              <w:bottom w:val="single" w:sz="4" w:space="0" w:color="auto"/>
              <w:right w:val="single" w:sz="4" w:space="0" w:color="auto"/>
            </w:tcBorders>
            <w:shd w:val="clear" w:color="auto" w:fill="auto"/>
            <w:vAlign w:val="bottom"/>
            <w:hideMark/>
          </w:tcPr>
          <w:p w14:paraId="477A614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496,443,988</w:t>
            </w:r>
          </w:p>
        </w:tc>
        <w:tc>
          <w:tcPr>
            <w:tcW w:w="1000" w:type="pct"/>
            <w:tcBorders>
              <w:top w:val="nil"/>
              <w:left w:val="nil"/>
              <w:bottom w:val="single" w:sz="4" w:space="0" w:color="auto"/>
              <w:right w:val="single" w:sz="4" w:space="0" w:color="auto"/>
            </w:tcBorders>
            <w:shd w:val="clear" w:color="auto" w:fill="auto"/>
            <w:vAlign w:val="bottom"/>
            <w:hideMark/>
          </w:tcPr>
          <w:p w14:paraId="3CF3480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40.04%</w:t>
            </w:r>
          </w:p>
        </w:tc>
      </w:tr>
      <w:tr w:rsidR="006A523F" w:rsidRPr="006A523F" w14:paraId="4CFD1C97"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61737C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2025</w:t>
            </w:r>
          </w:p>
        </w:tc>
        <w:tc>
          <w:tcPr>
            <w:tcW w:w="1000" w:type="pct"/>
            <w:tcBorders>
              <w:top w:val="nil"/>
              <w:left w:val="nil"/>
              <w:bottom w:val="single" w:sz="4" w:space="0" w:color="auto"/>
              <w:right w:val="single" w:sz="4" w:space="0" w:color="auto"/>
            </w:tcBorders>
            <w:shd w:val="clear" w:color="auto" w:fill="auto"/>
            <w:vAlign w:val="bottom"/>
            <w:hideMark/>
          </w:tcPr>
          <w:p w14:paraId="63C29F6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3,572</w:t>
            </w:r>
          </w:p>
        </w:tc>
        <w:tc>
          <w:tcPr>
            <w:tcW w:w="1000" w:type="pct"/>
            <w:tcBorders>
              <w:top w:val="nil"/>
              <w:left w:val="nil"/>
              <w:bottom w:val="single" w:sz="4" w:space="0" w:color="auto"/>
              <w:right w:val="single" w:sz="4" w:space="0" w:color="auto"/>
            </w:tcBorders>
            <w:shd w:val="clear" w:color="auto" w:fill="auto"/>
            <w:vAlign w:val="bottom"/>
            <w:hideMark/>
          </w:tcPr>
          <w:p w14:paraId="3C695C4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5.37%</w:t>
            </w:r>
          </w:p>
        </w:tc>
        <w:tc>
          <w:tcPr>
            <w:tcW w:w="1000" w:type="pct"/>
            <w:tcBorders>
              <w:top w:val="nil"/>
              <w:left w:val="nil"/>
              <w:bottom w:val="single" w:sz="4" w:space="0" w:color="auto"/>
              <w:right w:val="single" w:sz="4" w:space="0" w:color="auto"/>
            </w:tcBorders>
            <w:shd w:val="clear" w:color="auto" w:fill="auto"/>
            <w:vAlign w:val="bottom"/>
            <w:hideMark/>
          </w:tcPr>
          <w:p w14:paraId="3104E17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78,312,974</w:t>
            </w:r>
          </w:p>
        </w:tc>
        <w:tc>
          <w:tcPr>
            <w:tcW w:w="1000" w:type="pct"/>
            <w:tcBorders>
              <w:top w:val="nil"/>
              <w:left w:val="nil"/>
              <w:bottom w:val="single" w:sz="4" w:space="0" w:color="auto"/>
              <w:right w:val="single" w:sz="4" w:space="0" w:color="auto"/>
            </w:tcBorders>
            <w:shd w:val="clear" w:color="auto" w:fill="auto"/>
            <w:vAlign w:val="bottom"/>
            <w:hideMark/>
          </w:tcPr>
          <w:p w14:paraId="2349458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6.32%</w:t>
            </w:r>
          </w:p>
        </w:tc>
      </w:tr>
      <w:tr w:rsidR="006A523F" w:rsidRPr="006A523F" w14:paraId="07B04851"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253EB0D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7111DAE0"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5506AFDF"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7C95D872"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1B9D96D6"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5F39847C" w14:textId="77777777" w:rsidR="000D0E23" w:rsidRDefault="000D0E23" w:rsidP="000D0E23">
      <w:pPr>
        <w:pStyle w:val="Body1"/>
      </w:pPr>
    </w:p>
    <w:p w14:paraId="762A9443" w14:textId="65D886BB" w:rsidR="000D0E23" w:rsidRPr="000D0E23" w:rsidRDefault="000D0E23" w:rsidP="000D0E23">
      <w:pPr>
        <w:pStyle w:val="Body1"/>
        <w:rPr>
          <w:b/>
          <w:bCs/>
        </w:rPr>
      </w:pPr>
      <w:r>
        <w:t>23.</w:t>
      </w:r>
      <w:r>
        <w:tab/>
      </w:r>
      <w:r>
        <w:rPr>
          <w:b/>
          <w:bCs/>
        </w:rPr>
        <w:t>Euro Norm</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2DAA6D9C"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0B44A"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Euro Norm</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6913D59"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CEB373B"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6B2993E"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CADABF2"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16ED0F1D"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E3BB58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Euro 6</w:t>
            </w:r>
          </w:p>
        </w:tc>
        <w:tc>
          <w:tcPr>
            <w:tcW w:w="1000" w:type="pct"/>
            <w:tcBorders>
              <w:top w:val="nil"/>
              <w:left w:val="nil"/>
              <w:bottom w:val="single" w:sz="4" w:space="0" w:color="auto"/>
              <w:right w:val="single" w:sz="4" w:space="0" w:color="auto"/>
            </w:tcBorders>
            <w:shd w:val="clear" w:color="auto" w:fill="auto"/>
            <w:vAlign w:val="bottom"/>
            <w:hideMark/>
          </w:tcPr>
          <w:p w14:paraId="53B04DF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35,503</w:t>
            </w:r>
          </w:p>
        </w:tc>
        <w:tc>
          <w:tcPr>
            <w:tcW w:w="1000" w:type="pct"/>
            <w:tcBorders>
              <w:top w:val="nil"/>
              <w:left w:val="nil"/>
              <w:bottom w:val="single" w:sz="4" w:space="0" w:color="auto"/>
              <w:right w:val="single" w:sz="4" w:space="0" w:color="auto"/>
            </w:tcBorders>
            <w:shd w:val="clear" w:color="auto" w:fill="auto"/>
            <w:vAlign w:val="bottom"/>
            <w:hideMark/>
          </w:tcPr>
          <w:p w14:paraId="2DACE19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53.42%</w:t>
            </w:r>
          </w:p>
        </w:tc>
        <w:tc>
          <w:tcPr>
            <w:tcW w:w="1000" w:type="pct"/>
            <w:tcBorders>
              <w:top w:val="nil"/>
              <w:left w:val="nil"/>
              <w:bottom w:val="single" w:sz="4" w:space="0" w:color="auto"/>
              <w:right w:val="single" w:sz="4" w:space="0" w:color="auto"/>
            </w:tcBorders>
            <w:shd w:val="clear" w:color="auto" w:fill="auto"/>
            <w:vAlign w:val="bottom"/>
            <w:hideMark/>
          </w:tcPr>
          <w:p w14:paraId="5C5823C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657,332,402</w:t>
            </w:r>
          </w:p>
        </w:tc>
        <w:tc>
          <w:tcPr>
            <w:tcW w:w="1000" w:type="pct"/>
            <w:tcBorders>
              <w:top w:val="nil"/>
              <w:left w:val="nil"/>
              <w:bottom w:val="single" w:sz="4" w:space="0" w:color="auto"/>
              <w:right w:val="single" w:sz="4" w:space="0" w:color="auto"/>
            </w:tcBorders>
            <w:shd w:val="clear" w:color="auto" w:fill="auto"/>
            <w:vAlign w:val="bottom"/>
            <w:hideMark/>
          </w:tcPr>
          <w:p w14:paraId="3C6201D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53.01%</w:t>
            </w:r>
          </w:p>
        </w:tc>
      </w:tr>
      <w:tr w:rsidR="006A523F" w:rsidRPr="006A523F" w14:paraId="62357853"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F6990F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Electric</w:t>
            </w:r>
          </w:p>
        </w:tc>
        <w:tc>
          <w:tcPr>
            <w:tcW w:w="1000" w:type="pct"/>
            <w:tcBorders>
              <w:top w:val="nil"/>
              <w:left w:val="nil"/>
              <w:bottom w:val="single" w:sz="4" w:space="0" w:color="auto"/>
              <w:right w:val="single" w:sz="4" w:space="0" w:color="auto"/>
            </w:tcBorders>
            <w:shd w:val="clear" w:color="auto" w:fill="auto"/>
            <w:vAlign w:val="bottom"/>
            <w:hideMark/>
          </w:tcPr>
          <w:p w14:paraId="2FEC48BA"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12,870</w:t>
            </w:r>
          </w:p>
        </w:tc>
        <w:tc>
          <w:tcPr>
            <w:tcW w:w="1000" w:type="pct"/>
            <w:tcBorders>
              <w:top w:val="nil"/>
              <w:left w:val="nil"/>
              <w:bottom w:val="single" w:sz="4" w:space="0" w:color="auto"/>
              <w:right w:val="single" w:sz="4" w:space="0" w:color="auto"/>
            </w:tcBorders>
            <w:shd w:val="clear" w:color="auto" w:fill="auto"/>
            <w:vAlign w:val="bottom"/>
            <w:hideMark/>
          </w:tcPr>
          <w:p w14:paraId="16AEC2F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19.36%</w:t>
            </w:r>
          </w:p>
        </w:tc>
        <w:tc>
          <w:tcPr>
            <w:tcW w:w="1000" w:type="pct"/>
            <w:tcBorders>
              <w:top w:val="nil"/>
              <w:left w:val="nil"/>
              <w:bottom w:val="single" w:sz="4" w:space="0" w:color="auto"/>
              <w:right w:val="single" w:sz="4" w:space="0" w:color="auto"/>
            </w:tcBorders>
            <w:shd w:val="clear" w:color="auto" w:fill="auto"/>
            <w:vAlign w:val="bottom"/>
            <w:hideMark/>
          </w:tcPr>
          <w:p w14:paraId="497B3F53"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237,617,378</w:t>
            </w:r>
          </w:p>
        </w:tc>
        <w:tc>
          <w:tcPr>
            <w:tcW w:w="1000" w:type="pct"/>
            <w:tcBorders>
              <w:top w:val="nil"/>
              <w:left w:val="nil"/>
              <w:bottom w:val="single" w:sz="4" w:space="0" w:color="auto"/>
              <w:right w:val="single" w:sz="4" w:space="0" w:color="auto"/>
            </w:tcBorders>
            <w:shd w:val="clear" w:color="auto" w:fill="auto"/>
            <w:vAlign w:val="bottom"/>
            <w:hideMark/>
          </w:tcPr>
          <w:p w14:paraId="18391DB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19.16%</w:t>
            </w:r>
          </w:p>
        </w:tc>
      </w:tr>
      <w:tr w:rsidR="006A523F" w:rsidRPr="006A523F" w14:paraId="580573ED"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856049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No data</w:t>
            </w:r>
          </w:p>
        </w:tc>
        <w:tc>
          <w:tcPr>
            <w:tcW w:w="1000" w:type="pct"/>
            <w:tcBorders>
              <w:top w:val="nil"/>
              <w:left w:val="nil"/>
              <w:bottom w:val="single" w:sz="4" w:space="0" w:color="auto"/>
              <w:right w:val="single" w:sz="4" w:space="0" w:color="auto"/>
            </w:tcBorders>
            <w:shd w:val="clear" w:color="auto" w:fill="auto"/>
            <w:vAlign w:val="bottom"/>
            <w:hideMark/>
          </w:tcPr>
          <w:p w14:paraId="56FBA33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18,090</w:t>
            </w:r>
          </w:p>
        </w:tc>
        <w:tc>
          <w:tcPr>
            <w:tcW w:w="1000" w:type="pct"/>
            <w:tcBorders>
              <w:top w:val="nil"/>
              <w:left w:val="nil"/>
              <w:bottom w:val="single" w:sz="4" w:space="0" w:color="auto"/>
              <w:right w:val="single" w:sz="4" w:space="0" w:color="auto"/>
            </w:tcBorders>
            <w:shd w:val="clear" w:color="auto" w:fill="auto"/>
            <w:vAlign w:val="bottom"/>
            <w:hideMark/>
          </w:tcPr>
          <w:p w14:paraId="0EB09CC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27.22%</w:t>
            </w:r>
          </w:p>
        </w:tc>
        <w:tc>
          <w:tcPr>
            <w:tcW w:w="1000" w:type="pct"/>
            <w:tcBorders>
              <w:top w:val="nil"/>
              <w:left w:val="nil"/>
              <w:bottom w:val="single" w:sz="4" w:space="0" w:color="auto"/>
              <w:right w:val="single" w:sz="4" w:space="0" w:color="auto"/>
            </w:tcBorders>
            <w:shd w:val="clear" w:color="auto" w:fill="auto"/>
            <w:vAlign w:val="bottom"/>
            <w:hideMark/>
          </w:tcPr>
          <w:p w14:paraId="287BD33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345,047,271</w:t>
            </w:r>
          </w:p>
        </w:tc>
        <w:tc>
          <w:tcPr>
            <w:tcW w:w="1000" w:type="pct"/>
            <w:tcBorders>
              <w:top w:val="nil"/>
              <w:left w:val="nil"/>
              <w:bottom w:val="single" w:sz="4" w:space="0" w:color="auto"/>
              <w:right w:val="single" w:sz="4" w:space="0" w:color="auto"/>
            </w:tcBorders>
            <w:shd w:val="clear" w:color="auto" w:fill="auto"/>
            <w:vAlign w:val="bottom"/>
            <w:hideMark/>
          </w:tcPr>
          <w:p w14:paraId="3163AD8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27.83%</w:t>
            </w:r>
          </w:p>
        </w:tc>
      </w:tr>
      <w:tr w:rsidR="006A523F" w:rsidRPr="006A523F" w14:paraId="1402B7A5"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43D416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1D032BB8"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1DB0EBC4"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27518157"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7CDBB6DA"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3C9C6BCE" w14:textId="77777777" w:rsidR="000D0E23" w:rsidRDefault="000D0E23" w:rsidP="000D0E23">
      <w:pPr>
        <w:pStyle w:val="Body1"/>
      </w:pPr>
    </w:p>
    <w:p w14:paraId="57E9E122" w14:textId="28FE6EEC" w:rsidR="000D0E23" w:rsidRDefault="000D0E23" w:rsidP="000D0E23">
      <w:pPr>
        <w:pStyle w:val="Body1"/>
      </w:pPr>
      <w:r>
        <w:t>24.</w:t>
      </w:r>
      <w:r>
        <w:tab/>
      </w:r>
      <w:r w:rsidRPr="000D0E23">
        <w:rPr>
          <w:b/>
          <w:bCs/>
        </w:rPr>
        <w:t>CO2 / Energy Classification</w:t>
      </w:r>
    </w:p>
    <w:tbl>
      <w:tblPr>
        <w:tblW w:w="5000" w:type="pct"/>
        <w:tblCellMar>
          <w:left w:w="70" w:type="dxa"/>
          <w:right w:w="70" w:type="dxa"/>
        </w:tblCellMar>
        <w:tblLook w:val="04A0" w:firstRow="1" w:lastRow="0" w:firstColumn="1" w:lastColumn="0" w:noHBand="0" w:noVBand="1"/>
      </w:tblPr>
      <w:tblGrid>
        <w:gridCol w:w="1813"/>
        <w:gridCol w:w="1812"/>
        <w:gridCol w:w="1812"/>
        <w:gridCol w:w="1812"/>
        <w:gridCol w:w="1812"/>
      </w:tblGrid>
      <w:tr w:rsidR="006A523F" w:rsidRPr="006A523F" w14:paraId="20FE087D" w14:textId="77777777" w:rsidTr="006A523F">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2C9C5"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CO2 / Energy Classification</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D237B1C"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Number of Leases</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536B445"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EAE7F66" w14:textId="77777777" w:rsidR="006A523F" w:rsidRPr="006A523F" w:rsidRDefault="006A523F" w:rsidP="006A523F">
            <w:pPr>
              <w:spacing w:line="240" w:lineRule="auto"/>
              <w:jc w:val="center"/>
              <w:rPr>
                <w:rFonts w:ascii="Aptos Narrow" w:hAnsi="Aptos Narrow"/>
                <w:b/>
                <w:bCs/>
                <w:sz w:val="16"/>
                <w:szCs w:val="16"/>
                <w:lang w:val="de-DE" w:eastAsia="de-DE"/>
              </w:rPr>
            </w:pPr>
            <w:r w:rsidRPr="006A523F">
              <w:rPr>
                <w:rFonts w:ascii="Aptos Narrow" w:hAnsi="Aptos Narrow"/>
                <w:b/>
                <w:bCs/>
                <w:sz w:val="16"/>
                <w:szCs w:val="16"/>
                <w:lang w:val="de-DE" w:eastAsia="de-DE"/>
              </w:rPr>
              <w:t>Aggregate Discounted Principal Balance(€)</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375A5F12" w14:textId="77777777" w:rsidR="006A523F" w:rsidRPr="006A523F" w:rsidRDefault="006A523F" w:rsidP="006A523F">
            <w:pPr>
              <w:spacing w:line="240" w:lineRule="auto"/>
              <w:jc w:val="center"/>
              <w:rPr>
                <w:rFonts w:cs="Arial"/>
                <w:b/>
                <w:bCs/>
                <w:sz w:val="16"/>
                <w:szCs w:val="16"/>
                <w:lang w:val="de-DE" w:eastAsia="de-DE"/>
              </w:rPr>
            </w:pPr>
            <w:r w:rsidRPr="006A523F">
              <w:rPr>
                <w:rFonts w:cs="Arial"/>
                <w:b/>
                <w:bCs/>
                <w:sz w:val="16"/>
                <w:szCs w:val="16"/>
                <w:lang w:val="de-DE" w:eastAsia="de-DE"/>
              </w:rPr>
              <w:t>% of Total</w:t>
            </w:r>
          </w:p>
        </w:tc>
      </w:tr>
      <w:tr w:rsidR="006A523F" w:rsidRPr="006A523F" w14:paraId="5F11560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4C9859C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1-50</w:t>
            </w:r>
          </w:p>
        </w:tc>
        <w:tc>
          <w:tcPr>
            <w:tcW w:w="1000" w:type="pct"/>
            <w:tcBorders>
              <w:top w:val="nil"/>
              <w:left w:val="nil"/>
              <w:bottom w:val="single" w:sz="4" w:space="0" w:color="auto"/>
              <w:right w:val="single" w:sz="4" w:space="0" w:color="auto"/>
            </w:tcBorders>
            <w:shd w:val="clear" w:color="auto" w:fill="auto"/>
            <w:vAlign w:val="bottom"/>
            <w:hideMark/>
          </w:tcPr>
          <w:p w14:paraId="0BBA2F1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2,159</w:t>
            </w:r>
          </w:p>
        </w:tc>
        <w:tc>
          <w:tcPr>
            <w:tcW w:w="1000" w:type="pct"/>
            <w:tcBorders>
              <w:top w:val="nil"/>
              <w:left w:val="nil"/>
              <w:bottom w:val="single" w:sz="4" w:space="0" w:color="auto"/>
              <w:right w:val="single" w:sz="4" w:space="0" w:color="auto"/>
            </w:tcBorders>
            <w:shd w:val="clear" w:color="auto" w:fill="auto"/>
            <w:vAlign w:val="bottom"/>
            <w:hideMark/>
          </w:tcPr>
          <w:p w14:paraId="00AD7DD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3.25%</w:t>
            </w:r>
          </w:p>
        </w:tc>
        <w:tc>
          <w:tcPr>
            <w:tcW w:w="1000" w:type="pct"/>
            <w:tcBorders>
              <w:top w:val="nil"/>
              <w:left w:val="nil"/>
              <w:bottom w:val="single" w:sz="4" w:space="0" w:color="auto"/>
              <w:right w:val="single" w:sz="4" w:space="0" w:color="auto"/>
            </w:tcBorders>
            <w:shd w:val="clear" w:color="auto" w:fill="auto"/>
            <w:vAlign w:val="bottom"/>
            <w:hideMark/>
          </w:tcPr>
          <w:p w14:paraId="1AC17DF2"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56,286,390</w:t>
            </w:r>
          </w:p>
        </w:tc>
        <w:tc>
          <w:tcPr>
            <w:tcW w:w="1000" w:type="pct"/>
            <w:tcBorders>
              <w:top w:val="nil"/>
              <w:left w:val="nil"/>
              <w:bottom w:val="single" w:sz="4" w:space="0" w:color="auto"/>
              <w:right w:val="single" w:sz="4" w:space="0" w:color="auto"/>
            </w:tcBorders>
            <w:shd w:val="clear" w:color="auto" w:fill="auto"/>
            <w:vAlign w:val="bottom"/>
            <w:hideMark/>
          </w:tcPr>
          <w:p w14:paraId="0C09626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4.54%</w:t>
            </w:r>
          </w:p>
        </w:tc>
      </w:tr>
      <w:tr w:rsidR="006A523F" w:rsidRPr="006A523F" w14:paraId="27E3E1BB"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71D769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101-150</w:t>
            </w:r>
          </w:p>
        </w:tc>
        <w:tc>
          <w:tcPr>
            <w:tcW w:w="1000" w:type="pct"/>
            <w:tcBorders>
              <w:top w:val="nil"/>
              <w:left w:val="nil"/>
              <w:bottom w:val="single" w:sz="4" w:space="0" w:color="auto"/>
              <w:right w:val="single" w:sz="4" w:space="0" w:color="auto"/>
            </w:tcBorders>
            <w:shd w:val="clear" w:color="auto" w:fill="auto"/>
            <w:vAlign w:val="bottom"/>
            <w:hideMark/>
          </w:tcPr>
          <w:p w14:paraId="005B313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29,372</w:t>
            </w:r>
          </w:p>
        </w:tc>
        <w:tc>
          <w:tcPr>
            <w:tcW w:w="1000" w:type="pct"/>
            <w:tcBorders>
              <w:top w:val="nil"/>
              <w:left w:val="nil"/>
              <w:bottom w:val="single" w:sz="4" w:space="0" w:color="auto"/>
              <w:right w:val="single" w:sz="4" w:space="0" w:color="auto"/>
            </w:tcBorders>
            <w:shd w:val="clear" w:color="auto" w:fill="auto"/>
            <w:vAlign w:val="bottom"/>
            <w:hideMark/>
          </w:tcPr>
          <w:p w14:paraId="457B9A7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44.19%</w:t>
            </w:r>
          </w:p>
        </w:tc>
        <w:tc>
          <w:tcPr>
            <w:tcW w:w="1000" w:type="pct"/>
            <w:tcBorders>
              <w:top w:val="nil"/>
              <w:left w:val="nil"/>
              <w:bottom w:val="single" w:sz="4" w:space="0" w:color="auto"/>
              <w:right w:val="single" w:sz="4" w:space="0" w:color="auto"/>
            </w:tcBorders>
            <w:shd w:val="clear" w:color="auto" w:fill="auto"/>
            <w:vAlign w:val="bottom"/>
            <w:hideMark/>
          </w:tcPr>
          <w:p w14:paraId="31E29E4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513,763,999</w:t>
            </w:r>
          </w:p>
        </w:tc>
        <w:tc>
          <w:tcPr>
            <w:tcW w:w="1000" w:type="pct"/>
            <w:tcBorders>
              <w:top w:val="nil"/>
              <w:left w:val="nil"/>
              <w:bottom w:val="single" w:sz="4" w:space="0" w:color="auto"/>
              <w:right w:val="single" w:sz="4" w:space="0" w:color="auto"/>
            </w:tcBorders>
            <w:shd w:val="clear" w:color="auto" w:fill="auto"/>
            <w:vAlign w:val="bottom"/>
            <w:hideMark/>
          </w:tcPr>
          <w:p w14:paraId="5DDDFA9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41.43%</w:t>
            </w:r>
          </w:p>
        </w:tc>
      </w:tr>
      <w:tr w:rsidR="006A523F" w:rsidRPr="006A523F" w14:paraId="2CE82324"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C57791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151-200</w:t>
            </w:r>
          </w:p>
        </w:tc>
        <w:tc>
          <w:tcPr>
            <w:tcW w:w="1000" w:type="pct"/>
            <w:tcBorders>
              <w:top w:val="nil"/>
              <w:left w:val="nil"/>
              <w:bottom w:val="single" w:sz="4" w:space="0" w:color="auto"/>
              <w:right w:val="single" w:sz="4" w:space="0" w:color="auto"/>
            </w:tcBorders>
            <w:shd w:val="clear" w:color="auto" w:fill="auto"/>
            <w:vAlign w:val="bottom"/>
            <w:hideMark/>
          </w:tcPr>
          <w:p w14:paraId="72CDE72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2,321</w:t>
            </w:r>
          </w:p>
        </w:tc>
        <w:tc>
          <w:tcPr>
            <w:tcW w:w="1000" w:type="pct"/>
            <w:tcBorders>
              <w:top w:val="nil"/>
              <w:left w:val="nil"/>
              <w:bottom w:val="single" w:sz="4" w:space="0" w:color="auto"/>
              <w:right w:val="single" w:sz="4" w:space="0" w:color="auto"/>
            </w:tcBorders>
            <w:shd w:val="clear" w:color="auto" w:fill="auto"/>
            <w:vAlign w:val="bottom"/>
            <w:hideMark/>
          </w:tcPr>
          <w:p w14:paraId="6029EE87"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3.49%</w:t>
            </w:r>
          </w:p>
        </w:tc>
        <w:tc>
          <w:tcPr>
            <w:tcW w:w="1000" w:type="pct"/>
            <w:tcBorders>
              <w:top w:val="nil"/>
              <w:left w:val="nil"/>
              <w:bottom w:val="single" w:sz="4" w:space="0" w:color="auto"/>
              <w:right w:val="single" w:sz="4" w:space="0" w:color="auto"/>
            </w:tcBorders>
            <w:shd w:val="clear" w:color="auto" w:fill="auto"/>
            <w:vAlign w:val="bottom"/>
            <w:hideMark/>
          </w:tcPr>
          <w:p w14:paraId="43B09AC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48,250,712</w:t>
            </w:r>
          </w:p>
        </w:tc>
        <w:tc>
          <w:tcPr>
            <w:tcW w:w="1000" w:type="pct"/>
            <w:tcBorders>
              <w:top w:val="nil"/>
              <w:left w:val="nil"/>
              <w:bottom w:val="single" w:sz="4" w:space="0" w:color="auto"/>
              <w:right w:val="single" w:sz="4" w:space="0" w:color="auto"/>
            </w:tcBorders>
            <w:shd w:val="clear" w:color="auto" w:fill="auto"/>
            <w:vAlign w:val="bottom"/>
            <w:hideMark/>
          </w:tcPr>
          <w:p w14:paraId="692E365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3.89%</w:t>
            </w:r>
          </w:p>
        </w:tc>
      </w:tr>
      <w:tr w:rsidR="006A523F" w:rsidRPr="006A523F" w14:paraId="48C119B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6098ED00"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201-250</w:t>
            </w:r>
          </w:p>
        </w:tc>
        <w:tc>
          <w:tcPr>
            <w:tcW w:w="1000" w:type="pct"/>
            <w:tcBorders>
              <w:top w:val="nil"/>
              <w:left w:val="nil"/>
              <w:bottom w:val="single" w:sz="4" w:space="0" w:color="auto"/>
              <w:right w:val="single" w:sz="4" w:space="0" w:color="auto"/>
            </w:tcBorders>
            <w:shd w:val="clear" w:color="auto" w:fill="auto"/>
            <w:vAlign w:val="bottom"/>
            <w:hideMark/>
          </w:tcPr>
          <w:p w14:paraId="65C8F96E"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1,432</w:t>
            </w:r>
          </w:p>
        </w:tc>
        <w:tc>
          <w:tcPr>
            <w:tcW w:w="1000" w:type="pct"/>
            <w:tcBorders>
              <w:top w:val="nil"/>
              <w:left w:val="nil"/>
              <w:bottom w:val="single" w:sz="4" w:space="0" w:color="auto"/>
              <w:right w:val="single" w:sz="4" w:space="0" w:color="auto"/>
            </w:tcBorders>
            <w:shd w:val="clear" w:color="auto" w:fill="auto"/>
            <w:vAlign w:val="bottom"/>
            <w:hideMark/>
          </w:tcPr>
          <w:p w14:paraId="6A15E86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2.15%</w:t>
            </w:r>
          </w:p>
        </w:tc>
        <w:tc>
          <w:tcPr>
            <w:tcW w:w="1000" w:type="pct"/>
            <w:tcBorders>
              <w:top w:val="nil"/>
              <w:left w:val="nil"/>
              <w:bottom w:val="single" w:sz="4" w:space="0" w:color="auto"/>
              <w:right w:val="single" w:sz="4" w:space="0" w:color="auto"/>
            </w:tcBorders>
            <w:shd w:val="clear" w:color="auto" w:fill="auto"/>
            <w:vAlign w:val="bottom"/>
            <w:hideMark/>
          </w:tcPr>
          <w:p w14:paraId="6581590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33,848,342</w:t>
            </w:r>
          </w:p>
        </w:tc>
        <w:tc>
          <w:tcPr>
            <w:tcW w:w="1000" w:type="pct"/>
            <w:tcBorders>
              <w:top w:val="nil"/>
              <w:left w:val="nil"/>
              <w:bottom w:val="single" w:sz="4" w:space="0" w:color="auto"/>
              <w:right w:val="single" w:sz="4" w:space="0" w:color="auto"/>
            </w:tcBorders>
            <w:shd w:val="clear" w:color="auto" w:fill="auto"/>
            <w:vAlign w:val="bottom"/>
            <w:hideMark/>
          </w:tcPr>
          <w:p w14:paraId="2E4283A5"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2.73%</w:t>
            </w:r>
          </w:p>
        </w:tc>
      </w:tr>
      <w:tr w:rsidR="006A523F" w:rsidRPr="006A523F" w14:paraId="34DF9290"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3303A9D1"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251-300</w:t>
            </w:r>
          </w:p>
        </w:tc>
        <w:tc>
          <w:tcPr>
            <w:tcW w:w="1000" w:type="pct"/>
            <w:tcBorders>
              <w:top w:val="nil"/>
              <w:left w:val="nil"/>
              <w:bottom w:val="single" w:sz="4" w:space="0" w:color="auto"/>
              <w:right w:val="single" w:sz="4" w:space="0" w:color="auto"/>
            </w:tcBorders>
            <w:shd w:val="clear" w:color="auto" w:fill="auto"/>
            <w:vAlign w:val="bottom"/>
            <w:hideMark/>
          </w:tcPr>
          <w:p w14:paraId="2E967CD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190</w:t>
            </w:r>
          </w:p>
        </w:tc>
        <w:tc>
          <w:tcPr>
            <w:tcW w:w="1000" w:type="pct"/>
            <w:tcBorders>
              <w:top w:val="nil"/>
              <w:left w:val="nil"/>
              <w:bottom w:val="single" w:sz="4" w:space="0" w:color="auto"/>
              <w:right w:val="single" w:sz="4" w:space="0" w:color="auto"/>
            </w:tcBorders>
            <w:shd w:val="clear" w:color="auto" w:fill="auto"/>
            <w:vAlign w:val="bottom"/>
            <w:hideMark/>
          </w:tcPr>
          <w:p w14:paraId="5E3FE34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0.29%</w:t>
            </w:r>
          </w:p>
        </w:tc>
        <w:tc>
          <w:tcPr>
            <w:tcW w:w="1000" w:type="pct"/>
            <w:tcBorders>
              <w:top w:val="nil"/>
              <w:left w:val="nil"/>
              <w:bottom w:val="single" w:sz="4" w:space="0" w:color="auto"/>
              <w:right w:val="single" w:sz="4" w:space="0" w:color="auto"/>
            </w:tcBorders>
            <w:shd w:val="clear" w:color="auto" w:fill="auto"/>
            <w:vAlign w:val="bottom"/>
            <w:hideMark/>
          </w:tcPr>
          <w:p w14:paraId="53FEE3D9"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4,542,262</w:t>
            </w:r>
          </w:p>
        </w:tc>
        <w:tc>
          <w:tcPr>
            <w:tcW w:w="1000" w:type="pct"/>
            <w:tcBorders>
              <w:top w:val="nil"/>
              <w:left w:val="nil"/>
              <w:bottom w:val="single" w:sz="4" w:space="0" w:color="auto"/>
              <w:right w:val="single" w:sz="4" w:space="0" w:color="auto"/>
            </w:tcBorders>
            <w:shd w:val="clear" w:color="auto" w:fill="auto"/>
            <w:vAlign w:val="bottom"/>
            <w:hideMark/>
          </w:tcPr>
          <w:p w14:paraId="7477D97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0.37%</w:t>
            </w:r>
          </w:p>
        </w:tc>
      </w:tr>
      <w:tr w:rsidR="006A523F" w:rsidRPr="006A523F" w14:paraId="02DAA91C"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0006656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301-350</w:t>
            </w:r>
          </w:p>
        </w:tc>
        <w:tc>
          <w:tcPr>
            <w:tcW w:w="1000" w:type="pct"/>
            <w:tcBorders>
              <w:top w:val="nil"/>
              <w:left w:val="nil"/>
              <w:bottom w:val="single" w:sz="4" w:space="0" w:color="auto"/>
              <w:right w:val="single" w:sz="4" w:space="0" w:color="auto"/>
            </w:tcBorders>
            <w:shd w:val="clear" w:color="auto" w:fill="auto"/>
            <w:vAlign w:val="bottom"/>
            <w:hideMark/>
          </w:tcPr>
          <w:p w14:paraId="106DA22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20</w:t>
            </w:r>
          </w:p>
        </w:tc>
        <w:tc>
          <w:tcPr>
            <w:tcW w:w="1000" w:type="pct"/>
            <w:tcBorders>
              <w:top w:val="nil"/>
              <w:left w:val="nil"/>
              <w:bottom w:val="single" w:sz="4" w:space="0" w:color="auto"/>
              <w:right w:val="single" w:sz="4" w:space="0" w:color="auto"/>
            </w:tcBorders>
            <w:shd w:val="clear" w:color="auto" w:fill="auto"/>
            <w:vAlign w:val="bottom"/>
            <w:hideMark/>
          </w:tcPr>
          <w:p w14:paraId="58F345D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0.03%</w:t>
            </w:r>
          </w:p>
        </w:tc>
        <w:tc>
          <w:tcPr>
            <w:tcW w:w="1000" w:type="pct"/>
            <w:tcBorders>
              <w:top w:val="nil"/>
              <w:left w:val="nil"/>
              <w:bottom w:val="single" w:sz="4" w:space="0" w:color="auto"/>
              <w:right w:val="single" w:sz="4" w:space="0" w:color="auto"/>
            </w:tcBorders>
            <w:shd w:val="clear" w:color="auto" w:fill="auto"/>
            <w:vAlign w:val="bottom"/>
            <w:hideMark/>
          </w:tcPr>
          <w:p w14:paraId="07CAC75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552,790</w:t>
            </w:r>
          </w:p>
        </w:tc>
        <w:tc>
          <w:tcPr>
            <w:tcW w:w="1000" w:type="pct"/>
            <w:tcBorders>
              <w:top w:val="nil"/>
              <w:left w:val="nil"/>
              <w:bottom w:val="single" w:sz="4" w:space="0" w:color="auto"/>
              <w:right w:val="single" w:sz="4" w:space="0" w:color="auto"/>
            </w:tcBorders>
            <w:shd w:val="clear" w:color="auto" w:fill="auto"/>
            <w:vAlign w:val="bottom"/>
            <w:hideMark/>
          </w:tcPr>
          <w:p w14:paraId="094DA5B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0.04%</w:t>
            </w:r>
          </w:p>
        </w:tc>
      </w:tr>
      <w:tr w:rsidR="006A523F" w:rsidRPr="006A523F" w14:paraId="12739859"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19964BE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Electric</w:t>
            </w:r>
          </w:p>
        </w:tc>
        <w:tc>
          <w:tcPr>
            <w:tcW w:w="1000" w:type="pct"/>
            <w:tcBorders>
              <w:top w:val="nil"/>
              <w:left w:val="nil"/>
              <w:bottom w:val="single" w:sz="4" w:space="0" w:color="auto"/>
              <w:right w:val="single" w:sz="4" w:space="0" w:color="auto"/>
            </w:tcBorders>
            <w:shd w:val="clear" w:color="auto" w:fill="auto"/>
            <w:vAlign w:val="bottom"/>
            <w:hideMark/>
          </w:tcPr>
          <w:p w14:paraId="35EB71C8"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12,870</w:t>
            </w:r>
          </w:p>
        </w:tc>
        <w:tc>
          <w:tcPr>
            <w:tcW w:w="1000" w:type="pct"/>
            <w:tcBorders>
              <w:top w:val="nil"/>
              <w:left w:val="nil"/>
              <w:bottom w:val="single" w:sz="4" w:space="0" w:color="auto"/>
              <w:right w:val="single" w:sz="4" w:space="0" w:color="auto"/>
            </w:tcBorders>
            <w:shd w:val="clear" w:color="auto" w:fill="auto"/>
            <w:vAlign w:val="bottom"/>
            <w:hideMark/>
          </w:tcPr>
          <w:p w14:paraId="2478D65B"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19.36%</w:t>
            </w:r>
          </w:p>
        </w:tc>
        <w:tc>
          <w:tcPr>
            <w:tcW w:w="1000" w:type="pct"/>
            <w:tcBorders>
              <w:top w:val="nil"/>
              <w:left w:val="nil"/>
              <w:bottom w:val="single" w:sz="4" w:space="0" w:color="auto"/>
              <w:right w:val="single" w:sz="4" w:space="0" w:color="auto"/>
            </w:tcBorders>
            <w:shd w:val="clear" w:color="auto" w:fill="auto"/>
            <w:vAlign w:val="bottom"/>
            <w:hideMark/>
          </w:tcPr>
          <w:p w14:paraId="4AC42C9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237,617,378</w:t>
            </w:r>
          </w:p>
        </w:tc>
        <w:tc>
          <w:tcPr>
            <w:tcW w:w="1000" w:type="pct"/>
            <w:tcBorders>
              <w:top w:val="nil"/>
              <w:left w:val="nil"/>
              <w:bottom w:val="single" w:sz="4" w:space="0" w:color="auto"/>
              <w:right w:val="single" w:sz="4" w:space="0" w:color="auto"/>
            </w:tcBorders>
            <w:shd w:val="clear" w:color="auto" w:fill="auto"/>
            <w:vAlign w:val="bottom"/>
            <w:hideMark/>
          </w:tcPr>
          <w:p w14:paraId="62EF53ED"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19.16%</w:t>
            </w:r>
          </w:p>
        </w:tc>
      </w:tr>
      <w:tr w:rsidR="006A523F" w:rsidRPr="006A523F" w14:paraId="2BCC6BC4"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77A83B5C"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No data</w:t>
            </w:r>
          </w:p>
        </w:tc>
        <w:tc>
          <w:tcPr>
            <w:tcW w:w="1000" w:type="pct"/>
            <w:tcBorders>
              <w:top w:val="nil"/>
              <w:left w:val="nil"/>
              <w:bottom w:val="single" w:sz="4" w:space="0" w:color="auto"/>
              <w:right w:val="single" w:sz="4" w:space="0" w:color="auto"/>
            </w:tcBorders>
            <w:shd w:val="clear" w:color="auto" w:fill="auto"/>
            <w:vAlign w:val="bottom"/>
            <w:hideMark/>
          </w:tcPr>
          <w:p w14:paraId="0BFA3EF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18,099</w:t>
            </w:r>
          </w:p>
        </w:tc>
        <w:tc>
          <w:tcPr>
            <w:tcW w:w="1000" w:type="pct"/>
            <w:tcBorders>
              <w:top w:val="nil"/>
              <w:left w:val="nil"/>
              <w:bottom w:val="single" w:sz="4" w:space="0" w:color="auto"/>
              <w:right w:val="single" w:sz="4" w:space="0" w:color="auto"/>
            </w:tcBorders>
            <w:shd w:val="clear" w:color="auto" w:fill="auto"/>
            <w:vAlign w:val="bottom"/>
            <w:hideMark/>
          </w:tcPr>
          <w:p w14:paraId="1A4F78CF"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27.23%</w:t>
            </w:r>
          </w:p>
        </w:tc>
        <w:tc>
          <w:tcPr>
            <w:tcW w:w="1000" w:type="pct"/>
            <w:tcBorders>
              <w:top w:val="nil"/>
              <w:left w:val="nil"/>
              <w:bottom w:val="single" w:sz="4" w:space="0" w:color="auto"/>
              <w:right w:val="single" w:sz="4" w:space="0" w:color="auto"/>
            </w:tcBorders>
            <w:shd w:val="clear" w:color="auto" w:fill="auto"/>
            <w:vAlign w:val="bottom"/>
            <w:hideMark/>
          </w:tcPr>
          <w:p w14:paraId="75DA4B34"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345,135,179</w:t>
            </w:r>
          </w:p>
        </w:tc>
        <w:tc>
          <w:tcPr>
            <w:tcW w:w="1000" w:type="pct"/>
            <w:tcBorders>
              <w:top w:val="nil"/>
              <w:left w:val="nil"/>
              <w:bottom w:val="single" w:sz="4" w:space="0" w:color="auto"/>
              <w:right w:val="single" w:sz="4" w:space="0" w:color="auto"/>
            </w:tcBorders>
            <w:shd w:val="clear" w:color="auto" w:fill="auto"/>
            <w:vAlign w:val="bottom"/>
            <w:hideMark/>
          </w:tcPr>
          <w:p w14:paraId="5283F7F6" w14:textId="77777777" w:rsidR="006A523F" w:rsidRPr="006A523F" w:rsidRDefault="006A523F" w:rsidP="006A523F">
            <w:pPr>
              <w:spacing w:line="240" w:lineRule="auto"/>
              <w:jc w:val="center"/>
              <w:rPr>
                <w:rFonts w:ascii="Aptos Narrow" w:hAnsi="Aptos Narrow"/>
                <w:color w:val="161518"/>
                <w:sz w:val="16"/>
                <w:szCs w:val="16"/>
                <w:lang w:val="de-DE" w:eastAsia="de-DE"/>
              </w:rPr>
            </w:pPr>
            <w:r w:rsidRPr="006A523F">
              <w:rPr>
                <w:rFonts w:ascii="Aptos Narrow" w:hAnsi="Aptos Narrow"/>
                <w:color w:val="161518"/>
                <w:sz w:val="16"/>
                <w:szCs w:val="16"/>
                <w:lang w:val="de-DE" w:eastAsia="de-DE"/>
              </w:rPr>
              <w:t>27.83%</w:t>
            </w:r>
          </w:p>
        </w:tc>
      </w:tr>
      <w:tr w:rsidR="006A523F" w:rsidRPr="006A523F" w14:paraId="48289202" w14:textId="77777777" w:rsidTr="006A523F">
        <w:trPr>
          <w:trHeight w:val="20"/>
        </w:trPr>
        <w:tc>
          <w:tcPr>
            <w:tcW w:w="1000" w:type="pct"/>
            <w:tcBorders>
              <w:top w:val="nil"/>
              <w:left w:val="single" w:sz="4" w:space="0" w:color="auto"/>
              <w:bottom w:val="single" w:sz="4" w:space="0" w:color="auto"/>
              <w:right w:val="single" w:sz="4" w:space="0" w:color="auto"/>
            </w:tcBorders>
            <w:shd w:val="clear" w:color="auto" w:fill="auto"/>
            <w:vAlign w:val="bottom"/>
            <w:hideMark/>
          </w:tcPr>
          <w:p w14:paraId="5C4EF80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Total</w:t>
            </w:r>
          </w:p>
        </w:tc>
        <w:tc>
          <w:tcPr>
            <w:tcW w:w="1000" w:type="pct"/>
            <w:tcBorders>
              <w:top w:val="nil"/>
              <w:left w:val="nil"/>
              <w:bottom w:val="single" w:sz="4" w:space="0" w:color="auto"/>
              <w:right w:val="single" w:sz="4" w:space="0" w:color="auto"/>
            </w:tcBorders>
            <w:shd w:val="clear" w:color="auto" w:fill="auto"/>
            <w:vAlign w:val="bottom"/>
            <w:hideMark/>
          </w:tcPr>
          <w:p w14:paraId="5C8EC6E3"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66,463</w:t>
            </w:r>
          </w:p>
        </w:tc>
        <w:tc>
          <w:tcPr>
            <w:tcW w:w="1000" w:type="pct"/>
            <w:tcBorders>
              <w:top w:val="nil"/>
              <w:left w:val="nil"/>
              <w:bottom w:val="single" w:sz="4" w:space="0" w:color="auto"/>
              <w:right w:val="single" w:sz="4" w:space="0" w:color="auto"/>
            </w:tcBorders>
            <w:shd w:val="clear" w:color="auto" w:fill="auto"/>
            <w:vAlign w:val="bottom"/>
            <w:hideMark/>
          </w:tcPr>
          <w:p w14:paraId="6C70ED32"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c>
          <w:tcPr>
            <w:tcW w:w="1000" w:type="pct"/>
            <w:tcBorders>
              <w:top w:val="nil"/>
              <w:left w:val="nil"/>
              <w:bottom w:val="single" w:sz="4" w:space="0" w:color="auto"/>
              <w:right w:val="single" w:sz="4" w:space="0" w:color="auto"/>
            </w:tcBorders>
            <w:shd w:val="clear" w:color="auto" w:fill="auto"/>
            <w:vAlign w:val="bottom"/>
            <w:hideMark/>
          </w:tcPr>
          <w:p w14:paraId="4348853C"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1,239,997,050</w:t>
            </w:r>
          </w:p>
        </w:tc>
        <w:tc>
          <w:tcPr>
            <w:tcW w:w="1000" w:type="pct"/>
            <w:tcBorders>
              <w:top w:val="nil"/>
              <w:left w:val="nil"/>
              <w:bottom w:val="single" w:sz="4" w:space="0" w:color="auto"/>
              <w:right w:val="single" w:sz="4" w:space="0" w:color="auto"/>
            </w:tcBorders>
            <w:shd w:val="clear" w:color="auto" w:fill="auto"/>
            <w:vAlign w:val="bottom"/>
            <w:hideMark/>
          </w:tcPr>
          <w:p w14:paraId="502C2231" w14:textId="77777777" w:rsidR="006A523F" w:rsidRPr="006A523F" w:rsidRDefault="006A523F" w:rsidP="006A523F">
            <w:pPr>
              <w:spacing w:line="240" w:lineRule="auto"/>
              <w:jc w:val="center"/>
              <w:rPr>
                <w:rFonts w:ascii="Aptos Narrow" w:hAnsi="Aptos Narrow"/>
                <w:b/>
                <w:bCs/>
                <w:color w:val="161518"/>
                <w:sz w:val="16"/>
                <w:szCs w:val="16"/>
                <w:lang w:val="de-DE" w:eastAsia="de-DE"/>
              </w:rPr>
            </w:pPr>
            <w:r w:rsidRPr="006A523F">
              <w:rPr>
                <w:rFonts w:ascii="Aptos Narrow" w:hAnsi="Aptos Narrow"/>
                <w:b/>
                <w:bCs/>
                <w:color w:val="161518"/>
                <w:sz w:val="16"/>
                <w:szCs w:val="16"/>
                <w:lang w:val="de-DE" w:eastAsia="de-DE"/>
              </w:rPr>
              <w:t>100%</w:t>
            </w:r>
          </w:p>
        </w:tc>
      </w:tr>
    </w:tbl>
    <w:p w14:paraId="0B0F87DE" w14:textId="77777777" w:rsidR="000D0E23" w:rsidRDefault="000D0E23" w:rsidP="009F6E91">
      <w:pPr>
        <w:pStyle w:val="Body1"/>
      </w:pPr>
    </w:p>
    <w:p w14:paraId="5CE376B5" w14:textId="511AB3F2" w:rsidR="000D0E23" w:rsidRPr="000D0E23" w:rsidRDefault="000D0E23" w:rsidP="009F6E91">
      <w:pPr>
        <w:pStyle w:val="Body1"/>
        <w:rPr>
          <w:sz w:val="16"/>
          <w:szCs w:val="16"/>
        </w:rPr>
      </w:pPr>
      <w:r w:rsidRPr="000D0E23">
        <w:rPr>
          <w:sz w:val="16"/>
          <w:szCs w:val="16"/>
        </w:rPr>
        <w:t>*NB - All percentages are based on Discounted Principal Balance unless indicated otherwise</w:t>
      </w:r>
    </w:p>
    <w:p w14:paraId="364B3684" w14:textId="77777777" w:rsidR="009F6E91" w:rsidRPr="00D427D8" w:rsidRDefault="009F6E91" w:rsidP="009F6E91">
      <w:pPr>
        <w:pStyle w:val="Body1"/>
      </w:pPr>
      <w:r w:rsidRPr="00D427D8">
        <w:t>The Receivables have been selected randomly and have not been selected by the Seller with the aim of rendering losses on the Receivables to the Issuer, measured over the life of the Securitisation, higher than the losses over the same period on comparable Receivables held on the balance sheet of the Seller.</w:t>
      </w:r>
    </w:p>
    <w:p w14:paraId="7E77366C" w14:textId="77777777" w:rsidR="009F6E91" w:rsidRPr="00D427D8" w:rsidRDefault="009F6E91" w:rsidP="00EF7333">
      <w:pPr>
        <w:pStyle w:val="Body1"/>
      </w:pPr>
      <w:r w:rsidRPr="00D427D8">
        <w:br w:type="page"/>
      </w:r>
    </w:p>
    <w:p w14:paraId="3E6FD096" w14:textId="77777777" w:rsidR="009F6E91" w:rsidRPr="00D427D8" w:rsidRDefault="009F6E91" w:rsidP="009F6E91">
      <w:pPr>
        <w:pStyle w:val="Body1"/>
        <w:rPr>
          <w:rStyle w:val="BoldItalicText"/>
        </w:rPr>
      </w:pPr>
      <w:r w:rsidRPr="00D427D8">
        <w:rPr>
          <w:rStyle w:val="BoldItalicText"/>
        </w:rPr>
        <w:lastRenderedPageBreak/>
        <w:t>Provisional Portfolio Amortisation (0% CPR / 0% Default Rate)</w:t>
      </w:r>
    </w:p>
    <w:tbl>
      <w:tblPr>
        <w:tblW w:w="9360" w:type="dxa"/>
        <w:tblCellMar>
          <w:left w:w="70" w:type="dxa"/>
          <w:right w:w="70" w:type="dxa"/>
        </w:tblCellMar>
        <w:tblLook w:val="04A0" w:firstRow="1" w:lastRow="0" w:firstColumn="1" w:lastColumn="0" w:noHBand="0" w:noVBand="1"/>
      </w:tblPr>
      <w:tblGrid>
        <w:gridCol w:w="612"/>
        <w:gridCol w:w="1957"/>
        <w:gridCol w:w="1636"/>
        <w:gridCol w:w="1997"/>
        <w:gridCol w:w="1636"/>
        <w:gridCol w:w="1522"/>
      </w:tblGrid>
      <w:tr w:rsidR="002D2278" w:rsidRPr="002D2278" w14:paraId="4C3EB885" w14:textId="77777777" w:rsidTr="002D2278">
        <w:trPr>
          <w:trHeight w:val="20"/>
        </w:trPr>
        <w:tc>
          <w:tcPr>
            <w:tcW w:w="612" w:type="dxa"/>
            <w:tcBorders>
              <w:top w:val="nil"/>
              <w:left w:val="nil"/>
              <w:bottom w:val="nil"/>
              <w:right w:val="nil"/>
            </w:tcBorders>
            <w:shd w:val="clear" w:color="000000" w:fill="243782"/>
            <w:vAlign w:val="center"/>
            <w:hideMark/>
          </w:tcPr>
          <w:p w14:paraId="412D3187" w14:textId="3A1FCD29" w:rsidR="002D2278" w:rsidRPr="002D2278" w:rsidRDefault="002D2278" w:rsidP="002D2278">
            <w:pPr>
              <w:spacing w:line="240" w:lineRule="auto"/>
              <w:jc w:val="left"/>
              <w:rPr>
                <w:rFonts w:ascii="Calibri" w:hAnsi="Calibri" w:cs="Calibri"/>
                <w:b/>
                <w:bCs/>
                <w:color w:val="FFFFFF"/>
                <w:sz w:val="13"/>
                <w:szCs w:val="13"/>
                <w:lang w:val="de-DE" w:eastAsia="de-DE"/>
              </w:rPr>
            </w:pPr>
            <w:r>
              <w:rPr>
                <w:rFonts w:ascii="Calibri" w:hAnsi="Calibri" w:cs="Calibri"/>
                <w:b/>
                <w:bCs/>
                <w:color w:val="FFFFFF"/>
                <w:sz w:val="12"/>
                <w:szCs w:val="12"/>
                <w:lang w:val="de-DE" w:eastAsia="de-DE"/>
              </w:rPr>
              <w:t>5</w:t>
            </w:r>
          </w:p>
        </w:tc>
        <w:tc>
          <w:tcPr>
            <w:tcW w:w="1957" w:type="dxa"/>
            <w:tcBorders>
              <w:top w:val="nil"/>
              <w:left w:val="nil"/>
              <w:bottom w:val="nil"/>
              <w:right w:val="nil"/>
            </w:tcBorders>
            <w:shd w:val="clear" w:color="000000" w:fill="243782"/>
            <w:vAlign w:val="center"/>
            <w:hideMark/>
          </w:tcPr>
          <w:p w14:paraId="7DD1DF7B" w14:textId="77777777" w:rsidR="002D2278" w:rsidRPr="002D2278" w:rsidRDefault="002D2278" w:rsidP="002D2278">
            <w:pPr>
              <w:spacing w:line="240" w:lineRule="auto"/>
              <w:jc w:val="left"/>
              <w:rPr>
                <w:rFonts w:ascii="Calibri" w:hAnsi="Calibri" w:cs="Calibri"/>
                <w:b/>
                <w:bCs/>
                <w:color w:val="FFFFFF"/>
                <w:sz w:val="12"/>
                <w:szCs w:val="12"/>
                <w:lang w:val="de-DE" w:eastAsia="de-DE"/>
              </w:rPr>
            </w:pPr>
            <w:r w:rsidRPr="002D2278">
              <w:rPr>
                <w:rFonts w:ascii="Calibri" w:hAnsi="Calibri" w:cs="Calibri"/>
                <w:b/>
                <w:bCs/>
                <w:color w:val="FFFFFF"/>
                <w:sz w:val="12"/>
                <w:szCs w:val="12"/>
                <w:lang w:val="de-DE" w:eastAsia="de-DE"/>
              </w:rPr>
              <w:t>Outstanding Principal EoP</w:t>
            </w:r>
          </w:p>
        </w:tc>
        <w:tc>
          <w:tcPr>
            <w:tcW w:w="1636" w:type="dxa"/>
            <w:tcBorders>
              <w:top w:val="nil"/>
              <w:left w:val="nil"/>
              <w:bottom w:val="nil"/>
              <w:right w:val="nil"/>
            </w:tcBorders>
            <w:shd w:val="clear" w:color="000000" w:fill="243782"/>
            <w:vAlign w:val="center"/>
            <w:hideMark/>
          </w:tcPr>
          <w:p w14:paraId="777770E9" w14:textId="77777777" w:rsidR="002D2278" w:rsidRPr="002D2278" w:rsidRDefault="002D2278" w:rsidP="002D2278">
            <w:pPr>
              <w:spacing w:line="240" w:lineRule="auto"/>
              <w:jc w:val="left"/>
              <w:rPr>
                <w:rFonts w:ascii="Calibri" w:hAnsi="Calibri" w:cs="Calibri"/>
                <w:b/>
                <w:bCs/>
                <w:color w:val="FFFFFF"/>
                <w:sz w:val="12"/>
                <w:szCs w:val="12"/>
                <w:lang w:val="de-DE" w:eastAsia="de-DE"/>
              </w:rPr>
            </w:pPr>
            <w:r w:rsidRPr="002D2278">
              <w:rPr>
                <w:rFonts w:ascii="Calibri" w:hAnsi="Calibri" w:cs="Calibri"/>
                <w:b/>
                <w:bCs/>
                <w:color w:val="FFFFFF"/>
                <w:sz w:val="12"/>
                <w:szCs w:val="12"/>
                <w:lang w:val="de-DE" w:eastAsia="de-DE"/>
              </w:rPr>
              <w:t xml:space="preserve"> Principal Paid </w:t>
            </w:r>
          </w:p>
        </w:tc>
        <w:tc>
          <w:tcPr>
            <w:tcW w:w="1997" w:type="dxa"/>
            <w:tcBorders>
              <w:top w:val="nil"/>
              <w:left w:val="nil"/>
              <w:bottom w:val="nil"/>
              <w:right w:val="nil"/>
            </w:tcBorders>
            <w:shd w:val="clear" w:color="000000" w:fill="243782"/>
            <w:vAlign w:val="center"/>
            <w:hideMark/>
          </w:tcPr>
          <w:p w14:paraId="3C3384F8" w14:textId="77777777" w:rsidR="002D2278" w:rsidRPr="002D2278" w:rsidRDefault="002D2278" w:rsidP="002D2278">
            <w:pPr>
              <w:spacing w:line="240" w:lineRule="auto"/>
              <w:jc w:val="left"/>
              <w:rPr>
                <w:rFonts w:ascii="Calibri" w:hAnsi="Calibri" w:cs="Calibri"/>
                <w:b/>
                <w:bCs/>
                <w:color w:val="FFFFFF"/>
                <w:sz w:val="12"/>
                <w:szCs w:val="12"/>
                <w:lang w:val="de-DE" w:eastAsia="de-DE"/>
              </w:rPr>
            </w:pPr>
            <w:r w:rsidRPr="002D2278">
              <w:rPr>
                <w:rFonts w:ascii="Calibri" w:hAnsi="Calibri" w:cs="Calibri"/>
                <w:b/>
                <w:bCs/>
                <w:color w:val="FFFFFF"/>
                <w:sz w:val="12"/>
                <w:szCs w:val="12"/>
                <w:lang w:val="de-DE" w:eastAsia="de-DE"/>
              </w:rPr>
              <w:t xml:space="preserve"> Outstanding Residual Value EoP </w:t>
            </w:r>
          </w:p>
        </w:tc>
        <w:tc>
          <w:tcPr>
            <w:tcW w:w="1636" w:type="dxa"/>
            <w:tcBorders>
              <w:top w:val="nil"/>
              <w:left w:val="nil"/>
              <w:bottom w:val="nil"/>
              <w:right w:val="nil"/>
            </w:tcBorders>
            <w:shd w:val="clear" w:color="000000" w:fill="243782"/>
            <w:vAlign w:val="center"/>
            <w:hideMark/>
          </w:tcPr>
          <w:p w14:paraId="1F80EE58" w14:textId="77777777" w:rsidR="002D2278" w:rsidRPr="002D2278" w:rsidRDefault="002D2278" w:rsidP="002D2278">
            <w:pPr>
              <w:spacing w:line="240" w:lineRule="auto"/>
              <w:jc w:val="left"/>
              <w:rPr>
                <w:rFonts w:ascii="Calibri" w:hAnsi="Calibri" w:cs="Calibri"/>
                <w:b/>
                <w:bCs/>
                <w:color w:val="FFFFFF"/>
                <w:sz w:val="12"/>
                <w:szCs w:val="12"/>
                <w:lang w:val="de-DE" w:eastAsia="de-DE"/>
              </w:rPr>
            </w:pPr>
            <w:r w:rsidRPr="002D2278">
              <w:rPr>
                <w:rFonts w:ascii="Calibri" w:hAnsi="Calibri" w:cs="Calibri"/>
                <w:b/>
                <w:bCs/>
                <w:color w:val="FFFFFF"/>
                <w:sz w:val="12"/>
                <w:szCs w:val="12"/>
                <w:lang w:val="de-DE" w:eastAsia="de-DE"/>
              </w:rPr>
              <w:t xml:space="preserve"> Residual Value Paid </w:t>
            </w:r>
          </w:p>
        </w:tc>
        <w:tc>
          <w:tcPr>
            <w:tcW w:w="1522" w:type="dxa"/>
            <w:tcBorders>
              <w:top w:val="nil"/>
              <w:left w:val="nil"/>
              <w:bottom w:val="nil"/>
              <w:right w:val="nil"/>
            </w:tcBorders>
            <w:shd w:val="clear" w:color="000000" w:fill="243782"/>
            <w:vAlign w:val="center"/>
            <w:hideMark/>
          </w:tcPr>
          <w:p w14:paraId="30446E0D" w14:textId="77777777" w:rsidR="002D2278" w:rsidRPr="002D2278" w:rsidRDefault="002D2278" w:rsidP="002D2278">
            <w:pPr>
              <w:spacing w:line="240" w:lineRule="auto"/>
              <w:jc w:val="left"/>
              <w:rPr>
                <w:rFonts w:ascii="Calibri" w:hAnsi="Calibri" w:cs="Calibri"/>
                <w:b/>
                <w:bCs/>
                <w:color w:val="FFFFFF"/>
                <w:sz w:val="12"/>
                <w:szCs w:val="12"/>
                <w:lang w:val="de-DE" w:eastAsia="de-DE"/>
              </w:rPr>
            </w:pPr>
            <w:r w:rsidRPr="002D2278">
              <w:rPr>
                <w:rFonts w:ascii="Calibri" w:hAnsi="Calibri" w:cs="Calibri"/>
                <w:b/>
                <w:bCs/>
                <w:color w:val="FFFFFF"/>
                <w:sz w:val="12"/>
                <w:szCs w:val="12"/>
                <w:lang w:val="de-DE" w:eastAsia="de-DE"/>
              </w:rPr>
              <w:t>Interest Paid</w:t>
            </w:r>
          </w:p>
        </w:tc>
      </w:tr>
      <w:tr w:rsidR="002D2278" w:rsidRPr="002D2278" w14:paraId="06EC0F9A" w14:textId="77777777" w:rsidTr="002D2278">
        <w:trPr>
          <w:trHeight w:val="20"/>
        </w:trPr>
        <w:tc>
          <w:tcPr>
            <w:tcW w:w="612" w:type="dxa"/>
            <w:tcBorders>
              <w:top w:val="nil"/>
              <w:left w:val="nil"/>
              <w:bottom w:val="nil"/>
              <w:right w:val="nil"/>
            </w:tcBorders>
            <w:shd w:val="clear" w:color="000000" w:fill="FFFFFF"/>
            <w:noWrap/>
            <w:vAlign w:val="bottom"/>
            <w:hideMark/>
          </w:tcPr>
          <w:p w14:paraId="1D39B151"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0</w:t>
            </w:r>
          </w:p>
        </w:tc>
        <w:tc>
          <w:tcPr>
            <w:tcW w:w="1957" w:type="dxa"/>
            <w:tcBorders>
              <w:top w:val="nil"/>
              <w:left w:val="nil"/>
              <w:bottom w:val="nil"/>
              <w:right w:val="nil"/>
            </w:tcBorders>
            <w:shd w:val="clear" w:color="000000" w:fill="FFFFFF"/>
            <w:noWrap/>
            <w:vAlign w:val="bottom"/>
            <w:hideMark/>
          </w:tcPr>
          <w:p w14:paraId="4954329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1,239,997,050 </w:t>
            </w:r>
          </w:p>
        </w:tc>
        <w:tc>
          <w:tcPr>
            <w:tcW w:w="1636" w:type="dxa"/>
            <w:tcBorders>
              <w:top w:val="nil"/>
              <w:left w:val="nil"/>
              <w:bottom w:val="nil"/>
              <w:right w:val="nil"/>
            </w:tcBorders>
            <w:shd w:val="clear" w:color="000000" w:fill="FFFFFF"/>
            <w:noWrap/>
            <w:vAlign w:val="bottom"/>
            <w:hideMark/>
          </w:tcPr>
          <w:p w14:paraId="3E258D3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997" w:type="dxa"/>
            <w:tcBorders>
              <w:top w:val="nil"/>
              <w:left w:val="nil"/>
              <w:bottom w:val="nil"/>
              <w:right w:val="nil"/>
            </w:tcBorders>
            <w:shd w:val="clear" w:color="000000" w:fill="FFFFFF"/>
            <w:noWrap/>
            <w:vAlign w:val="bottom"/>
            <w:hideMark/>
          </w:tcPr>
          <w:p w14:paraId="41A85AD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967,369,281 </w:t>
            </w:r>
          </w:p>
        </w:tc>
        <w:tc>
          <w:tcPr>
            <w:tcW w:w="1636" w:type="dxa"/>
            <w:tcBorders>
              <w:top w:val="nil"/>
              <w:left w:val="nil"/>
              <w:bottom w:val="nil"/>
              <w:right w:val="nil"/>
            </w:tcBorders>
            <w:shd w:val="clear" w:color="000000" w:fill="FFFFFF"/>
            <w:noWrap/>
            <w:vAlign w:val="bottom"/>
            <w:hideMark/>
          </w:tcPr>
          <w:p w14:paraId="72B0CED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522" w:type="dxa"/>
            <w:tcBorders>
              <w:top w:val="nil"/>
              <w:left w:val="nil"/>
              <w:bottom w:val="nil"/>
              <w:right w:val="nil"/>
            </w:tcBorders>
            <w:shd w:val="clear" w:color="000000" w:fill="FFFFFF"/>
            <w:noWrap/>
            <w:vAlign w:val="bottom"/>
            <w:hideMark/>
          </w:tcPr>
          <w:p w14:paraId="03FC739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1BC6B7B3" w14:textId="77777777" w:rsidTr="002D2278">
        <w:trPr>
          <w:trHeight w:val="20"/>
        </w:trPr>
        <w:tc>
          <w:tcPr>
            <w:tcW w:w="612" w:type="dxa"/>
            <w:tcBorders>
              <w:top w:val="nil"/>
              <w:left w:val="nil"/>
              <w:bottom w:val="nil"/>
              <w:right w:val="nil"/>
            </w:tcBorders>
            <w:shd w:val="clear" w:color="000000" w:fill="FFFFFF"/>
            <w:noWrap/>
            <w:vAlign w:val="bottom"/>
            <w:hideMark/>
          </w:tcPr>
          <w:p w14:paraId="291F37F3"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w:t>
            </w:r>
          </w:p>
        </w:tc>
        <w:tc>
          <w:tcPr>
            <w:tcW w:w="1957" w:type="dxa"/>
            <w:tcBorders>
              <w:top w:val="nil"/>
              <w:left w:val="nil"/>
              <w:bottom w:val="nil"/>
              <w:right w:val="nil"/>
            </w:tcBorders>
            <w:shd w:val="clear" w:color="000000" w:fill="FFFFFF"/>
            <w:noWrap/>
            <w:vAlign w:val="bottom"/>
            <w:hideMark/>
          </w:tcPr>
          <w:p w14:paraId="2DB2372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1,231,202,868 </w:t>
            </w:r>
          </w:p>
        </w:tc>
        <w:tc>
          <w:tcPr>
            <w:tcW w:w="1636" w:type="dxa"/>
            <w:tcBorders>
              <w:top w:val="nil"/>
              <w:left w:val="nil"/>
              <w:bottom w:val="nil"/>
              <w:right w:val="nil"/>
            </w:tcBorders>
            <w:shd w:val="clear" w:color="000000" w:fill="FFFFFF"/>
            <w:noWrap/>
            <w:vAlign w:val="bottom"/>
            <w:hideMark/>
          </w:tcPr>
          <w:p w14:paraId="28FB814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8,794,182 </w:t>
            </w:r>
          </w:p>
        </w:tc>
        <w:tc>
          <w:tcPr>
            <w:tcW w:w="1997" w:type="dxa"/>
            <w:tcBorders>
              <w:top w:val="nil"/>
              <w:left w:val="nil"/>
              <w:bottom w:val="nil"/>
              <w:right w:val="nil"/>
            </w:tcBorders>
            <w:shd w:val="clear" w:color="000000" w:fill="FFFFFF"/>
            <w:noWrap/>
            <w:vAlign w:val="bottom"/>
            <w:hideMark/>
          </w:tcPr>
          <w:p w14:paraId="539B690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967,369,281 </w:t>
            </w:r>
          </w:p>
        </w:tc>
        <w:tc>
          <w:tcPr>
            <w:tcW w:w="1636" w:type="dxa"/>
            <w:tcBorders>
              <w:top w:val="nil"/>
              <w:left w:val="nil"/>
              <w:bottom w:val="nil"/>
              <w:right w:val="nil"/>
            </w:tcBorders>
            <w:shd w:val="clear" w:color="000000" w:fill="FFFFFF"/>
            <w:noWrap/>
            <w:vAlign w:val="bottom"/>
            <w:hideMark/>
          </w:tcPr>
          <w:p w14:paraId="0C18B1B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2A65BB1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5,683,286 </w:t>
            </w:r>
          </w:p>
        </w:tc>
      </w:tr>
      <w:tr w:rsidR="002D2278" w:rsidRPr="002D2278" w14:paraId="2315FE9D" w14:textId="77777777" w:rsidTr="002D2278">
        <w:trPr>
          <w:trHeight w:val="20"/>
        </w:trPr>
        <w:tc>
          <w:tcPr>
            <w:tcW w:w="612" w:type="dxa"/>
            <w:tcBorders>
              <w:top w:val="nil"/>
              <w:left w:val="nil"/>
              <w:bottom w:val="nil"/>
              <w:right w:val="nil"/>
            </w:tcBorders>
            <w:shd w:val="clear" w:color="000000" w:fill="FFFFFF"/>
            <w:noWrap/>
            <w:vAlign w:val="bottom"/>
            <w:hideMark/>
          </w:tcPr>
          <w:p w14:paraId="318201CE"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w:t>
            </w:r>
          </w:p>
        </w:tc>
        <w:tc>
          <w:tcPr>
            <w:tcW w:w="1957" w:type="dxa"/>
            <w:tcBorders>
              <w:top w:val="nil"/>
              <w:left w:val="nil"/>
              <w:bottom w:val="nil"/>
              <w:right w:val="nil"/>
            </w:tcBorders>
            <w:shd w:val="clear" w:color="000000" w:fill="FFFFFF"/>
            <w:noWrap/>
            <w:vAlign w:val="bottom"/>
            <w:hideMark/>
          </w:tcPr>
          <w:p w14:paraId="638C030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1,221,184,455 </w:t>
            </w:r>
          </w:p>
        </w:tc>
        <w:tc>
          <w:tcPr>
            <w:tcW w:w="1636" w:type="dxa"/>
            <w:tcBorders>
              <w:top w:val="nil"/>
              <w:left w:val="nil"/>
              <w:bottom w:val="nil"/>
              <w:right w:val="nil"/>
            </w:tcBorders>
            <w:shd w:val="clear" w:color="000000" w:fill="FFFFFF"/>
            <w:noWrap/>
            <w:vAlign w:val="bottom"/>
            <w:hideMark/>
          </w:tcPr>
          <w:p w14:paraId="0D5C9FB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10,018,413 </w:t>
            </w:r>
          </w:p>
        </w:tc>
        <w:tc>
          <w:tcPr>
            <w:tcW w:w="1997" w:type="dxa"/>
            <w:tcBorders>
              <w:top w:val="nil"/>
              <w:left w:val="nil"/>
              <w:bottom w:val="nil"/>
              <w:right w:val="nil"/>
            </w:tcBorders>
            <w:shd w:val="clear" w:color="000000" w:fill="FFFFFF"/>
            <w:noWrap/>
            <w:vAlign w:val="bottom"/>
            <w:hideMark/>
          </w:tcPr>
          <w:p w14:paraId="35684BE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967,369,281 </w:t>
            </w:r>
          </w:p>
        </w:tc>
        <w:tc>
          <w:tcPr>
            <w:tcW w:w="1636" w:type="dxa"/>
            <w:tcBorders>
              <w:top w:val="nil"/>
              <w:left w:val="nil"/>
              <w:bottom w:val="nil"/>
              <w:right w:val="nil"/>
            </w:tcBorders>
            <w:shd w:val="clear" w:color="000000" w:fill="FFFFFF"/>
            <w:noWrap/>
            <w:vAlign w:val="bottom"/>
            <w:hideMark/>
          </w:tcPr>
          <w:p w14:paraId="7D35CD7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1419210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6,413,240 </w:t>
            </w:r>
          </w:p>
        </w:tc>
      </w:tr>
      <w:tr w:rsidR="002D2278" w:rsidRPr="002D2278" w14:paraId="634763C6" w14:textId="77777777" w:rsidTr="002D2278">
        <w:trPr>
          <w:trHeight w:val="20"/>
        </w:trPr>
        <w:tc>
          <w:tcPr>
            <w:tcW w:w="612" w:type="dxa"/>
            <w:tcBorders>
              <w:top w:val="nil"/>
              <w:left w:val="nil"/>
              <w:bottom w:val="nil"/>
              <w:right w:val="nil"/>
            </w:tcBorders>
            <w:shd w:val="clear" w:color="000000" w:fill="FFFFFF"/>
            <w:noWrap/>
            <w:vAlign w:val="bottom"/>
            <w:hideMark/>
          </w:tcPr>
          <w:p w14:paraId="1DD58F6D"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w:t>
            </w:r>
          </w:p>
        </w:tc>
        <w:tc>
          <w:tcPr>
            <w:tcW w:w="1957" w:type="dxa"/>
            <w:tcBorders>
              <w:top w:val="nil"/>
              <w:left w:val="nil"/>
              <w:bottom w:val="nil"/>
              <w:right w:val="nil"/>
            </w:tcBorders>
            <w:shd w:val="clear" w:color="000000" w:fill="FFFFFF"/>
            <w:noWrap/>
            <w:vAlign w:val="bottom"/>
            <w:hideMark/>
          </w:tcPr>
          <w:p w14:paraId="24EBF98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1,211,115,972 </w:t>
            </w:r>
          </w:p>
        </w:tc>
        <w:tc>
          <w:tcPr>
            <w:tcW w:w="1636" w:type="dxa"/>
            <w:tcBorders>
              <w:top w:val="nil"/>
              <w:left w:val="nil"/>
              <w:bottom w:val="nil"/>
              <w:right w:val="nil"/>
            </w:tcBorders>
            <w:shd w:val="clear" w:color="000000" w:fill="FFFFFF"/>
            <w:noWrap/>
            <w:vAlign w:val="bottom"/>
            <w:hideMark/>
          </w:tcPr>
          <w:p w14:paraId="0BD07AF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10,068,483 </w:t>
            </w:r>
          </w:p>
        </w:tc>
        <w:tc>
          <w:tcPr>
            <w:tcW w:w="1997" w:type="dxa"/>
            <w:tcBorders>
              <w:top w:val="nil"/>
              <w:left w:val="nil"/>
              <w:bottom w:val="nil"/>
              <w:right w:val="nil"/>
            </w:tcBorders>
            <w:shd w:val="clear" w:color="000000" w:fill="FFFFFF"/>
            <w:noWrap/>
            <w:vAlign w:val="bottom"/>
            <w:hideMark/>
          </w:tcPr>
          <w:p w14:paraId="580A6E8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967,369,281 </w:t>
            </w:r>
          </w:p>
        </w:tc>
        <w:tc>
          <w:tcPr>
            <w:tcW w:w="1636" w:type="dxa"/>
            <w:tcBorders>
              <w:top w:val="nil"/>
              <w:left w:val="nil"/>
              <w:bottom w:val="nil"/>
              <w:right w:val="nil"/>
            </w:tcBorders>
            <w:shd w:val="clear" w:color="000000" w:fill="FFFFFF"/>
            <w:noWrap/>
            <w:vAlign w:val="bottom"/>
            <w:hideMark/>
          </w:tcPr>
          <w:p w14:paraId="233E591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29EC24A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6,363,170 </w:t>
            </w:r>
          </w:p>
        </w:tc>
      </w:tr>
      <w:tr w:rsidR="002D2278" w:rsidRPr="002D2278" w14:paraId="612470E0" w14:textId="77777777" w:rsidTr="002D2278">
        <w:trPr>
          <w:trHeight w:val="20"/>
        </w:trPr>
        <w:tc>
          <w:tcPr>
            <w:tcW w:w="612" w:type="dxa"/>
            <w:tcBorders>
              <w:top w:val="nil"/>
              <w:left w:val="nil"/>
              <w:bottom w:val="nil"/>
              <w:right w:val="nil"/>
            </w:tcBorders>
            <w:shd w:val="clear" w:color="000000" w:fill="FFFFFF"/>
            <w:noWrap/>
            <w:vAlign w:val="bottom"/>
            <w:hideMark/>
          </w:tcPr>
          <w:p w14:paraId="44CB90D9"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w:t>
            </w:r>
          </w:p>
        </w:tc>
        <w:tc>
          <w:tcPr>
            <w:tcW w:w="1957" w:type="dxa"/>
            <w:tcBorders>
              <w:top w:val="nil"/>
              <w:left w:val="nil"/>
              <w:bottom w:val="nil"/>
              <w:right w:val="nil"/>
            </w:tcBorders>
            <w:shd w:val="clear" w:color="000000" w:fill="FFFFFF"/>
            <w:noWrap/>
            <w:vAlign w:val="bottom"/>
            <w:hideMark/>
          </w:tcPr>
          <w:p w14:paraId="5080C09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1,200,997,155 </w:t>
            </w:r>
          </w:p>
        </w:tc>
        <w:tc>
          <w:tcPr>
            <w:tcW w:w="1636" w:type="dxa"/>
            <w:tcBorders>
              <w:top w:val="nil"/>
              <w:left w:val="nil"/>
              <w:bottom w:val="nil"/>
              <w:right w:val="nil"/>
            </w:tcBorders>
            <w:shd w:val="clear" w:color="000000" w:fill="FFFFFF"/>
            <w:noWrap/>
            <w:vAlign w:val="bottom"/>
            <w:hideMark/>
          </w:tcPr>
          <w:p w14:paraId="7668CF3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10,118,817 </w:t>
            </w:r>
          </w:p>
        </w:tc>
        <w:tc>
          <w:tcPr>
            <w:tcW w:w="1997" w:type="dxa"/>
            <w:tcBorders>
              <w:top w:val="nil"/>
              <w:left w:val="nil"/>
              <w:bottom w:val="nil"/>
              <w:right w:val="nil"/>
            </w:tcBorders>
            <w:shd w:val="clear" w:color="000000" w:fill="FFFFFF"/>
            <w:noWrap/>
            <w:vAlign w:val="bottom"/>
            <w:hideMark/>
          </w:tcPr>
          <w:p w14:paraId="2DE389C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967,369,281 </w:t>
            </w:r>
          </w:p>
        </w:tc>
        <w:tc>
          <w:tcPr>
            <w:tcW w:w="1636" w:type="dxa"/>
            <w:tcBorders>
              <w:top w:val="nil"/>
              <w:left w:val="nil"/>
              <w:bottom w:val="nil"/>
              <w:right w:val="nil"/>
            </w:tcBorders>
            <w:shd w:val="clear" w:color="000000" w:fill="FFFFFF"/>
            <w:noWrap/>
            <w:vAlign w:val="bottom"/>
            <w:hideMark/>
          </w:tcPr>
          <w:p w14:paraId="0D29E56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1B532E5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6,312,835 </w:t>
            </w:r>
          </w:p>
        </w:tc>
      </w:tr>
      <w:tr w:rsidR="002D2278" w:rsidRPr="002D2278" w14:paraId="514ACE01" w14:textId="77777777" w:rsidTr="002D2278">
        <w:trPr>
          <w:trHeight w:val="20"/>
        </w:trPr>
        <w:tc>
          <w:tcPr>
            <w:tcW w:w="612" w:type="dxa"/>
            <w:tcBorders>
              <w:top w:val="nil"/>
              <w:left w:val="nil"/>
              <w:bottom w:val="nil"/>
              <w:right w:val="nil"/>
            </w:tcBorders>
            <w:shd w:val="clear" w:color="000000" w:fill="FFFFFF"/>
            <w:noWrap/>
            <w:vAlign w:val="bottom"/>
            <w:hideMark/>
          </w:tcPr>
          <w:p w14:paraId="4E0B3BF5"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w:t>
            </w:r>
          </w:p>
        </w:tc>
        <w:tc>
          <w:tcPr>
            <w:tcW w:w="1957" w:type="dxa"/>
            <w:tcBorders>
              <w:top w:val="nil"/>
              <w:left w:val="nil"/>
              <w:bottom w:val="nil"/>
              <w:right w:val="nil"/>
            </w:tcBorders>
            <w:shd w:val="clear" w:color="000000" w:fill="FFFFFF"/>
            <w:noWrap/>
            <w:vAlign w:val="bottom"/>
            <w:hideMark/>
          </w:tcPr>
          <w:p w14:paraId="2008062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1,190,827,738 </w:t>
            </w:r>
          </w:p>
        </w:tc>
        <w:tc>
          <w:tcPr>
            <w:tcW w:w="1636" w:type="dxa"/>
            <w:tcBorders>
              <w:top w:val="nil"/>
              <w:left w:val="nil"/>
              <w:bottom w:val="nil"/>
              <w:right w:val="nil"/>
            </w:tcBorders>
            <w:shd w:val="clear" w:color="000000" w:fill="FFFFFF"/>
            <w:noWrap/>
            <w:vAlign w:val="bottom"/>
            <w:hideMark/>
          </w:tcPr>
          <w:p w14:paraId="6EE0484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10,169,417 </w:t>
            </w:r>
          </w:p>
        </w:tc>
        <w:tc>
          <w:tcPr>
            <w:tcW w:w="1997" w:type="dxa"/>
            <w:tcBorders>
              <w:top w:val="nil"/>
              <w:left w:val="nil"/>
              <w:bottom w:val="nil"/>
              <w:right w:val="nil"/>
            </w:tcBorders>
            <w:shd w:val="clear" w:color="000000" w:fill="FFFFFF"/>
            <w:noWrap/>
            <w:vAlign w:val="bottom"/>
            <w:hideMark/>
          </w:tcPr>
          <w:p w14:paraId="2D41A44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967,369,281 </w:t>
            </w:r>
          </w:p>
        </w:tc>
        <w:tc>
          <w:tcPr>
            <w:tcW w:w="1636" w:type="dxa"/>
            <w:tcBorders>
              <w:top w:val="nil"/>
              <w:left w:val="nil"/>
              <w:bottom w:val="nil"/>
              <w:right w:val="nil"/>
            </w:tcBorders>
            <w:shd w:val="clear" w:color="000000" w:fill="FFFFFF"/>
            <w:noWrap/>
            <w:vAlign w:val="bottom"/>
            <w:hideMark/>
          </w:tcPr>
          <w:p w14:paraId="4A484BE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295A0E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6,262,236 </w:t>
            </w:r>
          </w:p>
        </w:tc>
      </w:tr>
      <w:tr w:rsidR="002D2278" w:rsidRPr="002D2278" w14:paraId="45388AA6" w14:textId="77777777" w:rsidTr="002D2278">
        <w:trPr>
          <w:trHeight w:val="20"/>
        </w:trPr>
        <w:tc>
          <w:tcPr>
            <w:tcW w:w="612" w:type="dxa"/>
            <w:tcBorders>
              <w:top w:val="nil"/>
              <w:left w:val="nil"/>
              <w:bottom w:val="nil"/>
              <w:right w:val="nil"/>
            </w:tcBorders>
            <w:shd w:val="clear" w:color="000000" w:fill="FFFFFF"/>
            <w:noWrap/>
            <w:vAlign w:val="bottom"/>
            <w:hideMark/>
          </w:tcPr>
          <w:p w14:paraId="3DCDE184"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w:t>
            </w:r>
          </w:p>
        </w:tc>
        <w:tc>
          <w:tcPr>
            <w:tcW w:w="1957" w:type="dxa"/>
            <w:tcBorders>
              <w:top w:val="nil"/>
              <w:left w:val="nil"/>
              <w:bottom w:val="nil"/>
              <w:right w:val="nil"/>
            </w:tcBorders>
            <w:shd w:val="clear" w:color="000000" w:fill="FFFFFF"/>
            <w:noWrap/>
            <w:vAlign w:val="bottom"/>
            <w:hideMark/>
          </w:tcPr>
          <w:p w14:paraId="1E51670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1,180,607,455 </w:t>
            </w:r>
          </w:p>
        </w:tc>
        <w:tc>
          <w:tcPr>
            <w:tcW w:w="1636" w:type="dxa"/>
            <w:tcBorders>
              <w:top w:val="nil"/>
              <w:left w:val="nil"/>
              <w:bottom w:val="nil"/>
              <w:right w:val="nil"/>
            </w:tcBorders>
            <w:shd w:val="clear" w:color="000000" w:fill="FFFFFF"/>
            <w:noWrap/>
            <w:vAlign w:val="bottom"/>
            <w:hideMark/>
          </w:tcPr>
          <w:p w14:paraId="33EA953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10,220,283 </w:t>
            </w:r>
          </w:p>
        </w:tc>
        <w:tc>
          <w:tcPr>
            <w:tcW w:w="1997" w:type="dxa"/>
            <w:tcBorders>
              <w:top w:val="nil"/>
              <w:left w:val="nil"/>
              <w:bottom w:val="nil"/>
              <w:right w:val="nil"/>
            </w:tcBorders>
            <w:shd w:val="clear" w:color="000000" w:fill="FFFFFF"/>
            <w:noWrap/>
            <w:vAlign w:val="bottom"/>
            <w:hideMark/>
          </w:tcPr>
          <w:p w14:paraId="496A593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967,369,281 </w:t>
            </w:r>
          </w:p>
        </w:tc>
        <w:tc>
          <w:tcPr>
            <w:tcW w:w="1636" w:type="dxa"/>
            <w:tcBorders>
              <w:top w:val="nil"/>
              <w:left w:val="nil"/>
              <w:bottom w:val="nil"/>
              <w:right w:val="nil"/>
            </w:tcBorders>
            <w:shd w:val="clear" w:color="000000" w:fill="FFFFFF"/>
            <w:noWrap/>
            <w:vAlign w:val="bottom"/>
            <w:hideMark/>
          </w:tcPr>
          <w:p w14:paraId="0FEE23D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3DE2EA0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6,211,370 </w:t>
            </w:r>
          </w:p>
        </w:tc>
      </w:tr>
      <w:tr w:rsidR="002D2278" w:rsidRPr="002D2278" w14:paraId="2CB774A5" w14:textId="77777777" w:rsidTr="002D2278">
        <w:trPr>
          <w:trHeight w:val="20"/>
        </w:trPr>
        <w:tc>
          <w:tcPr>
            <w:tcW w:w="612" w:type="dxa"/>
            <w:tcBorders>
              <w:top w:val="nil"/>
              <w:left w:val="nil"/>
              <w:bottom w:val="nil"/>
              <w:right w:val="nil"/>
            </w:tcBorders>
            <w:shd w:val="clear" w:color="000000" w:fill="FFFFFF"/>
            <w:noWrap/>
            <w:vAlign w:val="bottom"/>
            <w:hideMark/>
          </w:tcPr>
          <w:p w14:paraId="252BCB1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w:t>
            </w:r>
          </w:p>
        </w:tc>
        <w:tc>
          <w:tcPr>
            <w:tcW w:w="1957" w:type="dxa"/>
            <w:tcBorders>
              <w:top w:val="nil"/>
              <w:left w:val="nil"/>
              <w:bottom w:val="nil"/>
              <w:right w:val="nil"/>
            </w:tcBorders>
            <w:shd w:val="clear" w:color="000000" w:fill="FFFFFF"/>
            <w:noWrap/>
            <w:vAlign w:val="bottom"/>
            <w:hideMark/>
          </w:tcPr>
          <w:p w14:paraId="1C19E69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1,169,249,063 </w:t>
            </w:r>
          </w:p>
        </w:tc>
        <w:tc>
          <w:tcPr>
            <w:tcW w:w="1636" w:type="dxa"/>
            <w:tcBorders>
              <w:top w:val="nil"/>
              <w:left w:val="nil"/>
              <w:bottom w:val="nil"/>
              <w:right w:val="nil"/>
            </w:tcBorders>
            <w:shd w:val="clear" w:color="000000" w:fill="FFFFFF"/>
            <w:noWrap/>
            <w:vAlign w:val="bottom"/>
            <w:hideMark/>
          </w:tcPr>
          <w:p w14:paraId="28B067D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11,358,392 </w:t>
            </w:r>
          </w:p>
        </w:tc>
        <w:tc>
          <w:tcPr>
            <w:tcW w:w="1997" w:type="dxa"/>
            <w:tcBorders>
              <w:top w:val="nil"/>
              <w:left w:val="nil"/>
              <w:bottom w:val="nil"/>
              <w:right w:val="nil"/>
            </w:tcBorders>
            <w:shd w:val="clear" w:color="000000" w:fill="FFFFFF"/>
            <w:noWrap/>
            <w:vAlign w:val="bottom"/>
            <w:hideMark/>
          </w:tcPr>
          <w:p w14:paraId="128D021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966,253,248 </w:t>
            </w:r>
          </w:p>
        </w:tc>
        <w:tc>
          <w:tcPr>
            <w:tcW w:w="1636" w:type="dxa"/>
            <w:tcBorders>
              <w:top w:val="nil"/>
              <w:left w:val="nil"/>
              <w:bottom w:val="nil"/>
              <w:right w:val="nil"/>
            </w:tcBorders>
            <w:shd w:val="clear" w:color="000000" w:fill="FFFFFF"/>
            <w:noWrap/>
            <w:vAlign w:val="bottom"/>
            <w:hideMark/>
          </w:tcPr>
          <w:p w14:paraId="46961BC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1,116,033 </w:t>
            </w:r>
          </w:p>
        </w:tc>
        <w:tc>
          <w:tcPr>
            <w:tcW w:w="1522" w:type="dxa"/>
            <w:tcBorders>
              <w:top w:val="nil"/>
              <w:left w:val="nil"/>
              <w:bottom w:val="nil"/>
              <w:right w:val="nil"/>
            </w:tcBorders>
            <w:shd w:val="clear" w:color="000000" w:fill="FFFFFF"/>
            <w:noWrap/>
            <w:vAlign w:val="bottom"/>
            <w:hideMark/>
          </w:tcPr>
          <w:p w14:paraId="07B4589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6,160,235 </w:t>
            </w:r>
          </w:p>
        </w:tc>
      </w:tr>
      <w:tr w:rsidR="002D2278" w:rsidRPr="002D2278" w14:paraId="1BF91416" w14:textId="77777777" w:rsidTr="002D2278">
        <w:trPr>
          <w:trHeight w:val="20"/>
        </w:trPr>
        <w:tc>
          <w:tcPr>
            <w:tcW w:w="612" w:type="dxa"/>
            <w:tcBorders>
              <w:top w:val="nil"/>
              <w:left w:val="nil"/>
              <w:bottom w:val="nil"/>
              <w:right w:val="nil"/>
            </w:tcBorders>
            <w:shd w:val="clear" w:color="000000" w:fill="FFFFFF"/>
            <w:noWrap/>
            <w:vAlign w:val="bottom"/>
            <w:hideMark/>
          </w:tcPr>
          <w:p w14:paraId="1502A4FA"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8</w:t>
            </w:r>
          </w:p>
        </w:tc>
        <w:tc>
          <w:tcPr>
            <w:tcW w:w="1957" w:type="dxa"/>
            <w:tcBorders>
              <w:top w:val="nil"/>
              <w:left w:val="nil"/>
              <w:bottom w:val="nil"/>
              <w:right w:val="nil"/>
            </w:tcBorders>
            <w:shd w:val="clear" w:color="000000" w:fill="FFFFFF"/>
            <w:noWrap/>
            <w:vAlign w:val="bottom"/>
            <w:hideMark/>
          </w:tcPr>
          <w:p w14:paraId="217FC5CB"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1,154,949,172 </w:t>
            </w:r>
          </w:p>
        </w:tc>
        <w:tc>
          <w:tcPr>
            <w:tcW w:w="1636" w:type="dxa"/>
            <w:tcBorders>
              <w:top w:val="nil"/>
              <w:left w:val="nil"/>
              <w:bottom w:val="nil"/>
              <w:right w:val="nil"/>
            </w:tcBorders>
            <w:shd w:val="clear" w:color="000000" w:fill="FFFFFF"/>
            <w:noWrap/>
            <w:vAlign w:val="bottom"/>
            <w:hideMark/>
          </w:tcPr>
          <w:p w14:paraId="3DD3AE5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14,299,892 </w:t>
            </w:r>
          </w:p>
        </w:tc>
        <w:tc>
          <w:tcPr>
            <w:tcW w:w="1997" w:type="dxa"/>
            <w:tcBorders>
              <w:top w:val="nil"/>
              <w:left w:val="nil"/>
              <w:bottom w:val="nil"/>
              <w:right w:val="nil"/>
            </w:tcBorders>
            <w:shd w:val="clear" w:color="000000" w:fill="FFFFFF"/>
            <w:noWrap/>
            <w:vAlign w:val="bottom"/>
            <w:hideMark/>
          </w:tcPr>
          <w:p w14:paraId="7CD46F9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962,165,048 </w:t>
            </w:r>
          </w:p>
        </w:tc>
        <w:tc>
          <w:tcPr>
            <w:tcW w:w="1636" w:type="dxa"/>
            <w:tcBorders>
              <w:top w:val="nil"/>
              <w:left w:val="nil"/>
              <w:bottom w:val="nil"/>
              <w:right w:val="nil"/>
            </w:tcBorders>
            <w:shd w:val="clear" w:color="000000" w:fill="FFFFFF"/>
            <w:noWrap/>
            <w:vAlign w:val="bottom"/>
            <w:hideMark/>
          </w:tcPr>
          <w:p w14:paraId="7CCAA75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4,088,200 </w:t>
            </w:r>
          </w:p>
        </w:tc>
        <w:tc>
          <w:tcPr>
            <w:tcW w:w="1522" w:type="dxa"/>
            <w:tcBorders>
              <w:top w:val="nil"/>
              <w:left w:val="nil"/>
              <w:bottom w:val="nil"/>
              <w:right w:val="nil"/>
            </w:tcBorders>
            <w:shd w:val="clear" w:color="000000" w:fill="FFFFFF"/>
            <w:noWrap/>
            <w:vAlign w:val="bottom"/>
            <w:hideMark/>
          </w:tcPr>
          <w:p w14:paraId="05835FA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6,104,381 </w:t>
            </w:r>
          </w:p>
        </w:tc>
      </w:tr>
      <w:tr w:rsidR="002D2278" w:rsidRPr="002D2278" w14:paraId="61327294" w14:textId="77777777" w:rsidTr="002D2278">
        <w:trPr>
          <w:trHeight w:val="20"/>
        </w:trPr>
        <w:tc>
          <w:tcPr>
            <w:tcW w:w="612" w:type="dxa"/>
            <w:tcBorders>
              <w:top w:val="nil"/>
              <w:left w:val="nil"/>
              <w:bottom w:val="nil"/>
              <w:right w:val="nil"/>
            </w:tcBorders>
            <w:shd w:val="clear" w:color="000000" w:fill="FFFFFF"/>
            <w:noWrap/>
            <w:vAlign w:val="bottom"/>
            <w:hideMark/>
          </w:tcPr>
          <w:p w14:paraId="3D844CFC"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9</w:t>
            </w:r>
          </w:p>
        </w:tc>
        <w:tc>
          <w:tcPr>
            <w:tcW w:w="1957" w:type="dxa"/>
            <w:tcBorders>
              <w:top w:val="nil"/>
              <w:left w:val="nil"/>
              <w:bottom w:val="nil"/>
              <w:right w:val="nil"/>
            </w:tcBorders>
            <w:shd w:val="clear" w:color="000000" w:fill="FFFFFF"/>
            <w:noWrap/>
            <w:vAlign w:val="bottom"/>
            <w:hideMark/>
          </w:tcPr>
          <w:p w14:paraId="178A33D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1,137,916,517 </w:t>
            </w:r>
          </w:p>
        </w:tc>
        <w:tc>
          <w:tcPr>
            <w:tcW w:w="1636" w:type="dxa"/>
            <w:tcBorders>
              <w:top w:val="nil"/>
              <w:left w:val="nil"/>
              <w:bottom w:val="nil"/>
              <w:right w:val="nil"/>
            </w:tcBorders>
            <w:shd w:val="clear" w:color="000000" w:fill="FFFFFF"/>
            <w:noWrap/>
            <w:vAlign w:val="bottom"/>
            <w:hideMark/>
          </w:tcPr>
          <w:p w14:paraId="2BF3A63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17,032,654 </w:t>
            </w:r>
          </w:p>
        </w:tc>
        <w:tc>
          <w:tcPr>
            <w:tcW w:w="1997" w:type="dxa"/>
            <w:tcBorders>
              <w:top w:val="nil"/>
              <w:left w:val="nil"/>
              <w:bottom w:val="nil"/>
              <w:right w:val="nil"/>
            </w:tcBorders>
            <w:shd w:val="clear" w:color="000000" w:fill="FFFFFF"/>
            <w:noWrap/>
            <w:vAlign w:val="bottom"/>
            <w:hideMark/>
          </w:tcPr>
          <w:p w14:paraId="3D3C16B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955,273,124 </w:t>
            </w:r>
          </w:p>
        </w:tc>
        <w:tc>
          <w:tcPr>
            <w:tcW w:w="1636" w:type="dxa"/>
            <w:tcBorders>
              <w:top w:val="nil"/>
              <w:left w:val="nil"/>
              <w:bottom w:val="nil"/>
              <w:right w:val="nil"/>
            </w:tcBorders>
            <w:shd w:val="clear" w:color="000000" w:fill="FFFFFF"/>
            <w:noWrap/>
            <w:vAlign w:val="bottom"/>
            <w:hideMark/>
          </w:tcPr>
          <w:p w14:paraId="453F838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6,891,924 </w:t>
            </w:r>
          </w:p>
        </w:tc>
        <w:tc>
          <w:tcPr>
            <w:tcW w:w="1522" w:type="dxa"/>
            <w:tcBorders>
              <w:top w:val="nil"/>
              <w:left w:val="nil"/>
              <w:bottom w:val="nil"/>
              <w:right w:val="nil"/>
            </w:tcBorders>
            <w:shd w:val="clear" w:color="000000" w:fill="FFFFFF"/>
            <w:noWrap/>
            <w:vAlign w:val="bottom"/>
            <w:hideMark/>
          </w:tcPr>
          <w:p w14:paraId="30A5BC3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6,038,105 </w:t>
            </w:r>
          </w:p>
        </w:tc>
      </w:tr>
      <w:tr w:rsidR="002D2278" w:rsidRPr="002D2278" w14:paraId="2DF31D5B" w14:textId="77777777" w:rsidTr="002D2278">
        <w:trPr>
          <w:trHeight w:val="20"/>
        </w:trPr>
        <w:tc>
          <w:tcPr>
            <w:tcW w:w="612" w:type="dxa"/>
            <w:tcBorders>
              <w:top w:val="nil"/>
              <w:left w:val="nil"/>
              <w:bottom w:val="nil"/>
              <w:right w:val="nil"/>
            </w:tcBorders>
            <w:shd w:val="clear" w:color="000000" w:fill="FFFFFF"/>
            <w:noWrap/>
            <w:vAlign w:val="bottom"/>
            <w:hideMark/>
          </w:tcPr>
          <w:p w14:paraId="6762877B"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10</w:t>
            </w:r>
          </w:p>
        </w:tc>
        <w:tc>
          <w:tcPr>
            <w:tcW w:w="1957" w:type="dxa"/>
            <w:tcBorders>
              <w:top w:val="nil"/>
              <w:left w:val="nil"/>
              <w:bottom w:val="nil"/>
              <w:right w:val="nil"/>
            </w:tcBorders>
            <w:shd w:val="clear" w:color="000000" w:fill="FFFFFF"/>
            <w:noWrap/>
            <w:vAlign w:val="bottom"/>
            <w:hideMark/>
          </w:tcPr>
          <w:p w14:paraId="49F4733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1,116,250,363 </w:t>
            </w:r>
          </w:p>
        </w:tc>
        <w:tc>
          <w:tcPr>
            <w:tcW w:w="1636" w:type="dxa"/>
            <w:tcBorders>
              <w:top w:val="nil"/>
              <w:left w:val="nil"/>
              <w:bottom w:val="nil"/>
              <w:right w:val="nil"/>
            </w:tcBorders>
            <w:shd w:val="clear" w:color="000000" w:fill="FFFFFF"/>
            <w:noWrap/>
            <w:vAlign w:val="bottom"/>
            <w:hideMark/>
          </w:tcPr>
          <w:p w14:paraId="41F4F6A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21,666,154 </w:t>
            </w:r>
          </w:p>
        </w:tc>
        <w:tc>
          <w:tcPr>
            <w:tcW w:w="1997" w:type="dxa"/>
            <w:tcBorders>
              <w:top w:val="nil"/>
              <w:left w:val="nil"/>
              <w:bottom w:val="nil"/>
              <w:right w:val="nil"/>
            </w:tcBorders>
            <w:shd w:val="clear" w:color="000000" w:fill="FFFFFF"/>
            <w:noWrap/>
            <w:vAlign w:val="bottom"/>
            <w:hideMark/>
          </w:tcPr>
          <w:p w14:paraId="6DA706D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943,616,217 </w:t>
            </w:r>
          </w:p>
        </w:tc>
        <w:tc>
          <w:tcPr>
            <w:tcW w:w="1636" w:type="dxa"/>
            <w:tcBorders>
              <w:top w:val="nil"/>
              <w:left w:val="nil"/>
              <w:bottom w:val="nil"/>
              <w:right w:val="nil"/>
            </w:tcBorders>
            <w:shd w:val="clear" w:color="000000" w:fill="FFFFFF"/>
            <w:noWrap/>
            <w:vAlign w:val="bottom"/>
            <w:hideMark/>
          </w:tcPr>
          <w:p w14:paraId="3BBE12F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11,656,907 </w:t>
            </w:r>
          </w:p>
        </w:tc>
        <w:tc>
          <w:tcPr>
            <w:tcW w:w="1522" w:type="dxa"/>
            <w:tcBorders>
              <w:top w:val="nil"/>
              <w:left w:val="nil"/>
              <w:bottom w:val="nil"/>
              <w:right w:val="nil"/>
            </w:tcBorders>
            <w:shd w:val="clear" w:color="000000" w:fill="FFFFFF"/>
            <w:noWrap/>
            <w:vAlign w:val="bottom"/>
            <w:hideMark/>
          </w:tcPr>
          <w:p w14:paraId="05EB464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5,960,327 </w:t>
            </w:r>
          </w:p>
        </w:tc>
      </w:tr>
      <w:tr w:rsidR="002D2278" w:rsidRPr="002D2278" w14:paraId="7419C642" w14:textId="77777777" w:rsidTr="002D2278">
        <w:trPr>
          <w:trHeight w:val="20"/>
        </w:trPr>
        <w:tc>
          <w:tcPr>
            <w:tcW w:w="612" w:type="dxa"/>
            <w:tcBorders>
              <w:top w:val="nil"/>
              <w:left w:val="nil"/>
              <w:bottom w:val="nil"/>
              <w:right w:val="nil"/>
            </w:tcBorders>
            <w:shd w:val="clear" w:color="000000" w:fill="FFFFFF"/>
            <w:noWrap/>
            <w:vAlign w:val="bottom"/>
            <w:hideMark/>
          </w:tcPr>
          <w:p w14:paraId="62B9FB8E"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11</w:t>
            </w:r>
          </w:p>
        </w:tc>
        <w:tc>
          <w:tcPr>
            <w:tcW w:w="1957" w:type="dxa"/>
            <w:tcBorders>
              <w:top w:val="nil"/>
              <w:left w:val="nil"/>
              <w:bottom w:val="nil"/>
              <w:right w:val="nil"/>
            </w:tcBorders>
            <w:shd w:val="clear" w:color="000000" w:fill="FFFFFF"/>
            <w:noWrap/>
            <w:vAlign w:val="bottom"/>
            <w:hideMark/>
          </w:tcPr>
          <w:p w14:paraId="13F46C1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1,091,278,118 </w:t>
            </w:r>
          </w:p>
        </w:tc>
        <w:tc>
          <w:tcPr>
            <w:tcW w:w="1636" w:type="dxa"/>
            <w:tcBorders>
              <w:top w:val="nil"/>
              <w:left w:val="nil"/>
              <w:bottom w:val="nil"/>
              <w:right w:val="nil"/>
            </w:tcBorders>
            <w:shd w:val="clear" w:color="000000" w:fill="FFFFFF"/>
            <w:noWrap/>
            <w:vAlign w:val="bottom"/>
            <w:hideMark/>
          </w:tcPr>
          <w:p w14:paraId="22E2E78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24,972,245 </w:t>
            </w:r>
          </w:p>
        </w:tc>
        <w:tc>
          <w:tcPr>
            <w:tcW w:w="1997" w:type="dxa"/>
            <w:tcBorders>
              <w:top w:val="nil"/>
              <w:left w:val="nil"/>
              <w:bottom w:val="nil"/>
              <w:right w:val="nil"/>
            </w:tcBorders>
            <w:shd w:val="clear" w:color="000000" w:fill="FFFFFF"/>
            <w:noWrap/>
            <w:vAlign w:val="bottom"/>
            <w:hideMark/>
          </w:tcPr>
          <w:p w14:paraId="75D9CD1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928,491,261 </w:t>
            </w:r>
          </w:p>
        </w:tc>
        <w:tc>
          <w:tcPr>
            <w:tcW w:w="1636" w:type="dxa"/>
            <w:tcBorders>
              <w:top w:val="nil"/>
              <w:left w:val="nil"/>
              <w:bottom w:val="nil"/>
              <w:right w:val="nil"/>
            </w:tcBorders>
            <w:shd w:val="clear" w:color="000000" w:fill="FFFFFF"/>
            <w:noWrap/>
            <w:vAlign w:val="bottom"/>
            <w:hideMark/>
          </w:tcPr>
          <w:p w14:paraId="3F9E908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15,124,956 </w:t>
            </w:r>
          </w:p>
        </w:tc>
        <w:tc>
          <w:tcPr>
            <w:tcW w:w="1522" w:type="dxa"/>
            <w:tcBorders>
              <w:top w:val="nil"/>
              <w:left w:val="nil"/>
              <w:bottom w:val="nil"/>
              <w:right w:val="nil"/>
            </w:tcBorders>
            <w:shd w:val="clear" w:color="000000" w:fill="FFFFFF"/>
            <w:noWrap/>
            <w:vAlign w:val="bottom"/>
            <w:hideMark/>
          </w:tcPr>
          <w:p w14:paraId="411C41E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5,866,312 </w:t>
            </w:r>
          </w:p>
        </w:tc>
      </w:tr>
      <w:tr w:rsidR="002D2278" w:rsidRPr="002D2278" w14:paraId="632582D1" w14:textId="77777777" w:rsidTr="002D2278">
        <w:trPr>
          <w:trHeight w:val="20"/>
        </w:trPr>
        <w:tc>
          <w:tcPr>
            <w:tcW w:w="612" w:type="dxa"/>
            <w:tcBorders>
              <w:top w:val="nil"/>
              <w:left w:val="nil"/>
              <w:bottom w:val="nil"/>
              <w:right w:val="nil"/>
            </w:tcBorders>
            <w:shd w:val="clear" w:color="000000" w:fill="FFFFFF"/>
            <w:noWrap/>
            <w:vAlign w:val="bottom"/>
            <w:hideMark/>
          </w:tcPr>
          <w:p w14:paraId="1BD7D5C7"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12</w:t>
            </w:r>
          </w:p>
        </w:tc>
        <w:tc>
          <w:tcPr>
            <w:tcW w:w="1957" w:type="dxa"/>
            <w:tcBorders>
              <w:top w:val="nil"/>
              <w:left w:val="nil"/>
              <w:bottom w:val="nil"/>
              <w:right w:val="nil"/>
            </w:tcBorders>
            <w:shd w:val="clear" w:color="000000" w:fill="FFFFFF"/>
            <w:noWrap/>
            <w:vAlign w:val="bottom"/>
            <w:hideMark/>
          </w:tcPr>
          <w:p w14:paraId="4230FA4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1,063,121,031 </w:t>
            </w:r>
          </w:p>
        </w:tc>
        <w:tc>
          <w:tcPr>
            <w:tcW w:w="1636" w:type="dxa"/>
            <w:tcBorders>
              <w:top w:val="nil"/>
              <w:left w:val="nil"/>
              <w:bottom w:val="nil"/>
              <w:right w:val="nil"/>
            </w:tcBorders>
            <w:shd w:val="clear" w:color="000000" w:fill="FFFFFF"/>
            <w:noWrap/>
            <w:vAlign w:val="bottom"/>
            <w:hideMark/>
          </w:tcPr>
          <w:p w14:paraId="6BFD439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28,157,087 </w:t>
            </w:r>
          </w:p>
        </w:tc>
        <w:tc>
          <w:tcPr>
            <w:tcW w:w="1997" w:type="dxa"/>
            <w:tcBorders>
              <w:top w:val="nil"/>
              <w:left w:val="nil"/>
              <w:bottom w:val="nil"/>
              <w:right w:val="nil"/>
            </w:tcBorders>
            <w:shd w:val="clear" w:color="000000" w:fill="FFFFFF"/>
            <w:noWrap/>
            <w:vAlign w:val="bottom"/>
            <w:hideMark/>
          </w:tcPr>
          <w:p w14:paraId="6E17BA1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909,978,755 </w:t>
            </w:r>
          </w:p>
        </w:tc>
        <w:tc>
          <w:tcPr>
            <w:tcW w:w="1636" w:type="dxa"/>
            <w:tcBorders>
              <w:top w:val="nil"/>
              <w:left w:val="nil"/>
              <w:bottom w:val="nil"/>
              <w:right w:val="nil"/>
            </w:tcBorders>
            <w:shd w:val="clear" w:color="000000" w:fill="FFFFFF"/>
            <w:noWrap/>
            <w:vAlign w:val="bottom"/>
            <w:hideMark/>
          </w:tcPr>
          <w:p w14:paraId="1F4C1A3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18,512,506 </w:t>
            </w:r>
          </w:p>
        </w:tc>
        <w:tc>
          <w:tcPr>
            <w:tcW w:w="1522" w:type="dxa"/>
            <w:tcBorders>
              <w:top w:val="nil"/>
              <w:left w:val="nil"/>
              <w:bottom w:val="nil"/>
              <w:right w:val="nil"/>
            </w:tcBorders>
            <w:shd w:val="clear" w:color="000000" w:fill="FFFFFF"/>
            <w:noWrap/>
            <w:vAlign w:val="bottom"/>
            <w:hideMark/>
          </w:tcPr>
          <w:p w14:paraId="4597946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5,754,674 </w:t>
            </w:r>
          </w:p>
        </w:tc>
      </w:tr>
      <w:tr w:rsidR="002D2278" w:rsidRPr="002D2278" w14:paraId="2924762C" w14:textId="77777777" w:rsidTr="002D2278">
        <w:trPr>
          <w:trHeight w:val="20"/>
        </w:trPr>
        <w:tc>
          <w:tcPr>
            <w:tcW w:w="612" w:type="dxa"/>
            <w:tcBorders>
              <w:top w:val="nil"/>
              <w:left w:val="nil"/>
              <w:bottom w:val="nil"/>
              <w:right w:val="nil"/>
            </w:tcBorders>
            <w:shd w:val="clear" w:color="000000" w:fill="FFFFFF"/>
            <w:noWrap/>
            <w:vAlign w:val="bottom"/>
            <w:hideMark/>
          </w:tcPr>
          <w:p w14:paraId="311883BD"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13</w:t>
            </w:r>
          </w:p>
        </w:tc>
        <w:tc>
          <w:tcPr>
            <w:tcW w:w="1957" w:type="dxa"/>
            <w:tcBorders>
              <w:top w:val="nil"/>
              <w:left w:val="nil"/>
              <w:bottom w:val="nil"/>
              <w:right w:val="nil"/>
            </w:tcBorders>
            <w:shd w:val="clear" w:color="000000" w:fill="FFFFFF"/>
            <w:noWrap/>
            <w:vAlign w:val="bottom"/>
            <w:hideMark/>
          </w:tcPr>
          <w:p w14:paraId="1482AE2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1,037,912,074 </w:t>
            </w:r>
          </w:p>
        </w:tc>
        <w:tc>
          <w:tcPr>
            <w:tcW w:w="1636" w:type="dxa"/>
            <w:tcBorders>
              <w:top w:val="nil"/>
              <w:left w:val="nil"/>
              <w:bottom w:val="nil"/>
              <w:right w:val="nil"/>
            </w:tcBorders>
            <w:shd w:val="clear" w:color="000000" w:fill="FFFFFF"/>
            <w:noWrap/>
            <w:vAlign w:val="bottom"/>
            <w:hideMark/>
          </w:tcPr>
          <w:p w14:paraId="745F9C0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25,208,957 </w:t>
            </w:r>
          </w:p>
        </w:tc>
        <w:tc>
          <w:tcPr>
            <w:tcW w:w="1997" w:type="dxa"/>
            <w:tcBorders>
              <w:top w:val="nil"/>
              <w:left w:val="nil"/>
              <w:bottom w:val="nil"/>
              <w:right w:val="nil"/>
            </w:tcBorders>
            <w:shd w:val="clear" w:color="000000" w:fill="FFFFFF"/>
            <w:noWrap/>
            <w:vAlign w:val="bottom"/>
            <w:hideMark/>
          </w:tcPr>
          <w:p w14:paraId="12F1A98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894,266,047 </w:t>
            </w:r>
          </w:p>
        </w:tc>
        <w:tc>
          <w:tcPr>
            <w:tcW w:w="1636" w:type="dxa"/>
            <w:tcBorders>
              <w:top w:val="nil"/>
              <w:left w:val="nil"/>
              <w:bottom w:val="nil"/>
              <w:right w:val="nil"/>
            </w:tcBorders>
            <w:shd w:val="clear" w:color="000000" w:fill="FFFFFF"/>
            <w:noWrap/>
            <w:vAlign w:val="bottom"/>
            <w:hideMark/>
          </w:tcPr>
          <w:p w14:paraId="5C01C34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15,712,708 </w:t>
            </w:r>
          </w:p>
        </w:tc>
        <w:tc>
          <w:tcPr>
            <w:tcW w:w="1522" w:type="dxa"/>
            <w:tcBorders>
              <w:top w:val="nil"/>
              <w:left w:val="nil"/>
              <w:bottom w:val="nil"/>
              <w:right w:val="nil"/>
            </w:tcBorders>
            <w:shd w:val="clear" w:color="000000" w:fill="FFFFFF"/>
            <w:noWrap/>
            <w:vAlign w:val="bottom"/>
            <w:hideMark/>
          </w:tcPr>
          <w:p w14:paraId="4AAEA60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5,631,381 </w:t>
            </w:r>
          </w:p>
        </w:tc>
      </w:tr>
      <w:tr w:rsidR="002D2278" w:rsidRPr="002D2278" w14:paraId="41342D41" w14:textId="77777777" w:rsidTr="002D2278">
        <w:trPr>
          <w:trHeight w:val="20"/>
        </w:trPr>
        <w:tc>
          <w:tcPr>
            <w:tcW w:w="612" w:type="dxa"/>
            <w:tcBorders>
              <w:top w:val="nil"/>
              <w:left w:val="nil"/>
              <w:bottom w:val="nil"/>
              <w:right w:val="nil"/>
            </w:tcBorders>
            <w:shd w:val="clear" w:color="000000" w:fill="FFFFFF"/>
            <w:noWrap/>
            <w:vAlign w:val="bottom"/>
            <w:hideMark/>
          </w:tcPr>
          <w:p w14:paraId="76D633B9"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14</w:t>
            </w:r>
          </w:p>
        </w:tc>
        <w:tc>
          <w:tcPr>
            <w:tcW w:w="1957" w:type="dxa"/>
            <w:tcBorders>
              <w:top w:val="nil"/>
              <w:left w:val="nil"/>
              <w:bottom w:val="nil"/>
              <w:right w:val="nil"/>
            </w:tcBorders>
            <w:shd w:val="clear" w:color="000000" w:fill="FFFFFF"/>
            <w:noWrap/>
            <w:vAlign w:val="bottom"/>
            <w:hideMark/>
          </w:tcPr>
          <w:p w14:paraId="128B33D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1,005,162,014 </w:t>
            </w:r>
          </w:p>
        </w:tc>
        <w:tc>
          <w:tcPr>
            <w:tcW w:w="1636" w:type="dxa"/>
            <w:tcBorders>
              <w:top w:val="nil"/>
              <w:left w:val="nil"/>
              <w:bottom w:val="nil"/>
              <w:right w:val="nil"/>
            </w:tcBorders>
            <w:shd w:val="clear" w:color="000000" w:fill="FFFFFF"/>
            <w:noWrap/>
            <w:vAlign w:val="bottom"/>
            <w:hideMark/>
          </w:tcPr>
          <w:p w14:paraId="014FE39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32,750,060 </w:t>
            </w:r>
          </w:p>
        </w:tc>
        <w:tc>
          <w:tcPr>
            <w:tcW w:w="1997" w:type="dxa"/>
            <w:tcBorders>
              <w:top w:val="nil"/>
              <w:left w:val="nil"/>
              <w:bottom w:val="nil"/>
              <w:right w:val="nil"/>
            </w:tcBorders>
            <w:shd w:val="clear" w:color="000000" w:fill="FFFFFF"/>
            <w:noWrap/>
            <w:vAlign w:val="bottom"/>
            <w:hideMark/>
          </w:tcPr>
          <w:p w14:paraId="70DC068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870,780,646 </w:t>
            </w:r>
          </w:p>
        </w:tc>
        <w:tc>
          <w:tcPr>
            <w:tcW w:w="1636" w:type="dxa"/>
            <w:tcBorders>
              <w:top w:val="nil"/>
              <w:left w:val="nil"/>
              <w:bottom w:val="nil"/>
              <w:right w:val="nil"/>
            </w:tcBorders>
            <w:shd w:val="clear" w:color="000000" w:fill="FFFFFF"/>
            <w:noWrap/>
            <w:vAlign w:val="bottom"/>
            <w:hideMark/>
          </w:tcPr>
          <w:p w14:paraId="43F44D7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23,485,401 </w:t>
            </w:r>
          </w:p>
        </w:tc>
        <w:tc>
          <w:tcPr>
            <w:tcW w:w="1522" w:type="dxa"/>
            <w:tcBorders>
              <w:top w:val="nil"/>
              <w:left w:val="nil"/>
              <w:bottom w:val="nil"/>
              <w:right w:val="nil"/>
            </w:tcBorders>
            <w:shd w:val="clear" w:color="000000" w:fill="FFFFFF"/>
            <w:noWrap/>
            <w:vAlign w:val="bottom"/>
            <w:hideMark/>
          </w:tcPr>
          <w:p w14:paraId="0E4D294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5,515,237 </w:t>
            </w:r>
          </w:p>
        </w:tc>
      </w:tr>
      <w:tr w:rsidR="002D2278" w:rsidRPr="002D2278" w14:paraId="4B5FAB7F" w14:textId="77777777" w:rsidTr="002D2278">
        <w:trPr>
          <w:trHeight w:val="20"/>
        </w:trPr>
        <w:tc>
          <w:tcPr>
            <w:tcW w:w="612" w:type="dxa"/>
            <w:tcBorders>
              <w:top w:val="nil"/>
              <w:left w:val="nil"/>
              <w:bottom w:val="nil"/>
              <w:right w:val="nil"/>
            </w:tcBorders>
            <w:shd w:val="clear" w:color="000000" w:fill="FFFFFF"/>
            <w:noWrap/>
            <w:vAlign w:val="bottom"/>
            <w:hideMark/>
          </w:tcPr>
          <w:p w14:paraId="09B8E883"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15</w:t>
            </w:r>
          </w:p>
        </w:tc>
        <w:tc>
          <w:tcPr>
            <w:tcW w:w="1957" w:type="dxa"/>
            <w:tcBorders>
              <w:top w:val="nil"/>
              <w:left w:val="nil"/>
              <w:bottom w:val="nil"/>
              <w:right w:val="nil"/>
            </w:tcBorders>
            <w:shd w:val="clear" w:color="000000" w:fill="FFFFFF"/>
            <w:noWrap/>
            <w:vAlign w:val="bottom"/>
            <w:hideMark/>
          </w:tcPr>
          <w:p w14:paraId="15BCB18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962,815,029 </w:t>
            </w:r>
          </w:p>
        </w:tc>
        <w:tc>
          <w:tcPr>
            <w:tcW w:w="1636" w:type="dxa"/>
            <w:tcBorders>
              <w:top w:val="nil"/>
              <w:left w:val="nil"/>
              <w:bottom w:val="nil"/>
              <w:right w:val="nil"/>
            </w:tcBorders>
            <w:shd w:val="clear" w:color="000000" w:fill="FFFFFF"/>
            <w:noWrap/>
            <w:vAlign w:val="bottom"/>
            <w:hideMark/>
          </w:tcPr>
          <w:p w14:paraId="02F3238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42,346,985 </w:t>
            </w:r>
          </w:p>
        </w:tc>
        <w:tc>
          <w:tcPr>
            <w:tcW w:w="1997" w:type="dxa"/>
            <w:tcBorders>
              <w:top w:val="nil"/>
              <w:left w:val="nil"/>
              <w:bottom w:val="nil"/>
              <w:right w:val="nil"/>
            </w:tcBorders>
            <w:shd w:val="clear" w:color="000000" w:fill="FFFFFF"/>
            <w:noWrap/>
            <w:vAlign w:val="bottom"/>
            <w:hideMark/>
          </w:tcPr>
          <w:p w14:paraId="44A7585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837,394,953 </w:t>
            </w:r>
          </w:p>
        </w:tc>
        <w:tc>
          <w:tcPr>
            <w:tcW w:w="1636" w:type="dxa"/>
            <w:tcBorders>
              <w:top w:val="nil"/>
              <w:left w:val="nil"/>
              <w:bottom w:val="nil"/>
              <w:right w:val="nil"/>
            </w:tcBorders>
            <w:shd w:val="clear" w:color="000000" w:fill="FFFFFF"/>
            <w:noWrap/>
            <w:vAlign w:val="bottom"/>
            <w:hideMark/>
          </w:tcPr>
          <w:p w14:paraId="62F61C4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33,385,694 </w:t>
            </w:r>
          </w:p>
        </w:tc>
        <w:tc>
          <w:tcPr>
            <w:tcW w:w="1522" w:type="dxa"/>
            <w:tcBorders>
              <w:top w:val="nil"/>
              <w:left w:val="nil"/>
              <w:bottom w:val="nil"/>
              <w:right w:val="nil"/>
            </w:tcBorders>
            <w:shd w:val="clear" w:color="000000" w:fill="FFFFFF"/>
            <w:noWrap/>
            <w:vAlign w:val="bottom"/>
            <w:hideMark/>
          </w:tcPr>
          <w:p w14:paraId="16A8235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5,363,166 </w:t>
            </w:r>
          </w:p>
        </w:tc>
      </w:tr>
      <w:tr w:rsidR="002D2278" w:rsidRPr="002D2278" w14:paraId="4940EAFB" w14:textId="77777777" w:rsidTr="002D2278">
        <w:trPr>
          <w:trHeight w:val="20"/>
        </w:trPr>
        <w:tc>
          <w:tcPr>
            <w:tcW w:w="612" w:type="dxa"/>
            <w:tcBorders>
              <w:top w:val="nil"/>
              <w:left w:val="nil"/>
              <w:bottom w:val="nil"/>
              <w:right w:val="nil"/>
            </w:tcBorders>
            <w:shd w:val="clear" w:color="000000" w:fill="FFFFFF"/>
            <w:noWrap/>
            <w:vAlign w:val="bottom"/>
            <w:hideMark/>
          </w:tcPr>
          <w:p w14:paraId="3043158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16</w:t>
            </w:r>
          </w:p>
        </w:tc>
        <w:tc>
          <w:tcPr>
            <w:tcW w:w="1957" w:type="dxa"/>
            <w:tcBorders>
              <w:top w:val="nil"/>
              <w:left w:val="nil"/>
              <w:bottom w:val="nil"/>
              <w:right w:val="nil"/>
            </w:tcBorders>
            <w:shd w:val="clear" w:color="000000" w:fill="FFFFFF"/>
            <w:noWrap/>
            <w:vAlign w:val="bottom"/>
            <w:hideMark/>
          </w:tcPr>
          <w:p w14:paraId="189CE50F"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916,570,277 </w:t>
            </w:r>
          </w:p>
        </w:tc>
        <w:tc>
          <w:tcPr>
            <w:tcW w:w="1636" w:type="dxa"/>
            <w:tcBorders>
              <w:top w:val="nil"/>
              <w:left w:val="nil"/>
              <w:bottom w:val="nil"/>
              <w:right w:val="nil"/>
            </w:tcBorders>
            <w:shd w:val="clear" w:color="000000" w:fill="FFFFFF"/>
            <w:noWrap/>
            <w:vAlign w:val="bottom"/>
            <w:hideMark/>
          </w:tcPr>
          <w:p w14:paraId="560C393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46,244,752 </w:t>
            </w:r>
          </w:p>
        </w:tc>
        <w:tc>
          <w:tcPr>
            <w:tcW w:w="1997" w:type="dxa"/>
            <w:tcBorders>
              <w:top w:val="nil"/>
              <w:left w:val="nil"/>
              <w:bottom w:val="nil"/>
              <w:right w:val="nil"/>
            </w:tcBorders>
            <w:shd w:val="clear" w:color="000000" w:fill="FFFFFF"/>
            <w:noWrap/>
            <w:vAlign w:val="bottom"/>
            <w:hideMark/>
          </w:tcPr>
          <w:p w14:paraId="2DFB680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799,780,659 </w:t>
            </w:r>
          </w:p>
        </w:tc>
        <w:tc>
          <w:tcPr>
            <w:tcW w:w="1636" w:type="dxa"/>
            <w:tcBorders>
              <w:top w:val="nil"/>
              <w:left w:val="nil"/>
              <w:bottom w:val="nil"/>
              <w:right w:val="nil"/>
            </w:tcBorders>
            <w:shd w:val="clear" w:color="000000" w:fill="FFFFFF"/>
            <w:noWrap/>
            <w:vAlign w:val="bottom"/>
            <w:hideMark/>
          </w:tcPr>
          <w:p w14:paraId="20D333E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37,614,294 </w:t>
            </w:r>
          </w:p>
        </w:tc>
        <w:tc>
          <w:tcPr>
            <w:tcW w:w="1522" w:type="dxa"/>
            <w:tcBorders>
              <w:top w:val="nil"/>
              <w:left w:val="nil"/>
              <w:bottom w:val="nil"/>
              <w:right w:val="nil"/>
            </w:tcBorders>
            <w:shd w:val="clear" w:color="000000" w:fill="FFFFFF"/>
            <w:noWrap/>
            <w:vAlign w:val="bottom"/>
            <w:hideMark/>
          </w:tcPr>
          <w:p w14:paraId="617B10D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5,158,088 </w:t>
            </w:r>
          </w:p>
        </w:tc>
      </w:tr>
      <w:tr w:rsidR="002D2278" w:rsidRPr="002D2278" w14:paraId="6A545684" w14:textId="77777777" w:rsidTr="002D2278">
        <w:trPr>
          <w:trHeight w:val="20"/>
        </w:trPr>
        <w:tc>
          <w:tcPr>
            <w:tcW w:w="612" w:type="dxa"/>
            <w:tcBorders>
              <w:top w:val="nil"/>
              <w:left w:val="nil"/>
              <w:bottom w:val="nil"/>
              <w:right w:val="nil"/>
            </w:tcBorders>
            <w:shd w:val="clear" w:color="000000" w:fill="FFFFFF"/>
            <w:noWrap/>
            <w:vAlign w:val="bottom"/>
            <w:hideMark/>
          </w:tcPr>
          <w:p w14:paraId="5A837CD8"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17</w:t>
            </w:r>
          </w:p>
        </w:tc>
        <w:tc>
          <w:tcPr>
            <w:tcW w:w="1957" w:type="dxa"/>
            <w:tcBorders>
              <w:top w:val="nil"/>
              <w:left w:val="nil"/>
              <w:bottom w:val="nil"/>
              <w:right w:val="nil"/>
            </w:tcBorders>
            <w:shd w:val="clear" w:color="000000" w:fill="FFFFFF"/>
            <w:noWrap/>
            <w:vAlign w:val="bottom"/>
            <w:hideMark/>
          </w:tcPr>
          <w:p w14:paraId="0159464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872,984,278 </w:t>
            </w:r>
          </w:p>
        </w:tc>
        <w:tc>
          <w:tcPr>
            <w:tcW w:w="1636" w:type="dxa"/>
            <w:tcBorders>
              <w:top w:val="nil"/>
              <w:left w:val="nil"/>
              <w:bottom w:val="nil"/>
              <w:right w:val="nil"/>
            </w:tcBorders>
            <w:shd w:val="clear" w:color="000000" w:fill="FFFFFF"/>
            <w:noWrap/>
            <w:vAlign w:val="bottom"/>
            <w:hideMark/>
          </w:tcPr>
          <w:p w14:paraId="58E9190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43,585,999 </w:t>
            </w:r>
          </w:p>
        </w:tc>
        <w:tc>
          <w:tcPr>
            <w:tcW w:w="1997" w:type="dxa"/>
            <w:tcBorders>
              <w:top w:val="nil"/>
              <w:left w:val="nil"/>
              <w:bottom w:val="nil"/>
              <w:right w:val="nil"/>
            </w:tcBorders>
            <w:shd w:val="clear" w:color="000000" w:fill="FFFFFF"/>
            <w:noWrap/>
            <w:vAlign w:val="bottom"/>
            <w:hideMark/>
          </w:tcPr>
          <w:p w14:paraId="0171431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764,506,473 </w:t>
            </w:r>
          </w:p>
        </w:tc>
        <w:tc>
          <w:tcPr>
            <w:tcW w:w="1636" w:type="dxa"/>
            <w:tcBorders>
              <w:top w:val="nil"/>
              <w:left w:val="nil"/>
              <w:bottom w:val="nil"/>
              <w:right w:val="nil"/>
            </w:tcBorders>
            <w:shd w:val="clear" w:color="000000" w:fill="FFFFFF"/>
            <w:noWrap/>
            <w:vAlign w:val="bottom"/>
            <w:hideMark/>
          </w:tcPr>
          <w:p w14:paraId="712679E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35,274,186 </w:t>
            </w:r>
          </w:p>
        </w:tc>
        <w:tc>
          <w:tcPr>
            <w:tcW w:w="1522" w:type="dxa"/>
            <w:tcBorders>
              <w:top w:val="nil"/>
              <w:left w:val="nil"/>
              <w:bottom w:val="nil"/>
              <w:right w:val="nil"/>
            </w:tcBorders>
            <w:shd w:val="clear" w:color="000000" w:fill="FFFFFF"/>
            <w:noWrap/>
            <w:vAlign w:val="bottom"/>
            <w:hideMark/>
          </w:tcPr>
          <w:p w14:paraId="6C1E880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4,927,630 </w:t>
            </w:r>
          </w:p>
        </w:tc>
      </w:tr>
      <w:tr w:rsidR="002D2278" w:rsidRPr="002D2278" w14:paraId="55A61BF9" w14:textId="77777777" w:rsidTr="002D2278">
        <w:trPr>
          <w:trHeight w:val="20"/>
        </w:trPr>
        <w:tc>
          <w:tcPr>
            <w:tcW w:w="612" w:type="dxa"/>
            <w:tcBorders>
              <w:top w:val="nil"/>
              <w:left w:val="nil"/>
              <w:bottom w:val="nil"/>
              <w:right w:val="nil"/>
            </w:tcBorders>
            <w:shd w:val="clear" w:color="000000" w:fill="FFFFFF"/>
            <w:noWrap/>
            <w:vAlign w:val="bottom"/>
            <w:hideMark/>
          </w:tcPr>
          <w:p w14:paraId="40880329"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18</w:t>
            </w:r>
          </w:p>
        </w:tc>
        <w:tc>
          <w:tcPr>
            <w:tcW w:w="1957" w:type="dxa"/>
            <w:tcBorders>
              <w:top w:val="nil"/>
              <w:left w:val="nil"/>
              <w:bottom w:val="nil"/>
              <w:right w:val="nil"/>
            </w:tcBorders>
            <w:shd w:val="clear" w:color="000000" w:fill="FFFFFF"/>
            <w:noWrap/>
            <w:vAlign w:val="bottom"/>
            <w:hideMark/>
          </w:tcPr>
          <w:p w14:paraId="3CEE036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833,941,653 </w:t>
            </w:r>
          </w:p>
        </w:tc>
        <w:tc>
          <w:tcPr>
            <w:tcW w:w="1636" w:type="dxa"/>
            <w:tcBorders>
              <w:top w:val="nil"/>
              <w:left w:val="nil"/>
              <w:bottom w:val="nil"/>
              <w:right w:val="nil"/>
            </w:tcBorders>
            <w:shd w:val="clear" w:color="000000" w:fill="FFFFFF"/>
            <w:noWrap/>
            <w:vAlign w:val="bottom"/>
            <w:hideMark/>
          </w:tcPr>
          <w:p w14:paraId="12045EA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39,042,625 </w:t>
            </w:r>
          </w:p>
        </w:tc>
        <w:tc>
          <w:tcPr>
            <w:tcW w:w="1997" w:type="dxa"/>
            <w:tcBorders>
              <w:top w:val="nil"/>
              <w:left w:val="nil"/>
              <w:bottom w:val="nil"/>
              <w:right w:val="nil"/>
            </w:tcBorders>
            <w:shd w:val="clear" w:color="000000" w:fill="FFFFFF"/>
            <w:noWrap/>
            <w:vAlign w:val="bottom"/>
            <w:hideMark/>
          </w:tcPr>
          <w:p w14:paraId="4CB0124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733,490,612 </w:t>
            </w:r>
          </w:p>
        </w:tc>
        <w:tc>
          <w:tcPr>
            <w:tcW w:w="1636" w:type="dxa"/>
            <w:tcBorders>
              <w:top w:val="nil"/>
              <w:left w:val="nil"/>
              <w:bottom w:val="nil"/>
              <w:right w:val="nil"/>
            </w:tcBorders>
            <w:shd w:val="clear" w:color="000000" w:fill="FFFFFF"/>
            <w:noWrap/>
            <w:vAlign w:val="bottom"/>
            <w:hideMark/>
          </w:tcPr>
          <w:p w14:paraId="19B9C69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31,015,861 </w:t>
            </w:r>
          </w:p>
        </w:tc>
        <w:tc>
          <w:tcPr>
            <w:tcW w:w="1522" w:type="dxa"/>
            <w:tcBorders>
              <w:top w:val="nil"/>
              <w:left w:val="nil"/>
              <w:bottom w:val="nil"/>
              <w:right w:val="nil"/>
            </w:tcBorders>
            <w:shd w:val="clear" w:color="000000" w:fill="FFFFFF"/>
            <w:noWrap/>
            <w:vAlign w:val="bottom"/>
            <w:hideMark/>
          </w:tcPr>
          <w:p w14:paraId="070493C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4,711,373 </w:t>
            </w:r>
          </w:p>
        </w:tc>
      </w:tr>
      <w:tr w:rsidR="002D2278" w:rsidRPr="002D2278" w14:paraId="43499287" w14:textId="77777777" w:rsidTr="002D2278">
        <w:trPr>
          <w:trHeight w:val="20"/>
        </w:trPr>
        <w:tc>
          <w:tcPr>
            <w:tcW w:w="612" w:type="dxa"/>
            <w:tcBorders>
              <w:top w:val="nil"/>
              <w:left w:val="nil"/>
              <w:bottom w:val="nil"/>
              <w:right w:val="nil"/>
            </w:tcBorders>
            <w:shd w:val="clear" w:color="000000" w:fill="FFFFFF"/>
            <w:noWrap/>
            <w:vAlign w:val="bottom"/>
            <w:hideMark/>
          </w:tcPr>
          <w:p w14:paraId="608C01C3"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19</w:t>
            </w:r>
          </w:p>
        </w:tc>
        <w:tc>
          <w:tcPr>
            <w:tcW w:w="1957" w:type="dxa"/>
            <w:tcBorders>
              <w:top w:val="nil"/>
              <w:left w:val="nil"/>
              <w:bottom w:val="nil"/>
              <w:right w:val="nil"/>
            </w:tcBorders>
            <w:shd w:val="clear" w:color="000000" w:fill="FFFFFF"/>
            <w:noWrap/>
            <w:vAlign w:val="bottom"/>
            <w:hideMark/>
          </w:tcPr>
          <w:p w14:paraId="762C7BA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794,817,563 </w:t>
            </w:r>
          </w:p>
        </w:tc>
        <w:tc>
          <w:tcPr>
            <w:tcW w:w="1636" w:type="dxa"/>
            <w:tcBorders>
              <w:top w:val="nil"/>
              <w:left w:val="nil"/>
              <w:bottom w:val="nil"/>
              <w:right w:val="nil"/>
            </w:tcBorders>
            <w:shd w:val="clear" w:color="000000" w:fill="FFFFFF"/>
            <w:noWrap/>
            <w:vAlign w:val="bottom"/>
            <w:hideMark/>
          </w:tcPr>
          <w:p w14:paraId="2391233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39,124,090 </w:t>
            </w:r>
          </w:p>
        </w:tc>
        <w:tc>
          <w:tcPr>
            <w:tcW w:w="1997" w:type="dxa"/>
            <w:tcBorders>
              <w:top w:val="nil"/>
              <w:left w:val="nil"/>
              <w:bottom w:val="nil"/>
              <w:right w:val="nil"/>
            </w:tcBorders>
            <w:shd w:val="clear" w:color="000000" w:fill="FFFFFF"/>
            <w:noWrap/>
            <w:vAlign w:val="bottom"/>
            <w:hideMark/>
          </w:tcPr>
          <w:p w14:paraId="11FFE12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702,090,087 </w:t>
            </w:r>
          </w:p>
        </w:tc>
        <w:tc>
          <w:tcPr>
            <w:tcW w:w="1636" w:type="dxa"/>
            <w:tcBorders>
              <w:top w:val="nil"/>
              <w:left w:val="nil"/>
              <w:bottom w:val="nil"/>
              <w:right w:val="nil"/>
            </w:tcBorders>
            <w:shd w:val="clear" w:color="000000" w:fill="FFFFFF"/>
            <w:noWrap/>
            <w:vAlign w:val="bottom"/>
            <w:hideMark/>
          </w:tcPr>
          <w:p w14:paraId="206D3A2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31,400,525 </w:t>
            </w:r>
          </w:p>
        </w:tc>
        <w:tc>
          <w:tcPr>
            <w:tcW w:w="1522" w:type="dxa"/>
            <w:tcBorders>
              <w:top w:val="nil"/>
              <w:left w:val="nil"/>
              <w:bottom w:val="nil"/>
              <w:right w:val="nil"/>
            </w:tcBorders>
            <w:shd w:val="clear" w:color="000000" w:fill="FFFFFF"/>
            <w:noWrap/>
            <w:vAlign w:val="bottom"/>
            <w:hideMark/>
          </w:tcPr>
          <w:p w14:paraId="195DEC9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4,518,115 </w:t>
            </w:r>
          </w:p>
        </w:tc>
      </w:tr>
      <w:tr w:rsidR="002D2278" w:rsidRPr="002D2278" w14:paraId="464C9C6E" w14:textId="77777777" w:rsidTr="002D2278">
        <w:trPr>
          <w:trHeight w:val="20"/>
        </w:trPr>
        <w:tc>
          <w:tcPr>
            <w:tcW w:w="612" w:type="dxa"/>
            <w:tcBorders>
              <w:top w:val="nil"/>
              <w:left w:val="nil"/>
              <w:bottom w:val="nil"/>
              <w:right w:val="nil"/>
            </w:tcBorders>
            <w:shd w:val="clear" w:color="000000" w:fill="FFFFFF"/>
            <w:noWrap/>
            <w:vAlign w:val="bottom"/>
            <w:hideMark/>
          </w:tcPr>
          <w:p w14:paraId="788717B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w:t>
            </w:r>
          </w:p>
        </w:tc>
        <w:tc>
          <w:tcPr>
            <w:tcW w:w="1957" w:type="dxa"/>
            <w:tcBorders>
              <w:top w:val="nil"/>
              <w:left w:val="nil"/>
              <w:bottom w:val="nil"/>
              <w:right w:val="nil"/>
            </w:tcBorders>
            <w:shd w:val="clear" w:color="000000" w:fill="FFFFFF"/>
            <w:noWrap/>
            <w:vAlign w:val="bottom"/>
            <w:hideMark/>
          </w:tcPr>
          <w:p w14:paraId="71A4A23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749,361,733 </w:t>
            </w:r>
          </w:p>
        </w:tc>
        <w:tc>
          <w:tcPr>
            <w:tcW w:w="1636" w:type="dxa"/>
            <w:tcBorders>
              <w:top w:val="nil"/>
              <w:left w:val="nil"/>
              <w:bottom w:val="nil"/>
              <w:right w:val="nil"/>
            </w:tcBorders>
            <w:shd w:val="clear" w:color="000000" w:fill="FFFFFF"/>
            <w:noWrap/>
            <w:vAlign w:val="bottom"/>
            <w:hideMark/>
          </w:tcPr>
          <w:p w14:paraId="53EEF0F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45,455,830 </w:t>
            </w:r>
          </w:p>
        </w:tc>
        <w:tc>
          <w:tcPr>
            <w:tcW w:w="1997" w:type="dxa"/>
            <w:tcBorders>
              <w:top w:val="nil"/>
              <w:left w:val="nil"/>
              <w:bottom w:val="nil"/>
              <w:right w:val="nil"/>
            </w:tcBorders>
            <w:shd w:val="clear" w:color="000000" w:fill="FFFFFF"/>
            <w:noWrap/>
            <w:vAlign w:val="bottom"/>
            <w:hideMark/>
          </w:tcPr>
          <w:p w14:paraId="109F125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663,987,925 </w:t>
            </w:r>
          </w:p>
        </w:tc>
        <w:tc>
          <w:tcPr>
            <w:tcW w:w="1636" w:type="dxa"/>
            <w:tcBorders>
              <w:top w:val="nil"/>
              <w:left w:val="nil"/>
              <w:bottom w:val="nil"/>
              <w:right w:val="nil"/>
            </w:tcBorders>
            <w:shd w:val="clear" w:color="000000" w:fill="FFFFFF"/>
            <w:noWrap/>
            <w:vAlign w:val="bottom"/>
            <w:hideMark/>
          </w:tcPr>
          <w:p w14:paraId="4190636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38,102,162 </w:t>
            </w:r>
          </w:p>
        </w:tc>
        <w:tc>
          <w:tcPr>
            <w:tcW w:w="1522" w:type="dxa"/>
            <w:tcBorders>
              <w:top w:val="nil"/>
              <w:left w:val="nil"/>
              <w:bottom w:val="nil"/>
              <w:right w:val="nil"/>
            </w:tcBorders>
            <w:shd w:val="clear" w:color="000000" w:fill="FFFFFF"/>
            <w:noWrap/>
            <w:vAlign w:val="bottom"/>
            <w:hideMark/>
          </w:tcPr>
          <w:p w14:paraId="5B43778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4,326,596 </w:t>
            </w:r>
          </w:p>
        </w:tc>
      </w:tr>
      <w:tr w:rsidR="002D2278" w:rsidRPr="002D2278" w14:paraId="64940250" w14:textId="77777777" w:rsidTr="002D2278">
        <w:trPr>
          <w:trHeight w:val="20"/>
        </w:trPr>
        <w:tc>
          <w:tcPr>
            <w:tcW w:w="612" w:type="dxa"/>
            <w:tcBorders>
              <w:top w:val="nil"/>
              <w:left w:val="nil"/>
              <w:bottom w:val="nil"/>
              <w:right w:val="nil"/>
            </w:tcBorders>
            <w:shd w:val="clear" w:color="000000" w:fill="FFFFFF"/>
            <w:noWrap/>
            <w:vAlign w:val="bottom"/>
            <w:hideMark/>
          </w:tcPr>
          <w:p w14:paraId="0419F883"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21</w:t>
            </w:r>
          </w:p>
        </w:tc>
        <w:tc>
          <w:tcPr>
            <w:tcW w:w="1957" w:type="dxa"/>
            <w:tcBorders>
              <w:top w:val="nil"/>
              <w:left w:val="nil"/>
              <w:bottom w:val="nil"/>
              <w:right w:val="nil"/>
            </w:tcBorders>
            <w:shd w:val="clear" w:color="000000" w:fill="FFFFFF"/>
            <w:noWrap/>
            <w:vAlign w:val="bottom"/>
            <w:hideMark/>
          </w:tcPr>
          <w:p w14:paraId="735F772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704,599,954 </w:t>
            </w:r>
          </w:p>
        </w:tc>
        <w:tc>
          <w:tcPr>
            <w:tcW w:w="1636" w:type="dxa"/>
            <w:tcBorders>
              <w:top w:val="nil"/>
              <w:left w:val="nil"/>
              <w:bottom w:val="nil"/>
              <w:right w:val="nil"/>
            </w:tcBorders>
            <w:shd w:val="clear" w:color="000000" w:fill="FFFFFF"/>
            <w:noWrap/>
            <w:vAlign w:val="bottom"/>
            <w:hideMark/>
          </w:tcPr>
          <w:p w14:paraId="306C056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44,761,779 </w:t>
            </w:r>
          </w:p>
        </w:tc>
        <w:tc>
          <w:tcPr>
            <w:tcW w:w="1997" w:type="dxa"/>
            <w:tcBorders>
              <w:top w:val="nil"/>
              <w:left w:val="nil"/>
              <w:bottom w:val="nil"/>
              <w:right w:val="nil"/>
            </w:tcBorders>
            <w:shd w:val="clear" w:color="000000" w:fill="FFFFFF"/>
            <w:noWrap/>
            <w:vAlign w:val="bottom"/>
            <w:hideMark/>
          </w:tcPr>
          <w:p w14:paraId="3B17938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626,215,839 </w:t>
            </w:r>
          </w:p>
        </w:tc>
        <w:tc>
          <w:tcPr>
            <w:tcW w:w="1636" w:type="dxa"/>
            <w:tcBorders>
              <w:top w:val="nil"/>
              <w:left w:val="nil"/>
              <w:bottom w:val="nil"/>
              <w:right w:val="nil"/>
            </w:tcBorders>
            <w:shd w:val="clear" w:color="000000" w:fill="FFFFFF"/>
            <w:noWrap/>
            <w:vAlign w:val="bottom"/>
            <w:hideMark/>
          </w:tcPr>
          <w:p w14:paraId="1283D02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37,772,086 </w:t>
            </w:r>
          </w:p>
        </w:tc>
        <w:tc>
          <w:tcPr>
            <w:tcW w:w="1522" w:type="dxa"/>
            <w:tcBorders>
              <w:top w:val="nil"/>
              <w:left w:val="nil"/>
              <w:bottom w:val="nil"/>
              <w:right w:val="nil"/>
            </w:tcBorders>
            <w:shd w:val="clear" w:color="000000" w:fill="FFFFFF"/>
            <w:noWrap/>
            <w:vAlign w:val="bottom"/>
            <w:hideMark/>
          </w:tcPr>
          <w:p w14:paraId="65D62D4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4,108,122 </w:t>
            </w:r>
          </w:p>
        </w:tc>
      </w:tr>
      <w:tr w:rsidR="002D2278" w:rsidRPr="002D2278" w14:paraId="6CFF94DD" w14:textId="77777777" w:rsidTr="002D2278">
        <w:trPr>
          <w:trHeight w:val="20"/>
        </w:trPr>
        <w:tc>
          <w:tcPr>
            <w:tcW w:w="612" w:type="dxa"/>
            <w:tcBorders>
              <w:top w:val="nil"/>
              <w:left w:val="nil"/>
              <w:bottom w:val="nil"/>
              <w:right w:val="nil"/>
            </w:tcBorders>
            <w:shd w:val="clear" w:color="000000" w:fill="FFFFFF"/>
            <w:noWrap/>
            <w:vAlign w:val="bottom"/>
            <w:hideMark/>
          </w:tcPr>
          <w:p w14:paraId="1D29AB21"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22</w:t>
            </w:r>
          </w:p>
        </w:tc>
        <w:tc>
          <w:tcPr>
            <w:tcW w:w="1957" w:type="dxa"/>
            <w:tcBorders>
              <w:top w:val="nil"/>
              <w:left w:val="nil"/>
              <w:bottom w:val="nil"/>
              <w:right w:val="nil"/>
            </w:tcBorders>
            <w:shd w:val="clear" w:color="000000" w:fill="FFFFFF"/>
            <w:noWrap/>
            <w:vAlign w:val="bottom"/>
            <w:hideMark/>
          </w:tcPr>
          <w:p w14:paraId="6296D25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668,334,597 </w:t>
            </w:r>
          </w:p>
        </w:tc>
        <w:tc>
          <w:tcPr>
            <w:tcW w:w="1636" w:type="dxa"/>
            <w:tcBorders>
              <w:top w:val="nil"/>
              <w:left w:val="nil"/>
              <w:bottom w:val="nil"/>
              <w:right w:val="nil"/>
            </w:tcBorders>
            <w:shd w:val="clear" w:color="000000" w:fill="FFFFFF"/>
            <w:noWrap/>
            <w:vAlign w:val="bottom"/>
            <w:hideMark/>
          </w:tcPr>
          <w:p w14:paraId="4F0FA2F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36,265,357 </w:t>
            </w:r>
          </w:p>
        </w:tc>
        <w:tc>
          <w:tcPr>
            <w:tcW w:w="1997" w:type="dxa"/>
            <w:tcBorders>
              <w:top w:val="nil"/>
              <w:left w:val="nil"/>
              <w:bottom w:val="nil"/>
              <w:right w:val="nil"/>
            </w:tcBorders>
            <w:shd w:val="clear" w:color="000000" w:fill="FFFFFF"/>
            <w:noWrap/>
            <w:vAlign w:val="bottom"/>
            <w:hideMark/>
          </w:tcPr>
          <w:p w14:paraId="25EC2F1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596,671,052 </w:t>
            </w:r>
          </w:p>
        </w:tc>
        <w:tc>
          <w:tcPr>
            <w:tcW w:w="1636" w:type="dxa"/>
            <w:tcBorders>
              <w:top w:val="nil"/>
              <w:left w:val="nil"/>
              <w:bottom w:val="nil"/>
              <w:right w:val="nil"/>
            </w:tcBorders>
            <w:shd w:val="clear" w:color="000000" w:fill="FFFFFF"/>
            <w:noWrap/>
            <w:vAlign w:val="bottom"/>
            <w:hideMark/>
          </w:tcPr>
          <w:p w14:paraId="70D6FF6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29,544,787 </w:t>
            </w:r>
          </w:p>
        </w:tc>
        <w:tc>
          <w:tcPr>
            <w:tcW w:w="1522" w:type="dxa"/>
            <w:tcBorders>
              <w:top w:val="nil"/>
              <w:left w:val="nil"/>
              <w:bottom w:val="nil"/>
              <w:right w:val="nil"/>
            </w:tcBorders>
            <w:shd w:val="clear" w:color="000000" w:fill="FFFFFF"/>
            <w:noWrap/>
            <w:vAlign w:val="bottom"/>
            <w:hideMark/>
          </w:tcPr>
          <w:p w14:paraId="0312381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3,888,518 </w:t>
            </w:r>
          </w:p>
        </w:tc>
      </w:tr>
      <w:tr w:rsidR="002D2278" w:rsidRPr="002D2278" w14:paraId="4C7BA1BD" w14:textId="77777777" w:rsidTr="002D2278">
        <w:trPr>
          <w:trHeight w:val="20"/>
        </w:trPr>
        <w:tc>
          <w:tcPr>
            <w:tcW w:w="612" w:type="dxa"/>
            <w:tcBorders>
              <w:top w:val="nil"/>
              <w:left w:val="nil"/>
              <w:bottom w:val="nil"/>
              <w:right w:val="nil"/>
            </w:tcBorders>
            <w:shd w:val="clear" w:color="000000" w:fill="FFFFFF"/>
            <w:noWrap/>
            <w:vAlign w:val="bottom"/>
            <w:hideMark/>
          </w:tcPr>
          <w:p w14:paraId="23FEC47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23</w:t>
            </w:r>
          </w:p>
        </w:tc>
        <w:tc>
          <w:tcPr>
            <w:tcW w:w="1957" w:type="dxa"/>
            <w:tcBorders>
              <w:top w:val="nil"/>
              <w:left w:val="nil"/>
              <w:bottom w:val="nil"/>
              <w:right w:val="nil"/>
            </w:tcBorders>
            <w:shd w:val="clear" w:color="000000" w:fill="FFFFFF"/>
            <w:noWrap/>
            <w:vAlign w:val="bottom"/>
            <w:hideMark/>
          </w:tcPr>
          <w:p w14:paraId="7FC3120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622,792,716 </w:t>
            </w:r>
          </w:p>
        </w:tc>
        <w:tc>
          <w:tcPr>
            <w:tcW w:w="1636" w:type="dxa"/>
            <w:tcBorders>
              <w:top w:val="nil"/>
              <w:left w:val="nil"/>
              <w:bottom w:val="nil"/>
              <w:right w:val="nil"/>
            </w:tcBorders>
            <w:shd w:val="clear" w:color="000000" w:fill="FFFFFF"/>
            <w:noWrap/>
            <w:vAlign w:val="bottom"/>
            <w:hideMark/>
          </w:tcPr>
          <w:p w14:paraId="7997240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45,541,882 </w:t>
            </w:r>
          </w:p>
        </w:tc>
        <w:tc>
          <w:tcPr>
            <w:tcW w:w="1997" w:type="dxa"/>
            <w:tcBorders>
              <w:top w:val="nil"/>
              <w:left w:val="nil"/>
              <w:bottom w:val="nil"/>
              <w:right w:val="nil"/>
            </w:tcBorders>
            <w:shd w:val="clear" w:color="000000" w:fill="FFFFFF"/>
            <w:noWrap/>
            <w:vAlign w:val="bottom"/>
            <w:hideMark/>
          </w:tcPr>
          <w:p w14:paraId="364E150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557,470,709 </w:t>
            </w:r>
          </w:p>
        </w:tc>
        <w:tc>
          <w:tcPr>
            <w:tcW w:w="1636" w:type="dxa"/>
            <w:tcBorders>
              <w:top w:val="nil"/>
              <w:left w:val="nil"/>
              <w:bottom w:val="nil"/>
              <w:right w:val="nil"/>
            </w:tcBorders>
            <w:shd w:val="clear" w:color="000000" w:fill="FFFFFF"/>
            <w:noWrap/>
            <w:vAlign w:val="bottom"/>
            <w:hideMark/>
          </w:tcPr>
          <w:p w14:paraId="6C8AA54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39,200,343 </w:t>
            </w:r>
          </w:p>
        </w:tc>
        <w:tc>
          <w:tcPr>
            <w:tcW w:w="1522" w:type="dxa"/>
            <w:tcBorders>
              <w:top w:val="nil"/>
              <w:left w:val="nil"/>
              <w:bottom w:val="nil"/>
              <w:right w:val="nil"/>
            </w:tcBorders>
            <w:shd w:val="clear" w:color="000000" w:fill="FFFFFF"/>
            <w:noWrap/>
            <w:vAlign w:val="bottom"/>
            <w:hideMark/>
          </w:tcPr>
          <w:p w14:paraId="1DF49EC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3,704,217 </w:t>
            </w:r>
          </w:p>
        </w:tc>
      </w:tr>
      <w:tr w:rsidR="002D2278" w:rsidRPr="002D2278" w14:paraId="0B23596F" w14:textId="77777777" w:rsidTr="002D2278">
        <w:trPr>
          <w:trHeight w:val="20"/>
        </w:trPr>
        <w:tc>
          <w:tcPr>
            <w:tcW w:w="612" w:type="dxa"/>
            <w:tcBorders>
              <w:top w:val="nil"/>
              <w:left w:val="nil"/>
              <w:bottom w:val="nil"/>
              <w:right w:val="nil"/>
            </w:tcBorders>
            <w:shd w:val="clear" w:color="000000" w:fill="FFFFFF"/>
            <w:noWrap/>
            <w:vAlign w:val="bottom"/>
            <w:hideMark/>
          </w:tcPr>
          <w:p w14:paraId="3DF8B603"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24</w:t>
            </w:r>
          </w:p>
        </w:tc>
        <w:tc>
          <w:tcPr>
            <w:tcW w:w="1957" w:type="dxa"/>
            <w:tcBorders>
              <w:top w:val="nil"/>
              <w:left w:val="nil"/>
              <w:bottom w:val="nil"/>
              <w:right w:val="nil"/>
            </w:tcBorders>
            <w:shd w:val="clear" w:color="000000" w:fill="FFFFFF"/>
            <w:noWrap/>
            <w:vAlign w:val="bottom"/>
            <w:hideMark/>
          </w:tcPr>
          <w:p w14:paraId="096B6F9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577,686,664 </w:t>
            </w:r>
          </w:p>
        </w:tc>
        <w:tc>
          <w:tcPr>
            <w:tcW w:w="1636" w:type="dxa"/>
            <w:tcBorders>
              <w:top w:val="nil"/>
              <w:left w:val="nil"/>
              <w:bottom w:val="nil"/>
              <w:right w:val="nil"/>
            </w:tcBorders>
            <w:shd w:val="clear" w:color="000000" w:fill="FFFFFF"/>
            <w:noWrap/>
            <w:vAlign w:val="bottom"/>
            <w:hideMark/>
          </w:tcPr>
          <w:p w14:paraId="79A4361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45,106,051 </w:t>
            </w:r>
          </w:p>
        </w:tc>
        <w:tc>
          <w:tcPr>
            <w:tcW w:w="1997" w:type="dxa"/>
            <w:tcBorders>
              <w:top w:val="nil"/>
              <w:left w:val="nil"/>
              <w:bottom w:val="nil"/>
              <w:right w:val="nil"/>
            </w:tcBorders>
            <w:shd w:val="clear" w:color="000000" w:fill="FFFFFF"/>
            <w:noWrap/>
            <w:vAlign w:val="bottom"/>
            <w:hideMark/>
          </w:tcPr>
          <w:p w14:paraId="2BBCDCF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518,308,964 </w:t>
            </w:r>
          </w:p>
        </w:tc>
        <w:tc>
          <w:tcPr>
            <w:tcW w:w="1636" w:type="dxa"/>
            <w:tcBorders>
              <w:top w:val="nil"/>
              <w:left w:val="nil"/>
              <w:bottom w:val="nil"/>
              <w:right w:val="nil"/>
            </w:tcBorders>
            <w:shd w:val="clear" w:color="000000" w:fill="FFFFFF"/>
            <w:noWrap/>
            <w:vAlign w:val="bottom"/>
            <w:hideMark/>
          </w:tcPr>
          <w:p w14:paraId="0775AEE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39,161,745 </w:t>
            </w:r>
          </w:p>
        </w:tc>
        <w:tc>
          <w:tcPr>
            <w:tcW w:w="1522" w:type="dxa"/>
            <w:tcBorders>
              <w:top w:val="nil"/>
              <w:left w:val="nil"/>
              <w:bottom w:val="nil"/>
              <w:right w:val="nil"/>
            </w:tcBorders>
            <w:shd w:val="clear" w:color="000000" w:fill="FFFFFF"/>
            <w:noWrap/>
            <w:vAlign w:val="bottom"/>
            <w:hideMark/>
          </w:tcPr>
          <w:p w14:paraId="48C365C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3,473,070 </w:t>
            </w:r>
          </w:p>
        </w:tc>
      </w:tr>
      <w:tr w:rsidR="002D2278" w:rsidRPr="002D2278" w14:paraId="3D6E2EB9" w14:textId="77777777" w:rsidTr="002D2278">
        <w:trPr>
          <w:trHeight w:val="20"/>
        </w:trPr>
        <w:tc>
          <w:tcPr>
            <w:tcW w:w="612" w:type="dxa"/>
            <w:tcBorders>
              <w:top w:val="nil"/>
              <w:left w:val="nil"/>
              <w:bottom w:val="nil"/>
              <w:right w:val="nil"/>
            </w:tcBorders>
            <w:shd w:val="clear" w:color="000000" w:fill="FFFFFF"/>
            <w:noWrap/>
            <w:vAlign w:val="bottom"/>
            <w:hideMark/>
          </w:tcPr>
          <w:p w14:paraId="662AB344"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25</w:t>
            </w:r>
          </w:p>
        </w:tc>
        <w:tc>
          <w:tcPr>
            <w:tcW w:w="1957" w:type="dxa"/>
            <w:tcBorders>
              <w:top w:val="nil"/>
              <w:left w:val="nil"/>
              <w:bottom w:val="nil"/>
              <w:right w:val="nil"/>
            </w:tcBorders>
            <w:shd w:val="clear" w:color="000000" w:fill="FFFFFF"/>
            <w:noWrap/>
            <w:vAlign w:val="bottom"/>
            <w:hideMark/>
          </w:tcPr>
          <w:p w14:paraId="0F2C1D8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545,585,966 </w:t>
            </w:r>
          </w:p>
        </w:tc>
        <w:tc>
          <w:tcPr>
            <w:tcW w:w="1636" w:type="dxa"/>
            <w:tcBorders>
              <w:top w:val="nil"/>
              <w:left w:val="nil"/>
              <w:bottom w:val="nil"/>
              <w:right w:val="nil"/>
            </w:tcBorders>
            <w:shd w:val="clear" w:color="000000" w:fill="FFFFFF"/>
            <w:noWrap/>
            <w:vAlign w:val="bottom"/>
            <w:hideMark/>
          </w:tcPr>
          <w:p w14:paraId="2A75BE7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32,100,699 </w:t>
            </w:r>
          </w:p>
        </w:tc>
        <w:tc>
          <w:tcPr>
            <w:tcW w:w="1997" w:type="dxa"/>
            <w:tcBorders>
              <w:top w:val="nil"/>
              <w:left w:val="nil"/>
              <w:bottom w:val="nil"/>
              <w:right w:val="nil"/>
            </w:tcBorders>
            <w:shd w:val="clear" w:color="000000" w:fill="FFFFFF"/>
            <w:noWrap/>
            <w:vAlign w:val="bottom"/>
            <w:hideMark/>
          </w:tcPr>
          <w:p w14:paraId="0219208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491,877,531 </w:t>
            </w:r>
          </w:p>
        </w:tc>
        <w:tc>
          <w:tcPr>
            <w:tcW w:w="1636" w:type="dxa"/>
            <w:tcBorders>
              <w:top w:val="nil"/>
              <w:left w:val="nil"/>
              <w:bottom w:val="nil"/>
              <w:right w:val="nil"/>
            </w:tcBorders>
            <w:shd w:val="clear" w:color="000000" w:fill="FFFFFF"/>
            <w:noWrap/>
            <w:vAlign w:val="bottom"/>
            <w:hideMark/>
          </w:tcPr>
          <w:p w14:paraId="19014BC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26,431,433 </w:t>
            </w:r>
          </w:p>
        </w:tc>
        <w:tc>
          <w:tcPr>
            <w:tcW w:w="1522" w:type="dxa"/>
            <w:tcBorders>
              <w:top w:val="nil"/>
              <w:left w:val="nil"/>
              <w:bottom w:val="nil"/>
              <w:right w:val="nil"/>
            </w:tcBorders>
            <w:shd w:val="clear" w:color="000000" w:fill="FFFFFF"/>
            <w:noWrap/>
            <w:vAlign w:val="bottom"/>
            <w:hideMark/>
          </w:tcPr>
          <w:p w14:paraId="61C4293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3,243,562 </w:t>
            </w:r>
          </w:p>
        </w:tc>
      </w:tr>
      <w:tr w:rsidR="002D2278" w:rsidRPr="002D2278" w14:paraId="26C2976C" w14:textId="77777777" w:rsidTr="002D2278">
        <w:trPr>
          <w:trHeight w:val="20"/>
        </w:trPr>
        <w:tc>
          <w:tcPr>
            <w:tcW w:w="612" w:type="dxa"/>
            <w:tcBorders>
              <w:top w:val="nil"/>
              <w:left w:val="nil"/>
              <w:bottom w:val="nil"/>
              <w:right w:val="nil"/>
            </w:tcBorders>
            <w:shd w:val="clear" w:color="000000" w:fill="FFFFFF"/>
            <w:noWrap/>
            <w:vAlign w:val="bottom"/>
            <w:hideMark/>
          </w:tcPr>
          <w:p w14:paraId="47033FD4"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26</w:t>
            </w:r>
          </w:p>
        </w:tc>
        <w:tc>
          <w:tcPr>
            <w:tcW w:w="1957" w:type="dxa"/>
            <w:tcBorders>
              <w:top w:val="nil"/>
              <w:left w:val="nil"/>
              <w:bottom w:val="nil"/>
              <w:right w:val="nil"/>
            </w:tcBorders>
            <w:shd w:val="clear" w:color="000000" w:fill="FFFFFF"/>
            <w:noWrap/>
            <w:vAlign w:val="bottom"/>
            <w:hideMark/>
          </w:tcPr>
          <w:p w14:paraId="62B492F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514,237,505 </w:t>
            </w:r>
          </w:p>
        </w:tc>
        <w:tc>
          <w:tcPr>
            <w:tcW w:w="1636" w:type="dxa"/>
            <w:tcBorders>
              <w:top w:val="nil"/>
              <w:left w:val="nil"/>
              <w:bottom w:val="nil"/>
              <w:right w:val="nil"/>
            </w:tcBorders>
            <w:shd w:val="clear" w:color="000000" w:fill="FFFFFF"/>
            <w:noWrap/>
            <w:vAlign w:val="bottom"/>
            <w:hideMark/>
          </w:tcPr>
          <w:p w14:paraId="4475E2B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31,348,460 </w:t>
            </w:r>
          </w:p>
        </w:tc>
        <w:tc>
          <w:tcPr>
            <w:tcW w:w="1997" w:type="dxa"/>
            <w:tcBorders>
              <w:top w:val="nil"/>
              <w:left w:val="nil"/>
              <w:bottom w:val="nil"/>
              <w:right w:val="nil"/>
            </w:tcBorders>
            <w:shd w:val="clear" w:color="000000" w:fill="FFFFFF"/>
            <w:noWrap/>
            <w:vAlign w:val="bottom"/>
            <w:hideMark/>
          </w:tcPr>
          <w:p w14:paraId="79887FE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465,908,569 </w:t>
            </w:r>
          </w:p>
        </w:tc>
        <w:tc>
          <w:tcPr>
            <w:tcW w:w="1636" w:type="dxa"/>
            <w:tcBorders>
              <w:top w:val="nil"/>
              <w:left w:val="nil"/>
              <w:bottom w:val="nil"/>
              <w:right w:val="nil"/>
            </w:tcBorders>
            <w:shd w:val="clear" w:color="000000" w:fill="FFFFFF"/>
            <w:noWrap/>
            <w:vAlign w:val="bottom"/>
            <w:hideMark/>
          </w:tcPr>
          <w:p w14:paraId="049F4B1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25,968,962 </w:t>
            </w:r>
          </w:p>
        </w:tc>
        <w:tc>
          <w:tcPr>
            <w:tcW w:w="1522" w:type="dxa"/>
            <w:tcBorders>
              <w:top w:val="nil"/>
              <w:left w:val="nil"/>
              <w:bottom w:val="nil"/>
              <w:right w:val="nil"/>
            </w:tcBorders>
            <w:shd w:val="clear" w:color="000000" w:fill="FFFFFF"/>
            <w:noWrap/>
            <w:vAlign w:val="bottom"/>
            <w:hideMark/>
          </w:tcPr>
          <w:p w14:paraId="6E113F9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3,076,568 </w:t>
            </w:r>
          </w:p>
        </w:tc>
      </w:tr>
      <w:tr w:rsidR="002D2278" w:rsidRPr="002D2278" w14:paraId="4D7B7680" w14:textId="77777777" w:rsidTr="002D2278">
        <w:trPr>
          <w:trHeight w:val="20"/>
        </w:trPr>
        <w:tc>
          <w:tcPr>
            <w:tcW w:w="612" w:type="dxa"/>
            <w:tcBorders>
              <w:top w:val="nil"/>
              <w:left w:val="nil"/>
              <w:bottom w:val="nil"/>
              <w:right w:val="nil"/>
            </w:tcBorders>
            <w:shd w:val="clear" w:color="000000" w:fill="FFFFFF"/>
            <w:noWrap/>
            <w:vAlign w:val="bottom"/>
            <w:hideMark/>
          </w:tcPr>
          <w:p w14:paraId="1237CA0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27</w:t>
            </w:r>
          </w:p>
        </w:tc>
        <w:tc>
          <w:tcPr>
            <w:tcW w:w="1957" w:type="dxa"/>
            <w:tcBorders>
              <w:top w:val="nil"/>
              <w:left w:val="nil"/>
              <w:bottom w:val="nil"/>
              <w:right w:val="nil"/>
            </w:tcBorders>
            <w:shd w:val="clear" w:color="000000" w:fill="FFFFFF"/>
            <w:noWrap/>
            <w:vAlign w:val="bottom"/>
            <w:hideMark/>
          </w:tcPr>
          <w:p w14:paraId="014D2B9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479,396,152 </w:t>
            </w:r>
          </w:p>
        </w:tc>
        <w:tc>
          <w:tcPr>
            <w:tcW w:w="1636" w:type="dxa"/>
            <w:tcBorders>
              <w:top w:val="nil"/>
              <w:left w:val="nil"/>
              <w:bottom w:val="nil"/>
              <w:right w:val="nil"/>
            </w:tcBorders>
            <w:shd w:val="clear" w:color="000000" w:fill="FFFFFF"/>
            <w:noWrap/>
            <w:vAlign w:val="bottom"/>
            <w:hideMark/>
          </w:tcPr>
          <w:p w14:paraId="088DB4D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34,841,354 </w:t>
            </w:r>
          </w:p>
        </w:tc>
        <w:tc>
          <w:tcPr>
            <w:tcW w:w="1997" w:type="dxa"/>
            <w:tcBorders>
              <w:top w:val="nil"/>
              <w:left w:val="nil"/>
              <w:bottom w:val="nil"/>
              <w:right w:val="nil"/>
            </w:tcBorders>
            <w:shd w:val="clear" w:color="000000" w:fill="FFFFFF"/>
            <w:noWrap/>
            <w:vAlign w:val="bottom"/>
            <w:hideMark/>
          </w:tcPr>
          <w:p w14:paraId="3F5F816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436,112,717 </w:t>
            </w:r>
          </w:p>
        </w:tc>
        <w:tc>
          <w:tcPr>
            <w:tcW w:w="1636" w:type="dxa"/>
            <w:tcBorders>
              <w:top w:val="nil"/>
              <w:left w:val="nil"/>
              <w:bottom w:val="nil"/>
              <w:right w:val="nil"/>
            </w:tcBorders>
            <w:shd w:val="clear" w:color="000000" w:fill="FFFFFF"/>
            <w:noWrap/>
            <w:vAlign w:val="bottom"/>
            <w:hideMark/>
          </w:tcPr>
          <w:p w14:paraId="4DF46E4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29,795,853 </w:t>
            </w:r>
          </w:p>
        </w:tc>
        <w:tc>
          <w:tcPr>
            <w:tcW w:w="1522" w:type="dxa"/>
            <w:tcBorders>
              <w:top w:val="nil"/>
              <w:left w:val="nil"/>
              <w:bottom w:val="nil"/>
              <w:right w:val="nil"/>
            </w:tcBorders>
            <w:shd w:val="clear" w:color="000000" w:fill="FFFFFF"/>
            <w:noWrap/>
            <w:vAlign w:val="bottom"/>
            <w:hideMark/>
          </w:tcPr>
          <w:p w14:paraId="3538575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2,911,639 </w:t>
            </w:r>
          </w:p>
        </w:tc>
      </w:tr>
      <w:tr w:rsidR="002D2278" w:rsidRPr="002D2278" w14:paraId="379920E9" w14:textId="77777777" w:rsidTr="002D2278">
        <w:trPr>
          <w:trHeight w:val="20"/>
        </w:trPr>
        <w:tc>
          <w:tcPr>
            <w:tcW w:w="612" w:type="dxa"/>
            <w:tcBorders>
              <w:top w:val="nil"/>
              <w:left w:val="nil"/>
              <w:bottom w:val="nil"/>
              <w:right w:val="nil"/>
            </w:tcBorders>
            <w:shd w:val="clear" w:color="000000" w:fill="FFFFFF"/>
            <w:noWrap/>
            <w:vAlign w:val="bottom"/>
            <w:hideMark/>
          </w:tcPr>
          <w:p w14:paraId="147DFACC"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28</w:t>
            </w:r>
          </w:p>
        </w:tc>
        <w:tc>
          <w:tcPr>
            <w:tcW w:w="1957" w:type="dxa"/>
            <w:tcBorders>
              <w:top w:val="nil"/>
              <w:left w:val="nil"/>
              <w:bottom w:val="nil"/>
              <w:right w:val="nil"/>
            </w:tcBorders>
            <w:shd w:val="clear" w:color="000000" w:fill="FFFFFF"/>
            <w:noWrap/>
            <w:vAlign w:val="bottom"/>
            <w:hideMark/>
          </w:tcPr>
          <w:p w14:paraId="400B25F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442,582,718 </w:t>
            </w:r>
          </w:p>
        </w:tc>
        <w:tc>
          <w:tcPr>
            <w:tcW w:w="1636" w:type="dxa"/>
            <w:tcBorders>
              <w:top w:val="nil"/>
              <w:left w:val="nil"/>
              <w:bottom w:val="nil"/>
              <w:right w:val="nil"/>
            </w:tcBorders>
            <w:shd w:val="clear" w:color="000000" w:fill="FFFFFF"/>
            <w:noWrap/>
            <w:vAlign w:val="bottom"/>
            <w:hideMark/>
          </w:tcPr>
          <w:p w14:paraId="06BC8E5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36,813,433 </w:t>
            </w:r>
          </w:p>
        </w:tc>
        <w:tc>
          <w:tcPr>
            <w:tcW w:w="1997" w:type="dxa"/>
            <w:tcBorders>
              <w:top w:val="nil"/>
              <w:left w:val="nil"/>
              <w:bottom w:val="nil"/>
              <w:right w:val="nil"/>
            </w:tcBorders>
            <w:shd w:val="clear" w:color="000000" w:fill="FFFFFF"/>
            <w:noWrap/>
            <w:vAlign w:val="bottom"/>
            <w:hideMark/>
          </w:tcPr>
          <w:p w14:paraId="0AAD3AA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403,993,745 </w:t>
            </w:r>
          </w:p>
        </w:tc>
        <w:tc>
          <w:tcPr>
            <w:tcW w:w="1636" w:type="dxa"/>
            <w:tcBorders>
              <w:top w:val="nil"/>
              <w:left w:val="nil"/>
              <w:bottom w:val="nil"/>
              <w:right w:val="nil"/>
            </w:tcBorders>
            <w:shd w:val="clear" w:color="000000" w:fill="FFFFFF"/>
            <w:noWrap/>
            <w:vAlign w:val="bottom"/>
            <w:hideMark/>
          </w:tcPr>
          <w:p w14:paraId="32B0087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32,118,971 </w:t>
            </w:r>
          </w:p>
        </w:tc>
        <w:tc>
          <w:tcPr>
            <w:tcW w:w="1522" w:type="dxa"/>
            <w:tcBorders>
              <w:top w:val="nil"/>
              <w:left w:val="nil"/>
              <w:bottom w:val="nil"/>
              <w:right w:val="nil"/>
            </w:tcBorders>
            <w:shd w:val="clear" w:color="000000" w:fill="FFFFFF"/>
            <w:noWrap/>
            <w:vAlign w:val="bottom"/>
            <w:hideMark/>
          </w:tcPr>
          <w:p w14:paraId="2641710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2,724,698 </w:t>
            </w:r>
          </w:p>
        </w:tc>
      </w:tr>
      <w:tr w:rsidR="002D2278" w:rsidRPr="002D2278" w14:paraId="2FABF573" w14:textId="77777777" w:rsidTr="002D2278">
        <w:trPr>
          <w:trHeight w:val="20"/>
        </w:trPr>
        <w:tc>
          <w:tcPr>
            <w:tcW w:w="612" w:type="dxa"/>
            <w:tcBorders>
              <w:top w:val="nil"/>
              <w:left w:val="nil"/>
              <w:bottom w:val="nil"/>
              <w:right w:val="nil"/>
            </w:tcBorders>
            <w:shd w:val="clear" w:color="000000" w:fill="FFFFFF"/>
            <w:noWrap/>
            <w:vAlign w:val="bottom"/>
            <w:hideMark/>
          </w:tcPr>
          <w:p w14:paraId="0890538E"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29</w:t>
            </w:r>
          </w:p>
        </w:tc>
        <w:tc>
          <w:tcPr>
            <w:tcW w:w="1957" w:type="dxa"/>
            <w:tcBorders>
              <w:top w:val="nil"/>
              <w:left w:val="nil"/>
              <w:bottom w:val="nil"/>
              <w:right w:val="nil"/>
            </w:tcBorders>
            <w:shd w:val="clear" w:color="000000" w:fill="FFFFFF"/>
            <w:noWrap/>
            <w:vAlign w:val="bottom"/>
            <w:hideMark/>
          </w:tcPr>
          <w:p w14:paraId="23E217F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404,897,450 </w:t>
            </w:r>
          </w:p>
        </w:tc>
        <w:tc>
          <w:tcPr>
            <w:tcW w:w="1636" w:type="dxa"/>
            <w:tcBorders>
              <w:top w:val="nil"/>
              <w:left w:val="nil"/>
              <w:bottom w:val="nil"/>
              <w:right w:val="nil"/>
            </w:tcBorders>
            <w:shd w:val="clear" w:color="000000" w:fill="FFFFFF"/>
            <w:noWrap/>
            <w:vAlign w:val="bottom"/>
            <w:hideMark/>
          </w:tcPr>
          <w:p w14:paraId="33BD82F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37,685,268 </w:t>
            </w:r>
          </w:p>
        </w:tc>
        <w:tc>
          <w:tcPr>
            <w:tcW w:w="1997" w:type="dxa"/>
            <w:tcBorders>
              <w:top w:val="nil"/>
              <w:left w:val="nil"/>
              <w:bottom w:val="nil"/>
              <w:right w:val="nil"/>
            </w:tcBorders>
            <w:shd w:val="clear" w:color="000000" w:fill="FFFFFF"/>
            <w:noWrap/>
            <w:vAlign w:val="bottom"/>
            <w:hideMark/>
          </w:tcPr>
          <w:p w14:paraId="0855443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370,633,033 </w:t>
            </w:r>
          </w:p>
        </w:tc>
        <w:tc>
          <w:tcPr>
            <w:tcW w:w="1636" w:type="dxa"/>
            <w:tcBorders>
              <w:top w:val="nil"/>
              <w:left w:val="nil"/>
              <w:bottom w:val="nil"/>
              <w:right w:val="nil"/>
            </w:tcBorders>
            <w:shd w:val="clear" w:color="000000" w:fill="FFFFFF"/>
            <w:noWrap/>
            <w:vAlign w:val="bottom"/>
            <w:hideMark/>
          </w:tcPr>
          <w:p w14:paraId="4A261A8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33,360,712 </w:t>
            </w:r>
          </w:p>
        </w:tc>
        <w:tc>
          <w:tcPr>
            <w:tcW w:w="1522" w:type="dxa"/>
            <w:tcBorders>
              <w:top w:val="nil"/>
              <w:left w:val="nil"/>
              <w:bottom w:val="nil"/>
              <w:right w:val="nil"/>
            </w:tcBorders>
            <w:shd w:val="clear" w:color="000000" w:fill="FFFFFF"/>
            <w:noWrap/>
            <w:vAlign w:val="bottom"/>
            <w:hideMark/>
          </w:tcPr>
          <w:p w14:paraId="32D4FAF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2,525,547 </w:t>
            </w:r>
          </w:p>
        </w:tc>
      </w:tr>
      <w:tr w:rsidR="002D2278" w:rsidRPr="002D2278" w14:paraId="6ACF94C3" w14:textId="77777777" w:rsidTr="002D2278">
        <w:trPr>
          <w:trHeight w:val="20"/>
        </w:trPr>
        <w:tc>
          <w:tcPr>
            <w:tcW w:w="612" w:type="dxa"/>
            <w:tcBorders>
              <w:top w:val="nil"/>
              <w:left w:val="nil"/>
              <w:bottom w:val="nil"/>
              <w:right w:val="nil"/>
            </w:tcBorders>
            <w:shd w:val="clear" w:color="000000" w:fill="FFFFFF"/>
            <w:noWrap/>
            <w:vAlign w:val="bottom"/>
            <w:hideMark/>
          </w:tcPr>
          <w:p w14:paraId="72F406F4"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30</w:t>
            </w:r>
          </w:p>
        </w:tc>
        <w:tc>
          <w:tcPr>
            <w:tcW w:w="1957" w:type="dxa"/>
            <w:tcBorders>
              <w:top w:val="nil"/>
              <w:left w:val="nil"/>
              <w:bottom w:val="nil"/>
              <w:right w:val="nil"/>
            </w:tcBorders>
            <w:shd w:val="clear" w:color="000000" w:fill="FFFFFF"/>
            <w:noWrap/>
            <w:vAlign w:val="bottom"/>
            <w:hideMark/>
          </w:tcPr>
          <w:p w14:paraId="16BBB81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373,927,404 </w:t>
            </w:r>
          </w:p>
        </w:tc>
        <w:tc>
          <w:tcPr>
            <w:tcW w:w="1636" w:type="dxa"/>
            <w:tcBorders>
              <w:top w:val="nil"/>
              <w:left w:val="nil"/>
              <w:bottom w:val="nil"/>
              <w:right w:val="nil"/>
            </w:tcBorders>
            <w:shd w:val="clear" w:color="000000" w:fill="FFFFFF"/>
            <w:noWrap/>
            <w:vAlign w:val="bottom"/>
            <w:hideMark/>
          </w:tcPr>
          <w:p w14:paraId="3A9281D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30,970,046 </w:t>
            </w:r>
          </w:p>
        </w:tc>
        <w:tc>
          <w:tcPr>
            <w:tcW w:w="1997" w:type="dxa"/>
            <w:tcBorders>
              <w:top w:val="nil"/>
              <w:left w:val="nil"/>
              <w:bottom w:val="nil"/>
              <w:right w:val="nil"/>
            </w:tcBorders>
            <w:shd w:val="clear" w:color="000000" w:fill="FFFFFF"/>
            <w:noWrap/>
            <w:vAlign w:val="bottom"/>
            <w:hideMark/>
          </w:tcPr>
          <w:p w14:paraId="218C822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343,681,726 </w:t>
            </w:r>
          </w:p>
        </w:tc>
        <w:tc>
          <w:tcPr>
            <w:tcW w:w="1636" w:type="dxa"/>
            <w:tcBorders>
              <w:top w:val="nil"/>
              <w:left w:val="nil"/>
              <w:bottom w:val="nil"/>
              <w:right w:val="nil"/>
            </w:tcBorders>
            <w:shd w:val="clear" w:color="000000" w:fill="FFFFFF"/>
            <w:noWrap/>
            <w:vAlign w:val="bottom"/>
            <w:hideMark/>
          </w:tcPr>
          <w:p w14:paraId="266AED7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26,951,308 </w:t>
            </w:r>
          </w:p>
        </w:tc>
        <w:tc>
          <w:tcPr>
            <w:tcW w:w="1522" w:type="dxa"/>
            <w:tcBorders>
              <w:top w:val="nil"/>
              <w:left w:val="nil"/>
              <w:bottom w:val="nil"/>
              <w:right w:val="nil"/>
            </w:tcBorders>
            <w:shd w:val="clear" w:color="000000" w:fill="FFFFFF"/>
            <w:noWrap/>
            <w:vAlign w:val="bottom"/>
            <w:hideMark/>
          </w:tcPr>
          <w:p w14:paraId="6F249E0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2,320,516 </w:t>
            </w:r>
          </w:p>
        </w:tc>
      </w:tr>
      <w:tr w:rsidR="002D2278" w:rsidRPr="002D2278" w14:paraId="79253638" w14:textId="77777777" w:rsidTr="002D2278">
        <w:trPr>
          <w:trHeight w:val="20"/>
        </w:trPr>
        <w:tc>
          <w:tcPr>
            <w:tcW w:w="612" w:type="dxa"/>
            <w:tcBorders>
              <w:top w:val="nil"/>
              <w:left w:val="nil"/>
              <w:bottom w:val="nil"/>
              <w:right w:val="nil"/>
            </w:tcBorders>
            <w:shd w:val="clear" w:color="000000" w:fill="FFFFFF"/>
            <w:noWrap/>
            <w:vAlign w:val="bottom"/>
            <w:hideMark/>
          </w:tcPr>
          <w:p w14:paraId="388AE06C"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31</w:t>
            </w:r>
          </w:p>
        </w:tc>
        <w:tc>
          <w:tcPr>
            <w:tcW w:w="1957" w:type="dxa"/>
            <w:tcBorders>
              <w:top w:val="nil"/>
              <w:left w:val="nil"/>
              <w:bottom w:val="nil"/>
              <w:right w:val="nil"/>
            </w:tcBorders>
            <w:shd w:val="clear" w:color="000000" w:fill="FFFFFF"/>
            <w:noWrap/>
            <w:vAlign w:val="bottom"/>
            <w:hideMark/>
          </w:tcPr>
          <w:p w14:paraId="42D0522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340,901,689 </w:t>
            </w:r>
          </w:p>
        </w:tc>
        <w:tc>
          <w:tcPr>
            <w:tcW w:w="1636" w:type="dxa"/>
            <w:tcBorders>
              <w:top w:val="nil"/>
              <w:left w:val="nil"/>
              <w:bottom w:val="nil"/>
              <w:right w:val="nil"/>
            </w:tcBorders>
            <w:shd w:val="clear" w:color="000000" w:fill="FFFFFF"/>
            <w:noWrap/>
            <w:vAlign w:val="bottom"/>
            <w:hideMark/>
          </w:tcPr>
          <w:p w14:paraId="4CEC372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33,025,715 </w:t>
            </w:r>
          </w:p>
        </w:tc>
        <w:tc>
          <w:tcPr>
            <w:tcW w:w="1997" w:type="dxa"/>
            <w:tcBorders>
              <w:top w:val="nil"/>
              <w:left w:val="nil"/>
              <w:bottom w:val="nil"/>
              <w:right w:val="nil"/>
            </w:tcBorders>
            <w:shd w:val="clear" w:color="000000" w:fill="FFFFFF"/>
            <w:noWrap/>
            <w:vAlign w:val="bottom"/>
            <w:hideMark/>
          </w:tcPr>
          <w:p w14:paraId="1D0C814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314,354,926 </w:t>
            </w:r>
          </w:p>
        </w:tc>
        <w:tc>
          <w:tcPr>
            <w:tcW w:w="1636" w:type="dxa"/>
            <w:tcBorders>
              <w:top w:val="nil"/>
              <w:left w:val="nil"/>
              <w:bottom w:val="nil"/>
              <w:right w:val="nil"/>
            </w:tcBorders>
            <w:shd w:val="clear" w:color="000000" w:fill="FFFFFF"/>
            <w:noWrap/>
            <w:vAlign w:val="bottom"/>
            <w:hideMark/>
          </w:tcPr>
          <w:p w14:paraId="03C742E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29,326,799 </w:t>
            </w:r>
          </w:p>
        </w:tc>
        <w:tc>
          <w:tcPr>
            <w:tcW w:w="1522" w:type="dxa"/>
            <w:tcBorders>
              <w:top w:val="nil"/>
              <w:left w:val="nil"/>
              <w:bottom w:val="nil"/>
              <w:right w:val="nil"/>
            </w:tcBorders>
            <w:shd w:val="clear" w:color="000000" w:fill="FFFFFF"/>
            <w:noWrap/>
            <w:vAlign w:val="bottom"/>
            <w:hideMark/>
          </w:tcPr>
          <w:p w14:paraId="0E5F4D4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2,150,192 </w:t>
            </w:r>
          </w:p>
        </w:tc>
      </w:tr>
      <w:tr w:rsidR="002D2278" w:rsidRPr="002D2278" w14:paraId="6D4863DB" w14:textId="77777777" w:rsidTr="002D2278">
        <w:trPr>
          <w:trHeight w:val="20"/>
        </w:trPr>
        <w:tc>
          <w:tcPr>
            <w:tcW w:w="612" w:type="dxa"/>
            <w:tcBorders>
              <w:top w:val="nil"/>
              <w:left w:val="nil"/>
              <w:bottom w:val="nil"/>
              <w:right w:val="nil"/>
            </w:tcBorders>
            <w:shd w:val="clear" w:color="000000" w:fill="FFFFFF"/>
            <w:noWrap/>
            <w:vAlign w:val="bottom"/>
            <w:hideMark/>
          </w:tcPr>
          <w:p w14:paraId="239E0BD7"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32</w:t>
            </w:r>
          </w:p>
        </w:tc>
        <w:tc>
          <w:tcPr>
            <w:tcW w:w="1957" w:type="dxa"/>
            <w:tcBorders>
              <w:top w:val="nil"/>
              <w:left w:val="nil"/>
              <w:bottom w:val="nil"/>
              <w:right w:val="nil"/>
            </w:tcBorders>
            <w:shd w:val="clear" w:color="000000" w:fill="FFFFFF"/>
            <w:noWrap/>
            <w:vAlign w:val="bottom"/>
            <w:hideMark/>
          </w:tcPr>
          <w:p w14:paraId="0138F69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309,337,673 </w:t>
            </w:r>
          </w:p>
        </w:tc>
        <w:tc>
          <w:tcPr>
            <w:tcW w:w="1636" w:type="dxa"/>
            <w:tcBorders>
              <w:top w:val="nil"/>
              <w:left w:val="nil"/>
              <w:bottom w:val="nil"/>
              <w:right w:val="nil"/>
            </w:tcBorders>
            <w:shd w:val="clear" w:color="000000" w:fill="FFFFFF"/>
            <w:noWrap/>
            <w:vAlign w:val="bottom"/>
            <w:hideMark/>
          </w:tcPr>
          <w:p w14:paraId="0158131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31,564,016 </w:t>
            </w:r>
          </w:p>
        </w:tc>
        <w:tc>
          <w:tcPr>
            <w:tcW w:w="1997" w:type="dxa"/>
            <w:tcBorders>
              <w:top w:val="nil"/>
              <w:left w:val="nil"/>
              <w:bottom w:val="nil"/>
              <w:right w:val="nil"/>
            </w:tcBorders>
            <w:shd w:val="clear" w:color="000000" w:fill="FFFFFF"/>
            <w:noWrap/>
            <w:vAlign w:val="bottom"/>
            <w:hideMark/>
          </w:tcPr>
          <w:p w14:paraId="2AE1EB5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286,172,514 </w:t>
            </w:r>
          </w:p>
        </w:tc>
        <w:tc>
          <w:tcPr>
            <w:tcW w:w="1636" w:type="dxa"/>
            <w:tcBorders>
              <w:top w:val="nil"/>
              <w:left w:val="nil"/>
              <w:bottom w:val="nil"/>
              <w:right w:val="nil"/>
            </w:tcBorders>
            <w:shd w:val="clear" w:color="000000" w:fill="FFFFFF"/>
            <w:noWrap/>
            <w:vAlign w:val="bottom"/>
            <w:hideMark/>
          </w:tcPr>
          <w:p w14:paraId="380F647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28,182,412 </w:t>
            </w:r>
          </w:p>
        </w:tc>
        <w:tc>
          <w:tcPr>
            <w:tcW w:w="1522" w:type="dxa"/>
            <w:tcBorders>
              <w:top w:val="nil"/>
              <w:left w:val="nil"/>
              <w:bottom w:val="nil"/>
              <w:right w:val="nil"/>
            </w:tcBorders>
            <w:shd w:val="clear" w:color="000000" w:fill="FFFFFF"/>
            <w:noWrap/>
            <w:vAlign w:val="bottom"/>
            <w:hideMark/>
          </w:tcPr>
          <w:p w14:paraId="418D858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1,964,627 </w:t>
            </w:r>
          </w:p>
        </w:tc>
      </w:tr>
      <w:tr w:rsidR="002D2278" w:rsidRPr="002D2278" w14:paraId="29104CEE" w14:textId="77777777" w:rsidTr="002D2278">
        <w:trPr>
          <w:trHeight w:val="20"/>
        </w:trPr>
        <w:tc>
          <w:tcPr>
            <w:tcW w:w="612" w:type="dxa"/>
            <w:tcBorders>
              <w:top w:val="nil"/>
              <w:left w:val="nil"/>
              <w:bottom w:val="nil"/>
              <w:right w:val="nil"/>
            </w:tcBorders>
            <w:shd w:val="clear" w:color="000000" w:fill="FFFFFF"/>
            <w:noWrap/>
            <w:vAlign w:val="bottom"/>
            <w:hideMark/>
          </w:tcPr>
          <w:p w14:paraId="0D2BC445"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33</w:t>
            </w:r>
          </w:p>
        </w:tc>
        <w:tc>
          <w:tcPr>
            <w:tcW w:w="1957" w:type="dxa"/>
            <w:tcBorders>
              <w:top w:val="nil"/>
              <w:left w:val="nil"/>
              <w:bottom w:val="nil"/>
              <w:right w:val="nil"/>
            </w:tcBorders>
            <w:shd w:val="clear" w:color="000000" w:fill="FFFFFF"/>
            <w:noWrap/>
            <w:vAlign w:val="bottom"/>
            <w:hideMark/>
          </w:tcPr>
          <w:p w14:paraId="63153A5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277,798,365 </w:t>
            </w:r>
          </w:p>
        </w:tc>
        <w:tc>
          <w:tcPr>
            <w:tcW w:w="1636" w:type="dxa"/>
            <w:tcBorders>
              <w:top w:val="nil"/>
              <w:left w:val="nil"/>
              <w:bottom w:val="nil"/>
              <w:right w:val="nil"/>
            </w:tcBorders>
            <w:shd w:val="clear" w:color="000000" w:fill="FFFFFF"/>
            <w:noWrap/>
            <w:vAlign w:val="bottom"/>
            <w:hideMark/>
          </w:tcPr>
          <w:p w14:paraId="406C336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31,539,309 </w:t>
            </w:r>
          </w:p>
        </w:tc>
        <w:tc>
          <w:tcPr>
            <w:tcW w:w="1997" w:type="dxa"/>
            <w:tcBorders>
              <w:top w:val="nil"/>
              <w:left w:val="nil"/>
              <w:bottom w:val="nil"/>
              <w:right w:val="nil"/>
            </w:tcBorders>
            <w:shd w:val="clear" w:color="000000" w:fill="FFFFFF"/>
            <w:noWrap/>
            <w:vAlign w:val="bottom"/>
            <w:hideMark/>
          </w:tcPr>
          <w:p w14:paraId="11FD1D2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257,708,075 </w:t>
            </w:r>
          </w:p>
        </w:tc>
        <w:tc>
          <w:tcPr>
            <w:tcW w:w="1636" w:type="dxa"/>
            <w:tcBorders>
              <w:top w:val="nil"/>
              <w:left w:val="nil"/>
              <w:bottom w:val="nil"/>
              <w:right w:val="nil"/>
            </w:tcBorders>
            <w:shd w:val="clear" w:color="000000" w:fill="FFFFFF"/>
            <w:noWrap/>
            <w:vAlign w:val="bottom"/>
            <w:hideMark/>
          </w:tcPr>
          <w:p w14:paraId="365380F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28,464,439 </w:t>
            </w:r>
          </w:p>
        </w:tc>
        <w:tc>
          <w:tcPr>
            <w:tcW w:w="1522" w:type="dxa"/>
            <w:tcBorders>
              <w:top w:val="nil"/>
              <w:left w:val="nil"/>
              <w:bottom w:val="nil"/>
              <w:right w:val="nil"/>
            </w:tcBorders>
            <w:shd w:val="clear" w:color="000000" w:fill="FFFFFF"/>
            <w:noWrap/>
            <w:vAlign w:val="bottom"/>
            <w:hideMark/>
          </w:tcPr>
          <w:p w14:paraId="3C872E8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1,785,114 </w:t>
            </w:r>
          </w:p>
        </w:tc>
      </w:tr>
      <w:tr w:rsidR="002D2278" w:rsidRPr="002D2278" w14:paraId="27FE1436" w14:textId="77777777" w:rsidTr="002D2278">
        <w:trPr>
          <w:trHeight w:val="20"/>
        </w:trPr>
        <w:tc>
          <w:tcPr>
            <w:tcW w:w="612" w:type="dxa"/>
            <w:tcBorders>
              <w:top w:val="nil"/>
              <w:left w:val="nil"/>
              <w:bottom w:val="nil"/>
              <w:right w:val="nil"/>
            </w:tcBorders>
            <w:shd w:val="clear" w:color="000000" w:fill="FFFFFF"/>
            <w:noWrap/>
            <w:vAlign w:val="bottom"/>
            <w:hideMark/>
          </w:tcPr>
          <w:p w14:paraId="71640B2B"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34</w:t>
            </w:r>
          </w:p>
        </w:tc>
        <w:tc>
          <w:tcPr>
            <w:tcW w:w="1957" w:type="dxa"/>
            <w:tcBorders>
              <w:top w:val="nil"/>
              <w:left w:val="nil"/>
              <w:bottom w:val="nil"/>
              <w:right w:val="nil"/>
            </w:tcBorders>
            <w:shd w:val="clear" w:color="000000" w:fill="FFFFFF"/>
            <w:noWrap/>
            <w:vAlign w:val="bottom"/>
            <w:hideMark/>
          </w:tcPr>
          <w:p w14:paraId="260D601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250,456,701 </w:t>
            </w:r>
          </w:p>
        </w:tc>
        <w:tc>
          <w:tcPr>
            <w:tcW w:w="1636" w:type="dxa"/>
            <w:tcBorders>
              <w:top w:val="nil"/>
              <w:left w:val="nil"/>
              <w:bottom w:val="nil"/>
              <w:right w:val="nil"/>
            </w:tcBorders>
            <w:shd w:val="clear" w:color="000000" w:fill="FFFFFF"/>
            <w:noWrap/>
            <w:vAlign w:val="bottom"/>
            <w:hideMark/>
          </w:tcPr>
          <w:p w14:paraId="6A2D1D2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27,341,664 </w:t>
            </w:r>
          </w:p>
        </w:tc>
        <w:tc>
          <w:tcPr>
            <w:tcW w:w="1997" w:type="dxa"/>
            <w:tcBorders>
              <w:top w:val="nil"/>
              <w:left w:val="nil"/>
              <w:bottom w:val="nil"/>
              <w:right w:val="nil"/>
            </w:tcBorders>
            <w:shd w:val="clear" w:color="000000" w:fill="FFFFFF"/>
            <w:noWrap/>
            <w:vAlign w:val="bottom"/>
            <w:hideMark/>
          </w:tcPr>
          <w:p w14:paraId="5FC4ABE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233,163,956 </w:t>
            </w:r>
          </w:p>
        </w:tc>
        <w:tc>
          <w:tcPr>
            <w:tcW w:w="1636" w:type="dxa"/>
            <w:tcBorders>
              <w:top w:val="nil"/>
              <w:left w:val="nil"/>
              <w:bottom w:val="nil"/>
              <w:right w:val="nil"/>
            </w:tcBorders>
            <w:shd w:val="clear" w:color="000000" w:fill="FFFFFF"/>
            <w:noWrap/>
            <w:vAlign w:val="bottom"/>
            <w:hideMark/>
          </w:tcPr>
          <w:p w14:paraId="17046A8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24,544,119 </w:t>
            </w:r>
          </w:p>
        </w:tc>
        <w:tc>
          <w:tcPr>
            <w:tcW w:w="1522" w:type="dxa"/>
            <w:tcBorders>
              <w:top w:val="nil"/>
              <w:left w:val="nil"/>
              <w:bottom w:val="nil"/>
              <w:right w:val="nil"/>
            </w:tcBorders>
            <w:shd w:val="clear" w:color="000000" w:fill="FFFFFF"/>
            <w:noWrap/>
            <w:vAlign w:val="bottom"/>
            <w:hideMark/>
          </w:tcPr>
          <w:p w14:paraId="1F76B4A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1,605,400 </w:t>
            </w:r>
          </w:p>
        </w:tc>
      </w:tr>
      <w:tr w:rsidR="002D2278" w:rsidRPr="002D2278" w14:paraId="229D18A8" w14:textId="77777777" w:rsidTr="002D2278">
        <w:trPr>
          <w:trHeight w:val="20"/>
        </w:trPr>
        <w:tc>
          <w:tcPr>
            <w:tcW w:w="612" w:type="dxa"/>
            <w:tcBorders>
              <w:top w:val="nil"/>
              <w:left w:val="nil"/>
              <w:bottom w:val="nil"/>
              <w:right w:val="nil"/>
            </w:tcBorders>
            <w:shd w:val="clear" w:color="000000" w:fill="FFFFFF"/>
            <w:noWrap/>
            <w:vAlign w:val="bottom"/>
            <w:hideMark/>
          </w:tcPr>
          <w:p w14:paraId="595A1A68"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35</w:t>
            </w:r>
          </w:p>
        </w:tc>
        <w:tc>
          <w:tcPr>
            <w:tcW w:w="1957" w:type="dxa"/>
            <w:tcBorders>
              <w:top w:val="nil"/>
              <w:left w:val="nil"/>
              <w:bottom w:val="nil"/>
              <w:right w:val="nil"/>
            </w:tcBorders>
            <w:shd w:val="clear" w:color="000000" w:fill="FFFFFF"/>
            <w:noWrap/>
            <w:vAlign w:val="bottom"/>
            <w:hideMark/>
          </w:tcPr>
          <w:p w14:paraId="70B3E9DC"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221,418,855 </w:t>
            </w:r>
          </w:p>
        </w:tc>
        <w:tc>
          <w:tcPr>
            <w:tcW w:w="1636" w:type="dxa"/>
            <w:tcBorders>
              <w:top w:val="nil"/>
              <w:left w:val="nil"/>
              <w:bottom w:val="nil"/>
              <w:right w:val="nil"/>
            </w:tcBorders>
            <w:shd w:val="clear" w:color="000000" w:fill="FFFFFF"/>
            <w:noWrap/>
            <w:vAlign w:val="bottom"/>
            <w:hideMark/>
          </w:tcPr>
          <w:p w14:paraId="411F943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29,037,846 </w:t>
            </w:r>
          </w:p>
        </w:tc>
        <w:tc>
          <w:tcPr>
            <w:tcW w:w="1997" w:type="dxa"/>
            <w:tcBorders>
              <w:top w:val="nil"/>
              <w:left w:val="nil"/>
              <w:bottom w:val="nil"/>
              <w:right w:val="nil"/>
            </w:tcBorders>
            <w:shd w:val="clear" w:color="000000" w:fill="FFFFFF"/>
            <w:noWrap/>
            <w:vAlign w:val="bottom"/>
            <w:hideMark/>
          </w:tcPr>
          <w:p w14:paraId="738595A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206,624,644 </w:t>
            </w:r>
          </w:p>
        </w:tc>
        <w:tc>
          <w:tcPr>
            <w:tcW w:w="1636" w:type="dxa"/>
            <w:tcBorders>
              <w:top w:val="nil"/>
              <w:left w:val="nil"/>
              <w:bottom w:val="nil"/>
              <w:right w:val="nil"/>
            </w:tcBorders>
            <w:shd w:val="clear" w:color="000000" w:fill="FFFFFF"/>
            <w:noWrap/>
            <w:vAlign w:val="bottom"/>
            <w:hideMark/>
          </w:tcPr>
          <w:p w14:paraId="66CC520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26,539,312 </w:t>
            </w:r>
          </w:p>
        </w:tc>
        <w:tc>
          <w:tcPr>
            <w:tcW w:w="1522" w:type="dxa"/>
            <w:tcBorders>
              <w:top w:val="nil"/>
              <w:left w:val="nil"/>
              <w:bottom w:val="nil"/>
              <w:right w:val="nil"/>
            </w:tcBorders>
            <w:shd w:val="clear" w:color="000000" w:fill="FFFFFF"/>
            <w:noWrap/>
            <w:vAlign w:val="bottom"/>
            <w:hideMark/>
          </w:tcPr>
          <w:p w14:paraId="4773053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1,448,582 </w:t>
            </w:r>
          </w:p>
        </w:tc>
      </w:tr>
      <w:tr w:rsidR="002D2278" w:rsidRPr="002D2278" w14:paraId="4DDF27D1" w14:textId="77777777" w:rsidTr="002D2278">
        <w:trPr>
          <w:trHeight w:val="20"/>
        </w:trPr>
        <w:tc>
          <w:tcPr>
            <w:tcW w:w="612" w:type="dxa"/>
            <w:tcBorders>
              <w:top w:val="nil"/>
              <w:left w:val="nil"/>
              <w:bottom w:val="nil"/>
              <w:right w:val="nil"/>
            </w:tcBorders>
            <w:shd w:val="clear" w:color="000000" w:fill="FFFFFF"/>
            <w:noWrap/>
            <w:vAlign w:val="bottom"/>
            <w:hideMark/>
          </w:tcPr>
          <w:p w14:paraId="7FC7A58A"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36</w:t>
            </w:r>
          </w:p>
        </w:tc>
        <w:tc>
          <w:tcPr>
            <w:tcW w:w="1957" w:type="dxa"/>
            <w:tcBorders>
              <w:top w:val="nil"/>
              <w:left w:val="nil"/>
              <w:bottom w:val="nil"/>
              <w:right w:val="nil"/>
            </w:tcBorders>
            <w:shd w:val="clear" w:color="000000" w:fill="FFFFFF"/>
            <w:noWrap/>
            <w:vAlign w:val="bottom"/>
            <w:hideMark/>
          </w:tcPr>
          <w:p w14:paraId="2926AE6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192,083,483 </w:t>
            </w:r>
          </w:p>
        </w:tc>
        <w:tc>
          <w:tcPr>
            <w:tcW w:w="1636" w:type="dxa"/>
            <w:tcBorders>
              <w:top w:val="nil"/>
              <w:left w:val="nil"/>
              <w:bottom w:val="nil"/>
              <w:right w:val="nil"/>
            </w:tcBorders>
            <w:shd w:val="clear" w:color="000000" w:fill="FFFFFF"/>
            <w:noWrap/>
            <w:vAlign w:val="bottom"/>
            <w:hideMark/>
          </w:tcPr>
          <w:p w14:paraId="4BFD3DE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29,335,373 </w:t>
            </w:r>
          </w:p>
        </w:tc>
        <w:tc>
          <w:tcPr>
            <w:tcW w:w="1997" w:type="dxa"/>
            <w:tcBorders>
              <w:top w:val="nil"/>
              <w:left w:val="nil"/>
              <w:bottom w:val="nil"/>
              <w:right w:val="nil"/>
            </w:tcBorders>
            <w:shd w:val="clear" w:color="000000" w:fill="FFFFFF"/>
            <w:noWrap/>
            <w:vAlign w:val="bottom"/>
            <w:hideMark/>
          </w:tcPr>
          <w:p w14:paraId="4D3D496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179,475,323 </w:t>
            </w:r>
          </w:p>
        </w:tc>
        <w:tc>
          <w:tcPr>
            <w:tcW w:w="1636" w:type="dxa"/>
            <w:tcBorders>
              <w:top w:val="nil"/>
              <w:left w:val="nil"/>
              <w:bottom w:val="nil"/>
              <w:right w:val="nil"/>
            </w:tcBorders>
            <w:shd w:val="clear" w:color="000000" w:fill="FFFFFF"/>
            <w:noWrap/>
            <w:vAlign w:val="bottom"/>
            <w:hideMark/>
          </w:tcPr>
          <w:p w14:paraId="4336810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27,149,321 </w:t>
            </w:r>
          </w:p>
        </w:tc>
        <w:tc>
          <w:tcPr>
            <w:tcW w:w="1522" w:type="dxa"/>
            <w:tcBorders>
              <w:top w:val="nil"/>
              <w:left w:val="nil"/>
              <w:bottom w:val="nil"/>
              <w:right w:val="nil"/>
            </w:tcBorders>
            <w:shd w:val="clear" w:color="000000" w:fill="FFFFFF"/>
            <w:noWrap/>
            <w:vAlign w:val="bottom"/>
            <w:hideMark/>
          </w:tcPr>
          <w:p w14:paraId="1D01171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1,282,226 </w:t>
            </w:r>
          </w:p>
        </w:tc>
      </w:tr>
      <w:tr w:rsidR="002D2278" w:rsidRPr="002D2278" w14:paraId="68C9013B" w14:textId="77777777" w:rsidTr="002D2278">
        <w:trPr>
          <w:trHeight w:val="20"/>
        </w:trPr>
        <w:tc>
          <w:tcPr>
            <w:tcW w:w="612" w:type="dxa"/>
            <w:tcBorders>
              <w:top w:val="nil"/>
              <w:left w:val="nil"/>
              <w:bottom w:val="nil"/>
              <w:right w:val="nil"/>
            </w:tcBorders>
            <w:shd w:val="clear" w:color="000000" w:fill="FFFFFF"/>
            <w:noWrap/>
            <w:vAlign w:val="bottom"/>
            <w:hideMark/>
          </w:tcPr>
          <w:p w14:paraId="050756B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37</w:t>
            </w:r>
          </w:p>
        </w:tc>
        <w:tc>
          <w:tcPr>
            <w:tcW w:w="1957" w:type="dxa"/>
            <w:tcBorders>
              <w:top w:val="nil"/>
              <w:left w:val="nil"/>
              <w:bottom w:val="nil"/>
              <w:right w:val="nil"/>
            </w:tcBorders>
            <w:shd w:val="clear" w:color="000000" w:fill="FFFFFF"/>
            <w:noWrap/>
            <w:vAlign w:val="bottom"/>
            <w:hideMark/>
          </w:tcPr>
          <w:p w14:paraId="05958F0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174,170,983 </w:t>
            </w:r>
          </w:p>
        </w:tc>
        <w:tc>
          <w:tcPr>
            <w:tcW w:w="1636" w:type="dxa"/>
            <w:tcBorders>
              <w:top w:val="nil"/>
              <w:left w:val="nil"/>
              <w:bottom w:val="nil"/>
              <w:right w:val="nil"/>
            </w:tcBorders>
            <w:shd w:val="clear" w:color="000000" w:fill="FFFFFF"/>
            <w:noWrap/>
            <w:vAlign w:val="bottom"/>
            <w:hideMark/>
          </w:tcPr>
          <w:p w14:paraId="559BF6D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17,912,499 </w:t>
            </w:r>
          </w:p>
        </w:tc>
        <w:tc>
          <w:tcPr>
            <w:tcW w:w="1997" w:type="dxa"/>
            <w:tcBorders>
              <w:top w:val="nil"/>
              <w:left w:val="nil"/>
              <w:bottom w:val="nil"/>
              <w:right w:val="nil"/>
            </w:tcBorders>
            <w:shd w:val="clear" w:color="000000" w:fill="FFFFFF"/>
            <w:noWrap/>
            <w:vAlign w:val="bottom"/>
            <w:hideMark/>
          </w:tcPr>
          <w:p w14:paraId="5B5ABD3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163,557,687 </w:t>
            </w:r>
          </w:p>
        </w:tc>
        <w:tc>
          <w:tcPr>
            <w:tcW w:w="1636" w:type="dxa"/>
            <w:tcBorders>
              <w:top w:val="nil"/>
              <w:left w:val="nil"/>
              <w:bottom w:val="nil"/>
              <w:right w:val="nil"/>
            </w:tcBorders>
            <w:shd w:val="clear" w:color="000000" w:fill="FFFFFF"/>
            <w:noWrap/>
            <w:vAlign w:val="bottom"/>
            <w:hideMark/>
          </w:tcPr>
          <w:p w14:paraId="431A295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15,917,636 </w:t>
            </w:r>
          </w:p>
        </w:tc>
        <w:tc>
          <w:tcPr>
            <w:tcW w:w="1522" w:type="dxa"/>
            <w:tcBorders>
              <w:top w:val="nil"/>
              <w:left w:val="nil"/>
              <w:bottom w:val="nil"/>
              <w:right w:val="nil"/>
            </w:tcBorders>
            <w:shd w:val="clear" w:color="000000" w:fill="FFFFFF"/>
            <w:noWrap/>
            <w:vAlign w:val="bottom"/>
            <w:hideMark/>
          </w:tcPr>
          <w:p w14:paraId="5DB0F58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1,118,433 </w:t>
            </w:r>
          </w:p>
        </w:tc>
      </w:tr>
      <w:tr w:rsidR="002D2278" w:rsidRPr="002D2278" w14:paraId="3FF394A9" w14:textId="77777777" w:rsidTr="002D2278">
        <w:trPr>
          <w:trHeight w:val="20"/>
        </w:trPr>
        <w:tc>
          <w:tcPr>
            <w:tcW w:w="612" w:type="dxa"/>
            <w:tcBorders>
              <w:top w:val="nil"/>
              <w:left w:val="nil"/>
              <w:bottom w:val="nil"/>
              <w:right w:val="nil"/>
            </w:tcBorders>
            <w:shd w:val="clear" w:color="000000" w:fill="FFFFFF"/>
            <w:noWrap/>
            <w:vAlign w:val="bottom"/>
            <w:hideMark/>
          </w:tcPr>
          <w:p w14:paraId="02411A91"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38</w:t>
            </w:r>
          </w:p>
        </w:tc>
        <w:tc>
          <w:tcPr>
            <w:tcW w:w="1957" w:type="dxa"/>
            <w:tcBorders>
              <w:top w:val="nil"/>
              <w:left w:val="nil"/>
              <w:bottom w:val="nil"/>
              <w:right w:val="nil"/>
            </w:tcBorders>
            <w:shd w:val="clear" w:color="000000" w:fill="FFFFFF"/>
            <w:noWrap/>
            <w:vAlign w:val="bottom"/>
            <w:hideMark/>
          </w:tcPr>
          <w:p w14:paraId="16A4CFE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158,279,297 </w:t>
            </w:r>
          </w:p>
        </w:tc>
        <w:tc>
          <w:tcPr>
            <w:tcW w:w="1636" w:type="dxa"/>
            <w:tcBorders>
              <w:top w:val="nil"/>
              <w:left w:val="nil"/>
              <w:bottom w:val="nil"/>
              <w:right w:val="nil"/>
            </w:tcBorders>
            <w:shd w:val="clear" w:color="000000" w:fill="FFFFFF"/>
            <w:noWrap/>
            <w:vAlign w:val="bottom"/>
            <w:hideMark/>
          </w:tcPr>
          <w:p w14:paraId="4BC845E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15,891,686 </w:t>
            </w:r>
          </w:p>
        </w:tc>
        <w:tc>
          <w:tcPr>
            <w:tcW w:w="1997" w:type="dxa"/>
            <w:tcBorders>
              <w:top w:val="nil"/>
              <w:left w:val="nil"/>
              <w:bottom w:val="nil"/>
              <w:right w:val="nil"/>
            </w:tcBorders>
            <w:shd w:val="clear" w:color="000000" w:fill="FFFFFF"/>
            <w:noWrap/>
            <w:vAlign w:val="bottom"/>
            <w:hideMark/>
          </w:tcPr>
          <w:p w14:paraId="5D2EAB3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149,492,095 </w:t>
            </w:r>
          </w:p>
        </w:tc>
        <w:tc>
          <w:tcPr>
            <w:tcW w:w="1636" w:type="dxa"/>
            <w:tcBorders>
              <w:top w:val="nil"/>
              <w:left w:val="nil"/>
              <w:bottom w:val="nil"/>
              <w:right w:val="nil"/>
            </w:tcBorders>
            <w:shd w:val="clear" w:color="000000" w:fill="FFFFFF"/>
            <w:noWrap/>
            <w:vAlign w:val="bottom"/>
            <w:hideMark/>
          </w:tcPr>
          <w:p w14:paraId="626B90A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14,065,593 </w:t>
            </w:r>
          </w:p>
        </w:tc>
        <w:tc>
          <w:tcPr>
            <w:tcW w:w="1522" w:type="dxa"/>
            <w:tcBorders>
              <w:top w:val="nil"/>
              <w:left w:val="nil"/>
              <w:bottom w:val="nil"/>
              <w:right w:val="nil"/>
            </w:tcBorders>
            <w:shd w:val="clear" w:color="000000" w:fill="FFFFFF"/>
            <w:noWrap/>
            <w:vAlign w:val="bottom"/>
            <w:hideMark/>
          </w:tcPr>
          <w:p w14:paraId="53996CE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1,017,326 </w:t>
            </w:r>
          </w:p>
        </w:tc>
      </w:tr>
      <w:tr w:rsidR="002D2278" w:rsidRPr="002D2278" w14:paraId="1F3F25F9" w14:textId="77777777" w:rsidTr="002D2278">
        <w:trPr>
          <w:trHeight w:val="20"/>
        </w:trPr>
        <w:tc>
          <w:tcPr>
            <w:tcW w:w="612" w:type="dxa"/>
            <w:tcBorders>
              <w:top w:val="nil"/>
              <w:left w:val="nil"/>
              <w:bottom w:val="nil"/>
              <w:right w:val="nil"/>
            </w:tcBorders>
            <w:shd w:val="clear" w:color="000000" w:fill="FFFFFF"/>
            <w:noWrap/>
            <w:vAlign w:val="bottom"/>
            <w:hideMark/>
          </w:tcPr>
          <w:p w14:paraId="7E9B00D1"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39</w:t>
            </w:r>
          </w:p>
        </w:tc>
        <w:tc>
          <w:tcPr>
            <w:tcW w:w="1957" w:type="dxa"/>
            <w:tcBorders>
              <w:top w:val="nil"/>
              <w:left w:val="nil"/>
              <w:bottom w:val="nil"/>
              <w:right w:val="nil"/>
            </w:tcBorders>
            <w:shd w:val="clear" w:color="000000" w:fill="FFFFFF"/>
            <w:noWrap/>
            <w:vAlign w:val="bottom"/>
            <w:hideMark/>
          </w:tcPr>
          <w:p w14:paraId="1B7B419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141,537,030 </w:t>
            </w:r>
          </w:p>
        </w:tc>
        <w:tc>
          <w:tcPr>
            <w:tcW w:w="1636" w:type="dxa"/>
            <w:tcBorders>
              <w:top w:val="nil"/>
              <w:left w:val="nil"/>
              <w:bottom w:val="nil"/>
              <w:right w:val="nil"/>
            </w:tcBorders>
            <w:shd w:val="clear" w:color="000000" w:fill="FFFFFF"/>
            <w:noWrap/>
            <w:vAlign w:val="bottom"/>
            <w:hideMark/>
          </w:tcPr>
          <w:p w14:paraId="628F4A6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16,742,267 </w:t>
            </w:r>
          </w:p>
        </w:tc>
        <w:tc>
          <w:tcPr>
            <w:tcW w:w="1997" w:type="dxa"/>
            <w:tcBorders>
              <w:top w:val="nil"/>
              <w:left w:val="nil"/>
              <w:bottom w:val="nil"/>
              <w:right w:val="nil"/>
            </w:tcBorders>
            <w:shd w:val="clear" w:color="000000" w:fill="FFFFFF"/>
            <w:noWrap/>
            <w:vAlign w:val="bottom"/>
            <w:hideMark/>
          </w:tcPr>
          <w:p w14:paraId="2E25BBB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134,393,508 </w:t>
            </w:r>
          </w:p>
        </w:tc>
        <w:tc>
          <w:tcPr>
            <w:tcW w:w="1636" w:type="dxa"/>
            <w:tcBorders>
              <w:top w:val="nil"/>
              <w:left w:val="nil"/>
              <w:bottom w:val="nil"/>
              <w:right w:val="nil"/>
            </w:tcBorders>
            <w:shd w:val="clear" w:color="000000" w:fill="FFFFFF"/>
            <w:noWrap/>
            <w:vAlign w:val="bottom"/>
            <w:hideMark/>
          </w:tcPr>
          <w:p w14:paraId="789E353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15,098,587 </w:t>
            </w:r>
          </w:p>
        </w:tc>
        <w:tc>
          <w:tcPr>
            <w:tcW w:w="1522" w:type="dxa"/>
            <w:tcBorders>
              <w:top w:val="nil"/>
              <w:left w:val="nil"/>
              <w:bottom w:val="nil"/>
              <w:right w:val="nil"/>
            </w:tcBorders>
            <w:shd w:val="clear" w:color="000000" w:fill="FFFFFF"/>
            <w:noWrap/>
            <w:vAlign w:val="bottom"/>
            <w:hideMark/>
          </w:tcPr>
          <w:p w14:paraId="686C567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925,441 </w:t>
            </w:r>
          </w:p>
        </w:tc>
      </w:tr>
      <w:tr w:rsidR="002D2278" w:rsidRPr="002D2278" w14:paraId="60E1FCD6" w14:textId="77777777" w:rsidTr="002D2278">
        <w:trPr>
          <w:trHeight w:val="20"/>
        </w:trPr>
        <w:tc>
          <w:tcPr>
            <w:tcW w:w="612" w:type="dxa"/>
            <w:tcBorders>
              <w:top w:val="nil"/>
              <w:left w:val="nil"/>
              <w:bottom w:val="nil"/>
              <w:right w:val="nil"/>
            </w:tcBorders>
            <w:shd w:val="clear" w:color="000000" w:fill="FFFFFF"/>
            <w:noWrap/>
            <w:vAlign w:val="bottom"/>
            <w:hideMark/>
          </w:tcPr>
          <w:p w14:paraId="54A08125"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40</w:t>
            </w:r>
          </w:p>
        </w:tc>
        <w:tc>
          <w:tcPr>
            <w:tcW w:w="1957" w:type="dxa"/>
            <w:tcBorders>
              <w:top w:val="nil"/>
              <w:left w:val="nil"/>
              <w:bottom w:val="nil"/>
              <w:right w:val="nil"/>
            </w:tcBorders>
            <w:shd w:val="clear" w:color="000000" w:fill="FFFFFF"/>
            <w:noWrap/>
            <w:vAlign w:val="bottom"/>
            <w:hideMark/>
          </w:tcPr>
          <w:p w14:paraId="2C87516B"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122,441,872 </w:t>
            </w:r>
          </w:p>
        </w:tc>
        <w:tc>
          <w:tcPr>
            <w:tcW w:w="1636" w:type="dxa"/>
            <w:tcBorders>
              <w:top w:val="nil"/>
              <w:left w:val="nil"/>
              <w:bottom w:val="nil"/>
              <w:right w:val="nil"/>
            </w:tcBorders>
            <w:shd w:val="clear" w:color="000000" w:fill="FFFFFF"/>
            <w:noWrap/>
            <w:vAlign w:val="bottom"/>
            <w:hideMark/>
          </w:tcPr>
          <w:p w14:paraId="5E4B3BB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19,095,158 </w:t>
            </w:r>
          </w:p>
        </w:tc>
        <w:tc>
          <w:tcPr>
            <w:tcW w:w="1997" w:type="dxa"/>
            <w:tcBorders>
              <w:top w:val="nil"/>
              <w:left w:val="nil"/>
              <w:bottom w:val="nil"/>
              <w:right w:val="nil"/>
            </w:tcBorders>
            <w:shd w:val="clear" w:color="000000" w:fill="FFFFFF"/>
            <w:noWrap/>
            <w:vAlign w:val="bottom"/>
            <w:hideMark/>
          </w:tcPr>
          <w:p w14:paraId="073E4D5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116,743,419 </w:t>
            </w:r>
          </w:p>
        </w:tc>
        <w:tc>
          <w:tcPr>
            <w:tcW w:w="1636" w:type="dxa"/>
            <w:tcBorders>
              <w:top w:val="nil"/>
              <w:left w:val="nil"/>
              <w:bottom w:val="nil"/>
              <w:right w:val="nil"/>
            </w:tcBorders>
            <w:shd w:val="clear" w:color="000000" w:fill="FFFFFF"/>
            <w:noWrap/>
            <w:vAlign w:val="bottom"/>
            <w:hideMark/>
          </w:tcPr>
          <w:p w14:paraId="7C290FF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17,650,088 </w:t>
            </w:r>
          </w:p>
        </w:tc>
        <w:tc>
          <w:tcPr>
            <w:tcW w:w="1522" w:type="dxa"/>
            <w:tcBorders>
              <w:top w:val="nil"/>
              <w:left w:val="nil"/>
              <w:bottom w:val="nil"/>
              <w:right w:val="nil"/>
            </w:tcBorders>
            <w:shd w:val="clear" w:color="000000" w:fill="FFFFFF"/>
            <w:noWrap/>
            <w:vAlign w:val="bottom"/>
            <w:hideMark/>
          </w:tcPr>
          <w:p w14:paraId="4E56540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827,921 </w:t>
            </w:r>
          </w:p>
        </w:tc>
      </w:tr>
      <w:tr w:rsidR="002D2278" w:rsidRPr="002D2278" w14:paraId="62D197DE" w14:textId="77777777" w:rsidTr="002D2278">
        <w:trPr>
          <w:trHeight w:val="20"/>
        </w:trPr>
        <w:tc>
          <w:tcPr>
            <w:tcW w:w="612" w:type="dxa"/>
            <w:tcBorders>
              <w:top w:val="nil"/>
              <w:left w:val="nil"/>
              <w:bottom w:val="nil"/>
              <w:right w:val="nil"/>
            </w:tcBorders>
            <w:shd w:val="clear" w:color="000000" w:fill="FFFFFF"/>
            <w:noWrap/>
            <w:vAlign w:val="bottom"/>
            <w:hideMark/>
          </w:tcPr>
          <w:p w14:paraId="58AD8059"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41</w:t>
            </w:r>
          </w:p>
        </w:tc>
        <w:tc>
          <w:tcPr>
            <w:tcW w:w="1957" w:type="dxa"/>
            <w:tcBorders>
              <w:top w:val="nil"/>
              <w:left w:val="nil"/>
              <w:bottom w:val="nil"/>
              <w:right w:val="nil"/>
            </w:tcBorders>
            <w:shd w:val="clear" w:color="000000" w:fill="FFFFFF"/>
            <w:noWrap/>
            <w:vAlign w:val="bottom"/>
            <w:hideMark/>
          </w:tcPr>
          <w:p w14:paraId="1321B1AC"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104,248,170 </w:t>
            </w:r>
          </w:p>
        </w:tc>
        <w:tc>
          <w:tcPr>
            <w:tcW w:w="1636" w:type="dxa"/>
            <w:tcBorders>
              <w:top w:val="nil"/>
              <w:left w:val="nil"/>
              <w:bottom w:val="nil"/>
              <w:right w:val="nil"/>
            </w:tcBorders>
            <w:shd w:val="clear" w:color="000000" w:fill="FFFFFF"/>
            <w:noWrap/>
            <w:vAlign w:val="bottom"/>
            <w:hideMark/>
          </w:tcPr>
          <w:p w14:paraId="0EA9D71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18,193,702 </w:t>
            </w:r>
          </w:p>
        </w:tc>
        <w:tc>
          <w:tcPr>
            <w:tcW w:w="1997" w:type="dxa"/>
            <w:tcBorders>
              <w:top w:val="nil"/>
              <w:left w:val="nil"/>
              <w:bottom w:val="nil"/>
              <w:right w:val="nil"/>
            </w:tcBorders>
            <w:shd w:val="clear" w:color="000000" w:fill="FFFFFF"/>
            <w:noWrap/>
            <w:vAlign w:val="bottom"/>
            <w:hideMark/>
          </w:tcPr>
          <w:p w14:paraId="24ACA13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99,797,117 </w:t>
            </w:r>
          </w:p>
        </w:tc>
        <w:tc>
          <w:tcPr>
            <w:tcW w:w="1636" w:type="dxa"/>
            <w:tcBorders>
              <w:top w:val="nil"/>
              <w:left w:val="nil"/>
              <w:bottom w:val="nil"/>
              <w:right w:val="nil"/>
            </w:tcBorders>
            <w:shd w:val="clear" w:color="000000" w:fill="FFFFFF"/>
            <w:noWrap/>
            <w:vAlign w:val="bottom"/>
            <w:hideMark/>
          </w:tcPr>
          <w:p w14:paraId="0DB2508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16,946,302 </w:t>
            </w:r>
          </w:p>
        </w:tc>
        <w:tc>
          <w:tcPr>
            <w:tcW w:w="1522" w:type="dxa"/>
            <w:tcBorders>
              <w:top w:val="nil"/>
              <w:left w:val="nil"/>
              <w:bottom w:val="nil"/>
              <w:right w:val="nil"/>
            </w:tcBorders>
            <w:shd w:val="clear" w:color="000000" w:fill="FFFFFF"/>
            <w:noWrap/>
            <w:vAlign w:val="bottom"/>
            <w:hideMark/>
          </w:tcPr>
          <w:p w14:paraId="0CC7AA0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715,679 </w:t>
            </w:r>
          </w:p>
        </w:tc>
      </w:tr>
      <w:tr w:rsidR="002D2278" w:rsidRPr="002D2278" w14:paraId="747A821D" w14:textId="77777777" w:rsidTr="002D2278">
        <w:trPr>
          <w:trHeight w:val="20"/>
        </w:trPr>
        <w:tc>
          <w:tcPr>
            <w:tcW w:w="612" w:type="dxa"/>
            <w:tcBorders>
              <w:top w:val="nil"/>
              <w:left w:val="nil"/>
              <w:bottom w:val="nil"/>
              <w:right w:val="nil"/>
            </w:tcBorders>
            <w:shd w:val="clear" w:color="000000" w:fill="FFFFFF"/>
            <w:noWrap/>
            <w:vAlign w:val="bottom"/>
            <w:hideMark/>
          </w:tcPr>
          <w:p w14:paraId="1DBBFFA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42</w:t>
            </w:r>
          </w:p>
        </w:tc>
        <w:tc>
          <w:tcPr>
            <w:tcW w:w="1957" w:type="dxa"/>
            <w:tcBorders>
              <w:top w:val="nil"/>
              <w:left w:val="nil"/>
              <w:bottom w:val="nil"/>
              <w:right w:val="nil"/>
            </w:tcBorders>
            <w:shd w:val="clear" w:color="000000" w:fill="FFFFFF"/>
            <w:noWrap/>
            <w:vAlign w:val="bottom"/>
            <w:hideMark/>
          </w:tcPr>
          <w:p w14:paraId="504AB77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90,415,710 </w:t>
            </w:r>
          </w:p>
        </w:tc>
        <w:tc>
          <w:tcPr>
            <w:tcW w:w="1636" w:type="dxa"/>
            <w:tcBorders>
              <w:top w:val="nil"/>
              <w:left w:val="nil"/>
              <w:bottom w:val="nil"/>
              <w:right w:val="nil"/>
            </w:tcBorders>
            <w:shd w:val="clear" w:color="000000" w:fill="FFFFFF"/>
            <w:noWrap/>
            <w:vAlign w:val="bottom"/>
            <w:hideMark/>
          </w:tcPr>
          <w:p w14:paraId="5D6DA40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13,832,460 </w:t>
            </w:r>
          </w:p>
        </w:tc>
        <w:tc>
          <w:tcPr>
            <w:tcW w:w="1997" w:type="dxa"/>
            <w:tcBorders>
              <w:top w:val="nil"/>
              <w:left w:val="nil"/>
              <w:bottom w:val="nil"/>
              <w:right w:val="nil"/>
            </w:tcBorders>
            <w:shd w:val="clear" w:color="000000" w:fill="FFFFFF"/>
            <w:noWrap/>
            <w:vAlign w:val="bottom"/>
            <w:hideMark/>
          </w:tcPr>
          <w:p w14:paraId="523B73A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87,061,601 </w:t>
            </w:r>
          </w:p>
        </w:tc>
        <w:tc>
          <w:tcPr>
            <w:tcW w:w="1636" w:type="dxa"/>
            <w:tcBorders>
              <w:top w:val="nil"/>
              <w:left w:val="nil"/>
              <w:bottom w:val="nil"/>
              <w:right w:val="nil"/>
            </w:tcBorders>
            <w:shd w:val="clear" w:color="000000" w:fill="FFFFFF"/>
            <w:noWrap/>
            <w:vAlign w:val="bottom"/>
            <w:hideMark/>
          </w:tcPr>
          <w:p w14:paraId="4DD1450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12,735,516 </w:t>
            </w:r>
          </w:p>
        </w:tc>
        <w:tc>
          <w:tcPr>
            <w:tcW w:w="1522" w:type="dxa"/>
            <w:tcBorders>
              <w:top w:val="nil"/>
              <w:left w:val="nil"/>
              <w:bottom w:val="nil"/>
              <w:right w:val="nil"/>
            </w:tcBorders>
            <w:shd w:val="clear" w:color="000000" w:fill="FFFFFF"/>
            <w:noWrap/>
            <w:vAlign w:val="bottom"/>
            <w:hideMark/>
          </w:tcPr>
          <w:p w14:paraId="7051280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607,934 </w:t>
            </w:r>
          </w:p>
        </w:tc>
      </w:tr>
      <w:tr w:rsidR="002D2278" w:rsidRPr="002D2278" w14:paraId="08C74188" w14:textId="77777777" w:rsidTr="002D2278">
        <w:trPr>
          <w:trHeight w:val="20"/>
        </w:trPr>
        <w:tc>
          <w:tcPr>
            <w:tcW w:w="612" w:type="dxa"/>
            <w:tcBorders>
              <w:top w:val="nil"/>
              <w:left w:val="nil"/>
              <w:bottom w:val="nil"/>
              <w:right w:val="nil"/>
            </w:tcBorders>
            <w:shd w:val="clear" w:color="000000" w:fill="FFFFFF"/>
            <w:noWrap/>
            <w:vAlign w:val="bottom"/>
            <w:hideMark/>
          </w:tcPr>
          <w:p w14:paraId="1ADE9B6F"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43</w:t>
            </w:r>
          </w:p>
        </w:tc>
        <w:tc>
          <w:tcPr>
            <w:tcW w:w="1957" w:type="dxa"/>
            <w:tcBorders>
              <w:top w:val="nil"/>
              <w:left w:val="nil"/>
              <w:bottom w:val="nil"/>
              <w:right w:val="nil"/>
            </w:tcBorders>
            <w:shd w:val="clear" w:color="000000" w:fill="FFFFFF"/>
            <w:noWrap/>
            <w:vAlign w:val="bottom"/>
            <w:hideMark/>
          </w:tcPr>
          <w:p w14:paraId="68FD9F6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74,422,104 </w:t>
            </w:r>
          </w:p>
        </w:tc>
        <w:tc>
          <w:tcPr>
            <w:tcW w:w="1636" w:type="dxa"/>
            <w:tcBorders>
              <w:top w:val="nil"/>
              <w:left w:val="nil"/>
              <w:bottom w:val="nil"/>
              <w:right w:val="nil"/>
            </w:tcBorders>
            <w:shd w:val="clear" w:color="000000" w:fill="FFFFFF"/>
            <w:noWrap/>
            <w:vAlign w:val="bottom"/>
            <w:hideMark/>
          </w:tcPr>
          <w:p w14:paraId="64D9277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15,993,606 </w:t>
            </w:r>
          </w:p>
        </w:tc>
        <w:tc>
          <w:tcPr>
            <w:tcW w:w="1997" w:type="dxa"/>
            <w:tcBorders>
              <w:top w:val="nil"/>
              <w:left w:val="nil"/>
              <w:bottom w:val="nil"/>
              <w:right w:val="nil"/>
            </w:tcBorders>
            <w:shd w:val="clear" w:color="000000" w:fill="FFFFFF"/>
            <w:noWrap/>
            <w:vAlign w:val="bottom"/>
            <w:hideMark/>
          </w:tcPr>
          <w:p w14:paraId="79CB82B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71,987,811 </w:t>
            </w:r>
          </w:p>
        </w:tc>
        <w:tc>
          <w:tcPr>
            <w:tcW w:w="1636" w:type="dxa"/>
            <w:tcBorders>
              <w:top w:val="nil"/>
              <w:left w:val="nil"/>
              <w:bottom w:val="nil"/>
              <w:right w:val="nil"/>
            </w:tcBorders>
            <w:shd w:val="clear" w:color="000000" w:fill="FFFFFF"/>
            <w:noWrap/>
            <w:vAlign w:val="bottom"/>
            <w:hideMark/>
          </w:tcPr>
          <w:p w14:paraId="0F620D0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15,073,790 </w:t>
            </w:r>
          </w:p>
        </w:tc>
        <w:tc>
          <w:tcPr>
            <w:tcW w:w="1522" w:type="dxa"/>
            <w:tcBorders>
              <w:top w:val="nil"/>
              <w:left w:val="nil"/>
              <w:bottom w:val="nil"/>
              <w:right w:val="nil"/>
            </w:tcBorders>
            <w:shd w:val="clear" w:color="000000" w:fill="FFFFFF"/>
            <w:noWrap/>
            <w:vAlign w:val="bottom"/>
            <w:hideMark/>
          </w:tcPr>
          <w:p w14:paraId="3F99C27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525,638 </w:t>
            </w:r>
          </w:p>
        </w:tc>
      </w:tr>
      <w:tr w:rsidR="002D2278" w:rsidRPr="002D2278" w14:paraId="1E0F6D10" w14:textId="77777777" w:rsidTr="002D2278">
        <w:trPr>
          <w:trHeight w:val="20"/>
        </w:trPr>
        <w:tc>
          <w:tcPr>
            <w:tcW w:w="612" w:type="dxa"/>
            <w:tcBorders>
              <w:top w:val="nil"/>
              <w:left w:val="nil"/>
              <w:bottom w:val="nil"/>
              <w:right w:val="nil"/>
            </w:tcBorders>
            <w:shd w:val="clear" w:color="000000" w:fill="FFFFFF"/>
            <w:noWrap/>
            <w:vAlign w:val="bottom"/>
            <w:hideMark/>
          </w:tcPr>
          <w:p w14:paraId="5F29A525"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44</w:t>
            </w:r>
          </w:p>
        </w:tc>
        <w:tc>
          <w:tcPr>
            <w:tcW w:w="1957" w:type="dxa"/>
            <w:tcBorders>
              <w:top w:val="nil"/>
              <w:left w:val="nil"/>
              <w:bottom w:val="nil"/>
              <w:right w:val="nil"/>
            </w:tcBorders>
            <w:shd w:val="clear" w:color="000000" w:fill="FFFFFF"/>
            <w:noWrap/>
            <w:vAlign w:val="bottom"/>
            <w:hideMark/>
          </w:tcPr>
          <w:p w14:paraId="5BB152C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58,049,285 </w:t>
            </w:r>
          </w:p>
        </w:tc>
        <w:tc>
          <w:tcPr>
            <w:tcW w:w="1636" w:type="dxa"/>
            <w:tcBorders>
              <w:top w:val="nil"/>
              <w:left w:val="nil"/>
              <w:bottom w:val="nil"/>
              <w:right w:val="nil"/>
            </w:tcBorders>
            <w:shd w:val="clear" w:color="000000" w:fill="FFFFFF"/>
            <w:noWrap/>
            <w:vAlign w:val="bottom"/>
            <w:hideMark/>
          </w:tcPr>
          <w:p w14:paraId="3CC0BFE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16,372,819 </w:t>
            </w:r>
          </w:p>
        </w:tc>
        <w:tc>
          <w:tcPr>
            <w:tcW w:w="1997" w:type="dxa"/>
            <w:tcBorders>
              <w:top w:val="nil"/>
              <w:left w:val="nil"/>
              <w:bottom w:val="nil"/>
              <w:right w:val="nil"/>
            </w:tcBorders>
            <w:shd w:val="clear" w:color="000000" w:fill="FFFFFF"/>
            <w:noWrap/>
            <w:vAlign w:val="bottom"/>
            <w:hideMark/>
          </w:tcPr>
          <w:p w14:paraId="498F028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56,350,593 </w:t>
            </w:r>
          </w:p>
        </w:tc>
        <w:tc>
          <w:tcPr>
            <w:tcW w:w="1636" w:type="dxa"/>
            <w:tcBorders>
              <w:top w:val="nil"/>
              <w:left w:val="nil"/>
              <w:bottom w:val="nil"/>
              <w:right w:val="nil"/>
            </w:tcBorders>
            <w:shd w:val="clear" w:color="000000" w:fill="FFFFFF"/>
            <w:noWrap/>
            <w:vAlign w:val="bottom"/>
            <w:hideMark/>
          </w:tcPr>
          <w:p w14:paraId="0E61717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15,637,218 </w:t>
            </w:r>
          </w:p>
        </w:tc>
        <w:tc>
          <w:tcPr>
            <w:tcW w:w="1522" w:type="dxa"/>
            <w:tcBorders>
              <w:top w:val="nil"/>
              <w:left w:val="nil"/>
              <w:bottom w:val="nil"/>
              <w:right w:val="nil"/>
            </w:tcBorders>
            <w:shd w:val="clear" w:color="000000" w:fill="FFFFFF"/>
            <w:noWrap/>
            <w:vAlign w:val="bottom"/>
            <w:hideMark/>
          </w:tcPr>
          <w:p w14:paraId="4B4B2D2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430,141 </w:t>
            </w:r>
          </w:p>
        </w:tc>
      </w:tr>
      <w:tr w:rsidR="002D2278" w:rsidRPr="002D2278" w14:paraId="70D9328E" w14:textId="77777777" w:rsidTr="002D2278">
        <w:trPr>
          <w:trHeight w:val="20"/>
        </w:trPr>
        <w:tc>
          <w:tcPr>
            <w:tcW w:w="612" w:type="dxa"/>
            <w:tcBorders>
              <w:top w:val="nil"/>
              <w:left w:val="nil"/>
              <w:bottom w:val="nil"/>
              <w:right w:val="nil"/>
            </w:tcBorders>
            <w:shd w:val="clear" w:color="000000" w:fill="FFFFFF"/>
            <w:noWrap/>
            <w:vAlign w:val="bottom"/>
            <w:hideMark/>
          </w:tcPr>
          <w:p w14:paraId="50D7AE04"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45</w:t>
            </w:r>
          </w:p>
        </w:tc>
        <w:tc>
          <w:tcPr>
            <w:tcW w:w="1957" w:type="dxa"/>
            <w:tcBorders>
              <w:top w:val="nil"/>
              <w:left w:val="nil"/>
              <w:bottom w:val="nil"/>
              <w:right w:val="nil"/>
            </w:tcBorders>
            <w:shd w:val="clear" w:color="000000" w:fill="FFFFFF"/>
            <w:noWrap/>
            <w:vAlign w:val="bottom"/>
            <w:hideMark/>
          </w:tcPr>
          <w:p w14:paraId="7D3BB9EC"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43,178,391 </w:t>
            </w:r>
          </w:p>
        </w:tc>
        <w:tc>
          <w:tcPr>
            <w:tcW w:w="1636" w:type="dxa"/>
            <w:tcBorders>
              <w:top w:val="nil"/>
              <w:left w:val="nil"/>
              <w:bottom w:val="nil"/>
              <w:right w:val="nil"/>
            </w:tcBorders>
            <w:shd w:val="clear" w:color="000000" w:fill="FFFFFF"/>
            <w:noWrap/>
            <w:vAlign w:val="bottom"/>
            <w:hideMark/>
          </w:tcPr>
          <w:p w14:paraId="7758973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14,870,894 </w:t>
            </w:r>
          </w:p>
        </w:tc>
        <w:tc>
          <w:tcPr>
            <w:tcW w:w="1997" w:type="dxa"/>
            <w:tcBorders>
              <w:top w:val="nil"/>
              <w:left w:val="nil"/>
              <w:bottom w:val="nil"/>
              <w:right w:val="nil"/>
            </w:tcBorders>
            <w:shd w:val="clear" w:color="000000" w:fill="FFFFFF"/>
            <w:noWrap/>
            <w:vAlign w:val="bottom"/>
            <w:hideMark/>
          </w:tcPr>
          <w:p w14:paraId="1CADAB7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42,038,104 </w:t>
            </w:r>
          </w:p>
        </w:tc>
        <w:tc>
          <w:tcPr>
            <w:tcW w:w="1636" w:type="dxa"/>
            <w:tcBorders>
              <w:top w:val="nil"/>
              <w:left w:val="nil"/>
              <w:bottom w:val="nil"/>
              <w:right w:val="nil"/>
            </w:tcBorders>
            <w:shd w:val="clear" w:color="000000" w:fill="FFFFFF"/>
            <w:noWrap/>
            <w:vAlign w:val="bottom"/>
            <w:hideMark/>
          </w:tcPr>
          <w:p w14:paraId="4D98AF2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14,312,489 </w:t>
            </w:r>
          </w:p>
        </w:tc>
        <w:tc>
          <w:tcPr>
            <w:tcW w:w="1522" w:type="dxa"/>
            <w:tcBorders>
              <w:top w:val="nil"/>
              <w:left w:val="nil"/>
              <w:bottom w:val="nil"/>
              <w:right w:val="nil"/>
            </w:tcBorders>
            <w:shd w:val="clear" w:color="000000" w:fill="FFFFFF"/>
            <w:noWrap/>
            <w:vAlign w:val="bottom"/>
            <w:hideMark/>
          </w:tcPr>
          <w:p w14:paraId="758455B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332,529 </w:t>
            </w:r>
          </w:p>
        </w:tc>
      </w:tr>
      <w:tr w:rsidR="002D2278" w:rsidRPr="002D2278" w14:paraId="288D0AA9" w14:textId="77777777" w:rsidTr="002D2278">
        <w:trPr>
          <w:trHeight w:val="20"/>
        </w:trPr>
        <w:tc>
          <w:tcPr>
            <w:tcW w:w="612" w:type="dxa"/>
            <w:tcBorders>
              <w:top w:val="nil"/>
              <w:left w:val="nil"/>
              <w:bottom w:val="nil"/>
              <w:right w:val="nil"/>
            </w:tcBorders>
            <w:shd w:val="clear" w:color="000000" w:fill="FFFFFF"/>
            <w:noWrap/>
            <w:vAlign w:val="bottom"/>
            <w:hideMark/>
          </w:tcPr>
          <w:p w14:paraId="57757323"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46</w:t>
            </w:r>
          </w:p>
        </w:tc>
        <w:tc>
          <w:tcPr>
            <w:tcW w:w="1957" w:type="dxa"/>
            <w:tcBorders>
              <w:top w:val="nil"/>
              <w:left w:val="nil"/>
              <w:bottom w:val="nil"/>
              <w:right w:val="nil"/>
            </w:tcBorders>
            <w:shd w:val="clear" w:color="000000" w:fill="FFFFFF"/>
            <w:noWrap/>
            <w:vAlign w:val="bottom"/>
            <w:hideMark/>
          </w:tcPr>
          <w:p w14:paraId="4FCEE1C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30,109,313 </w:t>
            </w:r>
          </w:p>
        </w:tc>
        <w:tc>
          <w:tcPr>
            <w:tcW w:w="1636" w:type="dxa"/>
            <w:tcBorders>
              <w:top w:val="nil"/>
              <w:left w:val="nil"/>
              <w:bottom w:val="nil"/>
              <w:right w:val="nil"/>
            </w:tcBorders>
            <w:shd w:val="clear" w:color="000000" w:fill="FFFFFF"/>
            <w:noWrap/>
            <w:vAlign w:val="bottom"/>
            <w:hideMark/>
          </w:tcPr>
          <w:p w14:paraId="4EB9586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13,069,077 </w:t>
            </w:r>
          </w:p>
        </w:tc>
        <w:tc>
          <w:tcPr>
            <w:tcW w:w="1997" w:type="dxa"/>
            <w:tcBorders>
              <w:top w:val="nil"/>
              <w:left w:val="nil"/>
              <w:bottom w:val="nil"/>
              <w:right w:val="nil"/>
            </w:tcBorders>
            <w:shd w:val="clear" w:color="000000" w:fill="FFFFFF"/>
            <w:noWrap/>
            <w:vAlign w:val="bottom"/>
            <w:hideMark/>
          </w:tcPr>
          <w:p w14:paraId="3780521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29,371,074 </w:t>
            </w:r>
          </w:p>
        </w:tc>
        <w:tc>
          <w:tcPr>
            <w:tcW w:w="1636" w:type="dxa"/>
            <w:tcBorders>
              <w:top w:val="nil"/>
              <w:left w:val="nil"/>
              <w:bottom w:val="nil"/>
              <w:right w:val="nil"/>
            </w:tcBorders>
            <w:shd w:val="clear" w:color="000000" w:fill="FFFFFF"/>
            <w:noWrap/>
            <w:vAlign w:val="bottom"/>
            <w:hideMark/>
          </w:tcPr>
          <w:p w14:paraId="50D9EF7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12,667,030 </w:t>
            </w:r>
          </w:p>
        </w:tc>
        <w:tc>
          <w:tcPr>
            <w:tcW w:w="1522" w:type="dxa"/>
            <w:tcBorders>
              <w:top w:val="nil"/>
              <w:left w:val="nil"/>
              <w:bottom w:val="nil"/>
              <w:right w:val="nil"/>
            </w:tcBorders>
            <w:shd w:val="clear" w:color="000000" w:fill="FFFFFF"/>
            <w:noWrap/>
            <w:vAlign w:val="bottom"/>
            <w:hideMark/>
          </w:tcPr>
          <w:p w14:paraId="53C430B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243,688 </w:t>
            </w:r>
          </w:p>
        </w:tc>
      </w:tr>
      <w:tr w:rsidR="002D2278" w:rsidRPr="002D2278" w14:paraId="768AE94D" w14:textId="77777777" w:rsidTr="002D2278">
        <w:trPr>
          <w:trHeight w:val="20"/>
        </w:trPr>
        <w:tc>
          <w:tcPr>
            <w:tcW w:w="612" w:type="dxa"/>
            <w:tcBorders>
              <w:top w:val="nil"/>
              <w:left w:val="nil"/>
              <w:bottom w:val="nil"/>
              <w:right w:val="nil"/>
            </w:tcBorders>
            <w:shd w:val="clear" w:color="000000" w:fill="FFFFFF"/>
            <w:noWrap/>
            <w:vAlign w:val="bottom"/>
            <w:hideMark/>
          </w:tcPr>
          <w:p w14:paraId="45DEC1BF"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47</w:t>
            </w:r>
          </w:p>
        </w:tc>
        <w:tc>
          <w:tcPr>
            <w:tcW w:w="1957" w:type="dxa"/>
            <w:tcBorders>
              <w:top w:val="nil"/>
              <w:left w:val="nil"/>
              <w:bottom w:val="nil"/>
              <w:right w:val="nil"/>
            </w:tcBorders>
            <w:shd w:val="clear" w:color="000000" w:fill="FFFFFF"/>
            <w:noWrap/>
            <w:vAlign w:val="bottom"/>
            <w:hideMark/>
          </w:tcPr>
          <w:p w14:paraId="0DBB99C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17,279,270 </w:t>
            </w:r>
          </w:p>
        </w:tc>
        <w:tc>
          <w:tcPr>
            <w:tcW w:w="1636" w:type="dxa"/>
            <w:tcBorders>
              <w:top w:val="nil"/>
              <w:left w:val="nil"/>
              <w:bottom w:val="nil"/>
              <w:right w:val="nil"/>
            </w:tcBorders>
            <w:shd w:val="clear" w:color="000000" w:fill="FFFFFF"/>
            <w:noWrap/>
            <w:vAlign w:val="bottom"/>
            <w:hideMark/>
          </w:tcPr>
          <w:p w14:paraId="71061AA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12,830,043 </w:t>
            </w:r>
          </w:p>
        </w:tc>
        <w:tc>
          <w:tcPr>
            <w:tcW w:w="1997" w:type="dxa"/>
            <w:tcBorders>
              <w:top w:val="nil"/>
              <w:left w:val="nil"/>
              <w:bottom w:val="nil"/>
              <w:right w:val="nil"/>
            </w:tcBorders>
            <w:shd w:val="clear" w:color="000000" w:fill="FFFFFF"/>
            <w:noWrap/>
            <w:vAlign w:val="bottom"/>
            <w:hideMark/>
          </w:tcPr>
          <w:p w14:paraId="1239C34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16,779,703 </w:t>
            </w:r>
          </w:p>
        </w:tc>
        <w:tc>
          <w:tcPr>
            <w:tcW w:w="1636" w:type="dxa"/>
            <w:tcBorders>
              <w:top w:val="nil"/>
              <w:left w:val="nil"/>
              <w:bottom w:val="nil"/>
              <w:right w:val="nil"/>
            </w:tcBorders>
            <w:shd w:val="clear" w:color="000000" w:fill="FFFFFF"/>
            <w:noWrap/>
            <w:vAlign w:val="bottom"/>
            <w:hideMark/>
          </w:tcPr>
          <w:p w14:paraId="4D05344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12,591,371 </w:t>
            </w:r>
          </w:p>
        </w:tc>
        <w:tc>
          <w:tcPr>
            <w:tcW w:w="1522" w:type="dxa"/>
            <w:tcBorders>
              <w:top w:val="nil"/>
              <w:left w:val="nil"/>
              <w:bottom w:val="nil"/>
              <w:right w:val="nil"/>
            </w:tcBorders>
            <w:shd w:val="clear" w:color="000000" w:fill="FFFFFF"/>
            <w:noWrap/>
            <w:vAlign w:val="bottom"/>
            <w:hideMark/>
          </w:tcPr>
          <w:p w14:paraId="5BB2D46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166,159 </w:t>
            </w:r>
          </w:p>
        </w:tc>
      </w:tr>
      <w:tr w:rsidR="002D2278" w:rsidRPr="002D2278" w14:paraId="1F85CA67" w14:textId="77777777" w:rsidTr="002D2278">
        <w:trPr>
          <w:trHeight w:val="20"/>
        </w:trPr>
        <w:tc>
          <w:tcPr>
            <w:tcW w:w="612" w:type="dxa"/>
            <w:tcBorders>
              <w:top w:val="nil"/>
              <w:left w:val="nil"/>
              <w:bottom w:val="nil"/>
              <w:right w:val="nil"/>
            </w:tcBorders>
            <w:shd w:val="clear" w:color="000000" w:fill="FFFFFF"/>
            <w:noWrap/>
            <w:vAlign w:val="bottom"/>
            <w:hideMark/>
          </w:tcPr>
          <w:p w14:paraId="4A251B2B"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48</w:t>
            </w:r>
          </w:p>
        </w:tc>
        <w:tc>
          <w:tcPr>
            <w:tcW w:w="1957" w:type="dxa"/>
            <w:tcBorders>
              <w:top w:val="nil"/>
              <w:left w:val="nil"/>
              <w:bottom w:val="nil"/>
              <w:right w:val="nil"/>
            </w:tcBorders>
            <w:shd w:val="clear" w:color="000000" w:fill="FFFFFF"/>
            <w:noWrap/>
            <w:vAlign w:val="bottom"/>
            <w:hideMark/>
          </w:tcPr>
          <w:p w14:paraId="0C90258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4,935,030 </w:t>
            </w:r>
          </w:p>
        </w:tc>
        <w:tc>
          <w:tcPr>
            <w:tcW w:w="1636" w:type="dxa"/>
            <w:tcBorders>
              <w:top w:val="nil"/>
              <w:left w:val="nil"/>
              <w:bottom w:val="nil"/>
              <w:right w:val="nil"/>
            </w:tcBorders>
            <w:shd w:val="clear" w:color="000000" w:fill="FFFFFF"/>
            <w:noWrap/>
            <w:vAlign w:val="bottom"/>
            <w:hideMark/>
          </w:tcPr>
          <w:p w14:paraId="10FD5F6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12,344,240 </w:t>
            </w:r>
          </w:p>
        </w:tc>
        <w:tc>
          <w:tcPr>
            <w:tcW w:w="1997" w:type="dxa"/>
            <w:tcBorders>
              <w:top w:val="nil"/>
              <w:left w:val="nil"/>
              <w:bottom w:val="nil"/>
              <w:right w:val="nil"/>
            </w:tcBorders>
            <w:shd w:val="clear" w:color="000000" w:fill="FFFFFF"/>
            <w:noWrap/>
            <w:vAlign w:val="bottom"/>
            <w:hideMark/>
          </w:tcPr>
          <w:p w14:paraId="6341A95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4,509,824 </w:t>
            </w:r>
          </w:p>
        </w:tc>
        <w:tc>
          <w:tcPr>
            <w:tcW w:w="1636" w:type="dxa"/>
            <w:tcBorders>
              <w:top w:val="nil"/>
              <w:left w:val="nil"/>
              <w:bottom w:val="nil"/>
              <w:right w:val="nil"/>
            </w:tcBorders>
            <w:shd w:val="clear" w:color="000000" w:fill="FFFFFF"/>
            <w:noWrap/>
            <w:vAlign w:val="bottom"/>
            <w:hideMark/>
          </w:tcPr>
          <w:p w14:paraId="690A4DE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12,269,879 </w:t>
            </w:r>
          </w:p>
        </w:tc>
        <w:tc>
          <w:tcPr>
            <w:tcW w:w="1522" w:type="dxa"/>
            <w:tcBorders>
              <w:top w:val="nil"/>
              <w:left w:val="nil"/>
              <w:bottom w:val="nil"/>
              <w:right w:val="nil"/>
            </w:tcBorders>
            <w:shd w:val="clear" w:color="000000" w:fill="FFFFFF"/>
            <w:noWrap/>
            <w:vAlign w:val="bottom"/>
            <w:hideMark/>
          </w:tcPr>
          <w:p w14:paraId="4B5BE5A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91,307 </w:t>
            </w:r>
          </w:p>
        </w:tc>
      </w:tr>
      <w:tr w:rsidR="002D2278" w:rsidRPr="002D2278" w14:paraId="7DC786D3" w14:textId="77777777" w:rsidTr="002D2278">
        <w:trPr>
          <w:trHeight w:val="20"/>
        </w:trPr>
        <w:tc>
          <w:tcPr>
            <w:tcW w:w="612" w:type="dxa"/>
            <w:tcBorders>
              <w:top w:val="nil"/>
              <w:left w:val="nil"/>
              <w:bottom w:val="nil"/>
              <w:right w:val="nil"/>
            </w:tcBorders>
            <w:shd w:val="clear" w:color="000000" w:fill="FFFFFF"/>
            <w:noWrap/>
            <w:vAlign w:val="bottom"/>
            <w:hideMark/>
          </w:tcPr>
          <w:p w14:paraId="6AB294A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49</w:t>
            </w:r>
          </w:p>
        </w:tc>
        <w:tc>
          <w:tcPr>
            <w:tcW w:w="1957" w:type="dxa"/>
            <w:tcBorders>
              <w:top w:val="nil"/>
              <w:left w:val="nil"/>
              <w:bottom w:val="nil"/>
              <w:right w:val="nil"/>
            </w:tcBorders>
            <w:shd w:val="clear" w:color="000000" w:fill="FFFFFF"/>
            <w:noWrap/>
            <w:vAlign w:val="bottom"/>
            <w:hideMark/>
          </w:tcPr>
          <w:p w14:paraId="5FFCBBB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3,690,844 </w:t>
            </w:r>
          </w:p>
        </w:tc>
        <w:tc>
          <w:tcPr>
            <w:tcW w:w="1636" w:type="dxa"/>
            <w:tcBorders>
              <w:top w:val="nil"/>
              <w:left w:val="nil"/>
              <w:bottom w:val="nil"/>
              <w:right w:val="nil"/>
            </w:tcBorders>
            <w:shd w:val="clear" w:color="000000" w:fill="FFFFFF"/>
            <w:noWrap/>
            <w:vAlign w:val="bottom"/>
            <w:hideMark/>
          </w:tcPr>
          <w:p w14:paraId="7DB9D2B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1,244,185 </w:t>
            </w:r>
          </w:p>
        </w:tc>
        <w:tc>
          <w:tcPr>
            <w:tcW w:w="1997" w:type="dxa"/>
            <w:tcBorders>
              <w:top w:val="nil"/>
              <w:left w:val="nil"/>
              <w:bottom w:val="nil"/>
              <w:right w:val="nil"/>
            </w:tcBorders>
            <w:shd w:val="clear" w:color="000000" w:fill="FFFFFF"/>
            <w:noWrap/>
            <w:vAlign w:val="bottom"/>
            <w:hideMark/>
          </w:tcPr>
          <w:p w14:paraId="5CD586A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3,320,667 </w:t>
            </w:r>
          </w:p>
        </w:tc>
        <w:tc>
          <w:tcPr>
            <w:tcW w:w="1636" w:type="dxa"/>
            <w:tcBorders>
              <w:top w:val="nil"/>
              <w:left w:val="nil"/>
              <w:bottom w:val="nil"/>
              <w:right w:val="nil"/>
            </w:tcBorders>
            <w:shd w:val="clear" w:color="000000" w:fill="FFFFFF"/>
            <w:noWrap/>
            <w:vAlign w:val="bottom"/>
            <w:hideMark/>
          </w:tcPr>
          <w:p w14:paraId="069B9C4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1,189,157 </w:t>
            </w:r>
          </w:p>
        </w:tc>
        <w:tc>
          <w:tcPr>
            <w:tcW w:w="1522" w:type="dxa"/>
            <w:tcBorders>
              <w:top w:val="nil"/>
              <w:left w:val="nil"/>
              <w:bottom w:val="nil"/>
              <w:right w:val="nil"/>
            </w:tcBorders>
            <w:shd w:val="clear" w:color="000000" w:fill="FFFFFF"/>
            <w:noWrap/>
            <w:vAlign w:val="bottom"/>
            <w:hideMark/>
          </w:tcPr>
          <w:p w14:paraId="1AC7CB1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24,839 </w:t>
            </w:r>
          </w:p>
        </w:tc>
      </w:tr>
      <w:tr w:rsidR="002D2278" w:rsidRPr="002D2278" w14:paraId="7DC111B3" w14:textId="77777777" w:rsidTr="002D2278">
        <w:trPr>
          <w:trHeight w:val="20"/>
        </w:trPr>
        <w:tc>
          <w:tcPr>
            <w:tcW w:w="612" w:type="dxa"/>
            <w:tcBorders>
              <w:top w:val="nil"/>
              <w:left w:val="nil"/>
              <w:bottom w:val="nil"/>
              <w:right w:val="nil"/>
            </w:tcBorders>
            <w:shd w:val="clear" w:color="000000" w:fill="FFFFFF"/>
            <w:noWrap/>
            <w:vAlign w:val="bottom"/>
            <w:hideMark/>
          </w:tcPr>
          <w:p w14:paraId="6A8C397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50</w:t>
            </w:r>
          </w:p>
        </w:tc>
        <w:tc>
          <w:tcPr>
            <w:tcW w:w="1957" w:type="dxa"/>
            <w:tcBorders>
              <w:top w:val="nil"/>
              <w:left w:val="nil"/>
              <w:bottom w:val="nil"/>
              <w:right w:val="nil"/>
            </w:tcBorders>
            <w:shd w:val="clear" w:color="000000" w:fill="FFFFFF"/>
            <w:noWrap/>
            <w:vAlign w:val="bottom"/>
            <w:hideMark/>
          </w:tcPr>
          <w:p w14:paraId="2084C0B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3,413,060 </w:t>
            </w:r>
          </w:p>
        </w:tc>
        <w:tc>
          <w:tcPr>
            <w:tcW w:w="1636" w:type="dxa"/>
            <w:tcBorders>
              <w:top w:val="nil"/>
              <w:left w:val="nil"/>
              <w:bottom w:val="nil"/>
              <w:right w:val="nil"/>
            </w:tcBorders>
            <w:shd w:val="clear" w:color="000000" w:fill="FFFFFF"/>
            <w:noWrap/>
            <w:vAlign w:val="bottom"/>
            <w:hideMark/>
          </w:tcPr>
          <w:p w14:paraId="1FE2722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277,784 </w:t>
            </w:r>
          </w:p>
        </w:tc>
        <w:tc>
          <w:tcPr>
            <w:tcW w:w="1997" w:type="dxa"/>
            <w:tcBorders>
              <w:top w:val="nil"/>
              <w:left w:val="nil"/>
              <w:bottom w:val="nil"/>
              <w:right w:val="nil"/>
            </w:tcBorders>
            <w:shd w:val="clear" w:color="000000" w:fill="FFFFFF"/>
            <w:noWrap/>
            <w:vAlign w:val="bottom"/>
            <w:hideMark/>
          </w:tcPr>
          <w:p w14:paraId="4D41AF5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3,093,762 </w:t>
            </w:r>
          </w:p>
        </w:tc>
        <w:tc>
          <w:tcPr>
            <w:tcW w:w="1636" w:type="dxa"/>
            <w:tcBorders>
              <w:top w:val="nil"/>
              <w:left w:val="nil"/>
              <w:bottom w:val="nil"/>
              <w:right w:val="nil"/>
            </w:tcBorders>
            <w:shd w:val="clear" w:color="000000" w:fill="FFFFFF"/>
            <w:noWrap/>
            <w:vAlign w:val="bottom"/>
            <w:hideMark/>
          </w:tcPr>
          <w:p w14:paraId="6BF145E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226,905 </w:t>
            </w:r>
          </w:p>
        </w:tc>
        <w:tc>
          <w:tcPr>
            <w:tcW w:w="1522" w:type="dxa"/>
            <w:tcBorders>
              <w:top w:val="nil"/>
              <w:left w:val="nil"/>
              <w:bottom w:val="nil"/>
              <w:right w:val="nil"/>
            </w:tcBorders>
            <w:shd w:val="clear" w:color="000000" w:fill="FFFFFF"/>
            <w:noWrap/>
            <w:vAlign w:val="bottom"/>
            <w:hideMark/>
          </w:tcPr>
          <w:p w14:paraId="22143EF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20,683 </w:t>
            </w:r>
          </w:p>
        </w:tc>
      </w:tr>
      <w:tr w:rsidR="002D2278" w:rsidRPr="002D2278" w14:paraId="12BA68A4" w14:textId="77777777" w:rsidTr="002D2278">
        <w:trPr>
          <w:trHeight w:val="20"/>
        </w:trPr>
        <w:tc>
          <w:tcPr>
            <w:tcW w:w="612" w:type="dxa"/>
            <w:tcBorders>
              <w:top w:val="nil"/>
              <w:left w:val="nil"/>
              <w:bottom w:val="nil"/>
              <w:right w:val="nil"/>
            </w:tcBorders>
            <w:shd w:val="clear" w:color="000000" w:fill="FFFFFF"/>
            <w:noWrap/>
            <w:vAlign w:val="bottom"/>
            <w:hideMark/>
          </w:tcPr>
          <w:p w14:paraId="72D0FD28"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51</w:t>
            </w:r>
          </w:p>
        </w:tc>
        <w:tc>
          <w:tcPr>
            <w:tcW w:w="1957" w:type="dxa"/>
            <w:tcBorders>
              <w:top w:val="nil"/>
              <w:left w:val="nil"/>
              <w:bottom w:val="nil"/>
              <w:right w:val="nil"/>
            </w:tcBorders>
            <w:shd w:val="clear" w:color="000000" w:fill="FFFFFF"/>
            <w:noWrap/>
            <w:vAlign w:val="bottom"/>
            <w:hideMark/>
          </w:tcPr>
          <w:p w14:paraId="568CCE8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3,234,289 </w:t>
            </w:r>
          </w:p>
        </w:tc>
        <w:tc>
          <w:tcPr>
            <w:tcW w:w="1636" w:type="dxa"/>
            <w:tcBorders>
              <w:top w:val="nil"/>
              <w:left w:val="nil"/>
              <w:bottom w:val="nil"/>
              <w:right w:val="nil"/>
            </w:tcBorders>
            <w:shd w:val="clear" w:color="000000" w:fill="FFFFFF"/>
            <w:noWrap/>
            <w:vAlign w:val="bottom"/>
            <w:hideMark/>
          </w:tcPr>
          <w:p w14:paraId="72DD147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178,771 </w:t>
            </w:r>
          </w:p>
        </w:tc>
        <w:tc>
          <w:tcPr>
            <w:tcW w:w="1997" w:type="dxa"/>
            <w:tcBorders>
              <w:top w:val="nil"/>
              <w:left w:val="nil"/>
              <w:bottom w:val="nil"/>
              <w:right w:val="nil"/>
            </w:tcBorders>
            <w:shd w:val="clear" w:color="000000" w:fill="FFFFFF"/>
            <w:noWrap/>
            <w:vAlign w:val="bottom"/>
            <w:hideMark/>
          </w:tcPr>
          <w:p w14:paraId="2668301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2,963,691 </w:t>
            </w:r>
          </w:p>
        </w:tc>
        <w:tc>
          <w:tcPr>
            <w:tcW w:w="1636" w:type="dxa"/>
            <w:tcBorders>
              <w:top w:val="nil"/>
              <w:left w:val="nil"/>
              <w:bottom w:val="nil"/>
              <w:right w:val="nil"/>
            </w:tcBorders>
            <w:shd w:val="clear" w:color="000000" w:fill="FFFFFF"/>
            <w:noWrap/>
            <w:vAlign w:val="bottom"/>
            <w:hideMark/>
          </w:tcPr>
          <w:p w14:paraId="0609C83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130,071 </w:t>
            </w:r>
          </w:p>
        </w:tc>
        <w:tc>
          <w:tcPr>
            <w:tcW w:w="1522" w:type="dxa"/>
            <w:tcBorders>
              <w:top w:val="nil"/>
              <w:left w:val="nil"/>
              <w:bottom w:val="nil"/>
              <w:right w:val="nil"/>
            </w:tcBorders>
            <w:shd w:val="clear" w:color="000000" w:fill="FFFFFF"/>
            <w:noWrap/>
            <w:vAlign w:val="bottom"/>
            <w:hideMark/>
          </w:tcPr>
          <w:p w14:paraId="4051872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19,074 </w:t>
            </w:r>
          </w:p>
        </w:tc>
      </w:tr>
      <w:tr w:rsidR="002D2278" w:rsidRPr="002D2278" w14:paraId="2481BF74" w14:textId="77777777" w:rsidTr="002D2278">
        <w:trPr>
          <w:trHeight w:val="20"/>
        </w:trPr>
        <w:tc>
          <w:tcPr>
            <w:tcW w:w="612" w:type="dxa"/>
            <w:tcBorders>
              <w:top w:val="nil"/>
              <w:left w:val="nil"/>
              <w:bottom w:val="nil"/>
              <w:right w:val="nil"/>
            </w:tcBorders>
            <w:shd w:val="clear" w:color="000000" w:fill="FFFFFF"/>
            <w:noWrap/>
            <w:vAlign w:val="bottom"/>
            <w:hideMark/>
          </w:tcPr>
          <w:p w14:paraId="144D1906"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52</w:t>
            </w:r>
          </w:p>
        </w:tc>
        <w:tc>
          <w:tcPr>
            <w:tcW w:w="1957" w:type="dxa"/>
            <w:tcBorders>
              <w:top w:val="nil"/>
              <w:left w:val="nil"/>
              <w:bottom w:val="nil"/>
              <w:right w:val="nil"/>
            </w:tcBorders>
            <w:shd w:val="clear" w:color="000000" w:fill="FFFFFF"/>
            <w:noWrap/>
            <w:vAlign w:val="bottom"/>
            <w:hideMark/>
          </w:tcPr>
          <w:p w14:paraId="6CC5AC8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3,070,828 </w:t>
            </w:r>
          </w:p>
        </w:tc>
        <w:tc>
          <w:tcPr>
            <w:tcW w:w="1636" w:type="dxa"/>
            <w:tcBorders>
              <w:top w:val="nil"/>
              <w:left w:val="nil"/>
              <w:bottom w:val="nil"/>
              <w:right w:val="nil"/>
            </w:tcBorders>
            <w:shd w:val="clear" w:color="000000" w:fill="FFFFFF"/>
            <w:noWrap/>
            <w:vAlign w:val="bottom"/>
            <w:hideMark/>
          </w:tcPr>
          <w:p w14:paraId="7679B85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163,461 </w:t>
            </w:r>
          </w:p>
        </w:tc>
        <w:tc>
          <w:tcPr>
            <w:tcW w:w="1997" w:type="dxa"/>
            <w:tcBorders>
              <w:top w:val="nil"/>
              <w:left w:val="nil"/>
              <w:bottom w:val="nil"/>
              <w:right w:val="nil"/>
            </w:tcBorders>
            <w:shd w:val="clear" w:color="000000" w:fill="FFFFFF"/>
            <w:noWrap/>
            <w:vAlign w:val="bottom"/>
            <w:hideMark/>
          </w:tcPr>
          <w:p w14:paraId="36A121F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2,847,164 </w:t>
            </w:r>
          </w:p>
        </w:tc>
        <w:tc>
          <w:tcPr>
            <w:tcW w:w="1636" w:type="dxa"/>
            <w:tcBorders>
              <w:top w:val="nil"/>
              <w:left w:val="nil"/>
              <w:bottom w:val="nil"/>
              <w:right w:val="nil"/>
            </w:tcBorders>
            <w:shd w:val="clear" w:color="000000" w:fill="FFFFFF"/>
            <w:noWrap/>
            <w:vAlign w:val="bottom"/>
            <w:hideMark/>
          </w:tcPr>
          <w:p w14:paraId="5EA1DF0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116,527 </w:t>
            </w:r>
          </w:p>
        </w:tc>
        <w:tc>
          <w:tcPr>
            <w:tcW w:w="1522" w:type="dxa"/>
            <w:tcBorders>
              <w:top w:val="nil"/>
              <w:left w:val="nil"/>
              <w:bottom w:val="nil"/>
              <w:right w:val="nil"/>
            </w:tcBorders>
            <w:shd w:val="clear" w:color="000000" w:fill="FFFFFF"/>
            <w:noWrap/>
            <w:vAlign w:val="bottom"/>
            <w:hideMark/>
          </w:tcPr>
          <w:p w14:paraId="02F5A32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17,985 </w:t>
            </w:r>
          </w:p>
        </w:tc>
      </w:tr>
      <w:tr w:rsidR="002D2278" w:rsidRPr="002D2278" w14:paraId="6F4F3EA3" w14:textId="77777777" w:rsidTr="002D2278">
        <w:trPr>
          <w:trHeight w:val="20"/>
        </w:trPr>
        <w:tc>
          <w:tcPr>
            <w:tcW w:w="612" w:type="dxa"/>
            <w:tcBorders>
              <w:top w:val="nil"/>
              <w:left w:val="nil"/>
              <w:bottom w:val="nil"/>
              <w:right w:val="nil"/>
            </w:tcBorders>
            <w:shd w:val="clear" w:color="000000" w:fill="FFFFFF"/>
            <w:noWrap/>
            <w:vAlign w:val="bottom"/>
            <w:hideMark/>
          </w:tcPr>
          <w:p w14:paraId="209A9146"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53</w:t>
            </w:r>
          </w:p>
        </w:tc>
        <w:tc>
          <w:tcPr>
            <w:tcW w:w="1957" w:type="dxa"/>
            <w:tcBorders>
              <w:top w:val="nil"/>
              <w:left w:val="nil"/>
              <w:bottom w:val="nil"/>
              <w:right w:val="nil"/>
            </w:tcBorders>
            <w:shd w:val="clear" w:color="000000" w:fill="FFFFFF"/>
            <w:noWrap/>
            <w:vAlign w:val="bottom"/>
            <w:hideMark/>
          </w:tcPr>
          <w:p w14:paraId="64C3E38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2,871,869 </w:t>
            </w:r>
          </w:p>
        </w:tc>
        <w:tc>
          <w:tcPr>
            <w:tcW w:w="1636" w:type="dxa"/>
            <w:tcBorders>
              <w:top w:val="nil"/>
              <w:left w:val="nil"/>
              <w:bottom w:val="nil"/>
              <w:right w:val="nil"/>
            </w:tcBorders>
            <w:shd w:val="clear" w:color="000000" w:fill="FFFFFF"/>
            <w:noWrap/>
            <w:vAlign w:val="bottom"/>
            <w:hideMark/>
          </w:tcPr>
          <w:p w14:paraId="49FC754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198,958 </w:t>
            </w:r>
          </w:p>
        </w:tc>
        <w:tc>
          <w:tcPr>
            <w:tcW w:w="1997" w:type="dxa"/>
            <w:tcBorders>
              <w:top w:val="nil"/>
              <w:left w:val="nil"/>
              <w:bottom w:val="nil"/>
              <w:right w:val="nil"/>
            </w:tcBorders>
            <w:shd w:val="clear" w:color="000000" w:fill="FFFFFF"/>
            <w:noWrap/>
            <w:vAlign w:val="bottom"/>
            <w:hideMark/>
          </w:tcPr>
          <w:p w14:paraId="752B15D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2,692,801 </w:t>
            </w:r>
          </w:p>
        </w:tc>
        <w:tc>
          <w:tcPr>
            <w:tcW w:w="1636" w:type="dxa"/>
            <w:tcBorders>
              <w:top w:val="nil"/>
              <w:left w:val="nil"/>
              <w:bottom w:val="nil"/>
              <w:right w:val="nil"/>
            </w:tcBorders>
            <w:shd w:val="clear" w:color="000000" w:fill="FFFFFF"/>
            <w:noWrap/>
            <w:vAlign w:val="bottom"/>
            <w:hideMark/>
          </w:tcPr>
          <w:p w14:paraId="10F1505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154,363 </w:t>
            </w:r>
          </w:p>
        </w:tc>
        <w:tc>
          <w:tcPr>
            <w:tcW w:w="1522" w:type="dxa"/>
            <w:tcBorders>
              <w:top w:val="nil"/>
              <w:left w:val="nil"/>
              <w:bottom w:val="nil"/>
              <w:right w:val="nil"/>
            </w:tcBorders>
            <w:shd w:val="clear" w:color="000000" w:fill="FFFFFF"/>
            <w:noWrap/>
            <w:vAlign w:val="bottom"/>
            <w:hideMark/>
          </w:tcPr>
          <w:p w14:paraId="14A3E9D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17,017 </w:t>
            </w:r>
          </w:p>
        </w:tc>
      </w:tr>
      <w:tr w:rsidR="002D2278" w:rsidRPr="002D2278" w14:paraId="376AD5CC" w14:textId="77777777" w:rsidTr="002D2278">
        <w:trPr>
          <w:trHeight w:val="20"/>
        </w:trPr>
        <w:tc>
          <w:tcPr>
            <w:tcW w:w="612" w:type="dxa"/>
            <w:tcBorders>
              <w:top w:val="nil"/>
              <w:left w:val="nil"/>
              <w:bottom w:val="nil"/>
              <w:right w:val="nil"/>
            </w:tcBorders>
            <w:shd w:val="clear" w:color="000000" w:fill="FFFFFF"/>
            <w:noWrap/>
            <w:vAlign w:val="bottom"/>
            <w:hideMark/>
          </w:tcPr>
          <w:p w14:paraId="4E22E96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54</w:t>
            </w:r>
          </w:p>
        </w:tc>
        <w:tc>
          <w:tcPr>
            <w:tcW w:w="1957" w:type="dxa"/>
            <w:tcBorders>
              <w:top w:val="nil"/>
              <w:left w:val="nil"/>
              <w:bottom w:val="nil"/>
              <w:right w:val="nil"/>
            </w:tcBorders>
            <w:shd w:val="clear" w:color="000000" w:fill="FFFFFF"/>
            <w:noWrap/>
            <w:vAlign w:val="bottom"/>
            <w:hideMark/>
          </w:tcPr>
          <w:p w14:paraId="2C5FF2F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2,656,021 </w:t>
            </w:r>
          </w:p>
        </w:tc>
        <w:tc>
          <w:tcPr>
            <w:tcW w:w="1636" w:type="dxa"/>
            <w:tcBorders>
              <w:top w:val="nil"/>
              <w:left w:val="nil"/>
              <w:bottom w:val="nil"/>
              <w:right w:val="nil"/>
            </w:tcBorders>
            <w:shd w:val="clear" w:color="000000" w:fill="FFFFFF"/>
            <w:noWrap/>
            <w:vAlign w:val="bottom"/>
            <w:hideMark/>
          </w:tcPr>
          <w:p w14:paraId="77F81D6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215,848 </w:t>
            </w:r>
          </w:p>
        </w:tc>
        <w:tc>
          <w:tcPr>
            <w:tcW w:w="1997" w:type="dxa"/>
            <w:tcBorders>
              <w:top w:val="nil"/>
              <w:left w:val="nil"/>
              <w:bottom w:val="nil"/>
              <w:right w:val="nil"/>
            </w:tcBorders>
            <w:shd w:val="clear" w:color="000000" w:fill="FFFFFF"/>
            <w:noWrap/>
            <w:vAlign w:val="bottom"/>
            <w:hideMark/>
          </w:tcPr>
          <w:p w14:paraId="048D036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2,518,191 </w:t>
            </w:r>
          </w:p>
        </w:tc>
        <w:tc>
          <w:tcPr>
            <w:tcW w:w="1636" w:type="dxa"/>
            <w:tcBorders>
              <w:top w:val="nil"/>
              <w:left w:val="nil"/>
              <w:bottom w:val="nil"/>
              <w:right w:val="nil"/>
            </w:tcBorders>
            <w:shd w:val="clear" w:color="000000" w:fill="FFFFFF"/>
            <w:noWrap/>
            <w:vAlign w:val="bottom"/>
            <w:hideMark/>
          </w:tcPr>
          <w:p w14:paraId="30C8AAE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174,610 </w:t>
            </w:r>
          </w:p>
        </w:tc>
        <w:tc>
          <w:tcPr>
            <w:tcW w:w="1522" w:type="dxa"/>
            <w:tcBorders>
              <w:top w:val="nil"/>
              <w:left w:val="nil"/>
              <w:bottom w:val="nil"/>
              <w:right w:val="nil"/>
            </w:tcBorders>
            <w:shd w:val="clear" w:color="000000" w:fill="FFFFFF"/>
            <w:noWrap/>
            <w:vAlign w:val="bottom"/>
            <w:hideMark/>
          </w:tcPr>
          <w:p w14:paraId="1D5094D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15,871 </w:t>
            </w:r>
          </w:p>
        </w:tc>
      </w:tr>
      <w:tr w:rsidR="002D2278" w:rsidRPr="002D2278" w14:paraId="029A0E7D" w14:textId="77777777" w:rsidTr="002D2278">
        <w:trPr>
          <w:trHeight w:val="20"/>
        </w:trPr>
        <w:tc>
          <w:tcPr>
            <w:tcW w:w="612" w:type="dxa"/>
            <w:tcBorders>
              <w:top w:val="nil"/>
              <w:left w:val="nil"/>
              <w:bottom w:val="nil"/>
              <w:right w:val="nil"/>
            </w:tcBorders>
            <w:shd w:val="clear" w:color="000000" w:fill="FFFFFF"/>
            <w:noWrap/>
            <w:vAlign w:val="bottom"/>
            <w:hideMark/>
          </w:tcPr>
          <w:p w14:paraId="1898B6D9"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55</w:t>
            </w:r>
          </w:p>
        </w:tc>
        <w:tc>
          <w:tcPr>
            <w:tcW w:w="1957" w:type="dxa"/>
            <w:tcBorders>
              <w:top w:val="nil"/>
              <w:left w:val="nil"/>
              <w:bottom w:val="nil"/>
              <w:right w:val="nil"/>
            </w:tcBorders>
            <w:shd w:val="clear" w:color="000000" w:fill="FFFFFF"/>
            <w:noWrap/>
            <w:vAlign w:val="bottom"/>
            <w:hideMark/>
          </w:tcPr>
          <w:p w14:paraId="35AB5E1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2,492,507 </w:t>
            </w:r>
          </w:p>
        </w:tc>
        <w:tc>
          <w:tcPr>
            <w:tcW w:w="1636" w:type="dxa"/>
            <w:tcBorders>
              <w:top w:val="nil"/>
              <w:left w:val="nil"/>
              <w:bottom w:val="nil"/>
              <w:right w:val="nil"/>
            </w:tcBorders>
            <w:shd w:val="clear" w:color="000000" w:fill="FFFFFF"/>
            <w:noWrap/>
            <w:vAlign w:val="bottom"/>
            <w:hideMark/>
          </w:tcPr>
          <w:p w14:paraId="0A45D8E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163,514 </w:t>
            </w:r>
          </w:p>
        </w:tc>
        <w:tc>
          <w:tcPr>
            <w:tcW w:w="1997" w:type="dxa"/>
            <w:tcBorders>
              <w:top w:val="nil"/>
              <w:left w:val="nil"/>
              <w:bottom w:val="nil"/>
              <w:right w:val="nil"/>
            </w:tcBorders>
            <w:shd w:val="clear" w:color="000000" w:fill="FFFFFF"/>
            <w:noWrap/>
            <w:vAlign w:val="bottom"/>
            <w:hideMark/>
          </w:tcPr>
          <w:p w14:paraId="349FA88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2,392,211 </w:t>
            </w:r>
          </w:p>
        </w:tc>
        <w:tc>
          <w:tcPr>
            <w:tcW w:w="1636" w:type="dxa"/>
            <w:tcBorders>
              <w:top w:val="nil"/>
              <w:left w:val="nil"/>
              <w:bottom w:val="nil"/>
              <w:right w:val="nil"/>
            </w:tcBorders>
            <w:shd w:val="clear" w:color="000000" w:fill="FFFFFF"/>
            <w:noWrap/>
            <w:vAlign w:val="bottom"/>
            <w:hideMark/>
          </w:tcPr>
          <w:p w14:paraId="6C11383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125,980 </w:t>
            </w:r>
          </w:p>
        </w:tc>
        <w:tc>
          <w:tcPr>
            <w:tcW w:w="1522" w:type="dxa"/>
            <w:tcBorders>
              <w:top w:val="nil"/>
              <w:left w:val="nil"/>
              <w:bottom w:val="nil"/>
              <w:right w:val="nil"/>
            </w:tcBorders>
            <w:shd w:val="clear" w:color="000000" w:fill="FFFFFF"/>
            <w:noWrap/>
            <w:vAlign w:val="bottom"/>
            <w:hideMark/>
          </w:tcPr>
          <w:p w14:paraId="6BA70C9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14,609 </w:t>
            </w:r>
          </w:p>
        </w:tc>
      </w:tr>
      <w:tr w:rsidR="002D2278" w:rsidRPr="002D2278" w14:paraId="34DFB348" w14:textId="77777777" w:rsidTr="002D2278">
        <w:trPr>
          <w:trHeight w:val="20"/>
        </w:trPr>
        <w:tc>
          <w:tcPr>
            <w:tcW w:w="612" w:type="dxa"/>
            <w:tcBorders>
              <w:top w:val="nil"/>
              <w:left w:val="nil"/>
              <w:bottom w:val="nil"/>
              <w:right w:val="nil"/>
            </w:tcBorders>
            <w:shd w:val="clear" w:color="000000" w:fill="FFFFFF"/>
            <w:noWrap/>
            <w:vAlign w:val="bottom"/>
            <w:hideMark/>
          </w:tcPr>
          <w:p w14:paraId="6B2A95F8"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56</w:t>
            </w:r>
          </w:p>
        </w:tc>
        <w:tc>
          <w:tcPr>
            <w:tcW w:w="1957" w:type="dxa"/>
            <w:tcBorders>
              <w:top w:val="nil"/>
              <w:left w:val="nil"/>
              <w:bottom w:val="nil"/>
              <w:right w:val="nil"/>
            </w:tcBorders>
            <w:shd w:val="clear" w:color="000000" w:fill="FFFFFF"/>
            <w:noWrap/>
            <w:vAlign w:val="bottom"/>
            <w:hideMark/>
          </w:tcPr>
          <w:p w14:paraId="5BC82CA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2,180,191 </w:t>
            </w:r>
          </w:p>
        </w:tc>
        <w:tc>
          <w:tcPr>
            <w:tcW w:w="1636" w:type="dxa"/>
            <w:tcBorders>
              <w:top w:val="nil"/>
              <w:left w:val="nil"/>
              <w:bottom w:val="nil"/>
              <w:right w:val="nil"/>
            </w:tcBorders>
            <w:shd w:val="clear" w:color="000000" w:fill="FFFFFF"/>
            <w:noWrap/>
            <w:vAlign w:val="bottom"/>
            <w:hideMark/>
          </w:tcPr>
          <w:p w14:paraId="2965E04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312,316 </w:t>
            </w:r>
          </w:p>
        </w:tc>
        <w:tc>
          <w:tcPr>
            <w:tcW w:w="1997" w:type="dxa"/>
            <w:tcBorders>
              <w:top w:val="nil"/>
              <w:left w:val="nil"/>
              <w:bottom w:val="nil"/>
              <w:right w:val="nil"/>
            </w:tcBorders>
            <w:shd w:val="clear" w:color="000000" w:fill="FFFFFF"/>
            <w:noWrap/>
            <w:vAlign w:val="bottom"/>
            <w:hideMark/>
          </w:tcPr>
          <w:p w14:paraId="4458F26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2,113,408 </w:t>
            </w:r>
          </w:p>
        </w:tc>
        <w:tc>
          <w:tcPr>
            <w:tcW w:w="1636" w:type="dxa"/>
            <w:tcBorders>
              <w:top w:val="nil"/>
              <w:left w:val="nil"/>
              <w:bottom w:val="nil"/>
              <w:right w:val="nil"/>
            </w:tcBorders>
            <w:shd w:val="clear" w:color="000000" w:fill="FFFFFF"/>
            <w:noWrap/>
            <w:vAlign w:val="bottom"/>
            <w:hideMark/>
          </w:tcPr>
          <w:p w14:paraId="2359577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278,802 </w:t>
            </w:r>
          </w:p>
        </w:tc>
        <w:tc>
          <w:tcPr>
            <w:tcW w:w="1522" w:type="dxa"/>
            <w:tcBorders>
              <w:top w:val="nil"/>
              <w:left w:val="nil"/>
              <w:bottom w:val="nil"/>
              <w:right w:val="nil"/>
            </w:tcBorders>
            <w:shd w:val="clear" w:color="000000" w:fill="FFFFFF"/>
            <w:noWrap/>
            <w:vAlign w:val="bottom"/>
            <w:hideMark/>
          </w:tcPr>
          <w:p w14:paraId="357DC44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13,638 </w:t>
            </w:r>
          </w:p>
        </w:tc>
      </w:tr>
      <w:tr w:rsidR="002D2278" w:rsidRPr="002D2278" w14:paraId="6E739A00" w14:textId="77777777" w:rsidTr="002D2278">
        <w:trPr>
          <w:trHeight w:val="20"/>
        </w:trPr>
        <w:tc>
          <w:tcPr>
            <w:tcW w:w="612" w:type="dxa"/>
            <w:tcBorders>
              <w:top w:val="nil"/>
              <w:left w:val="nil"/>
              <w:bottom w:val="nil"/>
              <w:right w:val="nil"/>
            </w:tcBorders>
            <w:shd w:val="clear" w:color="000000" w:fill="FFFFFF"/>
            <w:noWrap/>
            <w:vAlign w:val="bottom"/>
            <w:hideMark/>
          </w:tcPr>
          <w:p w14:paraId="04EDA2AF"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57</w:t>
            </w:r>
          </w:p>
        </w:tc>
        <w:tc>
          <w:tcPr>
            <w:tcW w:w="1957" w:type="dxa"/>
            <w:tcBorders>
              <w:top w:val="nil"/>
              <w:left w:val="nil"/>
              <w:bottom w:val="nil"/>
              <w:right w:val="nil"/>
            </w:tcBorders>
            <w:shd w:val="clear" w:color="000000" w:fill="FFFFFF"/>
            <w:noWrap/>
            <w:vAlign w:val="bottom"/>
            <w:hideMark/>
          </w:tcPr>
          <w:p w14:paraId="2B86B8A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1,937,937 </w:t>
            </w:r>
          </w:p>
        </w:tc>
        <w:tc>
          <w:tcPr>
            <w:tcW w:w="1636" w:type="dxa"/>
            <w:tcBorders>
              <w:top w:val="nil"/>
              <w:left w:val="nil"/>
              <w:bottom w:val="nil"/>
              <w:right w:val="nil"/>
            </w:tcBorders>
            <w:shd w:val="clear" w:color="000000" w:fill="FFFFFF"/>
            <w:noWrap/>
            <w:vAlign w:val="bottom"/>
            <w:hideMark/>
          </w:tcPr>
          <w:p w14:paraId="6A67283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242,253 </w:t>
            </w:r>
          </w:p>
        </w:tc>
        <w:tc>
          <w:tcPr>
            <w:tcW w:w="1997" w:type="dxa"/>
            <w:tcBorders>
              <w:top w:val="nil"/>
              <w:left w:val="nil"/>
              <w:bottom w:val="nil"/>
              <w:right w:val="nil"/>
            </w:tcBorders>
            <w:shd w:val="clear" w:color="000000" w:fill="FFFFFF"/>
            <w:noWrap/>
            <w:vAlign w:val="bottom"/>
            <w:hideMark/>
          </w:tcPr>
          <w:p w14:paraId="127F041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1,900,501 </w:t>
            </w:r>
          </w:p>
        </w:tc>
        <w:tc>
          <w:tcPr>
            <w:tcW w:w="1636" w:type="dxa"/>
            <w:tcBorders>
              <w:top w:val="nil"/>
              <w:left w:val="nil"/>
              <w:bottom w:val="nil"/>
              <w:right w:val="nil"/>
            </w:tcBorders>
            <w:shd w:val="clear" w:color="000000" w:fill="FFFFFF"/>
            <w:noWrap/>
            <w:vAlign w:val="bottom"/>
            <w:hideMark/>
          </w:tcPr>
          <w:p w14:paraId="2DCC1FE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212,908 </w:t>
            </w:r>
          </w:p>
        </w:tc>
        <w:tc>
          <w:tcPr>
            <w:tcW w:w="1522" w:type="dxa"/>
            <w:tcBorders>
              <w:top w:val="nil"/>
              <w:left w:val="nil"/>
              <w:bottom w:val="nil"/>
              <w:right w:val="nil"/>
            </w:tcBorders>
            <w:shd w:val="clear" w:color="000000" w:fill="FFFFFF"/>
            <w:noWrap/>
            <w:vAlign w:val="bottom"/>
            <w:hideMark/>
          </w:tcPr>
          <w:p w14:paraId="0AF1847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11,729 </w:t>
            </w:r>
          </w:p>
        </w:tc>
      </w:tr>
      <w:tr w:rsidR="002D2278" w:rsidRPr="002D2278" w14:paraId="51BCA318" w14:textId="77777777" w:rsidTr="002D2278">
        <w:trPr>
          <w:trHeight w:val="20"/>
        </w:trPr>
        <w:tc>
          <w:tcPr>
            <w:tcW w:w="612" w:type="dxa"/>
            <w:tcBorders>
              <w:top w:val="nil"/>
              <w:left w:val="nil"/>
              <w:bottom w:val="nil"/>
              <w:right w:val="nil"/>
            </w:tcBorders>
            <w:shd w:val="clear" w:color="000000" w:fill="FFFFFF"/>
            <w:noWrap/>
            <w:vAlign w:val="bottom"/>
            <w:hideMark/>
          </w:tcPr>
          <w:p w14:paraId="63E7EADC"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58</w:t>
            </w:r>
          </w:p>
        </w:tc>
        <w:tc>
          <w:tcPr>
            <w:tcW w:w="1957" w:type="dxa"/>
            <w:tcBorders>
              <w:top w:val="nil"/>
              <w:left w:val="nil"/>
              <w:bottom w:val="nil"/>
              <w:right w:val="nil"/>
            </w:tcBorders>
            <w:shd w:val="clear" w:color="000000" w:fill="FFFFFF"/>
            <w:noWrap/>
            <w:vAlign w:val="bottom"/>
            <w:hideMark/>
          </w:tcPr>
          <w:p w14:paraId="5329D34F"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1,544,649 </w:t>
            </w:r>
          </w:p>
        </w:tc>
        <w:tc>
          <w:tcPr>
            <w:tcW w:w="1636" w:type="dxa"/>
            <w:tcBorders>
              <w:top w:val="nil"/>
              <w:left w:val="nil"/>
              <w:bottom w:val="nil"/>
              <w:right w:val="nil"/>
            </w:tcBorders>
            <w:shd w:val="clear" w:color="000000" w:fill="FFFFFF"/>
            <w:noWrap/>
            <w:vAlign w:val="bottom"/>
            <w:hideMark/>
          </w:tcPr>
          <w:p w14:paraId="069C724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393,288 </w:t>
            </w:r>
          </w:p>
        </w:tc>
        <w:tc>
          <w:tcPr>
            <w:tcW w:w="1997" w:type="dxa"/>
            <w:tcBorders>
              <w:top w:val="nil"/>
              <w:left w:val="nil"/>
              <w:bottom w:val="nil"/>
              <w:right w:val="nil"/>
            </w:tcBorders>
            <w:shd w:val="clear" w:color="000000" w:fill="FFFFFF"/>
            <w:noWrap/>
            <w:vAlign w:val="bottom"/>
            <w:hideMark/>
          </w:tcPr>
          <w:p w14:paraId="3AD94CA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1,531,262 </w:t>
            </w:r>
          </w:p>
        </w:tc>
        <w:tc>
          <w:tcPr>
            <w:tcW w:w="1636" w:type="dxa"/>
            <w:tcBorders>
              <w:top w:val="nil"/>
              <w:left w:val="nil"/>
              <w:bottom w:val="nil"/>
              <w:right w:val="nil"/>
            </w:tcBorders>
            <w:shd w:val="clear" w:color="000000" w:fill="FFFFFF"/>
            <w:noWrap/>
            <w:vAlign w:val="bottom"/>
            <w:hideMark/>
          </w:tcPr>
          <w:p w14:paraId="3D5DD53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369,239 </w:t>
            </w:r>
          </w:p>
        </w:tc>
        <w:tc>
          <w:tcPr>
            <w:tcW w:w="1522" w:type="dxa"/>
            <w:tcBorders>
              <w:top w:val="nil"/>
              <w:left w:val="nil"/>
              <w:bottom w:val="nil"/>
              <w:right w:val="nil"/>
            </w:tcBorders>
            <w:shd w:val="clear" w:color="000000" w:fill="FFFFFF"/>
            <w:noWrap/>
            <w:vAlign w:val="bottom"/>
            <w:hideMark/>
          </w:tcPr>
          <w:p w14:paraId="53C899A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10,280 </w:t>
            </w:r>
          </w:p>
        </w:tc>
      </w:tr>
      <w:tr w:rsidR="002D2278" w:rsidRPr="002D2278" w14:paraId="27560EC4" w14:textId="77777777" w:rsidTr="002D2278">
        <w:trPr>
          <w:trHeight w:val="20"/>
        </w:trPr>
        <w:tc>
          <w:tcPr>
            <w:tcW w:w="612" w:type="dxa"/>
            <w:tcBorders>
              <w:top w:val="nil"/>
              <w:left w:val="nil"/>
              <w:bottom w:val="nil"/>
              <w:right w:val="nil"/>
            </w:tcBorders>
            <w:shd w:val="clear" w:color="000000" w:fill="FFFFFF"/>
            <w:noWrap/>
            <w:vAlign w:val="bottom"/>
            <w:hideMark/>
          </w:tcPr>
          <w:p w14:paraId="4CC9A55D"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59</w:t>
            </w:r>
          </w:p>
        </w:tc>
        <w:tc>
          <w:tcPr>
            <w:tcW w:w="1957" w:type="dxa"/>
            <w:tcBorders>
              <w:top w:val="nil"/>
              <w:left w:val="nil"/>
              <w:bottom w:val="nil"/>
              <w:right w:val="nil"/>
            </w:tcBorders>
            <w:shd w:val="clear" w:color="000000" w:fill="FFFFFF"/>
            <w:noWrap/>
            <w:vAlign w:val="bottom"/>
            <w:hideMark/>
          </w:tcPr>
          <w:p w14:paraId="6ED9ABDC"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713,092 </w:t>
            </w:r>
          </w:p>
        </w:tc>
        <w:tc>
          <w:tcPr>
            <w:tcW w:w="1636" w:type="dxa"/>
            <w:tcBorders>
              <w:top w:val="nil"/>
              <w:left w:val="nil"/>
              <w:bottom w:val="nil"/>
              <w:right w:val="nil"/>
            </w:tcBorders>
            <w:shd w:val="clear" w:color="000000" w:fill="FFFFFF"/>
            <w:noWrap/>
            <w:vAlign w:val="bottom"/>
            <w:hideMark/>
          </w:tcPr>
          <w:p w14:paraId="2FA3174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831,558 </w:t>
            </w:r>
          </w:p>
        </w:tc>
        <w:tc>
          <w:tcPr>
            <w:tcW w:w="1997" w:type="dxa"/>
            <w:tcBorders>
              <w:top w:val="nil"/>
              <w:left w:val="nil"/>
              <w:bottom w:val="nil"/>
              <w:right w:val="nil"/>
            </w:tcBorders>
            <w:shd w:val="clear" w:color="000000" w:fill="FFFFFF"/>
            <w:noWrap/>
            <w:vAlign w:val="bottom"/>
            <w:hideMark/>
          </w:tcPr>
          <w:p w14:paraId="1EC0B81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711,221 </w:t>
            </w:r>
          </w:p>
        </w:tc>
        <w:tc>
          <w:tcPr>
            <w:tcW w:w="1636" w:type="dxa"/>
            <w:tcBorders>
              <w:top w:val="nil"/>
              <w:left w:val="nil"/>
              <w:bottom w:val="nil"/>
              <w:right w:val="nil"/>
            </w:tcBorders>
            <w:shd w:val="clear" w:color="000000" w:fill="FFFFFF"/>
            <w:noWrap/>
            <w:vAlign w:val="bottom"/>
            <w:hideMark/>
          </w:tcPr>
          <w:p w14:paraId="626408A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820,041 </w:t>
            </w:r>
          </w:p>
        </w:tc>
        <w:tc>
          <w:tcPr>
            <w:tcW w:w="1522" w:type="dxa"/>
            <w:tcBorders>
              <w:top w:val="nil"/>
              <w:left w:val="nil"/>
              <w:bottom w:val="nil"/>
              <w:right w:val="nil"/>
            </w:tcBorders>
            <w:shd w:val="clear" w:color="000000" w:fill="FFFFFF"/>
            <w:noWrap/>
            <w:vAlign w:val="bottom"/>
            <w:hideMark/>
          </w:tcPr>
          <w:p w14:paraId="32ACB98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8,006 </w:t>
            </w:r>
          </w:p>
        </w:tc>
      </w:tr>
      <w:tr w:rsidR="002D2278" w:rsidRPr="002D2278" w14:paraId="0081069F" w14:textId="77777777" w:rsidTr="002D2278">
        <w:trPr>
          <w:trHeight w:val="20"/>
        </w:trPr>
        <w:tc>
          <w:tcPr>
            <w:tcW w:w="612" w:type="dxa"/>
            <w:tcBorders>
              <w:top w:val="nil"/>
              <w:left w:val="nil"/>
              <w:bottom w:val="nil"/>
              <w:right w:val="nil"/>
            </w:tcBorders>
            <w:shd w:val="clear" w:color="000000" w:fill="FFFFFF"/>
            <w:noWrap/>
            <w:vAlign w:val="bottom"/>
            <w:hideMark/>
          </w:tcPr>
          <w:p w14:paraId="2B813AD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60</w:t>
            </w:r>
          </w:p>
        </w:tc>
        <w:tc>
          <w:tcPr>
            <w:tcW w:w="1957" w:type="dxa"/>
            <w:tcBorders>
              <w:top w:val="nil"/>
              <w:left w:val="nil"/>
              <w:bottom w:val="nil"/>
              <w:right w:val="nil"/>
            </w:tcBorders>
            <w:shd w:val="clear" w:color="000000" w:fill="FFFFFF"/>
            <w:noWrap/>
            <w:vAlign w:val="bottom"/>
            <w:hideMark/>
          </w:tcPr>
          <w:p w14:paraId="17BA0D9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71,076 </w:t>
            </w:r>
          </w:p>
        </w:tc>
        <w:tc>
          <w:tcPr>
            <w:tcW w:w="1636" w:type="dxa"/>
            <w:tcBorders>
              <w:top w:val="nil"/>
              <w:left w:val="nil"/>
              <w:bottom w:val="nil"/>
              <w:right w:val="nil"/>
            </w:tcBorders>
            <w:shd w:val="clear" w:color="000000" w:fill="FFFFFF"/>
            <w:noWrap/>
            <w:vAlign w:val="bottom"/>
            <w:hideMark/>
          </w:tcPr>
          <w:p w14:paraId="57A80D0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642,016 </w:t>
            </w:r>
          </w:p>
        </w:tc>
        <w:tc>
          <w:tcPr>
            <w:tcW w:w="1997" w:type="dxa"/>
            <w:tcBorders>
              <w:top w:val="nil"/>
              <w:left w:val="nil"/>
              <w:bottom w:val="nil"/>
              <w:right w:val="nil"/>
            </w:tcBorders>
            <w:shd w:val="clear" w:color="000000" w:fill="FFFFFF"/>
            <w:noWrap/>
            <w:vAlign w:val="bottom"/>
            <w:hideMark/>
          </w:tcPr>
          <w:p w14:paraId="6508C81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71,076 </w:t>
            </w:r>
          </w:p>
        </w:tc>
        <w:tc>
          <w:tcPr>
            <w:tcW w:w="1636" w:type="dxa"/>
            <w:tcBorders>
              <w:top w:val="nil"/>
              <w:left w:val="nil"/>
              <w:bottom w:val="nil"/>
              <w:right w:val="nil"/>
            </w:tcBorders>
            <w:shd w:val="clear" w:color="000000" w:fill="FFFFFF"/>
            <w:noWrap/>
            <w:vAlign w:val="bottom"/>
            <w:hideMark/>
          </w:tcPr>
          <w:p w14:paraId="1CF01E0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640,145 </w:t>
            </w:r>
          </w:p>
        </w:tc>
        <w:tc>
          <w:tcPr>
            <w:tcW w:w="1522" w:type="dxa"/>
            <w:tcBorders>
              <w:top w:val="nil"/>
              <w:left w:val="nil"/>
              <w:bottom w:val="nil"/>
              <w:right w:val="nil"/>
            </w:tcBorders>
            <w:shd w:val="clear" w:color="000000" w:fill="FFFFFF"/>
            <w:noWrap/>
            <w:vAlign w:val="bottom"/>
            <w:hideMark/>
          </w:tcPr>
          <w:p w14:paraId="42BDA57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3,446 </w:t>
            </w:r>
          </w:p>
        </w:tc>
      </w:tr>
      <w:tr w:rsidR="002D2278" w:rsidRPr="002D2278" w14:paraId="0D7EEC7B" w14:textId="77777777" w:rsidTr="002D2278">
        <w:trPr>
          <w:trHeight w:val="20"/>
        </w:trPr>
        <w:tc>
          <w:tcPr>
            <w:tcW w:w="612" w:type="dxa"/>
            <w:tcBorders>
              <w:top w:val="nil"/>
              <w:left w:val="nil"/>
              <w:bottom w:val="nil"/>
              <w:right w:val="nil"/>
            </w:tcBorders>
            <w:shd w:val="clear" w:color="000000" w:fill="FFFFFF"/>
            <w:noWrap/>
            <w:vAlign w:val="bottom"/>
            <w:hideMark/>
          </w:tcPr>
          <w:p w14:paraId="70E7AD11"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61</w:t>
            </w:r>
          </w:p>
        </w:tc>
        <w:tc>
          <w:tcPr>
            <w:tcW w:w="1957" w:type="dxa"/>
            <w:tcBorders>
              <w:top w:val="nil"/>
              <w:left w:val="nil"/>
              <w:bottom w:val="nil"/>
              <w:right w:val="nil"/>
            </w:tcBorders>
            <w:shd w:val="clear" w:color="000000" w:fill="FFFFFF"/>
            <w:noWrap/>
            <w:vAlign w:val="bottom"/>
            <w:hideMark/>
          </w:tcPr>
          <w:p w14:paraId="02E764EF"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0217D84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71,076 </w:t>
            </w:r>
          </w:p>
        </w:tc>
        <w:tc>
          <w:tcPr>
            <w:tcW w:w="1997" w:type="dxa"/>
            <w:tcBorders>
              <w:top w:val="nil"/>
              <w:left w:val="nil"/>
              <w:bottom w:val="nil"/>
              <w:right w:val="nil"/>
            </w:tcBorders>
            <w:shd w:val="clear" w:color="000000" w:fill="FFFFFF"/>
            <w:noWrap/>
            <w:vAlign w:val="bottom"/>
            <w:hideMark/>
          </w:tcPr>
          <w:p w14:paraId="67D1D3A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77B1515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71,076 </w:t>
            </w:r>
          </w:p>
        </w:tc>
        <w:tc>
          <w:tcPr>
            <w:tcW w:w="1522" w:type="dxa"/>
            <w:tcBorders>
              <w:top w:val="nil"/>
              <w:left w:val="nil"/>
              <w:bottom w:val="nil"/>
              <w:right w:val="nil"/>
            </w:tcBorders>
            <w:shd w:val="clear" w:color="000000" w:fill="FFFFFF"/>
            <w:noWrap/>
            <w:vAlign w:val="bottom"/>
            <w:hideMark/>
          </w:tcPr>
          <w:p w14:paraId="6889E76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275 </w:t>
            </w:r>
          </w:p>
        </w:tc>
      </w:tr>
      <w:tr w:rsidR="002D2278" w:rsidRPr="002D2278" w14:paraId="0B6F58E5" w14:textId="77777777" w:rsidTr="002D2278">
        <w:trPr>
          <w:trHeight w:val="20"/>
        </w:trPr>
        <w:tc>
          <w:tcPr>
            <w:tcW w:w="612" w:type="dxa"/>
            <w:tcBorders>
              <w:top w:val="nil"/>
              <w:left w:val="nil"/>
              <w:bottom w:val="nil"/>
              <w:right w:val="nil"/>
            </w:tcBorders>
            <w:shd w:val="clear" w:color="000000" w:fill="FFFFFF"/>
            <w:noWrap/>
            <w:vAlign w:val="bottom"/>
            <w:hideMark/>
          </w:tcPr>
          <w:p w14:paraId="5942D58B"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62</w:t>
            </w:r>
          </w:p>
        </w:tc>
        <w:tc>
          <w:tcPr>
            <w:tcW w:w="1957" w:type="dxa"/>
            <w:tcBorders>
              <w:top w:val="nil"/>
              <w:left w:val="nil"/>
              <w:bottom w:val="nil"/>
              <w:right w:val="nil"/>
            </w:tcBorders>
            <w:shd w:val="clear" w:color="000000" w:fill="FFFFFF"/>
            <w:noWrap/>
            <w:vAlign w:val="bottom"/>
            <w:hideMark/>
          </w:tcPr>
          <w:p w14:paraId="74070B7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4D4EAEA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5E8E933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1EB32D7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AE4828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7B77C98B" w14:textId="77777777" w:rsidTr="002D2278">
        <w:trPr>
          <w:trHeight w:val="20"/>
        </w:trPr>
        <w:tc>
          <w:tcPr>
            <w:tcW w:w="612" w:type="dxa"/>
            <w:tcBorders>
              <w:top w:val="nil"/>
              <w:left w:val="nil"/>
              <w:bottom w:val="nil"/>
              <w:right w:val="nil"/>
            </w:tcBorders>
            <w:shd w:val="clear" w:color="000000" w:fill="FFFFFF"/>
            <w:noWrap/>
            <w:vAlign w:val="bottom"/>
            <w:hideMark/>
          </w:tcPr>
          <w:p w14:paraId="49B20E5A"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63</w:t>
            </w:r>
          </w:p>
        </w:tc>
        <w:tc>
          <w:tcPr>
            <w:tcW w:w="1957" w:type="dxa"/>
            <w:tcBorders>
              <w:top w:val="nil"/>
              <w:left w:val="nil"/>
              <w:bottom w:val="nil"/>
              <w:right w:val="nil"/>
            </w:tcBorders>
            <w:shd w:val="clear" w:color="000000" w:fill="FFFFFF"/>
            <w:noWrap/>
            <w:vAlign w:val="bottom"/>
            <w:hideMark/>
          </w:tcPr>
          <w:p w14:paraId="4EDD5F4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1D9CCC5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2357B2C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7672EE6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3230213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0D9F78F9" w14:textId="77777777" w:rsidTr="002D2278">
        <w:trPr>
          <w:trHeight w:val="20"/>
        </w:trPr>
        <w:tc>
          <w:tcPr>
            <w:tcW w:w="612" w:type="dxa"/>
            <w:tcBorders>
              <w:top w:val="nil"/>
              <w:left w:val="nil"/>
              <w:bottom w:val="nil"/>
              <w:right w:val="nil"/>
            </w:tcBorders>
            <w:shd w:val="clear" w:color="000000" w:fill="FFFFFF"/>
            <w:noWrap/>
            <w:vAlign w:val="bottom"/>
            <w:hideMark/>
          </w:tcPr>
          <w:p w14:paraId="3D7BD607"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64</w:t>
            </w:r>
          </w:p>
        </w:tc>
        <w:tc>
          <w:tcPr>
            <w:tcW w:w="1957" w:type="dxa"/>
            <w:tcBorders>
              <w:top w:val="nil"/>
              <w:left w:val="nil"/>
              <w:bottom w:val="nil"/>
              <w:right w:val="nil"/>
            </w:tcBorders>
            <w:shd w:val="clear" w:color="000000" w:fill="FFFFFF"/>
            <w:noWrap/>
            <w:vAlign w:val="bottom"/>
            <w:hideMark/>
          </w:tcPr>
          <w:p w14:paraId="52CEA02F"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5BE41C8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5926CDF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40B7762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93CD40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5ED4161C" w14:textId="77777777" w:rsidTr="002D2278">
        <w:trPr>
          <w:trHeight w:val="20"/>
        </w:trPr>
        <w:tc>
          <w:tcPr>
            <w:tcW w:w="612" w:type="dxa"/>
            <w:tcBorders>
              <w:top w:val="nil"/>
              <w:left w:val="nil"/>
              <w:bottom w:val="nil"/>
              <w:right w:val="nil"/>
            </w:tcBorders>
            <w:shd w:val="clear" w:color="000000" w:fill="FFFFFF"/>
            <w:noWrap/>
            <w:vAlign w:val="bottom"/>
            <w:hideMark/>
          </w:tcPr>
          <w:p w14:paraId="39F0AD2B"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65</w:t>
            </w:r>
          </w:p>
        </w:tc>
        <w:tc>
          <w:tcPr>
            <w:tcW w:w="1957" w:type="dxa"/>
            <w:tcBorders>
              <w:top w:val="nil"/>
              <w:left w:val="nil"/>
              <w:bottom w:val="nil"/>
              <w:right w:val="nil"/>
            </w:tcBorders>
            <w:shd w:val="clear" w:color="000000" w:fill="FFFFFF"/>
            <w:noWrap/>
            <w:vAlign w:val="bottom"/>
            <w:hideMark/>
          </w:tcPr>
          <w:p w14:paraId="613013C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0C72916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22400DE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0E6244B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6AF1F1B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1D9CDA39" w14:textId="77777777" w:rsidTr="002D2278">
        <w:trPr>
          <w:trHeight w:val="20"/>
        </w:trPr>
        <w:tc>
          <w:tcPr>
            <w:tcW w:w="612" w:type="dxa"/>
            <w:tcBorders>
              <w:top w:val="nil"/>
              <w:left w:val="nil"/>
              <w:bottom w:val="nil"/>
              <w:right w:val="nil"/>
            </w:tcBorders>
            <w:shd w:val="clear" w:color="000000" w:fill="FFFFFF"/>
            <w:noWrap/>
            <w:vAlign w:val="bottom"/>
            <w:hideMark/>
          </w:tcPr>
          <w:p w14:paraId="09611567"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66</w:t>
            </w:r>
          </w:p>
        </w:tc>
        <w:tc>
          <w:tcPr>
            <w:tcW w:w="1957" w:type="dxa"/>
            <w:tcBorders>
              <w:top w:val="nil"/>
              <w:left w:val="nil"/>
              <w:bottom w:val="nil"/>
              <w:right w:val="nil"/>
            </w:tcBorders>
            <w:shd w:val="clear" w:color="000000" w:fill="FFFFFF"/>
            <w:noWrap/>
            <w:vAlign w:val="bottom"/>
            <w:hideMark/>
          </w:tcPr>
          <w:p w14:paraId="6C7ED31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58757F9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2EAD648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4CF7701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4B94917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21278D04" w14:textId="77777777" w:rsidTr="002D2278">
        <w:trPr>
          <w:trHeight w:val="20"/>
        </w:trPr>
        <w:tc>
          <w:tcPr>
            <w:tcW w:w="612" w:type="dxa"/>
            <w:tcBorders>
              <w:top w:val="nil"/>
              <w:left w:val="nil"/>
              <w:bottom w:val="nil"/>
              <w:right w:val="nil"/>
            </w:tcBorders>
            <w:shd w:val="clear" w:color="000000" w:fill="FFFFFF"/>
            <w:noWrap/>
            <w:vAlign w:val="bottom"/>
            <w:hideMark/>
          </w:tcPr>
          <w:p w14:paraId="256C7056"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67</w:t>
            </w:r>
          </w:p>
        </w:tc>
        <w:tc>
          <w:tcPr>
            <w:tcW w:w="1957" w:type="dxa"/>
            <w:tcBorders>
              <w:top w:val="nil"/>
              <w:left w:val="nil"/>
              <w:bottom w:val="nil"/>
              <w:right w:val="nil"/>
            </w:tcBorders>
            <w:shd w:val="clear" w:color="000000" w:fill="FFFFFF"/>
            <w:noWrap/>
            <w:vAlign w:val="bottom"/>
            <w:hideMark/>
          </w:tcPr>
          <w:p w14:paraId="4C1E4C7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4169288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7A45C4E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61A07CC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64E0DA6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71BC9E77" w14:textId="77777777" w:rsidTr="002D2278">
        <w:trPr>
          <w:trHeight w:val="20"/>
        </w:trPr>
        <w:tc>
          <w:tcPr>
            <w:tcW w:w="612" w:type="dxa"/>
            <w:tcBorders>
              <w:top w:val="nil"/>
              <w:left w:val="nil"/>
              <w:bottom w:val="nil"/>
              <w:right w:val="nil"/>
            </w:tcBorders>
            <w:shd w:val="clear" w:color="000000" w:fill="FFFFFF"/>
            <w:noWrap/>
            <w:vAlign w:val="bottom"/>
            <w:hideMark/>
          </w:tcPr>
          <w:p w14:paraId="0559A601"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68</w:t>
            </w:r>
          </w:p>
        </w:tc>
        <w:tc>
          <w:tcPr>
            <w:tcW w:w="1957" w:type="dxa"/>
            <w:tcBorders>
              <w:top w:val="nil"/>
              <w:left w:val="nil"/>
              <w:bottom w:val="nil"/>
              <w:right w:val="nil"/>
            </w:tcBorders>
            <w:shd w:val="clear" w:color="000000" w:fill="FFFFFF"/>
            <w:noWrap/>
            <w:vAlign w:val="bottom"/>
            <w:hideMark/>
          </w:tcPr>
          <w:p w14:paraId="5B4215C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114A73F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704EE00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1CF579E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1053966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5EC7B9F6" w14:textId="77777777" w:rsidTr="002D2278">
        <w:trPr>
          <w:trHeight w:val="20"/>
        </w:trPr>
        <w:tc>
          <w:tcPr>
            <w:tcW w:w="612" w:type="dxa"/>
            <w:tcBorders>
              <w:top w:val="nil"/>
              <w:left w:val="nil"/>
              <w:bottom w:val="nil"/>
              <w:right w:val="nil"/>
            </w:tcBorders>
            <w:shd w:val="clear" w:color="000000" w:fill="FFFFFF"/>
            <w:noWrap/>
            <w:vAlign w:val="bottom"/>
            <w:hideMark/>
          </w:tcPr>
          <w:p w14:paraId="6C1820E8"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69</w:t>
            </w:r>
          </w:p>
        </w:tc>
        <w:tc>
          <w:tcPr>
            <w:tcW w:w="1957" w:type="dxa"/>
            <w:tcBorders>
              <w:top w:val="nil"/>
              <w:left w:val="nil"/>
              <w:bottom w:val="nil"/>
              <w:right w:val="nil"/>
            </w:tcBorders>
            <w:shd w:val="clear" w:color="000000" w:fill="FFFFFF"/>
            <w:noWrap/>
            <w:vAlign w:val="bottom"/>
            <w:hideMark/>
          </w:tcPr>
          <w:p w14:paraId="74B350D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1E319CA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70547ED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749246A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2AAD8B5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0877CED6" w14:textId="77777777" w:rsidTr="002D2278">
        <w:trPr>
          <w:trHeight w:val="20"/>
        </w:trPr>
        <w:tc>
          <w:tcPr>
            <w:tcW w:w="612" w:type="dxa"/>
            <w:tcBorders>
              <w:top w:val="nil"/>
              <w:left w:val="nil"/>
              <w:bottom w:val="nil"/>
              <w:right w:val="nil"/>
            </w:tcBorders>
            <w:shd w:val="clear" w:color="000000" w:fill="FFFFFF"/>
            <w:noWrap/>
            <w:vAlign w:val="bottom"/>
            <w:hideMark/>
          </w:tcPr>
          <w:p w14:paraId="2F35EA09"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70</w:t>
            </w:r>
          </w:p>
        </w:tc>
        <w:tc>
          <w:tcPr>
            <w:tcW w:w="1957" w:type="dxa"/>
            <w:tcBorders>
              <w:top w:val="nil"/>
              <w:left w:val="nil"/>
              <w:bottom w:val="nil"/>
              <w:right w:val="nil"/>
            </w:tcBorders>
            <w:shd w:val="clear" w:color="000000" w:fill="FFFFFF"/>
            <w:noWrap/>
            <w:vAlign w:val="bottom"/>
            <w:hideMark/>
          </w:tcPr>
          <w:p w14:paraId="426022A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7D1F24A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2ECE2AC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364B135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7931D9A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2A91CB96" w14:textId="77777777" w:rsidTr="002D2278">
        <w:trPr>
          <w:trHeight w:val="20"/>
        </w:trPr>
        <w:tc>
          <w:tcPr>
            <w:tcW w:w="612" w:type="dxa"/>
            <w:tcBorders>
              <w:top w:val="nil"/>
              <w:left w:val="nil"/>
              <w:bottom w:val="nil"/>
              <w:right w:val="nil"/>
            </w:tcBorders>
            <w:shd w:val="clear" w:color="000000" w:fill="FFFFFF"/>
            <w:noWrap/>
            <w:vAlign w:val="bottom"/>
            <w:hideMark/>
          </w:tcPr>
          <w:p w14:paraId="7746A24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71</w:t>
            </w:r>
          </w:p>
        </w:tc>
        <w:tc>
          <w:tcPr>
            <w:tcW w:w="1957" w:type="dxa"/>
            <w:tcBorders>
              <w:top w:val="nil"/>
              <w:left w:val="nil"/>
              <w:bottom w:val="nil"/>
              <w:right w:val="nil"/>
            </w:tcBorders>
            <w:shd w:val="clear" w:color="000000" w:fill="FFFFFF"/>
            <w:noWrap/>
            <w:vAlign w:val="bottom"/>
            <w:hideMark/>
          </w:tcPr>
          <w:p w14:paraId="6BCBB8DB"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017FA59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18FF76D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1B7E83F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F99CE7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26669EAA" w14:textId="77777777" w:rsidTr="002D2278">
        <w:trPr>
          <w:trHeight w:val="20"/>
        </w:trPr>
        <w:tc>
          <w:tcPr>
            <w:tcW w:w="612" w:type="dxa"/>
            <w:tcBorders>
              <w:top w:val="nil"/>
              <w:left w:val="nil"/>
              <w:bottom w:val="nil"/>
              <w:right w:val="nil"/>
            </w:tcBorders>
            <w:shd w:val="clear" w:color="000000" w:fill="FFFFFF"/>
            <w:noWrap/>
            <w:vAlign w:val="bottom"/>
            <w:hideMark/>
          </w:tcPr>
          <w:p w14:paraId="363C055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72</w:t>
            </w:r>
          </w:p>
        </w:tc>
        <w:tc>
          <w:tcPr>
            <w:tcW w:w="1957" w:type="dxa"/>
            <w:tcBorders>
              <w:top w:val="nil"/>
              <w:left w:val="nil"/>
              <w:bottom w:val="nil"/>
              <w:right w:val="nil"/>
            </w:tcBorders>
            <w:shd w:val="clear" w:color="000000" w:fill="FFFFFF"/>
            <w:noWrap/>
            <w:vAlign w:val="bottom"/>
            <w:hideMark/>
          </w:tcPr>
          <w:p w14:paraId="37A4EDBC"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4D41220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56C46E5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48C9F81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073F673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2EA52FFD" w14:textId="77777777" w:rsidTr="002D2278">
        <w:trPr>
          <w:trHeight w:val="20"/>
        </w:trPr>
        <w:tc>
          <w:tcPr>
            <w:tcW w:w="612" w:type="dxa"/>
            <w:tcBorders>
              <w:top w:val="nil"/>
              <w:left w:val="nil"/>
              <w:bottom w:val="nil"/>
              <w:right w:val="nil"/>
            </w:tcBorders>
            <w:shd w:val="clear" w:color="000000" w:fill="FFFFFF"/>
            <w:noWrap/>
            <w:vAlign w:val="bottom"/>
            <w:hideMark/>
          </w:tcPr>
          <w:p w14:paraId="49E1ADC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73</w:t>
            </w:r>
          </w:p>
        </w:tc>
        <w:tc>
          <w:tcPr>
            <w:tcW w:w="1957" w:type="dxa"/>
            <w:tcBorders>
              <w:top w:val="nil"/>
              <w:left w:val="nil"/>
              <w:bottom w:val="nil"/>
              <w:right w:val="nil"/>
            </w:tcBorders>
            <w:shd w:val="clear" w:color="000000" w:fill="FFFFFF"/>
            <w:noWrap/>
            <w:vAlign w:val="bottom"/>
            <w:hideMark/>
          </w:tcPr>
          <w:p w14:paraId="71D3C8AF"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64C6E04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3C96E3A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03A7572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45C8425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1120C8C7" w14:textId="77777777" w:rsidTr="002D2278">
        <w:trPr>
          <w:trHeight w:val="20"/>
        </w:trPr>
        <w:tc>
          <w:tcPr>
            <w:tcW w:w="612" w:type="dxa"/>
            <w:tcBorders>
              <w:top w:val="nil"/>
              <w:left w:val="nil"/>
              <w:bottom w:val="nil"/>
              <w:right w:val="nil"/>
            </w:tcBorders>
            <w:shd w:val="clear" w:color="000000" w:fill="FFFFFF"/>
            <w:noWrap/>
            <w:vAlign w:val="bottom"/>
            <w:hideMark/>
          </w:tcPr>
          <w:p w14:paraId="122EBB7A"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74</w:t>
            </w:r>
          </w:p>
        </w:tc>
        <w:tc>
          <w:tcPr>
            <w:tcW w:w="1957" w:type="dxa"/>
            <w:tcBorders>
              <w:top w:val="nil"/>
              <w:left w:val="nil"/>
              <w:bottom w:val="nil"/>
              <w:right w:val="nil"/>
            </w:tcBorders>
            <w:shd w:val="clear" w:color="000000" w:fill="FFFFFF"/>
            <w:noWrap/>
            <w:vAlign w:val="bottom"/>
            <w:hideMark/>
          </w:tcPr>
          <w:p w14:paraId="25DB048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5E48596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189B638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1C46A72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D86A2C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7ADBB4F7" w14:textId="77777777" w:rsidTr="002D2278">
        <w:trPr>
          <w:trHeight w:val="20"/>
        </w:trPr>
        <w:tc>
          <w:tcPr>
            <w:tcW w:w="612" w:type="dxa"/>
            <w:tcBorders>
              <w:top w:val="nil"/>
              <w:left w:val="nil"/>
              <w:bottom w:val="nil"/>
              <w:right w:val="nil"/>
            </w:tcBorders>
            <w:shd w:val="clear" w:color="000000" w:fill="FFFFFF"/>
            <w:noWrap/>
            <w:vAlign w:val="bottom"/>
            <w:hideMark/>
          </w:tcPr>
          <w:p w14:paraId="31C32B26"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75</w:t>
            </w:r>
          </w:p>
        </w:tc>
        <w:tc>
          <w:tcPr>
            <w:tcW w:w="1957" w:type="dxa"/>
            <w:tcBorders>
              <w:top w:val="nil"/>
              <w:left w:val="nil"/>
              <w:bottom w:val="nil"/>
              <w:right w:val="nil"/>
            </w:tcBorders>
            <w:shd w:val="clear" w:color="000000" w:fill="FFFFFF"/>
            <w:noWrap/>
            <w:vAlign w:val="bottom"/>
            <w:hideMark/>
          </w:tcPr>
          <w:p w14:paraId="275B14C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6C38736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4CAF115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73397DB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7F97BA8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3C729CA0" w14:textId="77777777" w:rsidTr="002D2278">
        <w:trPr>
          <w:trHeight w:val="20"/>
        </w:trPr>
        <w:tc>
          <w:tcPr>
            <w:tcW w:w="612" w:type="dxa"/>
            <w:tcBorders>
              <w:top w:val="nil"/>
              <w:left w:val="nil"/>
              <w:bottom w:val="nil"/>
              <w:right w:val="nil"/>
            </w:tcBorders>
            <w:shd w:val="clear" w:color="000000" w:fill="FFFFFF"/>
            <w:noWrap/>
            <w:vAlign w:val="bottom"/>
            <w:hideMark/>
          </w:tcPr>
          <w:p w14:paraId="59BA6589"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76</w:t>
            </w:r>
          </w:p>
        </w:tc>
        <w:tc>
          <w:tcPr>
            <w:tcW w:w="1957" w:type="dxa"/>
            <w:tcBorders>
              <w:top w:val="nil"/>
              <w:left w:val="nil"/>
              <w:bottom w:val="nil"/>
              <w:right w:val="nil"/>
            </w:tcBorders>
            <w:shd w:val="clear" w:color="000000" w:fill="FFFFFF"/>
            <w:noWrap/>
            <w:vAlign w:val="bottom"/>
            <w:hideMark/>
          </w:tcPr>
          <w:p w14:paraId="5ED611B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55723DE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1ABD5EA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6DE5B63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208C2BA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1FA2AFC0" w14:textId="77777777" w:rsidTr="002D2278">
        <w:trPr>
          <w:trHeight w:val="20"/>
        </w:trPr>
        <w:tc>
          <w:tcPr>
            <w:tcW w:w="612" w:type="dxa"/>
            <w:tcBorders>
              <w:top w:val="nil"/>
              <w:left w:val="nil"/>
              <w:bottom w:val="nil"/>
              <w:right w:val="nil"/>
            </w:tcBorders>
            <w:shd w:val="clear" w:color="000000" w:fill="FFFFFF"/>
            <w:noWrap/>
            <w:vAlign w:val="bottom"/>
            <w:hideMark/>
          </w:tcPr>
          <w:p w14:paraId="13EF778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77</w:t>
            </w:r>
          </w:p>
        </w:tc>
        <w:tc>
          <w:tcPr>
            <w:tcW w:w="1957" w:type="dxa"/>
            <w:tcBorders>
              <w:top w:val="nil"/>
              <w:left w:val="nil"/>
              <w:bottom w:val="nil"/>
              <w:right w:val="nil"/>
            </w:tcBorders>
            <w:shd w:val="clear" w:color="000000" w:fill="FFFFFF"/>
            <w:noWrap/>
            <w:vAlign w:val="bottom"/>
            <w:hideMark/>
          </w:tcPr>
          <w:p w14:paraId="64C8270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6D8DA32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6DB94C8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78B917B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6FD0283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0A051277" w14:textId="77777777" w:rsidTr="002D2278">
        <w:trPr>
          <w:trHeight w:val="20"/>
        </w:trPr>
        <w:tc>
          <w:tcPr>
            <w:tcW w:w="612" w:type="dxa"/>
            <w:tcBorders>
              <w:top w:val="nil"/>
              <w:left w:val="nil"/>
              <w:bottom w:val="nil"/>
              <w:right w:val="nil"/>
            </w:tcBorders>
            <w:shd w:val="clear" w:color="000000" w:fill="FFFFFF"/>
            <w:noWrap/>
            <w:vAlign w:val="bottom"/>
            <w:hideMark/>
          </w:tcPr>
          <w:p w14:paraId="3F3D2B65"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78</w:t>
            </w:r>
          </w:p>
        </w:tc>
        <w:tc>
          <w:tcPr>
            <w:tcW w:w="1957" w:type="dxa"/>
            <w:tcBorders>
              <w:top w:val="nil"/>
              <w:left w:val="nil"/>
              <w:bottom w:val="nil"/>
              <w:right w:val="nil"/>
            </w:tcBorders>
            <w:shd w:val="clear" w:color="000000" w:fill="FFFFFF"/>
            <w:noWrap/>
            <w:vAlign w:val="bottom"/>
            <w:hideMark/>
          </w:tcPr>
          <w:p w14:paraId="28B6A8F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027C0AE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6BBC1D1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2AB4998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6D73AEC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5CE27634" w14:textId="77777777" w:rsidTr="002D2278">
        <w:trPr>
          <w:trHeight w:val="20"/>
        </w:trPr>
        <w:tc>
          <w:tcPr>
            <w:tcW w:w="612" w:type="dxa"/>
            <w:tcBorders>
              <w:top w:val="nil"/>
              <w:left w:val="nil"/>
              <w:bottom w:val="nil"/>
              <w:right w:val="nil"/>
            </w:tcBorders>
            <w:shd w:val="clear" w:color="000000" w:fill="FFFFFF"/>
            <w:noWrap/>
            <w:vAlign w:val="bottom"/>
            <w:hideMark/>
          </w:tcPr>
          <w:p w14:paraId="7FA2109B"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79</w:t>
            </w:r>
          </w:p>
        </w:tc>
        <w:tc>
          <w:tcPr>
            <w:tcW w:w="1957" w:type="dxa"/>
            <w:tcBorders>
              <w:top w:val="nil"/>
              <w:left w:val="nil"/>
              <w:bottom w:val="nil"/>
              <w:right w:val="nil"/>
            </w:tcBorders>
            <w:shd w:val="clear" w:color="000000" w:fill="FFFFFF"/>
            <w:noWrap/>
            <w:vAlign w:val="bottom"/>
            <w:hideMark/>
          </w:tcPr>
          <w:p w14:paraId="0763FF0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223C493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7DD0FB3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5541ACE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39381A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04219543" w14:textId="77777777" w:rsidTr="002D2278">
        <w:trPr>
          <w:trHeight w:val="20"/>
        </w:trPr>
        <w:tc>
          <w:tcPr>
            <w:tcW w:w="612" w:type="dxa"/>
            <w:tcBorders>
              <w:top w:val="nil"/>
              <w:left w:val="nil"/>
              <w:bottom w:val="nil"/>
              <w:right w:val="nil"/>
            </w:tcBorders>
            <w:shd w:val="clear" w:color="000000" w:fill="FFFFFF"/>
            <w:noWrap/>
            <w:vAlign w:val="bottom"/>
            <w:hideMark/>
          </w:tcPr>
          <w:p w14:paraId="76DD971B"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80</w:t>
            </w:r>
          </w:p>
        </w:tc>
        <w:tc>
          <w:tcPr>
            <w:tcW w:w="1957" w:type="dxa"/>
            <w:tcBorders>
              <w:top w:val="nil"/>
              <w:left w:val="nil"/>
              <w:bottom w:val="nil"/>
              <w:right w:val="nil"/>
            </w:tcBorders>
            <w:shd w:val="clear" w:color="000000" w:fill="FFFFFF"/>
            <w:noWrap/>
            <w:vAlign w:val="bottom"/>
            <w:hideMark/>
          </w:tcPr>
          <w:p w14:paraId="2DFAEE6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0E99C31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3BDED82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6F16EE8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DC9071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373CD62D" w14:textId="77777777" w:rsidTr="002D2278">
        <w:trPr>
          <w:trHeight w:val="20"/>
        </w:trPr>
        <w:tc>
          <w:tcPr>
            <w:tcW w:w="612" w:type="dxa"/>
            <w:tcBorders>
              <w:top w:val="nil"/>
              <w:left w:val="nil"/>
              <w:bottom w:val="nil"/>
              <w:right w:val="nil"/>
            </w:tcBorders>
            <w:shd w:val="clear" w:color="000000" w:fill="FFFFFF"/>
            <w:noWrap/>
            <w:vAlign w:val="bottom"/>
            <w:hideMark/>
          </w:tcPr>
          <w:p w14:paraId="1767DCA5"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81</w:t>
            </w:r>
          </w:p>
        </w:tc>
        <w:tc>
          <w:tcPr>
            <w:tcW w:w="1957" w:type="dxa"/>
            <w:tcBorders>
              <w:top w:val="nil"/>
              <w:left w:val="nil"/>
              <w:bottom w:val="nil"/>
              <w:right w:val="nil"/>
            </w:tcBorders>
            <w:shd w:val="clear" w:color="000000" w:fill="FFFFFF"/>
            <w:noWrap/>
            <w:vAlign w:val="bottom"/>
            <w:hideMark/>
          </w:tcPr>
          <w:p w14:paraId="06886D5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3AD7CD2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03E5C7C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212EE8A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1F9F243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2A7D8087" w14:textId="77777777" w:rsidTr="002D2278">
        <w:trPr>
          <w:trHeight w:val="20"/>
        </w:trPr>
        <w:tc>
          <w:tcPr>
            <w:tcW w:w="612" w:type="dxa"/>
            <w:tcBorders>
              <w:top w:val="nil"/>
              <w:left w:val="nil"/>
              <w:bottom w:val="nil"/>
              <w:right w:val="nil"/>
            </w:tcBorders>
            <w:shd w:val="clear" w:color="000000" w:fill="FFFFFF"/>
            <w:noWrap/>
            <w:vAlign w:val="bottom"/>
            <w:hideMark/>
          </w:tcPr>
          <w:p w14:paraId="33F15CC8"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82</w:t>
            </w:r>
          </w:p>
        </w:tc>
        <w:tc>
          <w:tcPr>
            <w:tcW w:w="1957" w:type="dxa"/>
            <w:tcBorders>
              <w:top w:val="nil"/>
              <w:left w:val="nil"/>
              <w:bottom w:val="nil"/>
              <w:right w:val="nil"/>
            </w:tcBorders>
            <w:shd w:val="clear" w:color="000000" w:fill="FFFFFF"/>
            <w:noWrap/>
            <w:vAlign w:val="bottom"/>
            <w:hideMark/>
          </w:tcPr>
          <w:p w14:paraId="4D8135B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70F70EF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5104FC6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4753045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6DAFF3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r w:rsidR="002D2278" w:rsidRPr="002D2278" w14:paraId="1043C876" w14:textId="77777777" w:rsidTr="002D2278">
        <w:trPr>
          <w:trHeight w:val="20"/>
        </w:trPr>
        <w:tc>
          <w:tcPr>
            <w:tcW w:w="612" w:type="dxa"/>
            <w:tcBorders>
              <w:top w:val="nil"/>
              <w:left w:val="nil"/>
              <w:bottom w:val="nil"/>
              <w:right w:val="nil"/>
            </w:tcBorders>
            <w:shd w:val="clear" w:color="000000" w:fill="FFFFFF"/>
            <w:noWrap/>
            <w:vAlign w:val="bottom"/>
            <w:hideMark/>
          </w:tcPr>
          <w:p w14:paraId="2BB88094"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83</w:t>
            </w:r>
          </w:p>
        </w:tc>
        <w:tc>
          <w:tcPr>
            <w:tcW w:w="1957" w:type="dxa"/>
            <w:tcBorders>
              <w:top w:val="nil"/>
              <w:left w:val="nil"/>
              <w:bottom w:val="nil"/>
              <w:right w:val="nil"/>
            </w:tcBorders>
            <w:shd w:val="clear" w:color="000000" w:fill="FFFFFF"/>
            <w:noWrap/>
            <w:vAlign w:val="bottom"/>
            <w:hideMark/>
          </w:tcPr>
          <w:p w14:paraId="602976D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31C033F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997" w:type="dxa"/>
            <w:tcBorders>
              <w:top w:val="nil"/>
              <w:left w:val="nil"/>
              <w:bottom w:val="nil"/>
              <w:right w:val="nil"/>
            </w:tcBorders>
            <w:shd w:val="clear" w:color="000000" w:fill="FFFFFF"/>
            <w:noWrap/>
            <w:vAlign w:val="bottom"/>
            <w:hideMark/>
          </w:tcPr>
          <w:p w14:paraId="3595CD1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636" w:type="dxa"/>
            <w:tcBorders>
              <w:top w:val="nil"/>
              <w:left w:val="nil"/>
              <w:bottom w:val="nil"/>
              <w:right w:val="nil"/>
            </w:tcBorders>
            <w:shd w:val="clear" w:color="000000" w:fill="FFFFFF"/>
            <w:noWrap/>
            <w:vAlign w:val="bottom"/>
            <w:hideMark/>
          </w:tcPr>
          <w:p w14:paraId="4EE8CC3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c>
          <w:tcPr>
            <w:tcW w:w="1522" w:type="dxa"/>
            <w:tcBorders>
              <w:top w:val="nil"/>
              <w:left w:val="nil"/>
              <w:bottom w:val="nil"/>
              <w:right w:val="nil"/>
            </w:tcBorders>
            <w:shd w:val="clear" w:color="000000" w:fill="FFFFFF"/>
            <w:noWrap/>
            <w:vAlign w:val="bottom"/>
            <w:hideMark/>
          </w:tcPr>
          <w:p w14:paraId="53EEEE9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xml:space="preserve">                                  -   </w:t>
            </w:r>
          </w:p>
        </w:tc>
      </w:tr>
    </w:tbl>
    <w:p w14:paraId="62A1CE00" w14:textId="423D9F2F" w:rsidR="009F6E91" w:rsidRDefault="009F6E91" w:rsidP="00EF7333">
      <w:pPr>
        <w:pStyle w:val="Body1"/>
      </w:pPr>
    </w:p>
    <w:p w14:paraId="6C8015F2" w14:textId="77777777" w:rsidR="00D86B4D" w:rsidRDefault="00D86B4D" w:rsidP="00EF7333">
      <w:pPr>
        <w:pStyle w:val="Body1"/>
      </w:pPr>
    </w:p>
    <w:p w14:paraId="3599933C" w14:textId="77777777" w:rsidR="00D86B4D" w:rsidRPr="00D427D8" w:rsidRDefault="00D86B4D" w:rsidP="00EF7333">
      <w:pPr>
        <w:pStyle w:val="Body1"/>
      </w:pPr>
    </w:p>
    <w:p w14:paraId="7468C916" w14:textId="7DD1C880" w:rsidR="009F6E91" w:rsidRPr="00D427D8" w:rsidRDefault="009F6E91" w:rsidP="00EF7333">
      <w:pPr>
        <w:pStyle w:val="Body1"/>
      </w:pPr>
      <w:r w:rsidRPr="00D427D8">
        <w:rPr>
          <w:rStyle w:val="BoldText"/>
        </w:rPr>
        <w:t>Performance Charts</w:t>
      </w:r>
    </w:p>
    <w:p w14:paraId="72F75131" w14:textId="3EA4A833" w:rsidR="009F6E91" w:rsidRPr="00D427D8" w:rsidRDefault="009F6E91" w:rsidP="009F6E91">
      <w:pPr>
        <w:pStyle w:val="Body1"/>
      </w:pPr>
      <w:r w:rsidRPr="00D427D8">
        <w:lastRenderedPageBreak/>
        <w:t>Stellantis Bank has extracted data on the historical performance of the entire German auto lease portfolio. Such data was extracted from Stellantis Bank</w:t>
      </w:r>
      <w:r w:rsidR="00EF7333" w:rsidRPr="00D427D8">
        <w:t>'</w:t>
      </w:r>
      <w:r w:rsidRPr="00D427D8">
        <w:t>s internal data warehouse which is sourced from its contract management and accounting systems.</w:t>
      </w:r>
    </w:p>
    <w:p w14:paraId="14F2BCEA" w14:textId="77777777" w:rsidR="009F6E91" w:rsidRPr="00D427D8" w:rsidRDefault="009F6E91" w:rsidP="009F6E91">
      <w:pPr>
        <w:pStyle w:val="Body1"/>
        <w:rPr>
          <w:rStyle w:val="ItalicText"/>
        </w:rPr>
      </w:pPr>
      <w:r w:rsidRPr="00D427D8">
        <w:rPr>
          <w:rStyle w:val="ItalicText"/>
        </w:rPr>
        <w:t>Gross Loss Performance</w:t>
      </w:r>
    </w:p>
    <w:p w14:paraId="3F461714" w14:textId="3DF0C7BE" w:rsidR="009F6E91" w:rsidRPr="00D427D8" w:rsidRDefault="009F6E91" w:rsidP="009F6E91">
      <w:pPr>
        <w:pStyle w:val="Body1"/>
        <w:rPr>
          <w:rStyle w:val="BoldText"/>
        </w:rPr>
      </w:pPr>
      <w:r w:rsidRPr="00D427D8">
        <w:t>The gross loss figures are shown for the total Stellantis Bank lease portfolio.</w:t>
      </w:r>
    </w:p>
    <w:p w14:paraId="7EF02B56" w14:textId="77777777" w:rsidR="009F6E91" w:rsidRPr="00D427D8" w:rsidRDefault="009F6E91" w:rsidP="009F6E91">
      <w:pPr>
        <w:pStyle w:val="Body1"/>
      </w:pPr>
      <w:r w:rsidRPr="00D427D8">
        <w:t>Each line in the graphs shows the cumulative gross loss rates over time since origination of all leases which were originated in the same quarter.</w:t>
      </w:r>
    </w:p>
    <w:p w14:paraId="5EBB709C" w14:textId="592B9578" w:rsidR="009F6E91" w:rsidRPr="00D427D8" w:rsidRDefault="009F6E91" w:rsidP="009F6E91">
      <w:pPr>
        <w:pStyle w:val="Body1"/>
        <w:sectPr w:rsidR="009F6E91" w:rsidRPr="00D427D8" w:rsidSect="008D071E">
          <w:footerReference w:type="first" r:id="rId26"/>
          <w:pgSz w:w="11907" w:h="16840" w:code="9"/>
          <w:pgMar w:top="851" w:right="1418" w:bottom="992" w:left="1418" w:header="720" w:footer="720" w:gutter="0"/>
          <w:cols w:space="708"/>
          <w:docGrid w:linePitch="360"/>
        </w:sectPr>
      </w:pPr>
      <w:r w:rsidRPr="00D427D8">
        <w:t>The gross loss definition underlying the gross loss analysis matches with the credit and collection policy of Stellantis Bank, which for the avoidance of doubt applies also to Lease Receivables originated by Stellantis Bank which will not be securitised.</w:t>
      </w:r>
    </w:p>
    <w:p w14:paraId="57DBFFF0" w14:textId="6640CE1E" w:rsidR="009F6E91" w:rsidRPr="006A523F" w:rsidRDefault="006A523F" w:rsidP="00EF7333">
      <w:pPr>
        <w:pStyle w:val="Body1"/>
        <w:rPr>
          <w:b/>
          <w:bCs/>
        </w:rPr>
      </w:pPr>
      <w:r w:rsidRPr="00FB21F9">
        <w:rPr>
          <w:b/>
          <w:bCs/>
        </w:rPr>
        <w:lastRenderedPageBreak/>
        <w:t>Cumulative Default</w:t>
      </w:r>
    </w:p>
    <w:tbl>
      <w:tblPr>
        <w:tblW w:w="5000" w:type="pct"/>
        <w:tblCellMar>
          <w:left w:w="70" w:type="dxa"/>
          <w:right w:w="70" w:type="dxa"/>
        </w:tblCellMar>
        <w:tblLook w:val="04A0" w:firstRow="1" w:lastRow="0" w:firstColumn="1" w:lastColumn="0" w:noHBand="0" w:noVBand="1"/>
      </w:tblPr>
      <w:tblGrid>
        <w:gridCol w:w="1348"/>
        <w:gridCol w:w="1261"/>
        <w:gridCol w:w="1261"/>
        <w:gridCol w:w="634"/>
        <w:gridCol w:w="634"/>
        <w:gridCol w:w="634"/>
        <w:gridCol w:w="634"/>
        <w:gridCol w:w="634"/>
        <w:gridCol w:w="634"/>
        <w:gridCol w:w="633"/>
        <w:gridCol w:w="633"/>
        <w:gridCol w:w="633"/>
        <w:gridCol w:w="633"/>
        <w:gridCol w:w="633"/>
        <w:gridCol w:w="633"/>
        <w:gridCol w:w="633"/>
        <w:gridCol w:w="633"/>
        <w:gridCol w:w="633"/>
        <w:gridCol w:w="633"/>
      </w:tblGrid>
      <w:tr w:rsidR="006A523F" w:rsidRPr="006A523F" w14:paraId="434C1BE6" w14:textId="77777777" w:rsidTr="006A523F">
        <w:trPr>
          <w:trHeight w:val="20"/>
          <w:tblHeader/>
        </w:trPr>
        <w:tc>
          <w:tcPr>
            <w:tcW w:w="480" w:type="pct"/>
            <w:tcBorders>
              <w:top w:val="nil"/>
              <w:left w:val="nil"/>
              <w:bottom w:val="single" w:sz="4" w:space="0" w:color="auto"/>
              <w:right w:val="nil"/>
            </w:tcBorders>
            <w:shd w:val="clear" w:color="000000" w:fill="243782"/>
            <w:noWrap/>
            <w:vAlign w:val="center"/>
            <w:hideMark/>
          </w:tcPr>
          <w:p w14:paraId="109D5E66"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As at Month ending</w:t>
            </w:r>
          </w:p>
        </w:tc>
        <w:tc>
          <w:tcPr>
            <w:tcW w:w="449" w:type="pct"/>
            <w:tcBorders>
              <w:top w:val="nil"/>
              <w:left w:val="nil"/>
              <w:bottom w:val="single" w:sz="4" w:space="0" w:color="auto"/>
              <w:right w:val="nil"/>
            </w:tcBorders>
            <w:shd w:val="clear" w:color="000000" w:fill="243782"/>
            <w:noWrap/>
            <w:vAlign w:val="center"/>
            <w:hideMark/>
          </w:tcPr>
          <w:p w14:paraId="003B2B3A"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Origination Quarter</w:t>
            </w:r>
          </w:p>
        </w:tc>
        <w:tc>
          <w:tcPr>
            <w:tcW w:w="449" w:type="pct"/>
            <w:tcBorders>
              <w:top w:val="nil"/>
              <w:left w:val="nil"/>
              <w:bottom w:val="single" w:sz="4" w:space="0" w:color="auto"/>
              <w:right w:val="nil"/>
            </w:tcBorders>
            <w:shd w:val="clear" w:color="000000" w:fill="243782"/>
            <w:noWrap/>
            <w:vAlign w:val="center"/>
            <w:hideMark/>
          </w:tcPr>
          <w:p w14:paraId="78F5FE13" w14:textId="77777777" w:rsidR="006A523F" w:rsidRPr="006A523F" w:rsidRDefault="006A523F" w:rsidP="006A523F">
            <w:pPr>
              <w:spacing w:line="240" w:lineRule="auto"/>
              <w:jc w:val="right"/>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Origination in K€</w:t>
            </w:r>
          </w:p>
        </w:tc>
        <w:tc>
          <w:tcPr>
            <w:tcW w:w="226" w:type="pct"/>
            <w:tcBorders>
              <w:top w:val="nil"/>
              <w:left w:val="nil"/>
              <w:bottom w:val="single" w:sz="4" w:space="0" w:color="auto"/>
              <w:right w:val="nil"/>
            </w:tcBorders>
            <w:shd w:val="clear" w:color="000000" w:fill="243782"/>
            <w:noWrap/>
            <w:vAlign w:val="center"/>
            <w:hideMark/>
          </w:tcPr>
          <w:p w14:paraId="10210CFA"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0</w:t>
            </w:r>
          </w:p>
        </w:tc>
        <w:tc>
          <w:tcPr>
            <w:tcW w:w="226" w:type="pct"/>
            <w:tcBorders>
              <w:top w:val="nil"/>
              <w:left w:val="nil"/>
              <w:bottom w:val="single" w:sz="4" w:space="0" w:color="auto"/>
              <w:right w:val="nil"/>
            </w:tcBorders>
            <w:shd w:val="clear" w:color="000000" w:fill="243782"/>
            <w:noWrap/>
            <w:vAlign w:val="center"/>
            <w:hideMark/>
          </w:tcPr>
          <w:p w14:paraId="5EFB8E3D"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w:t>
            </w:r>
          </w:p>
        </w:tc>
        <w:tc>
          <w:tcPr>
            <w:tcW w:w="226" w:type="pct"/>
            <w:tcBorders>
              <w:top w:val="nil"/>
              <w:left w:val="nil"/>
              <w:bottom w:val="single" w:sz="4" w:space="0" w:color="auto"/>
              <w:right w:val="nil"/>
            </w:tcBorders>
            <w:shd w:val="clear" w:color="000000" w:fill="243782"/>
            <w:noWrap/>
            <w:vAlign w:val="center"/>
            <w:hideMark/>
          </w:tcPr>
          <w:p w14:paraId="738C9592"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2</w:t>
            </w:r>
          </w:p>
        </w:tc>
        <w:tc>
          <w:tcPr>
            <w:tcW w:w="226" w:type="pct"/>
            <w:tcBorders>
              <w:top w:val="nil"/>
              <w:left w:val="nil"/>
              <w:bottom w:val="single" w:sz="4" w:space="0" w:color="auto"/>
              <w:right w:val="nil"/>
            </w:tcBorders>
            <w:shd w:val="clear" w:color="000000" w:fill="243782"/>
            <w:noWrap/>
            <w:vAlign w:val="center"/>
            <w:hideMark/>
          </w:tcPr>
          <w:p w14:paraId="7352F2F4"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3</w:t>
            </w:r>
          </w:p>
        </w:tc>
        <w:tc>
          <w:tcPr>
            <w:tcW w:w="226" w:type="pct"/>
            <w:tcBorders>
              <w:top w:val="nil"/>
              <w:left w:val="nil"/>
              <w:bottom w:val="single" w:sz="4" w:space="0" w:color="auto"/>
              <w:right w:val="nil"/>
            </w:tcBorders>
            <w:shd w:val="clear" w:color="000000" w:fill="243782"/>
            <w:noWrap/>
            <w:vAlign w:val="center"/>
            <w:hideMark/>
          </w:tcPr>
          <w:p w14:paraId="503F70A7"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4</w:t>
            </w:r>
          </w:p>
        </w:tc>
        <w:tc>
          <w:tcPr>
            <w:tcW w:w="226" w:type="pct"/>
            <w:tcBorders>
              <w:top w:val="nil"/>
              <w:left w:val="nil"/>
              <w:bottom w:val="single" w:sz="4" w:space="0" w:color="auto"/>
              <w:right w:val="nil"/>
            </w:tcBorders>
            <w:shd w:val="clear" w:color="000000" w:fill="243782"/>
            <w:noWrap/>
            <w:vAlign w:val="center"/>
            <w:hideMark/>
          </w:tcPr>
          <w:p w14:paraId="2CD193CE"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5</w:t>
            </w:r>
          </w:p>
        </w:tc>
        <w:tc>
          <w:tcPr>
            <w:tcW w:w="226" w:type="pct"/>
            <w:tcBorders>
              <w:top w:val="nil"/>
              <w:left w:val="nil"/>
              <w:bottom w:val="single" w:sz="4" w:space="0" w:color="auto"/>
              <w:right w:val="nil"/>
            </w:tcBorders>
            <w:shd w:val="clear" w:color="000000" w:fill="243782"/>
            <w:noWrap/>
            <w:vAlign w:val="center"/>
            <w:hideMark/>
          </w:tcPr>
          <w:p w14:paraId="7F201734"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6</w:t>
            </w:r>
          </w:p>
        </w:tc>
        <w:tc>
          <w:tcPr>
            <w:tcW w:w="226" w:type="pct"/>
            <w:tcBorders>
              <w:top w:val="nil"/>
              <w:left w:val="nil"/>
              <w:bottom w:val="single" w:sz="4" w:space="0" w:color="auto"/>
              <w:right w:val="nil"/>
            </w:tcBorders>
            <w:shd w:val="clear" w:color="000000" w:fill="243782"/>
            <w:noWrap/>
            <w:vAlign w:val="center"/>
            <w:hideMark/>
          </w:tcPr>
          <w:p w14:paraId="0D273023"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7</w:t>
            </w:r>
          </w:p>
        </w:tc>
        <w:tc>
          <w:tcPr>
            <w:tcW w:w="226" w:type="pct"/>
            <w:tcBorders>
              <w:top w:val="nil"/>
              <w:left w:val="nil"/>
              <w:bottom w:val="single" w:sz="4" w:space="0" w:color="auto"/>
              <w:right w:val="nil"/>
            </w:tcBorders>
            <w:shd w:val="clear" w:color="000000" w:fill="243782"/>
            <w:noWrap/>
            <w:vAlign w:val="center"/>
            <w:hideMark/>
          </w:tcPr>
          <w:p w14:paraId="336E6723"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8</w:t>
            </w:r>
          </w:p>
        </w:tc>
        <w:tc>
          <w:tcPr>
            <w:tcW w:w="226" w:type="pct"/>
            <w:tcBorders>
              <w:top w:val="nil"/>
              <w:left w:val="nil"/>
              <w:bottom w:val="single" w:sz="4" w:space="0" w:color="auto"/>
              <w:right w:val="nil"/>
            </w:tcBorders>
            <w:shd w:val="clear" w:color="000000" w:fill="243782"/>
            <w:noWrap/>
            <w:vAlign w:val="center"/>
            <w:hideMark/>
          </w:tcPr>
          <w:p w14:paraId="2D777AF0"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9</w:t>
            </w:r>
          </w:p>
        </w:tc>
        <w:tc>
          <w:tcPr>
            <w:tcW w:w="226" w:type="pct"/>
            <w:tcBorders>
              <w:top w:val="nil"/>
              <w:left w:val="nil"/>
              <w:bottom w:val="single" w:sz="4" w:space="0" w:color="auto"/>
              <w:right w:val="nil"/>
            </w:tcBorders>
            <w:shd w:val="clear" w:color="000000" w:fill="243782"/>
            <w:noWrap/>
            <w:vAlign w:val="center"/>
            <w:hideMark/>
          </w:tcPr>
          <w:p w14:paraId="5BB41F21"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10</w:t>
            </w:r>
          </w:p>
        </w:tc>
        <w:tc>
          <w:tcPr>
            <w:tcW w:w="226" w:type="pct"/>
            <w:tcBorders>
              <w:top w:val="nil"/>
              <w:left w:val="nil"/>
              <w:bottom w:val="single" w:sz="4" w:space="0" w:color="auto"/>
              <w:right w:val="nil"/>
            </w:tcBorders>
            <w:shd w:val="clear" w:color="000000" w:fill="243782"/>
            <w:noWrap/>
            <w:vAlign w:val="center"/>
            <w:hideMark/>
          </w:tcPr>
          <w:p w14:paraId="281B1BF1"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11</w:t>
            </w:r>
          </w:p>
        </w:tc>
        <w:tc>
          <w:tcPr>
            <w:tcW w:w="226" w:type="pct"/>
            <w:tcBorders>
              <w:top w:val="nil"/>
              <w:left w:val="nil"/>
              <w:bottom w:val="single" w:sz="4" w:space="0" w:color="auto"/>
              <w:right w:val="nil"/>
            </w:tcBorders>
            <w:shd w:val="clear" w:color="000000" w:fill="243782"/>
            <w:noWrap/>
            <w:vAlign w:val="center"/>
            <w:hideMark/>
          </w:tcPr>
          <w:p w14:paraId="330BB60E"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12</w:t>
            </w:r>
          </w:p>
        </w:tc>
        <w:tc>
          <w:tcPr>
            <w:tcW w:w="226" w:type="pct"/>
            <w:tcBorders>
              <w:top w:val="nil"/>
              <w:left w:val="nil"/>
              <w:bottom w:val="single" w:sz="4" w:space="0" w:color="auto"/>
              <w:right w:val="nil"/>
            </w:tcBorders>
            <w:shd w:val="clear" w:color="000000" w:fill="243782"/>
            <w:noWrap/>
            <w:vAlign w:val="center"/>
            <w:hideMark/>
          </w:tcPr>
          <w:p w14:paraId="63541831"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13</w:t>
            </w:r>
          </w:p>
        </w:tc>
        <w:tc>
          <w:tcPr>
            <w:tcW w:w="226" w:type="pct"/>
            <w:tcBorders>
              <w:top w:val="nil"/>
              <w:left w:val="nil"/>
              <w:bottom w:val="single" w:sz="4" w:space="0" w:color="auto"/>
              <w:right w:val="nil"/>
            </w:tcBorders>
            <w:shd w:val="clear" w:color="000000" w:fill="243782"/>
            <w:noWrap/>
            <w:vAlign w:val="center"/>
            <w:hideMark/>
          </w:tcPr>
          <w:p w14:paraId="2C30F93A"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14</w:t>
            </w:r>
          </w:p>
        </w:tc>
        <w:tc>
          <w:tcPr>
            <w:tcW w:w="226" w:type="pct"/>
            <w:tcBorders>
              <w:top w:val="nil"/>
              <w:left w:val="nil"/>
              <w:bottom w:val="single" w:sz="4" w:space="0" w:color="auto"/>
              <w:right w:val="nil"/>
            </w:tcBorders>
            <w:shd w:val="clear" w:color="000000" w:fill="243782"/>
            <w:noWrap/>
            <w:vAlign w:val="center"/>
            <w:hideMark/>
          </w:tcPr>
          <w:p w14:paraId="6DD5EF59"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15</w:t>
            </w:r>
          </w:p>
        </w:tc>
      </w:tr>
      <w:tr w:rsidR="006A523F" w:rsidRPr="006A523F" w14:paraId="3C3E9800" w14:textId="77777777" w:rsidTr="006A523F">
        <w:trPr>
          <w:trHeight w:val="20"/>
        </w:trPr>
        <w:tc>
          <w:tcPr>
            <w:tcW w:w="480" w:type="pct"/>
            <w:tcBorders>
              <w:top w:val="nil"/>
              <w:left w:val="nil"/>
              <w:bottom w:val="nil"/>
              <w:right w:val="nil"/>
            </w:tcBorders>
            <w:shd w:val="clear" w:color="000000" w:fill="FFFFFF"/>
            <w:noWrap/>
            <w:vAlign w:val="center"/>
            <w:hideMark/>
          </w:tcPr>
          <w:p w14:paraId="59D7160D"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2013</w:t>
            </w:r>
          </w:p>
        </w:tc>
        <w:tc>
          <w:tcPr>
            <w:tcW w:w="449" w:type="pct"/>
            <w:tcBorders>
              <w:top w:val="nil"/>
              <w:left w:val="nil"/>
              <w:bottom w:val="nil"/>
              <w:right w:val="nil"/>
            </w:tcBorders>
            <w:shd w:val="clear" w:color="000000" w:fill="FFFFFF"/>
            <w:noWrap/>
            <w:vAlign w:val="bottom"/>
            <w:hideMark/>
          </w:tcPr>
          <w:p w14:paraId="2B75E636"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2013Q1</w:t>
            </w:r>
          </w:p>
        </w:tc>
        <w:tc>
          <w:tcPr>
            <w:tcW w:w="449" w:type="pct"/>
            <w:tcBorders>
              <w:top w:val="nil"/>
              <w:left w:val="nil"/>
              <w:bottom w:val="nil"/>
              <w:right w:val="nil"/>
            </w:tcBorders>
            <w:shd w:val="clear" w:color="000000" w:fill="FFFFFF"/>
            <w:noWrap/>
            <w:vAlign w:val="center"/>
            <w:hideMark/>
          </w:tcPr>
          <w:p w14:paraId="650D784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84,290</w:t>
            </w:r>
          </w:p>
        </w:tc>
        <w:tc>
          <w:tcPr>
            <w:tcW w:w="226" w:type="pct"/>
            <w:tcBorders>
              <w:top w:val="nil"/>
              <w:left w:val="nil"/>
              <w:bottom w:val="nil"/>
              <w:right w:val="nil"/>
            </w:tcBorders>
            <w:shd w:val="clear" w:color="000000" w:fill="FFFFFF"/>
            <w:noWrap/>
            <w:vAlign w:val="bottom"/>
            <w:hideMark/>
          </w:tcPr>
          <w:p w14:paraId="50CB899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2B6A4B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27D50D6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0.27%</w:t>
            </w:r>
          </w:p>
        </w:tc>
        <w:tc>
          <w:tcPr>
            <w:tcW w:w="226" w:type="pct"/>
            <w:tcBorders>
              <w:top w:val="nil"/>
              <w:left w:val="nil"/>
              <w:bottom w:val="nil"/>
              <w:right w:val="nil"/>
            </w:tcBorders>
            <w:shd w:val="clear" w:color="000000" w:fill="FFFFFF"/>
            <w:noWrap/>
            <w:vAlign w:val="bottom"/>
            <w:hideMark/>
          </w:tcPr>
          <w:p w14:paraId="3370ACC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0.41%</w:t>
            </w:r>
          </w:p>
        </w:tc>
        <w:tc>
          <w:tcPr>
            <w:tcW w:w="226" w:type="pct"/>
            <w:tcBorders>
              <w:top w:val="nil"/>
              <w:left w:val="nil"/>
              <w:bottom w:val="nil"/>
              <w:right w:val="nil"/>
            </w:tcBorders>
            <w:shd w:val="clear" w:color="000000" w:fill="FFFFFF"/>
            <w:noWrap/>
            <w:vAlign w:val="bottom"/>
            <w:hideMark/>
          </w:tcPr>
          <w:p w14:paraId="04A1C94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0.67%</w:t>
            </w:r>
          </w:p>
        </w:tc>
        <w:tc>
          <w:tcPr>
            <w:tcW w:w="226" w:type="pct"/>
            <w:tcBorders>
              <w:top w:val="nil"/>
              <w:left w:val="nil"/>
              <w:bottom w:val="nil"/>
              <w:right w:val="nil"/>
            </w:tcBorders>
            <w:shd w:val="clear" w:color="000000" w:fill="FFFFFF"/>
            <w:noWrap/>
            <w:vAlign w:val="bottom"/>
            <w:hideMark/>
          </w:tcPr>
          <w:p w14:paraId="4DB47BD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0.85%</w:t>
            </w:r>
          </w:p>
        </w:tc>
        <w:tc>
          <w:tcPr>
            <w:tcW w:w="226" w:type="pct"/>
            <w:tcBorders>
              <w:top w:val="nil"/>
              <w:left w:val="nil"/>
              <w:bottom w:val="nil"/>
              <w:right w:val="nil"/>
            </w:tcBorders>
            <w:shd w:val="clear" w:color="000000" w:fill="FFFFFF"/>
            <w:noWrap/>
            <w:vAlign w:val="bottom"/>
            <w:hideMark/>
          </w:tcPr>
          <w:p w14:paraId="1FFFE46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1.13%</w:t>
            </w:r>
          </w:p>
        </w:tc>
        <w:tc>
          <w:tcPr>
            <w:tcW w:w="226" w:type="pct"/>
            <w:tcBorders>
              <w:top w:val="nil"/>
              <w:left w:val="nil"/>
              <w:bottom w:val="nil"/>
              <w:right w:val="nil"/>
            </w:tcBorders>
            <w:shd w:val="clear" w:color="000000" w:fill="FFFFFF"/>
            <w:noWrap/>
            <w:vAlign w:val="bottom"/>
            <w:hideMark/>
          </w:tcPr>
          <w:p w14:paraId="36E9786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1.20%</w:t>
            </w:r>
          </w:p>
        </w:tc>
        <w:tc>
          <w:tcPr>
            <w:tcW w:w="226" w:type="pct"/>
            <w:tcBorders>
              <w:top w:val="nil"/>
              <w:left w:val="nil"/>
              <w:bottom w:val="nil"/>
              <w:right w:val="nil"/>
            </w:tcBorders>
            <w:shd w:val="clear" w:color="000000" w:fill="FFFFFF"/>
            <w:noWrap/>
            <w:vAlign w:val="bottom"/>
            <w:hideMark/>
          </w:tcPr>
          <w:p w14:paraId="35BD5B2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1.31%</w:t>
            </w:r>
          </w:p>
        </w:tc>
        <w:tc>
          <w:tcPr>
            <w:tcW w:w="226" w:type="pct"/>
            <w:tcBorders>
              <w:top w:val="nil"/>
              <w:left w:val="nil"/>
              <w:bottom w:val="nil"/>
              <w:right w:val="nil"/>
            </w:tcBorders>
            <w:shd w:val="clear" w:color="000000" w:fill="FFFFFF"/>
            <w:noWrap/>
            <w:vAlign w:val="bottom"/>
            <w:hideMark/>
          </w:tcPr>
          <w:p w14:paraId="3C5F40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1.49%</w:t>
            </w:r>
          </w:p>
        </w:tc>
        <w:tc>
          <w:tcPr>
            <w:tcW w:w="226" w:type="pct"/>
            <w:tcBorders>
              <w:top w:val="nil"/>
              <w:left w:val="nil"/>
              <w:bottom w:val="nil"/>
              <w:right w:val="nil"/>
            </w:tcBorders>
            <w:shd w:val="clear" w:color="000000" w:fill="FFFFFF"/>
            <w:noWrap/>
            <w:vAlign w:val="bottom"/>
            <w:hideMark/>
          </w:tcPr>
          <w:p w14:paraId="2D301FC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1.60%</w:t>
            </w:r>
          </w:p>
        </w:tc>
        <w:tc>
          <w:tcPr>
            <w:tcW w:w="226" w:type="pct"/>
            <w:tcBorders>
              <w:top w:val="nil"/>
              <w:left w:val="nil"/>
              <w:bottom w:val="nil"/>
              <w:right w:val="nil"/>
            </w:tcBorders>
            <w:shd w:val="clear" w:color="000000" w:fill="FFFFFF"/>
            <w:noWrap/>
            <w:vAlign w:val="bottom"/>
            <w:hideMark/>
          </w:tcPr>
          <w:p w14:paraId="2A40EBC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1.73%</w:t>
            </w:r>
          </w:p>
        </w:tc>
        <w:tc>
          <w:tcPr>
            <w:tcW w:w="226" w:type="pct"/>
            <w:tcBorders>
              <w:top w:val="nil"/>
              <w:left w:val="nil"/>
              <w:bottom w:val="nil"/>
              <w:right w:val="nil"/>
            </w:tcBorders>
            <w:shd w:val="clear" w:color="000000" w:fill="FFFFFF"/>
            <w:noWrap/>
            <w:vAlign w:val="bottom"/>
            <w:hideMark/>
          </w:tcPr>
          <w:p w14:paraId="17A288F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1.76%</w:t>
            </w:r>
          </w:p>
        </w:tc>
        <w:tc>
          <w:tcPr>
            <w:tcW w:w="226" w:type="pct"/>
            <w:tcBorders>
              <w:top w:val="nil"/>
              <w:left w:val="nil"/>
              <w:bottom w:val="nil"/>
              <w:right w:val="nil"/>
            </w:tcBorders>
            <w:shd w:val="clear" w:color="000000" w:fill="FFFFFF"/>
            <w:noWrap/>
            <w:vAlign w:val="bottom"/>
            <w:hideMark/>
          </w:tcPr>
          <w:p w14:paraId="516C2FE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1.82%</w:t>
            </w:r>
          </w:p>
        </w:tc>
        <w:tc>
          <w:tcPr>
            <w:tcW w:w="226" w:type="pct"/>
            <w:tcBorders>
              <w:top w:val="nil"/>
              <w:left w:val="nil"/>
              <w:bottom w:val="nil"/>
              <w:right w:val="nil"/>
            </w:tcBorders>
            <w:shd w:val="clear" w:color="000000" w:fill="FFFFFF"/>
            <w:noWrap/>
            <w:vAlign w:val="bottom"/>
            <w:hideMark/>
          </w:tcPr>
          <w:p w14:paraId="3E75E2F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1.91%</w:t>
            </w:r>
          </w:p>
        </w:tc>
        <w:tc>
          <w:tcPr>
            <w:tcW w:w="226" w:type="pct"/>
            <w:tcBorders>
              <w:top w:val="nil"/>
              <w:left w:val="nil"/>
              <w:bottom w:val="nil"/>
              <w:right w:val="nil"/>
            </w:tcBorders>
            <w:shd w:val="clear" w:color="000000" w:fill="FFFFFF"/>
            <w:noWrap/>
            <w:vAlign w:val="bottom"/>
            <w:hideMark/>
          </w:tcPr>
          <w:p w14:paraId="4B9207B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1.93%</w:t>
            </w:r>
          </w:p>
        </w:tc>
      </w:tr>
      <w:tr w:rsidR="006A523F" w:rsidRPr="006A523F" w14:paraId="265622A2" w14:textId="77777777" w:rsidTr="006A523F">
        <w:trPr>
          <w:trHeight w:val="20"/>
        </w:trPr>
        <w:tc>
          <w:tcPr>
            <w:tcW w:w="480" w:type="pct"/>
            <w:tcBorders>
              <w:top w:val="nil"/>
              <w:left w:val="nil"/>
              <w:bottom w:val="nil"/>
              <w:right w:val="nil"/>
            </w:tcBorders>
            <w:shd w:val="clear" w:color="000000" w:fill="FFFFFF"/>
            <w:noWrap/>
            <w:vAlign w:val="center"/>
            <w:hideMark/>
          </w:tcPr>
          <w:p w14:paraId="485A0B6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2013</w:t>
            </w:r>
          </w:p>
        </w:tc>
        <w:tc>
          <w:tcPr>
            <w:tcW w:w="449" w:type="pct"/>
            <w:tcBorders>
              <w:top w:val="nil"/>
              <w:left w:val="nil"/>
              <w:bottom w:val="nil"/>
              <w:right w:val="nil"/>
            </w:tcBorders>
            <w:shd w:val="clear" w:color="000000" w:fill="FFFFFF"/>
            <w:noWrap/>
            <w:vAlign w:val="bottom"/>
            <w:hideMark/>
          </w:tcPr>
          <w:p w14:paraId="417401E6"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2013Q2</w:t>
            </w:r>
          </w:p>
        </w:tc>
        <w:tc>
          <w:tcPr>
            <w:tcW w:w="449" w:type="pct"/>
            <w:tcBorders>
              <w:top w:val="nil"/>
              <w:left w:val="nil"/>
              <w:bottom w:val="nil"/>
              <w:right w:val="nil"/>
            </w:tcBorders>
            <w:shd w:val="clear" w:color="000000" w:fill="FFFFFF"/>
            <w:noWrap/>
            <w:vAlign w:val="center"/>
            <w:hideMark/>
          </w:tcPr>
          <w:p w14:paraId="1A79B71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86,396</w:t>
            </w:r>
          </w:p>
        </w:tc>
        <w:tc>
          <w:tcPr>
            <w:tcW w:w="226" w:type="pct"/>
            <w:tcBorders>
              <w:top w:val="nil"/>
              <w:left w:val="nil"/>
              <w:bottom w:val="nil"/>
              <w:right w:val="nil"/>
            </w:tcBorders>
            <w:shd w:val="clear" w:color="000000" w:fill="FFFFFF"/>
            <w:noWrap/>
            <w:vAlign w:val="bottom"/>
            <w:hideMark/>
          </w:tcPr>
          <w:p w14:paraId="4A719B5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0362067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29FE31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0.29%</w:t>
            </w:r>
          </w:p>
        </w:tc>
        <w:tc>
          <w:tcPr>
            <w:tcW w:w="226" w:type="pct"/>
            <w:tcBorders>
              <w:top w:val="nil"/>
              <w:left w:val="nil"/>
              <w:bottom w:val="nil"/>
              <w:right w:val="nil"/>
            </w:tcBorders>
            <w:shd w:val="clear" w:color="000000" w:fill="FFFFFF"/>
            <w:noWrap/>
            <w:vAlign w:val="bottom"/>
            <w:hideMark/>
          </w:tcPr>
          <w:p w14:paraId="2AD7E8F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0.45%</w:t>
            </w:r>
          </w:p>
        </w:tc>
        <w:tc>
          <w:tcPr>
            <w:tcW w:w="226" w:type="pct"/>
            <w:tcBorders>
              <w:top w:val="nil"/>
              <w:left w:val="nil"/>
              <w:bottom w:val="nil"/>
              <w:right w:val="nil"/>
            </w:tcBorders>
            <w:shd w:val="clear" w:color="000000" w:fill="FFFFFF"/>
            <w:noWrap/>
            <w:vAlign w:val="bottom"/>
            <w:hideMark/>
          </w:tcPr>
          <w:p w14:paraId="3810E5A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0.58%</w:t>
            </w:r>
          </w:p>
        </w:tc>
        <w:tc>
          <w:tcPr>
            <w:tcW w:w="226" w:type="pct"/>
            <w:tcBorders>
              <w:top w:val="nil"/>
              <w:left w:val="nil"/>
              <w:bottom w:val="nil"/>
              <w:right w:val="nil"/>
            </w:tcBorders>
            <w:shd w:val="clear" w:color="000000" w:fill="FFFFFF"/>
            <w:noWrap/>
            <w:vAlign w:val="bottom"/>
            <w:hideMark/>
          </w:tcPr>
          <w:p w14:paraId="7B47320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0.72%</w:t>
            </w:r>
          </w:p>
        </w:tc>
        <w:tc>
          <w:tcPr>
            <w:tcW w:w="226" w:type="pct"/>
            <w:tcBorders>
              <w:top w:val="nil"/>
              <w:left w:val="nil"/>
              <w:bottom w:val="nil"/>
              <w:right w:val="nil"/>
            </w:tcBorders>
            <w:shd w:val="clear" w:color="000000" w:fill="FFFFFF"/>
            <w:noWrap/>
            <w:vAlign w:val="bottom"/>
            <w:hideMark/>
          </w:tcPr>
          <w:p w14:paraId="755701C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0.86%</w:t>
            </w:r>
          </w:p>
        </w:tc>
        <w:tc>
          <w:tcPr>
            <w:tcW w:w="226" w:type="pct"/>
            <w:tcBorders>
              <w:top w:val="nil"/>
              <w:left w:val="nil"/>
              <w:bottom w:val="nil"/>
              <w:right w:val="nil"/>
            </w:tcBorders>
            <w:shd w:val="clear" w:color="000000" w:fill="FFFFFF"/>
            <w:noWrap/>
            <w:vAlign w:val="bottom"/>
            <w:hideMark/>
          </w:tcPr>
          <w:p w14:paraId="25EBCA7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1.28%</w:t>
            </w:r>
          </w:p>
        </w:tc>
        <w:tc>
          <w:tcPr>
            <w:tcW w:w="226" w:type="pct"/>
            <w:tcBorders>
              <w:top w:val="nil"/>
              <w:left w:val="nil"/>
              <w:bottom w:val="nil"/>
              <w:right w:val="nil"/>
            </w:tcBorders>
            <w:shd w:val="clear" w:color="000000" w:fill="FFFFFF"/>
            <w:noWrap/>
            <w:vAlign w:val="bottom"/>
            <w:hideMark/>
          </w:tcPr>
          <w:p w14:paraId="61C41B3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1.43%</w:t>
            </w:r>
          </w:p>
        </w:tc>
        <w:tc>
          <w:tcPr>
            <w:tcW w:w="226" w:type="pct"/>
            <w:tcBorders>
              <w:top w:val="nil"/>
              <w:left w:val="nil"/>
              <w:bottom w:val="nil"/>
              <w:right w:val="nil"/>
            </w:tcBorders>
            <w:shd w:val="clear" w:color="000000" w:fill="FFFFFF"/>
            <w:noWrap/>
            <w:vAlign w:val="bottom"/>
            <w:hideMark/>
          </w:tcPr>
          <w:p w14:paraId="3B54E5D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1.73%</w:t>
            </w:r>
          </w:p>
        </w:tc>
        <w:tc>
          <w:tcPr>
            <w:tcW w:w="226" w:type="pct"/>
            <w:tcBorders>
              <w:top w:val="nil"/>
              <w:left w:val="nil"/>
              <w:bottom w:val="nil"/>
              <w:right w:val="nil"/>
            </w:tcBorders>
            <w:shd w:val="clear" w:color="000000" w:fill="FFFFFF"/>
            <w:noWrap/>
            <w:vAlign w:val="bottom"/>
            <w:hideMark/>
          </w:tcPr>
          <w:p w14:paraId="430279A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1.93%</w:t>
            </w:r>
          </w:p>
        </w:tc>
        <w:tc>
          <w:tcPr>
            <w:tcW w:w="226" w:type="pct"/>
            <w:tcBorders>
              <w:top w:val="nil"/>
              <w:left w:val="nil"/>
              <w:bottom w:val="nil"/>
              <w:right w:val="nil"/>
            </w:tcBorders>
            <w:shd w:val="clear" w:color="000000" w:fill="FFFFFF"/>
            <w:noWrap/>
            <w:vAlign w:val="bottom"/>
            <w:hideMark/>
          </w:tcPr>
          <w:p w14:paraId="5101712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2.09%</w:t>
            </w:r>
          </w:p>
        </w:tc>
        <w:tc>
          <w:tcPr>
            <w:tcW w:w="226" w:type="pct"/>
            <w:tcBorders>
              <w:top w:val="nil"/>
              <w:left w:val="nil"/>
              <w:bottom w:val="nil"/>
              <w:right w:val="nil"/>
            </w:tcBorders>
            <w:shd w:val="clear" w:color="000000" w:fill="FFFFFF"/>
            <w:noWrap/>
            <w:vAlign w:val="bottom"/>
            <w:hideMark/>
          </w:tcPr>
          <w:p w14:paraId="3F5FBB1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2.22%</w:t>
            </w:r>
          </w:p>
        </w:tc>
        <w:tc>
          <w:tcPr>
            <w:tcW w:w="226" w:type="pct"/>
            <w:tcBorders>
              <w:top w:val="nil"/>
              <w:left w:val="nil"/>
              <w:bottom w:val="nil"/>
              <w:right w:val="nil"/>
            </w:tcBorders>
            <w:shd w:val="clear" w:color="000000" w:fill="FFFFFF"/>
            <w:noWrap/>
            <w:vAlign w:val="bottom"/>
            <w:hideMark/>
          </w:tcPr>
          <w:p w14:paraId="56984E5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2.27%</w:t>
            </w:r>
          </w:p>
        </w:tc>
        <w:tc>
          <w:tcPr>
            <w:tcW w:w="226" w:type="pct"/>
            <w:tcBorders>
              <w:top w:val="nil"/>
              <w:left w:val="nil"/>
              <w:bottom w:val="nil"/>
              <w:right w:val="nil"/>
            </w:tcBorders>
            <w:shd w:val="clear" w:color="000000" w:fill="FFFFFF"/>
            <w:noWrap/>
            <w:vAlign w:val="bottom"/>
            <w:hideMark/>
          </w:tcPr>
          <w:p w14:paraId="2C0277A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2.37%</w:t>
            </w:r>
          </w:p>
        </w:tc>
        <w:tc>
          <w:tcPr>
            <w:tcW w:w="226" w:type="pct"/>
            <w:tcBorders>
              <w:top w:val="nil"/>
              <w:left w:val="nil"/>
              <w:bottom w:val="nil"/>
              <w:right w:val="nil"/>
            </w:tcBorders>
            <w:shd w:val="clear" w:color="000000" w:fill="FFFFFF"/>
            <w:noWrap/>
            <w:vAlign w:val="bottom"/>
            <w:hideMark/>
          </w:tcPr>
          <w:p w14:paraId="75B470B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2.41%</w:t>
            </w:r>
          </w:p>
        </w:tc>
      </w:tr>
      <w:tr w:rsidR="006A523F" w:rsidRPr="006A523F" w14:paraId="535B5B31" w14:textId="77777777" w:rsidTr="006A523F">
        <w:trPr>
          <w:trHeight w:val="20"/>
        </w:trPr>
        <w:tc>
          <w:tcPr>
            <w:tcW w:w="480" w:type="pct"/>
            <w:tcBorders>
              <w:top w:val="nil"/>
              <w:left w:val="nil"/>
              <w:bottom w:val="nil"/>
              <w:right w:val="nil"/>
            </w:tcBorders>
            <w:shd w:val="clear" w:color="000000" w:fill="FFFFFF"/>
            <w:noWrap/>
            <w:vAlign w:val="center"/>
            <w:hideMark/>
          </w:tcPr>
          <w:p w14:paraId="517B7332"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2013</w:t>
            </w:r>
          </w:p>
        </w:tc>
        <w:tc>
          <w:tcPr>
            <w:tcW w:w="449" w:type="pct"/>
            <w:tcBorders>
              <w:top w:val="nil"/>
              <w:left w:val="nil"/>
              <w:bottom w:val="nil"/>
              <w:right w:val="nil"/>
            </w:tcBorders>
            <w:shd w:val="clear" w:color="000000" w:fill="FFFFFF"/>
            <w:noWrap/>
            <w:vAlign w:val="bottom"/>
            <w:hideMark/>
          </w:tcPr>
          <w:p w14:paraId="07FF36E9"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2013Q3</w:t>
            </w:r>
          </w:p>
        </w:tc>
        <w:tc>
          <w:tcPr>
            <w:tcW w:w="449" w:type="pct"/>
            <w:tcBorders>
              <w:top w:val="nil"/>
              <w:left w:val="nil"/>
              <w:bottom w:val="nil"/>
              <w:right w:val="nil"/>
            </w:tcBorders>
            <w:shd w:val="clear" w:color="000000" w:fill="FFFFFF"/>
            <w:noWrap/>
            <w:vAlign w:val="center"/>
            <w:hideMark/>
          </w:tcPr>
          <w:p w14:paraId="64EA31C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85,276</w:t>
            </w:r>
          </w:p>
        </w:tc>
        <w:tc>
          <w:tcPr>
            <w:tcW w:w="226" w:type="pct"/>
            <w:tcBorders>
              <w:top w:val="nil"/>
              <w:left w:val="nil"/>
              <w:bottom w:val="nil"/>
              <w:right w:val="nil"/>
            </w:tcBorders>
            <w:shd w:val="clear" w:color="000000" w:fill="FFFFFF"/>
            <w:noWrap/>
            <w:vAlign w:val="bottom"/>
            <w:hideMark/>
          </w:tcPr>
          <w:p w14:paraId="078494C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044C8F4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0.07%</w:t>
            </w:r>
          </w:p>
        </w:tc>
        <w:tc>
          <w:tcPr>
            <w:tcW w:w="226" w:type="pct"/>
            <w:tcBorders>
              <w:top w:val="nil"/>
              <w:left w:val="nil"/>
              <w:bottom w:val="nil"/>
              <w:right w:val="nil"/>
            </w:tcBorders>
            <w:shd w:val="clear" w:color="000000" w:fill="FFFFFF"/>
            <w:noWrap/>
            <w:vAlign w:val="bottom"/>
            <w:hideMark/>
          </w:tcPr>
          <w:p w14:paraId="082264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2A6BC41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0.33%</w:t>
            </w:r>
          </w:p>
        </w:tc>
        <w:tc>
          <w:tcPr>
            <w:tcW w:w="226" w:type="pct"/>
            <w:tcBorders>
              <w:top w:val="nil"/>
              <w:left w:val="nil"/>
              <w:bottom w:val="nil"/>
              <w:right w:val="nil"/>
            </w:tcBorders>
            <w:shd w:val="clear" w:color="000000" w:fill="FFFFFF"/>
            <w:noWrap/>
            <w:vAlign w:val="bottom"/>
            <w:hideMark/>
          </w:tcPr>
          <w:p w14:paraId="034E509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0.55%</w:t>
            </w:r>
          </w:p>
        </w:tc>
        <w:tc>
          <w:tcPr>
            <w:tcW w:w="226" w:type="pct"/>
            <w:tcBorders>
              <w:top w:val="nil"/>
              <w:left w:val="nil"/>
              <w:bottom w:val="nil"/>
              <w:right w:val="nil"/>
            </w:tcBorders>
            <w:shd w:val="clear" w:color="000000" w:fill="FFFFFF"/>
            <w:noWrap/>
            <w:vAlign w:val="bottom"/>
            <w:hideMark/>
          </w:tcPr>
          <w:p w14:paraId="6E7781F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0.74%</w:t>
            </w:r>
          </w:p>
        </w:tc>
        <w:tc>
          <w:tcPr>
            <w:tcW w:w="226" w:type="pct"/>
            <w:tcBorders>
              <w:top w:val="nil"/>
              <w:left w:val="nil"/>
              <w:bottom w:val="nil"/>
              <w:right w:val="nil"/>
            </w:tcBorders>
            <w:shd w:val="clear" w:color="000000" w:fill="FFFFFF"/>
            <w:noWrap/>
            <w:vAlign w:val="bottom"/>
            <w:hideMark/>
          </w:tcPr>
          <w:p w14:paraId="79C1758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1.00%</w:t>
            </w:r>
          </w:p>
        </w:tc>
        <w:tc>
          <w:tcPr>
            <w:tcW w:w="226" w:type="pct"/>
            <w:tcBorders>
              <w:top w:val="nil"/>
              <w:left w:val="nil"/>
              <w:bottom w:val="nil"/>
              <w:right w:val="nil"/>
            </w:tcBorders>
            <w:shd w:val="clear" w:color="000000" w:fill="FFFFFF"/>
            <w:noWrap/>
            <w:vAlign w:val="bottom"/>
            <w:hideMark/>
          </w:tcPr>
          <w:p w14:paraId="0DC7F2E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1.21%</w:t>
            </w:r>
          </w:p>
        </w:tc>
        <w:tc>
          <w:tcPr>
            <w:tcW w:w="226" w:type="pct"/>
            <w:tcBorders>
              <w:top w:val="nil"/>
              <w:left w:val="nil"/>
              <w:bottom w:val="nil"/>
              <w:right w:val="nil"/>
            </w:tcBorders>
            <w:shd w:val="clear" w:color="000000" w:fill="FFFFFF"/>
            <w:noWrap/>
            <w:vAlign w:val="bottom"/>
            <w:hideMark/>
          </w:tcPr>
          <w:p w14:paraId="4ABE367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1.35%</w:t>
            </w:r>
          </w:p>
        </w:tc>
        <w:tc>
          <w:tcPr>
            <w:tcW w:w="226" w:type="pct"/>
            <w:tcBorders>
              <w:top w:val="nil"/>
              <w:left w:val="nil"/>
              <w:bottom w:val="nil"/>
              <w:right w:val="nil"/>
            </w:tcBorders>
            <w:shd w:val="clear" w:color="000000" w:fill="FFFFFF"/>
            <w:noWrap/>
            <w:vAlign w:val="bottom"/>
            <w:hideMark/>
          </w:tcPr>
          <w:p w14:paraId="7E3BABE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1.53%</w:t>
            </w:r>
          </w:p>
        </w:tc>
        <w:tc>
          <w:tcPr>
            <w:tcW w:w="226" w:type="pct"/>
            <w:tcBorders>
              <w:top w:val="nil"/>
              <w:left w:val="nil"/>
              <w:bottom w:val="nil"/>
              <w:right w:val="nil"/>
            </w:tcBorders>
            <w:shd w:val="clear" w:color="000000" w:fill="FFFFFF"/>
            <w:noWrap/>
            <w:vAlign w:val="bottom"/>
            <w:hideMark/>
          </w:tcPr>
          <w:p w14:paraId="523E736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1.71%</w:t>
            </w:r>
          </w:p>
        </w:tc>
        <w:tc>
          <w:tcPr>
            <w:tcW w:w="226" w:type="pct"/>
            <w:tcBorders>
              <w:top w:val="nil"/>
              <w:left w:val="nil"/>
              <w:bottom w:val="nil"/>
              <w:right w:val="nil"/>
            </w:tcBorders>
            <w:shd w:val="clear" w:color="000000" w:fill="FFFFFF"/>
            <w:noWrap/>
            <w:vAlign w:val="bottom"/>
            <w:hideMark/>
          </w:tcPr>
          <w:p w14:paraId="40DD9F4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1.80%</w:t>
            </w:r>
          </w:p>
        </w:tc>
        <w:tc>
          <w:tcPr>
            <w:tcW w:w="226" w:type="pct"/>
            <w:tcBorders>
              <w:top w:val="nil"/>
              <w:left w:val="nil"/>
              <w:bottom w:val="nil"/>
              <w:right w:val="nil"/>
            </w:tcBorders>
            <w:shd w:val="clear" w:color="000000" w:fill="FFFFFF"/>
            <w:noWrap/>
            <w:vAlign w:val="bottom"/>
            <w:hideMark/>
          </w:tcPr>
          <w:p w14:paraId="1133C8A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1.90%</w:t>
            </w:r>
          </w:p>
        </w:tc>
        <w:tc>
          <w:tcPr>
            <w:tcW w:w="226" w:type="pct"/>
            <w:tcBorders>
              <w:top w:val="nil"/>
              <w:left w:val="nil"/>
              <w:bottom w:val="nil"/>
              <w:right w:val="nil"/>
            </w:tcBorders>
            <w:shd w:val="clear" w:color="000000" w:fill="FFFFFF"/>
            <w:noWrap/>
            <w:vAlign w:val="bottom"/>
            <w:hideMark/>
          </w:tcPr>
          <w:p w14:paraId="0AA6479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1.99%</w:t>
            </w:r>
          </w:p>
        </w:tc>
        <w:tc>
          <w:tcPr>
            <w:tcW w:w="226" w:type="pct"/>
            <w:tcBorders>
              <w:top w:val="nil"/>
              <w:left w:val="nil"/>
              <w:bottom w:val="nil"/>
              <w:right w:val="nil"/>
            </w:tcBorders>
            <w:shd w:val="clear" w:color="000000" w:fill="FFFFFF"/>
            <w:noWrap/>
            <w:vAlign w:val="bottom"/>
            <w:hideMark/>
          </w:tcPr>
          <w:p w14:paraId="2814AB1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2.05%</w:t>
            </w:r>
          </w:p>
        </w:tc>
        <w:tc>
          <w:tcPr>
            <w:tcW w:w="226" w:type="pct"/>
            <w:tcBorders>
              <w:top w:val="nil"/>
              <w:left w:val="nil"/>
              <w:bottom w:val="nil"/>
              <w:right w:val="nil"/>
            </w:tcBorders>
            <w:shd w:val="clear" w:color="000000" w:fill="FFFFFF"/>
            <w:noWrap/>
            <w:vAlign w:val="bottom"/>
            <w:hideMark/>
          </w:tcPr>
          <w:p w14:paraId="3BF57A2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2.11%</w:t>
            </w:r>
          </w:p>
        </w:tc>
      </w:tr>
      <w:tr w:rsidR="006A523F" w:rsidRPr="006A523F" w14:paraId="53FF9DC3" w14:textId="77777777" w:rsidTr="006A523F">
        <w:trPr>
          <w:trHeight w:val="20"/>
        </w:trPr>
        <w:tc>
          <w:tcPr>
            <w:tcW w:w="480" w:type="pct"/>
            <w:tcBorders>
              <w:top w:val="nil"/>
              <w:left w:val="nil"/>
              <w:bottom w:val="nil"/>
              <w:right w:val="nil"/>
            </w:tcBorders>
            <w:shd w:val="clear" w:color="000000" w:fill="FFFFFF"/>
            <w:noWrap/>
            <w:vAlign w:val="center"/>
            <w:hideMark/>
          </w:tcPr>
          <w:p w14:paraId="72C655C4"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2013</w:t>
            </w:r>
          </w:p>
        </w:tc>
        <w:tc>
          <w:tcPr>
            <w:tcW w:w="449" w:type="pct"/>
            <w:tcBorders>
              <w:top w:val="nil"/>
              <w:left w:val="nil"/>
              <w:bottom w:val="nil"/>
              <w:right w:val="nil"/>
            </w:tcBorders>
            <w:shd w:val="clear" w:color="000000" w:fill="FFFFFF"/>
            <w:noWrap/>
            <w:vAlign w:val="bottom"/>
            <w:hideMark/>
          </w:tcPr>
          <w:p w14:paraId="3DD540C8"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2013Q4</w:t>
            </w:r>
          </w:p>
        </w:tc>
        <w:tc>
          <w:tcPr>
            <w:tcW w:w="449" w:type="pct"/>
            <w:tcBorders>
              <w:top w:val="nil"/>
              <w:left w:val="nil"/>
              <w:bottom w:val="nil"/>
              <w:right w:val="nil"/>
            </w:tcBorders>
            <w:shd w:val="clear" w:color="000000" w:fill="FFFFFF"/>
            <w:noWrap/>
            <w:vAlign w:val="center"/>
            <w:hideMark/>
          </w:tcPr>
          <w:p w14:paraId="392306C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88,198</w:t>
            </w:r>
          </w:p>
        </w:tc>
        <w:tc>
          <w:tcPr>
            <w:tcW w:w="226" w:type="pct"/>
            <w:tcBorders>
              <w:top w:val="nil"/>
              <w:left w:val="nil"/>
              <w:bottom w:val="nil"/>
              <w:right w:val="nil"/>
            </w:tcBorders>
            <w:shd w:val="clear" w:color="000000" w:fill="FFFFFF"/>
            <w:noWrap/>
            <w:vAlign w:val="bottom"/>
            <w:hideMark/>
          </w:tcPr>
          <w:p w14:paraId="0FC8F7F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2BDE4EA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0.09%</w:t>
            </w:r>
          </w:p>
        </w:tc>
        <w:tc>
          <w:tcPr>
            <w:tcW w:w="226" w:type="pct"/>
            <w:tcBorders>
              <w:top w:val="nil"/>
              <w:left w:val="nil"/>
              <w:bottom w:val="nil"/>
              <w:right w:val="nil"/>
            </w:tcBorders>
            <w:shd w:val="clear" w:color="000000" w:fill="FFFFFF"/>
            <w:noWrap/>
            <w:vAlign w:val="bottom"/>
            <w:hideMark/>
          </w:tcPr>
          <w:p w14:paraId="0A7BF07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0.29%</w:t>
            </w:r>
          </w:p>
        </w:tc>
        <w:tc>
          <w:tcPr>
            <w:tcW w:w="226" w:type="pct"/>
            <w:tcBorders>
              <w:top w:val="nil"/>
              <w:left w:val="nil"/>
              <w:bottom w:val="nil"/>
              <w:right w:val="nil"/>
            </w:tcBorders>
            <w:shd w:val="clear" w:color="000000" w:fill="FFFFFF"/>
            <w:noWrap/>
            <w:vAlign w:val="bottom"/>
            <w:hideMark/>
          </w:tcPr>
          <w:p w14:paraId="4FC443D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0.49%</w:t>
            </w:r>
          </w:p>
        </w:tc>
        <w:tc>
          <w:tcPr>
            <w:tcW w:w="226" w:type="pct"/>
            <w:tcBorders>
              <w:top w:val="nil"/>
              <w:left w:val="nil"/>
              <w:bottom w:val="nil"/>
              <w:right w:val="nil"/>
            </w:tcBorders>
            <w:shd w:val="clear" w:color="000000" w:fill="FFFFFF"/>
            <w:noWrap/>
            <w:vAlign w:val="bottom"/>
            <w:hideMark/>
          </w:tcPr>
          <w:p w14:paraId="376A932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0.61%</w:t>
            </w:r>
          </w:p>
        </w:tc>
        <w:tc>
          <w:tcPr>
            <w:tcW w:w="226" w:type="pct"/>
            <w:tcBorders>
              <w:top w:val="nil"/>
              <w:left w:val="nil"/>
              <w:bottom w:val="nil"/>
              <w:right w:val="nil"/>
            </w:tcBorders>
            <w:shd w:val="clear" w:color="000000" w:fill="FFFFFF"/>
            <w:noWrap/>
            <w:vAlign w:val="bottom"/>
            <w:hideMark/>
          </w:tcPr>
          <w:p w14:paraId="0E9CEE8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0.75%</w:t>
            </w:r>
          </w:p>
        </w:tc>
        <w:tc>
          <w:tcPr>
            <w:tcW w:w="226" w:type="pct"/>
            <w:tcBorders>
              <w:top w:val="nil"/>
              <w:left w:val="nil"/>
              <w:bottom w:val="nil"/>
              <w:right w:val="nil"/>
            </w:tcBorders>
            <w:shd w:val="clear" w:color="000000" w:fill="FFFFFF"/>
            <w:noWrap/>
            <w:vAlign w:val="bottom"/>
            <w:hideMark/>
          </w:tcPr>
          <w:p w14:paraId="357882D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0.92%</w:t>
            </w:r>
          </w:p>
        </w:tc>
        <w:tc>
          <w:tcPr>
            <w:tcW w:w="226" w:type="pct"/>
            <w:tcBorders>
              <w:top w:val="nil"/>
              <w:left w:val="nil"/>
              <w:bottom w:val="nil"/>
              <w:right w:val="nil"/>
            </w:tcBorders>
            <w:shd w:val="clear" w:color="000000" w:fill="FFFFFF"/>
            <w:noWrap/>
            <w:vAlign w:val="bottom"/>
            <w:hideMark/>
          </w:tcPr>
          <w:p w14:paraId="6B3F85D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1.04%</w:t>
            </w:r>
          </w:p>
        </w:tc>
        <w:tc>
          <w:tcPr>
            <w:tcW w:w="226" w:type="pct"/>
            <w:tcBorders>
              <w:top w:val="nil"/>
              <w:left w:val="nil"/>
              <w:bottom w:val="nil"/>
              <w:right w:val="nil"/>
            </w:tcBorders>
            <w:shd w:val="clear" w:color="000000" w:fill="FFFFFF"/>
            <w:noWrap/>
            <w:vAlign w:val="bottom"/>
            <w:hideMark/>
          </w:tcPr>
          <w:p w14:paraId="7EFE2A8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1.26%</w:t>
            </w:r>
          </w:p>
        </w:tc>
        <w:tc>
          <w:tcPr>
            <w:tcW w:w="226" w:type="pct"/>
            <w:tcBorders>
              <w:top w:val="nil"/>
              <w:left w:val="nil"/>
              <w:bottom w:val="nil"/>
              <w:right w:val="nil"/>
            </w:tcBorders>
            <w:shd w:val="clear" w:color="000000" w:fill="FFFFFF"/>
            <w:noWrap/>
            <w:vAlign w:val="bottom"/>
            <w:hideMark/>
          </w:tcPr>
          <w:p w14:paraId="77B2311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1.36%</w:t>
            </w:r>
          </w:p>
        </w:tc>
        <w:tc>
          <w:tcPr>
            <w:tcW w:w="226" w:type="pct"/>
            <w:tcBorders>
              <w:top w:val="nil"/>
              <w:left w:val="nil"/>
              <w:bottom w:val="nil"/>
              <w:right w:val="nil"/>
            </w:tcBorders>
            <w:shd w:val="clear" w:color="000000" w:fill="FFFFFF"/>
            <w:noWrap/>
            <w:vAlign w:val="bottom"/>
            <w:hideMark/>
          </w:tcPr>
          <w:p w14:paraId="0A132F0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1.57%</w:t>
            </w:r>
          </w:p>
        </w:tc>
        <w:tc>
          <w:tcPr>
            <w:tcW w:w="226" w:type="pct"/>
            <w:tcBorders>
              <w:top w:val="nil"/>
              <w:left w:val="nil"/>
              <w:bottom w:val="nil"/>
              <w:right w:val="nil"/>
            </w:tcBorders>
            <w:shd w:val="clear" w:color="000000" w:fill="FFFFFF"/>
            <w:noWrap/>
            <w:vAlign w:val="bottom"/>
            <w:hideMark/>
          </w:tcPr>
          <w:p w14:paraId="1D00055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1.62%</w:t>
            </w:r>
          </w:p>
        </w:tc>
        <w:tc>
          <w:tcPr>
            <w:tcW w:w="226" w:type="pct"/>
            <w:tcBorders>
              <w:top w:val="nil"/>
              <w:left w:val="nil"/>
              <w:bottom w:val="nil"/>
              <w:right w:val="nil"/>
            </w:tcBorders>
            <w:shd w:val="clear" w:color="000000" w:fill="FFFFFF"/>
            <w:noWrap/>
            <w:vAlign w:val="bottom"/>
            <w:hideMark/>
          </w:tcPr>
          <w:p w14:paraId="24DAE19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1.73%</w:t>
            </w:r>
          </w:p>
        </w:tc>
        <w:tc>
          <w:tcPr>
            <w:tcW w:w="226" w:type="pct"/>
            <w:tcBorders>
              <w:top w:val="nil"/>
              <w:left w:val="nil"/>
              <w:bottom w:val="nil"/>
              <w:right w:val="nil"/>
            </w:tcBorders>
            <w:shd w:val="clear" w:color="000000" w:fill="FFFFFF"/>
            <w:noWrap/>
            <w:vAlign w:val="bottom"/>
            <w:hideMark/>
          </w:tcPr>
          <w:p w14:paraId="7C0CE35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1.82%</w:t>
            </w:r>
          </w:p>
        </w:tc>
        <w:tc>
          <w:tcPr>
            <w:tcW w:w="226" w:type="pct"/>
            <w:tcBorders>
              <w:top w:val="nil"/>
              <w:left w:val="nil"/>
              <w:bottom w:val="nil"/>
              <w:right w:val="nil"/>
            </w:tcBorders>
            <w:shd w:val="clear" w:color="000000" w:fill="FFFFFF"/>
            <w:noWrap/>
            <w:vAlign w:val="bottom"/>
            <w:hideMark/>
          </w:tcPr>
          <w:p w14:paraId="1579CAF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1.91%</w:t>
            </w:r>
          </w:p>
        </w:tc>
        <w:tc>
          <w:tcPr>
            <w:tcW w:w="226" w:type="pct"/>
            <w:tcBorders>
              <w:top w:val="nil"/>
              <w:left w:val="nil"/>
              <w:bottom w:val="nil"/>
              <w:right w:val="nil"/>
            </w:tcBorders>
            <w:shd w:val="clear" w:color="000000" w:fill="FFFFFF"/>
            <w:noWrap/>
            <w:vAlign w:val="bottom"/>
            <w:hideMark/>
          </w:tcPr>
          <w:p w14:paraId="7C6BF0B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1.97%</w:t>
            </w:r>
          </w:p>
        </w:tc>
      </w:tr>
      <w:tr w:rsidR="006A523F" w:rsidRPr="006A523F" w14:paraId="357E67D2" w14:textId="77777777" w:rsidTr="006A523F">
        <w:trPr>
          <w:trHeight w:val="20"/>
        </w:trPr>
        <w:tc>
          <w:tcPr>
            <w:tcW w:w="480" w:type="pct"/>
            <w:tcBorders>
              <w:top w:val="nil"/>
              <w:left w:val="nil"/>
              <w:bottom w:val="nil"/>
              <w:right w:val="nil"/>
            </w:tcBorders>
            <w:shd w:val="clear" w:color="000000" w:fill="FFFFFF"/>
            <w:noWrap/>
            <w:vAlign w:val="center"/>
            <w:hideMark/>
          </w:tcPr>
          <w:p w14:paraId="10541BAF"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2014</w:t>
            </w:r>
          </w:p>
        </w:tc>
        <w:tc>
          <w:tcPr>
            <w:tcW w:w="449" w:type="pct"/>
            <w:tcBorders>
              <w:top w:val="nil"/>
              <w:left w:val="nil"/>
              <w:bottom w:val="nil"/>
              <w:right w:val="nil"/>
            </w:tcBorders>
            <w:shd w:val="clear" w:color="000000" w:fill="FFFFFF"/>
            <w:noWrap/>
            <w:vAlign w:val="bottom"/>
            <w:hideMark/>
          </w:tcPr>
          <w:p w14:paraId="05B6B3E3"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2014Q1</w:t>
            </w:r>
          </w:p>
        </w:tc>
        <w:tc>
          <w:tcPr>
            <w:tcW w:w="449" w:type="pct"/>
            <w:tcBorders>
              <w:top w:val="nil"/>
              <w:left w:val="nil"/>
              <w:bottom w:val="nil"/>
              <w:right w:val="nil"/>
            </w:tcBorders>
            <w:shd w:val="clear" w:color="000000" w:fill="FFFFFF"/>
            <w:noWrap/>
            <w:vAlign w:val="center"/>
            <w:hideMark/>
          </w:tcPr>
          <w:p w14:paraId="4D1FBE7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80,654</w:t>
            </w:r>
          </w:p>
        </w:tc>
        <w:tc>
          <w:tcPr>
            <w:tcW w:w="226" w:type="pct"/>
            <w:tcBorders>
              <w:top w:val="nil"/>
              <w:left w:val="nil"/>
              <w:bottom w:val="nil"/>
              <w:right w:val="nil"/>
            </w:tcBorders>
            <w:shd w:val="clear" w:color="000000" w:fill="FFFFFF"/>
            <w:noWrap/>
            <w:vAlign w:val="bottom"/>
            <w:hideMark/>
          </w:tcPr>
          <w:p w14:paraId="55DBB5F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8E1E9C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3DD15D1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0.24%</w:t>
            </w:r>
          </w:p>
        </w:tc>
        <w:tc>
          <w:tcPr>
            <w:tcW w:w="226" w:type="pct"/>
            <w:tcBorders>
              <w:top w:val="nil"/>
              <w:left w:val="nil"/>
              <w:bottom w:val="nil"/>
              <w:right w:val="nil"/>
            </w:tcBorders>
            <w:shd w:val="clear" w:color="000000" w:fill="FFFFFF"/>
            <w:noWrap/>
            <w:vAlign w:val="bottom"/>
            <w:hideMark/>
          </w:tcPr>
          <w:p w14:paraId="23ED1C3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5A6124A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0.58%</w:t>
            </w:r>
          </w:p>
        </w:tc>
        <w:tc>
          <w:tcPr>
            <w:tcW w:w="226" w:type="pct"/>
            <w:tcBorders>
              <w:top w:val="nil"/>
              <w:left w:val="nil"/>
              <w:bottom w:val="nil"/>
              <w:right w:val="nil"/>
            </w:tcBorders>
            <w:shd w:val="clear" w:color="000000" w:fill="FFFFFF"/>
            <w:noWrap/>
            <w:vAlign w:val="bottom"/>
            <w:hideMark/>
          </w:tcPr>
          <w:p w14:paraId="5BC8FCD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0.74%</w:t>
            </w:r>
          </w:p>
        </w:tc>
        <w:tc>
          <w:tcPr>
            <w:tcW w:w="226" w:type="pct"/>
            <w:tcBorders>
              <w:top w:val="nil"/>
              <w:left w:val="nil"/>
              <w:bottom w:val="nil"/>
              <w:right w:val="nil"/>
            </w:tcBorders>
            <w:shd w:val="clear" w:color="000000" w:fill="FFFFFF"/>
            <w:noWrap/>
            <w:vAlign w:val="bottom"/>
            <w:hideMark/>
          </w:tcPr>
          <w:p w14:paraId="489928A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0.85%</w:t>
            </w:r>
          </w:p>
        </w:tc>
        <w:tc>
          <w:tcPr>
            <w:tcW w:w="226" w:type="pct"/>
            <w:tcBorders>
              <w:top w:val="nil"/>
              <w:left w:val="nil"/>
              <w:bottom w:val="nil"/>
              <w:right w:val="nil"/>
            </w:tcBorders>
            <w:shd w:val="clear" w:color="000000" w:fill="FFFFFF"/>
            <w:noWrap/>
            <w:vAlign w:val="bottom"/>
            <w:hideMark/>
          </w:tcPr>
          <w:p w14:paraId="36B8CF3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0.99%</w:t>
            </w:r>
          </w:p>
        </w:tc>
        <w:tc>
          <w:tcPr>
            <w:tcW w:w="226" w:type="pct"/>
            <w:tcBorders>
              <w:top w:val="nil"/>
              <w:left w:val="nil"/>
              <w:bottom w:val="nil"/>
              <w:right w:val="nil"/>
            </w:tcBorders>
            <w:shd w:val="clear" w:color="000000" w:fill="FFFFFF"/>
            <w:noWrap/>
            <w:vAlign w:val="bottom"/>
            <w:hideMark/>
          </w:tcPr>
          <w:p w14:paraId="6AF1DD7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1.15%</w:t>
            </w:r>
          </w:p>
        </w:tc>
        <w:tc>
          <w:tcPr>
            <w:tcW w:w="226" w:type="pct"/>
            <w:tcBorders>
              <w:top w:val="nil"/>
              <w:left w:val="nil"/>
              <w:bottom w:val="nil"/>
              <w:right w:val="nil"/>
            </w:tcBorders>
            <w:shd w:val="clear" w:color="000000" w:fill="FFFFFF"/>
            <w:noWrap/>
            <w:vAlign w:val="bottom"/>
            <w:hideMark/>
          </w:tcPr>
          <w:p w14:paraId="5BCB48A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1.41%</w:t>
            </w:r>
          </w:p>
        </w:tc>
        <w:tc>
          <w:tcPr>
            <w:tcW w:w="226" w:type="pct"/>
            <w:tcBorders>
              <w:top w:val="nil"/>
              <w:left w:val="nil"/>
              <w:bottom w:val="nil"/>
              <w:right w:val="nil"/>
            </w:tcBorders>
            <w:shd w:val="clear" w:color="000000" w:fill="FFFFFF"/>
            <w:noWrap/>
            <w:vAlign w:val="bottom"/>
            <w:hideMark/>
          </w:tcPr>
          <w:p w14:paraId="20AED75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1.55%</w:t>
            </w:r>
          </w:p>
        </w:tc>
        <w:tc>
          <w:tcPr>
            <w:tcW w:w="226" w:type="pct"/>
            <w:tcBorders>
              <w:top w:val="nil"/>
              <w:left w:val="nil"/>
              <w:bottom w:val="nil"/>
              <w:right w:val="nil"/>
            </w:tcBorders>
            <w:shd w:val="clear" w:color="000000" w:fill="FFFFFF"/>
            <w:noWrap/>
            <w:vAlign w:val="bottom"/>
            <w:hideMark/>
          </w:tcPr>
          <w:p w14:paraId="6E8889B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1.73%</w:t>
            </w:r>
          </w:p>
        </w:tc>
        <w:tc>
          <w:tcPr>
            <w:tcW w:w="226" w:type="pct"/>
            <w:tcBorders>
              <w:top w:val="nil"/>
              <w:left w:val="nil"/>
              <w:bottom w:val="nil"/>
              <w:right w:val="nil"/>
            </w:tcBorders>
            <w:shd w:val="clear" w:color="000000" w:fill="FFFFFF"/>
            <w:noWrap/>
            <w:vAlign w:val="bottom"/>
            <w:hideMark/>
          </w:tcPr>
          <w:p w14:paraId="0718DCA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1.84%</w:t>
            </w:r>
          </w:p>
        </w:tc>
        <w:tc>
          <w:tcPr>
            <w:tcW w:w="226" w:type="pct"/>
            <w:tcBorders>
              <w:top w:val="nil"/>
              <w:left w:val="nil"/>
              <w:bottom w:val="nil"/>
              <w:right w:val="nil"/>
            </w:tcBorders>
            <w:shd w:val="clear" w:color="000000" w:fill="FFFFFF"/>
            <w:noWrap/>
            <w:vAlign w:val="bottom"/>
            <w:hideMark/>
          </w:tcPr>
          <w:p w14:paraId="5FD6713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1.91%</w:t>
            </w:r>
          </w:p>
        </w:tc>
        <w:tc>
          <w:tcPr>
            <w:tcW w:w="226" w:type="pct"/>
            <w:tcBorders>
              <w:top w:val="nil"/>
              <w:left w:val="nil"/>
              <w:bottom w:val="nil"/>
              <w:right w:val="nil"/>
            </w:tcBorders>
            <w:shd w:val="clear" w:color="000000" w:fill="FFFFFF"/>
            <w:noWrap/>
            <w:vAlign w:val="bottom"/>
            <w:hideMark/>
          </w:tcPr>
          <w:p w14:paraId="40C18CA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1.97%</w:t>
            </w:r>
          </w:p>
        </w:tc>
        <w:tc>
          <w:tcPr>
            <w:tcW w:w="226" w:type="pct"/>
            <w:tcBorders>
              <w:top w:val="nil"/>
              <w:left w:val="nil"/>
              <w:bottom w:val="nil"/>
              <w:right w:val="nil"/>
            </w:tcBorders>
            <w:shd w:val="clear" w:color="000000" w:fill="FFFFFF"/>
            <w:noWrap/>
            <w:vAlign w:val="bottom"/>
            <w:hideMark/>
          </w:tcPr>
          <w:p w14:paraId="5C3D449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2.01%</w:t>
            </w:r>
          </w:p>
        </w:tc>
      </w:tr>
      <w:tr w:rsidR="006A523F" w:rsidRPr="006A523F" w14:paraId="0E6AE7C3" w14:textId="77777777" w:rsidTr="006A523F">
        <w:trPr>
          <w:trHeight w:val="20"/>
        </w:trPr>
        <w:tc>
          <w:tcPr>
            <w:tcW w:w="480" w:type="pct"/>
            <w:tcBorders>
              <w:top w:val="nil"/>
              <w:left w:val="nil"/>
              <w:bottom w:val="nil"/>
              <w:right w:val="nil"/>
            </w:tcBorders>
            <w:shd w:val="clear" w:color="000000" w:fill="FFFFFF"/>
            <w:noWrap/>
            <w:vAlign w:val="center"/>
            <w:hideMark/>
          </w:tcPr>
          <w:p w14:paraId="4D61B7E2"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2014</w:t>
            </w:r>
          </w:p>
        </w:tc>
        <w:tc>
          <w:tcPr>
            <w:tcW w:w="449" w:type="pct"/>
            <w:tcBorders>
              <w:top w:val="nil"/>
              <w:left w:val="nil"/>
              <w:bottom w:val="nil"/>
              <w:right w:val="nil"/>
            </w:tcBorders>
            <w:shd w:val="clear" w:color="000000" w:fill="FFFFFF"/>
            <w:noWrap/>
            <w:vAlign w:val="bottom"/>
            <w:hideMark/>
          </w:tcPr>
          <w:p w14:paraId="38D835B7"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2014Q2</w:t>
            </w:r>
          </w:p>
        </w:tc>
        <w:tc>
          <w:tcPr>
            <w:tcW w:w="449" w:type="pct"/>
            <w:tcBorders>
              <w:top w:val="nil"/>
              <w:left w:val="nil"/>
              <w:bottom w:val="nil"/>
              <w:right w:val="nil"/>
            </w:tcBorders>
            <w:shd w:val="clear" w:color="000000" w:fill="FFFFFF"/>
            <w:noWrap/>
            <w:vAlign w:val="center"/>
            <w:hideMark/>
          </w:tcPr>
          <w:p w14:paraId="5991747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89,300</w:t>
            </w:r>
          </w:p>
        </w:tc>
        <w:tc>
          <w:tcPr>
            <w:tcW w:w="226" w:type="pct"/>
            <w:tcBorders>
              <w:top w:val="nil"/>
              <w:left w:val="nil"/>
              <w:bottom w:val="nil"/>
              <w:right w:val="nil"/>
            </w:tcBorders>
            <w:shd w:val="clear" w:color="000000" w:fill="FFFFFF"/>
            <w:noWrap/>
            <w:vAlign w:val="bottom"/>
            <w:hideMark/>
          </w:tcPr>
          <w:p w14:paraId="3C2CC70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CDD19D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0.07%</w:t>
            </w:r>
          </w:p>
        </w:tc>
        <w:tc>
          <w:tcPr>
            <w:tcW w:w="226" w:type="pct"/>
            <w:tcBorders>
              <w:top w:val="nil"/>
              <w:left w:val="nil"/>
              <w:bottom w:val="nil"/>
              <w:right w:val="nil"/>
            </w:tcBorders>
            <w:shd w:val="clear" w:color="000000" w:fill="FFFFFF"/>
            <w:noWrap/>
            <w:vAlign w:val="bottom"/>
            <w:hideMark/>
          </w:tcPr>
          <w:p w14:paraId="6933FD1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0.16%</w:t>
            </w:r>
          </w:p>
        </w:tc>
        <w:tc>
          <w:tcPr>
            <w:tcW w:w="226" w:type="pct"/>
            <w:tcBorders>
              <w:top w:val="nil"/>
              <w:left w:val="nil"/>
              <w:bottom w:val="nil"/>
              <w:right w:val="nil"/>
            </w:tcBorders>
            <w:shd w:val="clear" w:color="000000" w:fill="FFFFFF"/>
            <w:noWrap/>
            <w:vAlign w:val="bottom"/>
            <w:hideMark/>
          </w:tcPr>
          <w:p w14:paraId="0A81C5A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2F88977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0.30%</w:t>
            </w:r>
          </w:p>
        </w:tc>
        <w:tc>
          <w:tcPr>
            <w:tcW w:w="226" w:type="pct"/>
            <w:tcBorders>
              <w:top w:val="nil"/>
              <w:left w:val="nil"/>
              <w:bottom w:val="nil"/>
              <w:right w:val="nil"/>
            </w:tcBorders>
            <w:shd w:val="clear" w:color="000000" w:fill="FFFFFF"/>
            <w:noWrap/>
            <w:vAlign w:val="bottom"/>
            <w:hideMark/>
          </w:tcPr>
          <w:p w14:paraId="2628B85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0.48%</w:t>
            </w:r>
          </w:p>
        </w:tc>
        <w:tc>
          <w:tcPr>
            <w:tcW w:w="226" w:type="pct"/>
            <w:tcBorders>
              <w:top w:val="nil"/>
              <w:left w:val="nil"/>
              <w:bottom w:val="nil"/>
              <w:right w:val="nil"/>
            </w:tcBorders>
            <w:shd w:val="clear" w:color="000000" w:fill="FFFFFF"/>
            <w:noWrap/>
            <w:vAlign w:val="bottom"/>
            <w:hideMark/>
          </w:tcPr>
          <w:p w14:paraId="03345C8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0.68%</w:t>
            </w:r>
          </w:p>
        </w:tc>
        <w:tc>
          <w:tcPr>
            <w:tcW w:w="226" w:type="pct"/>
            <w:tcBorders>
              <w:top w:val="nil"/>
              <w:left w:val="nil"/>
              <w:bottom w:val="nil"/>
              <w:right w:val="nil"/>
            </w:tcBorders>
            <w:shd w:val="clear" w:color="000000" w:fill="FFFFFF"/>
            <w:noWrap/>
            <w:vAlign w:val="bottom"/>
            <w:hideMark/>
          </w:tcPr>
          <w:p w14:paraId="0ACDD9F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0.92%</w:t>
            </w:r>
          </w:p>
        </w:tc>
        <w:tc>
          <w:tcPr>
            <w:tcW w:w="226" w:type="pct"/>
            <w:tcBorders>
              <w:top w:val="nil"/>
              <w:left w:val="nil"/>
              <w:bottom w:val="nil"/>
              <w:right w:val="nil"/>
            </w:tcBorders>
            <w:shd w:val="clear" w:color="000000" w:fill="FFFFFF"/>
            <w:noWrap/>
            <w:vAlign w:val="bottom"/>
            <w:hideMark/>
          </w:tcPr>
          <w:p w14:paraId="162ECFE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1.05%</w:t>
            </w:r>
          </w:p>
        </w:tc>
        <w:tc>
          <w:tcPr>
            <w:tcW w:w="226" w:type="pct"/>
            <w:tcBorders>
              <w:top w:val="nil"/>
              <w:left w:val="nil"/>
              <w:bottom w:val="nil"/>
              <w:right w:val="nil"/>
            </w:tcBorders>
            <w:shd w:val="clear" w:color="000000" w:fill="FFFFFF"/>
            <w:noWrap/>
            <w:vAlign w:val="bottom"/>
            <w:hideMark/>
          </w:tcPr>
          <w:p w14:paraId="1CEB1AE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1.14%</w:t>
            </w:r>
          </w:p>
        </w:tc>
        <w:tc>
          <w:tcPr>
            <w:tcW w:w="226" w:type="pct"/>
            <w:tcBorders>
              <w:top w:val="nil"/>
              <w:left w:val="nil"/>
              <w:bottom w:val="nil"/>
              <w:right w:val="nil"/>
            </w:tcBorders>
            <w:shd w:val="clear" w:color="000000" w:fill="FFFFFF"/>
            <w:noWrap/>
            <w:vAlign w:val="bottom"/>
            <w:hideMark/>
          </w:tcPr>
          <w:p w14:paraId="0274689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1.28%</w:t>
            </w:r>
          </w:p>
        </w:tc>
        <w:tc>
          <w:tcPr>
            <w:tcW w:w="226" w:type="pct"/>
            <w:tcBorders>
              <w:top w:val="nil"/>
              <w:left w:val="nil"/>
              <w:bottom w:val="nil"/>
              <w:right w:val="nil"/>
            </w:tcBorders>
            <w:shd w:val="clear" w:color="000000" w:fill="FFFFFF"/>
            <w:noWrap/>
            <w:vAlign w:val="bottom"/>
            <w:hideMark/>
          </w:tcPr>
          <w:p w14:paraId="46DC9E4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1.42%</w:t>
            </w:r>
          </w:p>
        </w:tc>
        <w:tc>
          <w:tcPr>
            <w:tcW w:w="226" w:type="pct"/>
            <w:tcBorders>
              <w:top w:val="nil"/>
              <w:left w:val="nil"/>
              <w:bottom w:val="nil"/>
              <w:right w:val="nil"/>
            </w:tcBorders>
            <w:shd w:val="clear" w:color="000000" w:fill="FFFFFF"/>
            <w:noWrap/>
            <w:vAlign w:val="bottom"/>
            <w:hideMark/>
          </w:tcPr>
          <w:p w14:paraId="18B0642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1.51%</w:t>
            </w:r>
          </w:p>
        </w:tc>
        <w:tc>
          <w:tcPr>
            <w:tcW w:w="226" w:type="pct"/>
            <w:tcBorders>
              <w:top w:val="nil"/>
              <w:left w:val="nil"/>
              <w:bottom w:val="nil"/>
              <w:right w:val="nil"/>
            </w:tcBorders>
            <w:shd w:val="clear" w:color="000000" w:fill="FFFFFF"/>
            <w:noWrap/>
            <w:vAlign w:val="bottom"/>
            <w:hideMark/>
          </w:tcPr>
          <w:p w14:paraId="41FEB28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1.63%</w:t>
            </w:r>
          </w:p>
        </w:tc>
        <w:tc>
          <w:tcPr>
            <w:tcW w:w="226" w:type="pct"/>
            <w:tcBorders>
              <w:top w:val="nil"/>
              <w:left w:val="nil"/>
              <w:bottom w:val="nil"/>
              <w:right w:val="nil"/>
            </w:tcBorders>
            <w:shd w:val="clear" w:color="000000" w:fill="FFFFFF"/>
            <w:noWrap/>
            <w:vAlign w:val="bottom"/>
            <w:hideMark/>
          </w:tcPr>
          <w:p w14:paraId="63141C7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1.70%</w:t>
            </w:r>
          </w:p>
        </w:tc>
        <w:tc>
          <w:tcPr>
            <w:tcW w:w="226" w:type="pct"/>
            <w:tcBorders>
              <w:top w:val="nil"/>
              <w:left w:val="nil"/>
              <w:bottom w:val="nil"/>
              <w:right w:val="nil"/>
            </w:tcBorders>
            <w:shd w:val="clear" w:color="000000" w:fill="FFFFFF"/>
            <w:noWrap/>
            <w:vAlign w:val="bottom"/>
            <w:hideMark/>
          </w:tcPr>
          <w:p w14:paraId="1594F44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1.79%</w:t>
            </w:r>
          </w:p>
        </w:tc>
      </w:tr>
      <w:tr w:rsidR="006A523F" w:rsidRPr="006A523F" w14:paraId="433C5419" w14:textId="77777777" w:rsidTr="006A523F">
        <w:trPr>
          <w:trHeight w:val="20"/>
        </w:trPr>
        <w:tc>
          <w:tcPr>
            <w:tcW w:w="480" w:type="pct"/>
            <w:tcBorders>
              <w:top w:val="nil"/>
              <w:left w:val="nil"/>
              <w:bottom w:val="nil"/>
              <w:right w:val="nil"/>
            </w:tcBorders>
            <w:shd w:val="clear" w:color="000000" w:fill="FFFFFF"/>
            <w:noWrap/>
            <w:vAlign w:val="center"/>
            <w:hideMark/>
          </w:tcPr>
          <w:p w14:paraId="3649D34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2014</w:t>
            </w:r>
          </w:p>
        </w:tc>
        <w:tc>
          <w:tcPr>
            <w:tcW w:w="449" w:type="pct"/>
            <w:tcBorders>
              <w:top w:val="nil"/>
              <w:left w:val="nil"/>
              <w:bottom w:val="nil"/>
              <w:right w:val="nil"/>
            </w:tcBorders>
            <w:shd w:val="clear" w:color="000000" w:fill="FFFFFF"/>
            <w:noWrap/>
            <w:vAlign w:val="bottom"/>
            <w:hideMark/>
          </w:tcPr>
          <w:p w14:paraId="493AD715"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2014Q3</w:t>
            </w:r>
          </w:p>
        </w:tc>
        <w:tc>
          <w:tcPr>
            <w:tcW w:w="449" w:type="pct"/>
            <w:tcBorders>
              <w:top w:val="nil"/>
              <w:left w:val="nil"/>
              <w:bottom w:val="nil"/>
              <w:right w:val="nil"/>
            </w:tcBorders>
            <w:shd w:val="clear" w:color="000000" w:fill="FFFFFF"/>
            <w:noWrap/>
            <w:vAlign w:val="center"/>
            <w:hideMark/>
          </w:tcPr>
          <w:p w14:paraId="715A125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76,294</w:t>
            </w:r>
          </w:p>
        </w:tc>
        <w:tc>
          <w:tcPr>
            <w:tcW w:w="226" w:type="pct"/>
            <w:tcBorders>
              <w:top w:val="nil"/>
              <w:left w:val="nil"/>
              <w:bottom w:val="nil"/>
              <w:right w:val="nil"/>
            </w:tcBorders>
            <w:shd w:val="clear" w:color="000000" w:fill="FFFFFF"/>
            <w:noWrap/>
            <w:vAlign w:val="bottom"/>
            <w:hideMark/>
          </w:tcPr>
          <w:p w14:paraId="277FCD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CF1410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7E5969C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473C2AB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6A40BC6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0.62%</w:t>
            </w:r>
          </w:p>
        </w:tc>
        <w:tc>
          <w:tcPr>
            <w:tcW w:w="226" w:type="pct"/>
            <w:tcBorders>
              <w:top w:val="nil"/>
              <w:left w:val="nil"/>
              <w:bottom w:val="nil"/>
              <w:right w:val="nil"/>
            </w:tcBorders>
            <w:shd w:val="clear" w:color="000000" w:fill="FFFFFF"/>
            <w:noWrap/>
            <w:vAlign w:val="bottom"/>
            <w:hideMark/>
          </w:tcPr>
          <w:p w14:paraId="50896FA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0.86%</w:t>
            </w:r>
          </w:p>
        </w:tc>
        <w:tc>
          <w:tcPr>
            <w:tcW w:w="226" w:type="pct"/>
            <w:tcBorders>
              <w:top w:val="nil"/>
              <w:left w:val="nil"/>
              <w:bottom w:val="nil"/>
              <w:right w:val="nil"/>
            </w:tcBorders>
            <w:shd w:val="clear" w:color="000000" w:fill="FFFFFF"/>
            <w:noWrap/>
            <w:vAlign w:val="bottom"/>
            <w:hideMark/>
          </w:tcPr>
          <w:p w14:paraId="438DFDA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1.04%</w:t>
            </w:r>
          </w:p>
        </w:tc>
        <w:tc>
          <w:tcPr>
            <w:tcW w:w="226" w:type="pct"/>
            <w:tcBorders>
              <w:top w:val="nil"/>
              <w:left w:val="nil"/>
              <w:bottom w:val="nil"/>
              <w:right w:val="nil"/>
            </w:tcBorders>
            <w:shd w:val="clear" w:color="000000" w:fill="FFFFFF"/>
            <w:noWrap/>
            <w:vAlign w:val="bottom"/>
            <w:hideMark/>
          </w:tcPr>
          <w:p w14:paraId="394936F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1.26%</w:t>
            </w:r>
          </w:p>
        </w:tc>
        <w:tc>
          <w:tcPr>
            <w:tcW w:w="226" w:type="pct"/>
            <w:tcBorders>
              <w:top w:val="nil"/>
              <w:left w:val="nil"/>
              <w:bottom w:val="nil"/>
              <w:right w:val="nil"/>
            </w:tcBorders>
            <w:shd w:val="clear" w:color="000000" w:fill="FFFFFF"/>
            <w:noWrap/>
            <w:vAlign w:val="bottom"/>
            <w:hideMark/>
          </w:tcPr>
          <w:p w14:paraId="48CEF4F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1.40%</w:t>
            </w:r>
          </w:p>
        </w:tc>
        <w:tc>
          <w:tcPr>
            <w:tcW w:w="226" w:type="pct"/>
            <w:tcBorders>
              <w:top w:val="nil"/>
              <w:left w:val="nil"/>
              <w:bottom w:val="nil"/>
              <w:right w:val="nil"/>
            </w:tcBorders>
            <w:shd w:val="clear" w:color="000000" w:fill="FFFFFF"/>
            <w:noWrap/>
            <w:vAlign w:val="bottom"/>
            <w:hideMark/>
          </w:tcPr>
          <w:p w14:paraId="4698103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1.49%</w:t>
            </w:r>
          </w:p>
        </w:tc>
        <w:tc>
          <w:tcPr>
            <w:tcW w:w="226" w:type="pct"/>
            <w:tcBorders>
              <w:top w:val="nil"/>
              <w:left w:val="nil"/>
              <w:bottom w:val="nil"/>
              <w:right w:val="nil"/>
            </w:tcBorders>
            <w:shd w:val="clear" w:color="000000" w:fill="FFFFFF"/>
            <w:noWrap/>
            <w:vAlign w:val="bottom"/>
            <w:hideMark/>
          </w:tcPr>
          <w:p w14:paraId="52B2736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1.64%</w:t>
            </w:r>
          </w:p>
        </w:tc>
        <w:tc>
          <w:tcPr>
            <w:tcW w:w="226" w:type="pct"/>
            <w:tcBorders>
              <w:top w:val="nil"/>
              <w:left w:val="nil"/>
              <w:bottom w:val="nil"/>
              <w:right w:val="nil"/>
            </w:tcBorders>
            <w:shd w:val="clear" w:color="000000" w:fill="FFFFFF"/>
            <w:noWrap/>
            <w:vAlign w:val="bottom"/>
            <w:hideMark/>
          </w:tcPr>
          <w:p w14:paraId="23013DE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1.72%</w:t>
            </w:r>
          </w:p>
        </w:tc>
        <w:tc>
          <w:tcPr>
            <w:tcW w:w="226" w:type="pct"/>
            <w:tcBorders>
              <w:top w:val="nil"/>
              <w:left w:val="nil"/>
              <w:bottom w:val="nil"/>
              <w:right w:val="nil"/>
            </w:tcBorders>
            <w:shd w:val="clear" w:color="000000" w:fill="FFFFFF"/>
            <w:noWrap/>
            <w:vAlign w:val="bottom"/>
            <w:hideMark/>
          </w:tcPr>
          <w:p w14:paraId="01B1D0A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1.75%</w:t>
            </w:r>
          </w:p>
        </w:tc>
        <w:tc>
          <w:tcPr>
            <w:tcW w:w="226" w:type="pct"/>
            <w:tcBorders>
              <w:top w:val="nil"/>
              <w:left w:val="nil"/>
              <w:bottom w:val="nil"/>
              <w:right w:val="nil"/>
            </w:tcBorders>
            <w:shd w:val="clear" w:color="000000" w:fill="FFFFFF"/>
            <w:noWrap/>
            <w:vAlign w:val="bottom"/>
            <w:hideMark/>
          </w:tcPr>
          <w:p w14:paraId="1D9EF7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1.86%</w:t>
            </w:r>
          </w:p>
        </w:tc>
        <w:tc>
          <w:tcPr>
            <w:tcW w:w="226" w:type="pct"/>
            <w:tcBorders>
              <w:top w:val="nil"/>
              <w:left w:val="nil"/>
              <w:bottom w:val="nil"/>
              <w:right w:val="nil"/>
            </w:tcBorders>
            <w:shd w:val="clear" w:color="000000" w:fill="FFFFFF"/>
            <w:noWrap/>
            <w:vAlign w:val="bottom"/>
            <w:hideMark/>
          </w:tcPr>
          <w:p w14:paraId="768DB3B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1.93%</w:t>
            </w:r>
          </w:p>
        </w:tc>
        <w:tc>
          <w:tcPr>
            <w:tcW w:w="226" w:type="pct"/>
            <w:tcBorders>
              <w:top w:val="nil"/>
              <w:left w:val="nil"/>
              <w:bottom w:val="nil"/>
              <w:right w:val="nil"/>
            </w:tcBorders>
            <w:shd w:val="clear" w:color="000000" w:fill="FFFFFF"/>
            <w:noWrap/>
            <w:vAlign w:val="bottom"/>
            <w:hideMark/>
          </w:tcPr>
          <w:p w14:paraId="3534BCD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1.95%</w:t>
            </w:r>
          </w:p>
        </w:tc>
      </w:tr>
      <w:tr w:rsidR="006A523F" w:rsidRPr="006A523F" w14:paraId="3EFB7660" w14:textId="77777777" w:rsidTr="006A523F">
        <w:trPr>
          <w:trHeight w:val="20"/>
        </w:trPr>
        <w:tc>
          <w:tcPr>
            <w:tcW w:w="480" w:type="pct"/>
            <w:tcBorders>
              <w:top w:val="nil"/>
              <w:left w:val="nil"/>
              <w:bottom w:val="nil"/>
              <w:right w:val="nil"/>
            </w:tcBorders>
            <w:shd w:val="clear" w:color="000000" w:fill="FFFFFF"/>
            <w:noWrap/>
            <w:vAlign w:val="center"/>
            <w:hideMark/>
          </w:tcPr>
          <w:p w14:paraId="7C73296E"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2014</w:t>
            </w:r>
          </w:p>
        </w:tc>
        <w:tc>
          <w:tcPr>
            <w:tcW w:w="449" w:type="pct"/>
            <w:tcBorders>
              <w:top w:val="nil"/>
              <w:left w:val="nil"/>
              <w:bottom w:val="nil"/>
              <w:right w:val="nil"/>
            </w:tcBorders>
            <w:shd w:val="clear" w:color="000000" w:fill="FFFFFF"/>
            <w:noWrap/>
            <w:vAlign w:val="bottom"/>
            <w:hideMark/>
          </w:tcPr>
          <w:p w14:paraId="690965CE"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2014Q4</w:t>
            </w:r>
          </w:p>
        </w:tc>
        <w:tc>
          <w:tcPr>
            <w:tcW w:w="449" w:type="pct"/>
            <w:tcBorders>
              <w:top w:val="nil"/>
              <w:left w:val="nil"/>
              <w:bottom w:val="nil"/>
              <w:right w:val="nil"/>
            </w:tcBorders>
            <w:shd w:val="clear" w:color="000000" w:fill="FFFFFF"/>
            <w:noWrap/>
            <w:vAlign w:val="center"/>
            <w:hideMark/>
          </w:tcPr>
          <w:p w14:paraId="289391F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97,910</w:t>
            </w:r>
          </w:p>
        </w:tc>
        <w:tc>
          <w:tcPr>
            <w:tcW w:w="226" w:type="pct"/>
            <w:tcBorders>
              <w:top w:val="nil"/>
              <w:left w:val="nil"/>
              <w:bottom w:val="nil"/>
              <w:right w:val="nil"/>
            </w:tcBorders>
            <w:shd w:val="clear" w:color="000000" w:fill="FFFFFF"/>
            <w:noWrap/>
            <w:vAlign w:val="bottom"/>
            <w:hideMark/>
          </w:tcPr>
          <w:p w14:paraId="40545DF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7FA4C7E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F95011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0.14%</w:t>
            </w:r>
          </w:p>
        </w:tc>
        <w:tc>
          <w:tcPr>
            <w:tcW w:w="226" w:type="pct"/>
            <w:tcBorders>
              <w:top w:val="nil"/>
              <w:left w:val="nil"/>
              <w:bottom w:val="nil"/>
              <w:right w:val="nil"/>
            </w:tcBorders>
            <w:shd w:val="clear" w:color="000000" w:fill="FFFFFF"/>
            <w:noWrap/>
            <w:vAlign w:val="bottom"/>
            <w:hideMark/>
          </w:tcPr>
          <w:p w14:paraId="4256CC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0.33%</w:t>
            </w:r>
          </w:p>
        </w:tc>
        <w:tc>
          <w:tcPr>
            <w:tcW w:w="226" w:type="pct"/>
            <w:tcBorders>
              <w:top w:val="nil"/>
              <w:left w:val="nil"/>
              <w:bottom w:val="nil"/>
              <w:right w:val="nil"/>
            </w:tcBorders>
            <w:shd w:val="clear" w:color="000000" w:fill="FFFFFF"/>
            <w:noWrap/>
            <w:vAlign w:val="bottom"/>
            <w:hideMark/>
          </w:tcPr>
          <w:p w14:paraId="16F431A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0.45%</w:t>
            </w:r>
          </w:p>
        </w:tc>
        <w:tc>
          <w:tcPr>
            <w:tcW w:w="226" w:type="pct"/>
            <w:tcBorders>
              <w:top w:val="nil"/>
              <w:left w:val="nil"/>
              <w:bottom w:val="nil"/>
              <w:right w:val="nil"/>
            </w:tcBorders>
            <w:shd w:val="clear" w:color="000000" w:fill="FFFFFF"/>
            <w:noWrap/>
            <w:vAlign w:val="bottom"/>
            <w:hideMark/>
          </w:tcPr>
          <w:p w14:paraId="312170E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0.57%</w:t>
            </w:r>
          </w:p>
        </w:tc>
        <w:tc>
          <w:tcPr>
            <w:tcW w:w="226" w:type="pct"/>
            <w:tcBorders>
              <w:top w:val="nil"/>
              <w:left w:val="nil"/>
              <w:bottom w:val="nil"/>
              <w:right w:val="nil"/>
            </w:tcBorders>
            <w:shd w:val="clear" w:color="000000" w:fill="FFFFFF"/>
            <w:noWrap/>
            <w:vAlign w:val="bottom"/>
            <w:hideMark/>
          </w:tcPr>
          <w:p w14:paraId="6AF4AE8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0.75%</w:t>
            </w:r>
          </w:p>
        </w:tc>
        <w:tc>
          <w:tcPr>
            <w:tcW w:w="226" w:type="pct"/>
            <w:tcBorders>
              <w:top w:val="nil"/>
              <w:left w:val="nil"/>
              <w:bottom w:val="nil"/>
              <w:right w:val="nil"/>
            </w:tcBorders>
            <w:shd w:val="clear" w:color="000000" w:fill="FFFFFF"/>
            <w:noWrap/>
            <w:vAlign w:val="bottom"/>
            <w:hideMark/>
          </w:tcPr>
          <w:p w14:paraId="47D8206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0.88%</w:t>
            </w:r>
          </w:p>
        </w:tc>
        <w:tc>
          <w:tcPr>
            <w:tcW w:w="226" w:type="pct"/>
            <w:tcBorders>
              <w:top w:val="nil"/>
              <w:left w:val="nil"/>
              <w:bottom w:val="nil"/>
              <w:right w:val="nil"/>
            </w:tcBorders>
            <w:shd w:val="clear" w:color="000000" w:fill="FFFFFF"/>
            <w:noWrap/>
            <w:vAlign w:val="bottom"/>
            <w:hideMark/>
          </w:tcPr>
          <w:p w14:paraId="495FBB1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0.96%</w:t>
            </w:r>
          </w:p>
        </w:tc>
        <w:tc>
          <w:tcPr>
            <w:tcW w:w="226" w:type="pct"/>
            <w:tcBorders>
              <w:top w:val="nil"/>
              <w:left w:val="nil"/>
              <w:bottom w:val="nil"/>
              <w:right w:val="nil"/>
            </w:tcBorders>
            <w:shd w:val="clear" w:color="000000" w:fill="FFFFFF"/>
            <w:noWrap/>
            <w:vAlign w:val="bottom"/>
            <w:hideMark/>
          </w:tcPr>
          <w:p w14:paraId="7899AA4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1.06%</w:t>
            </w:r>
          </w:p>
        </w:tc>
        <w:tc>
          <w:tcPr>
            <w:tcW w:w="226" w:type="pct"/>
            <w:tcBorders>
              <w:top w:val="nil"/>
              <w:left w:val="nil"/>
              <w:bottom w:val="nil"/>
              <w:right w:val="nil"/>
            </w:tcBorders>
            <w:shd w:val="clear" w:color="000000" w:fill="FFFFFF"/>
            <w:noWrap/>
            <w:vAlign w:val="bottom"/>
            <w:hideMark/>
          </w:tcPr>
          <w:p w14:paraId="3A279F0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1.16%</w:t>
            </w:r>
          </w:p>
        </w:tc>
        <w:tc>
          <w:tcPr>
            <w:tcW w:w="226" w:type="pct"/>
            <w:tcBorders>
              <w:top w:val="nil"/>
              <w:left w:val="nil"/>
              <w:bottom w:val="nil"/>
              <w:right w:val="nil"/>
            </w:tcBorders>
            <w:shd w:val="clear" w:color="000000" w:fill="FFFFFF"/>
            <w:noWrap/>
            <w:vAlign w:val="bottom"/>
            <w:hideMark/>
          </w:tcPr>
          <w:p w14:paraId="1D0D5D1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1.26%</w:t>
            </w:r>
          </w:p>
        </w:tc>
        <w:tc>
          <w:tcPr>
            <w:tcW w:w="226" w:type="pct"/>
            <w:tcBorders>
              <w:top w:val="nil"/>
              <w:left w:val="nil"/>
              <w:bottom w:val="nil"/>
              <w:right w:val="nil"/>
            </w:tcBorders>
            <w:shd w:val="clear" w:color="000000" w:fill="FFFFFF"/>
            <w:noWrap/>
            <w:vAlign w:val="bottom"/>
            <w:hideMark/>
          </w:tcPr>
          <w:p w14:paraId="24B7F02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1.33%</w:t>
            </w:r>
          </w:p>
        </w:tc>
        <w:tc>
          <w:tcPr>
            <w:tcW w:w="226" w:type="pct"/>
            <w:tcBorders>
              <w:top w:val="nil"/>
              <w:left w:val="nil"/>
              <w:bottom w:val="nil"/>
              <w:right w:val="nil"/>
            </w:tcBorders>
            <w:shd w:val="clear" w:color="000000" w:fill="FFFFFF"/>
            <w:noWrap/>
            <w:vAlign w:val="bottom"/>
            <w:hideMark/>
          </w:tcPr>
          <w:p w14:paraId="3F84CAA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1.41%</w:t>
            </w:r>
          </w:p>
        </w:tc>
        <w:tc>
          <w:tcPr>
            <w:tcW w:w="226" w:type="pct"/>
            <w:tcBorders>
              <w:top w:val="nil"/>
              <w:left w:val="nil"/>
              <w:bottom w:val="nil"/>
              <w:right w:val="nil"/>
            </w:tcBorders>
            <w:shd w:val="clear" w:color="000000" w:fill="FFFFFF"/>
            <w:noWrap/>
            <w:vAlign w:val="bottom"/>
            <w:hideMark/>
          </w:tcPr>
          <w:p w14:paraId="645E60B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1.54%</w:t>
            </w:r>
          </w:p>
        </w:tc>
        <w:tc>
          <w:tcPr>
            <w:tcW w:w="226" w:type="pct"/>
            <w:tcBorders>
              <w:top w:val="nil"/>
              <w:left w:val="nil"/>
              <w:bottom w:val="nil"/>
              <w:right w:val="nil"/>
            </w:tcBorders>
            <w:shd w:val="clear" w:color="000000" w:fill="FFFFFF"/>
            <w:noWrap/>
            <w:vAlign w:val="bottom"/>
            <w:hideMark/>
          </w:tcPr>
          <w:p w14:paraId="13B26C8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1.64%</w:t>
            </w:r>
          </w:p>
        </w:tc>
      </w:tr>
      <w:tr w:rsidR="006A523F" w:rsidRPr="006A523F" w14:paraId="43C8F30F" w14:textId="77777777" w:rsidTr="006A523F">
        <w:trPr>
          <w:trHeight w:val="20"/>
        </w:trPr>
        <w:tc>
          <w:tcPr>
            <w:tcW w:w="480" w:type="pct"/>
            <w:tcBorders>
              <w:top w:val="nil"/>
              <w:left w:val="nil"/>
              <w:bottom w:val="nil"/>
              <w:right w:val="nil"/>
            </w:tcBorders>
            <w:shd w:val="clear" w:color="000000" w:fill="FFFFFF"/>
            <w:noWrap/>
            <w:vAlign w:val="center"/>
            <w:hideMark/>
          </w:tcPr>
          <w:p w14:paraId="4FF92534"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2015</w:t>
            </w:r>
          </w:p>
        </w:tc>
        <w:tc>
          <w:tcPr>
            <w:tcW w:w="449" w:type="pct"/>
            <w:tcBorders>
              <w:top w:val="nil"/>
              <w:left w:val="nil"/>
              <w:bottom w:val="nil"/>
              <w:right w:val="nil"/>
            </w:tcBorders>
            <w:shd w:val="clear" w:color="000000" w:fill="FFFFFF"/>
            <w:noWrap/>
            <w:vAlign w:val="bottom"/>
            <w:hideMark/>
          </w:tcPr>
          <w:p w14:paraId="24151E0C"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2015Q1</w:t>
            </w:r>
          </w:p>
        </w:tc>
        <w:tc>
          <w:tcPr>
            <w:tcW w:w="449" w:type="pct"/>
            <w:tcBorders>
              <w:top w:val="nil"/>
              <w:left w:val="nil"/>
              <w:bottom w:val="nil"/>
              <w:right w:val="nil"/>
            </w:tcBorders>
            <w:shd w:val="clear" w:color="000000" w:fill="FFFFFF"/>
            <w:noWrap/>
            <w:vAlign w:val="center"/>
            <w:hideMark/>
          </w:tcPr>
          <w:p w14:paraId="592E8A4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95,458</w:t>
            </w:r>
          </w:p>
        </w:tc>
        <w:tc>
          <w:tcPr>
            <w:tcW w:w="226" w:type="pct"/>
            <w:tcBorders>
              <w:top w:val="nil"/>
              <w:left w:val="nil"/>
              <w:bottom w:val="nil"/>
              <w:right w:val="nil"/>
            </w:tcBorders>
            <w:shd w:val="clear" w:color="000000" w:fill="FFFFFF"/>
            <w:noWrap/>
            <w:vAlign w:val="bottom"/>
            <w:hideMark/>
          </w:tcPr>
          <w:p w14:paraId="697A958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EC886C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0.03%</w:t>
            </w:r>
          </w:p>
        </w:tc>
        <w:tc>
          <w:tcPr>
            <w:tcW w:w="226" w:type="pct"/>
            <w:tcBorders>
              <w:top w:val="nil"/>
              <w:left w:val="nil"/>
              <w:bottom w:val="nil"/>
              <w:right w:val="nil"/>
            </w:tcBorders>
            <w:shd w:val="clear" w:color="000000" w:fill="FFFFFF"/>
            <w:noWrap/>
            <w:vAlign w:val="bottom"/>
            <w:hideMark/>
          </w:tcPr>
          <w:p w14:paraId="0DE6AB5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654769B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7FB068A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0.47%</w:t>
            </w:r>
          </w:p>
        </w:tc>
        <w:tc>
          <w:tcPr>
            <w:tcW w:w="226" w:type="pct"/>
            <w:tcBorders>
              <w:top w:val="nil"/>
              <w:left w:val="nil"/>
              <w:bottom w:val="nil"/>
              <w:right w:val="nil"/>
            </w:tcBorders>
            <w:shd w:val="clear" w:color="000000" w:fill="FFFFFF"/>
            <w:noWrap/>
            <w:vAlign w:val="bottom"/>
            <w:hideMark/>
          </w:tcPr>
          <w:p w14:paraId="2DABA53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0.60%</w:t>
            </w:r>
          </w:p>
        </w:tc>
        <w:tc>
          <w:tcPr>
            <w:tcW w:w="226" w:type="pct"/>
            <w:tcBorders>
              <w:top w:val="nil"/>
              <w:left w:val="nil"/>
              <w:bottom w:val="nil"/>
              <w:right w:val="nil"/>
            </w:tcBorders>
            <w:shd w:val="clear" w:color="000000" w:fill="FFFFFF"/>
            <w:noWrap/>
            <w:vAlign w:val="bottom"/>
            <w:hideMark/>
          </w:tcPr>
          <w:p w14:paraId="2CEDDAA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0.73%</w:t>
            </w:r>
          </w:p>
        </w:tc>
        <w:tc>
          <w:tcPr>
            <w:tcW w:w="226" w:type="pct"/>
            <w:tcBorders>
              <w:top w:val="nil"/>
              <w:left w:val="nil"/>
              <w:bottom w:val="nil"/>
              <w:right w:val="nil"/>
            </w:tcBorders>
            <w:shd w:val="clear" w:color="000000" w:fill="FFFFFF"/>
            <w:noWrap/>
            <w:vAlign w:val="bottom"/>
            <w:hideMark/>
          </w:tcPr>
          <w:p w14:paraId="3BEA81A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0.93%</w:t>
            </w:r>
          </w:p>
        </w:tc>
        <w:tc>
          <w:tcPr>
            <w:tcW w:w="226" w:type="pct"/>
            <w:tcBorders>
              <w:top w:val="nil"/>
              <w:left w:val="nil"/>
              <w:bottom w:val="nil"/>
              <w:right w:val="nil"/>
            </w:tcBorders>
            <w:shd w:val="clear" w:color="000000" w:fill="FFFFFF"/>
            <w:noWrap/>
            <w:vAlign w:val="bottom"/>
            <w:hideMark/>
          </w:tcPr>
          <w:p w14:paraId="2E7BB71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0.97%</w:t>
            </w:r>
          </w:p>
        </w:tc>
        <w:tc>
          <w:tcPr>
            <w:tcW w:w="226" w:type="pct"/>
            <w:tcBorders>
              <w:top w:val="nil"/>
              <w:left w:val="nil"/>
              <w:bottom w:val="nil"/>
              <w:right w:val="nil"/>
            </w:tcBorders>
            <w:shd w:val="clear" w:color="000000" w:fill="FFFFFF"/>
            <w:noWrap/>
            <w:vAlign w:val="bottom"/>
            <w:hideMark/>
          </w:tcPr>
          <w:p w14:paraId="5B2C7AC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1.16%</w:t>
            </w:r>
          </w:p>
        </w:tc>
        <w:tc>
          <w:tcPr>
            <w:tcW w:w="226" w:type="pct"/>
            <w:tcBorders>
              <w:top w:val="nil"/>
              <w:left w:val="nil"/>
              <w:bottom w:val="nil"/>
              <w:right w:val="nil"/>
            </w:tcBorders>
            <w:shd w:val="clear" w:color="000000" w:fill="FFFFFF"/>
            <w:noWrap/>
            <w:vAlign w:val="bottom"/>
            <w:hideMark/>
          </w:tcPr>
          <w:p w14:paraId="546FC4D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1.27%</w:t>
            </w:r>
          </w:p>
        </w:tc>
        <w:tc>
          <w:tcPr>
            <w:tcW w:w="226" w:type="pct"/>
            <w:tcBorders>
              <w:top w:val="nil"/>
              <w:left w:val="nil"/>
              <w:bottom w:val="nil"/>
              <w:right w:val="nil"/>
            </w:tcBorders>
            <w:shd w:val="clear" w:color="000000" w:fill="FFFFFF"/>
            <w:noWrap/>
            <w:vAlign w:val="bottom"/>
            <w:hideMark/>
          </w:tcPr>
          <w:p w14:paraId="5EDF590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1.30%</w:t>
            </w:r>
          </w:p>
        </w:tc>
        <w:tc>
          <w:tcPr>
            <w:tcW w:w="226" w:type="pct"/>
            <w:tcBorders>
              <w:top w:val="nil"/>
              <w:left w:val="nil"/>
              <w:bottom w:val="nil"/>
              <w:right w:val="nil"/>
            </w:tcBorders>
            <w:shd w:val="clear" w:color="000000" w:fill="FFFFFF"/>
            <w:noWrap/>
            <w:vAlign w:val="bottom"/>
            <w:hideMark/>
          </w:tcPr>
          <w:p w14:paraId="3968259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1.42%</w:t>
            </w:r>
          </w:p>
        </w:tc>
        <w:tc>
          <w:tcPr>
            <w:tcW w:w="226" w:type="pct"/>
            <w:tcBorders>
              <w:top w:val="nil"/>
              <w:left w:val="nil"/>
              <w:bottom w:val="nil"/>
              <w:right w:val="nil"/>
            </w:tcBorders>
            <w:shd w:val="clear" w:color="000000" w:fill="FFFFFF"/>
            <w:noWrap/>
            <w:vAlign w:val="bottom"/>
            <w:hideMark/>
          </w:tcPr>
          <w:p w14:paraId="6B779C0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1.47%</w:t>
            </w:r>
          </w:p>
        </w:tc>
        <w:tc>
          <w:tcPr>
            <w:tcW w:w="226" w:type="pct"/>
            <w:tcBorders>
              <w:top w:val="nil"/>
              <w:left w:val="nil"/>
              <w:bottom w:val="nil"/>
              <w:right w:val="nil"/>
            </w:tcBorders>
            <w:shd w:val="clear" w:color="000000" w:fill="FFFFFF"/>
            <w:noWrap/>
            <w:vAlign w:val="bottom"/>
            <w:hideMark/>
          </w:tcPr>
          <w:p w14:paraId="66A88D0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1.50%</w:t>
            </w:r>
          </w:p>
        </w:tc>
        <w:tc>
          <w:tcPr>
            <w:tcW w:w="226" w:type="pct"/>
            <w:tcBorders>
              <w:top w:val="nil"/>
              <w:left w:val="nil"/>
              <w:bottom w:val="nil"/>
              <w:right w:val="nil"/>
            </w:tcBorders>
            <w:shd w:val="clear" w:color="000000" w:fill="FFFFFF"/>
            <w:noWrap/>
            <w:vAlign w:val="bottom"/>
            <w:hideMark/>
          </w:tcPr>
          <w:p w14:paraId="6B374E6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1.53%</w:t>
            </w:r>
          </w:p>
        </w:tc>
      </w:tr>
      <w:tr w:rsidR="006A523F" w:rsidRPr="006A523F" w14:paraId="392AED63" w14:textId="77777777" w:rsidTr="006A523F">
        <w:trPr>
          <w:trHeight w:val="20"/>
        </w:trPr>
        <w:tc>
          <w:tcPr>
            <w:tcW w:w="480" w:type="pct"/>
            <w:tcBorders>
              <w:top w:val="nil"/>
              <w:left w:val="nil"/>
              <w:bottom w:val="nil"/>
              <w:right w:val="nil"/>
            </w:tcBorders>
            <w:shd w:val="clear" w:color="000000" w:fill="FFFFFF"/>
            <w:noWrap/>
            <w:vAlign w:val="center"/>
            <w:hideMark/>
          </w:tcPr>
          <w:p w14:paraId="0F214E4F"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2015</w:t>
            </w:r>
          </w:p>
        </w:tc>
        <w:tc>
          <w:tcPr>
            <w:tcW w:w="449" w:type="pct"/>
            <w:tcBorders>
              <w:top w:val="nil"/>
              <w:left w:val="nil"/>
              <w:bottom w:val="nil"/>
              <w:right w:val="nil"/>
            </w:tcBorders>
            <w:shd w:val="clear" w:color="000000" w:fill="FFFFFF"/>
            <w:noWrap/>
            <w:vAlign w:val="bottom"/>
            <w:hideMark/>
          </w:tcPr>
          <w:p w14:paraId="0BC5E799"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2015Q2</w:t>
            </w:r>
          </w:p>
        </w:tc>
        <w:tc>
          <w:tcPr>
            <w:tcW w:w="449" w:type="pct"/>
            <w:tcBorders>
              <w:top w:val="nil"/>
              <w:left w:val="nil"/>
              <w:bottom w:val="nil"/>
              <w:right w:val="nil"/>
            </w:tcBorders>
            <w:shd w:val="clear" w:color="000000" w:fill="FFFFFF"/>
            <w:noWrap/>
            <w:vAlign w:val="center"/>
            <w:hideMark/>
          </w:tcPr>
          <w:p w14:paraId="4252833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112,776</w:t>
            </w:r>
          </w:p>
        </w:tc>
        <w:tc>
          <w:tcPr>
            <w:tcW w:w="226" w:type="pct"/>
            <w:tcBorders>
              <w:top w:val="nil"/>
              <w:left w:val="nil"/>
              <w:bottom w:val="nil"/>
              <w:right w:val="nil"/>
            </w:tcBorders>
            <w:shd w:val="clear" w:color="000000" w:fill="FFFFFF"/>
            <w:noWrap/>
            <w:vAlign w:val="bottom"/>
            <w:hideMark/>
          </w:tcPr>
          <w:p w14:paraId="7280BC6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4FC7C88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3E65B80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5F524A4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0.29%</w:t>
            </w:r>
          </w:p>
        </w:tc>
        <w:tc>
          <w:tcPr>
            <w:tcW w:w="226" w:type="pct"/>
            <w:tcBorders>
              <w:top w:val="nil"/>
              <w:left w:val="nil"/>
              <w:bottom w:val="nil"/>
              <w:right w:val="nil"/>
            </w:tcBorders>
            <w:shd w:val="clear" w:color="000000" w:fill="FFFFFF"/>
            <w:noWrap/>
            <w:vAlign w:val="bottom"/>
            <w:hideMark/>
          </w:tcPr>
          <w:p w14:paraId="72F835D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0.42%</w:t>
            </w:r>
          </w:p>
        </w:tc>
        <w:tc>
          <w:tcPr>
            <w:tcW w:w="226" w:type="pct"/>
            <w:tcBorders>
              <w:top w:val="nil"/>
              <w:left w:val="nil"/>
              <w:bottom w:val="nil"/>
              <w:right w:val="nil"/>
            </w:tcBorders>
            <w:shd w:val="clear" w:color="000000" w:fill="FFFFFF"/>
            <w:noWrap/>
            <w:vAlign w:val="bottom"/>
            <w:hideMark/>
          </w:tcPr>
          <w:p w14:paraId="3735A3B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0.52%</w:t>
            </w:r>
          </w:p>
        </w:tc>
        <w:tc>
          <w:tcPr>
            <w:tcW w:w="226" w:type="pct"/>
            <w:tcBorders>
              <w:top w:val="nil"/>
              <w:left w:val="nil"/>
              <w:bottom w:val="nil"/>
              <w:right w:val="nil"/>
            </w:tcBorders>
            <w:shd w:val="clear" w:color="000000" w:fill="FFFFFF"/>
            <w:noWrap/>
            <w:vAlign w:val="bottom"/>
            <w:hideMark/>
          </w:tcPr>
          <w:p w14:paraId="1FD56E1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0.64%</w:t>
            </w:r>
          </w:p>
        </w:tc>
        <w:tc>
          <w:tcPr>
            <w:tcW w:w="226" w:type="pct"/>
            <w:tcBorders>
              <w:top w:val="nil"/>
              <w:left w:val="nil"/>
              <w:bottom w:val="nil"/>
              <w:right w:val="nil"/>
            </w:tcBorders>
            <w:shd w:val="clear" w:color="000000" w:fill="FFFFFF"/>
            <w:noWrap/>
            <w:vAlign w:val="bottom"/>
            <w:hideMark/>
          </w:tcPr>
          <w:p w14:paraId="59ECD89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0.73%</w:t>
            </w:r>
          </w:p>
        </w:tc>
        <w:tc>
          <w:tcPr>
            <w:tcW w:w="226" w:type="pct"/>
            <w:tcBorders>
              <w:top w:val="nil"/>
              <w:left w:val="nil"/>
              <w:bottom w:val="nil"/>
              <w:right w:val="nil"/>
            </w:tcBorders>
            <w:shd w:val="clear" w:color="000000" w:fill="FFFFFF"/>
            <w:noWrap/>
            <w:vAlign w:val="bottom"/>
            <w:hideMark/>
          </w:tcPr>
          <w:p w14:paraId="6E3F200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0.85%</w:t>
            </w:r>
          </w:p>
        </w:tc>
        <w:tc>
          <w:tcPr>
            <w:tcW w:w="226" w:type="pct"/>
            <w:tcBorders>
              <w:top w:val="nil"/>
              <w:left w:val="nil"/>
              <w:bottom w:val="nil"/>
              <w:right w:val="nil"/>
            </w:tcBorders>
            <w:shd w:val="clear" w:color="000000" w:fill="FFFFFF"/>
            <w:noWrap/>
            <w:vAlign w:val="bottom"/>
            <w:hideMark/>
          </w:tcPr>
          <w:p w14:paraId="06BDA03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0.92%</w:t>
            </w:r>
          </w:p>
        </w:tc>
        <w:tc>
          <w:tcPr>
            <w:tcW w:w="226" w:type="pct"/>
            <w:tcBorders>
              <w:top w:val="nil"/>
              <w:left w:val="nil"/>
              <w:bottom w:val="nil"/>
              <w:right w:val="nil"/>
            </w:tcBorders>
            <w:shd w:val="clear" w:color="000000" w:fill="FFFFFF"/>
            <w:noWrap/>
            <w:vAlign w:val="bottom"/>
            <w:hideMark/>
          </w:tcPr>
          <w:p w14:paraId="33B728E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0.97%</w:t>
            </w:r>
          </w:p>
        </w:tc>
        <w:tc>
          <w:tcPr>
            <w:tcW w:w="226" w:type="pct"/>
            <w:tcBorders>
              <w:top w:val="nil"/>
              <w:left w:val="nil"/>
              <w:bottom w:val="nil"/>
              <w:right w:val="nil"/>
            </w:tcBorders>
            <w:shd w:val="clear" w:color="000000" w:fill="FFFFFF"/>
            <w:noWrap/>
            <w:vAlign w:val="bottom"/>
            <w:hideMark/>
          </w:tcPr>
          <w:p w14:paraId="14A818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1.04%</w:t>
            </w:r>
          </w:p>
        </w:tc>
        <w:tc>
          <w:tcPr>
            <w:tcW w:w="226" w:type="pct"/>
            <w:tcBorders>
              <w:top w:val="nil"/>
              <w:left w:val="nil"/>
              <w:bottom w:val="nil"/>
              <w:right w:val="nil"/>
            </w:tcBorders>
            <w:shd w:val="clear" w:color="000000" w:fill="FFFFFF"/>
            <w:noWrap/>
            <w:vAlign w:val="bottom"/>
            <w:hideMark/>
          </w:tcPr>
          <w:p w14:paraId="0FC4B61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1.12%</w:t>
            </w:r>
          </w:p>
        </w:tc>
        <w:tc>
          <w:tcPr>
            <w:tcW w:w="226" w:type="pct"/>
            <w:tcBorders>
              <w:top w:val="nil"/>
              <w:left w:val="nil"/>
              <w:bottom w:val="nil"/>
              <w:right w:val="nil"/>
            </w:tcBorders>
            <w:shd w:val="clear" w:color="000000" w:fill="FFFFFF"/>
            <w:noWrap/>
            <w:vAlign w:val="bottom"/>
            <w:hideMark/>
          </w:tcPr>
          <w:p w14:paraId="088B858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1.17%</w:t>
            </w:r>
          </w:p>
        </w:tc>
        <w:tc>
          <w:tcPr>
            <w:tcW w:w="226" w:type="pct"/>
            <w:tcBorders>
              <w:top w:val="nil"/>
              <w:left w:val="nil"/>
              <w:bottom w:val="nil"/>
              <w:right w:val="nil"/>
            </w:tcBorders>
            <w:shd w:val="clear" w:color="000000" w:fill="FFFFFF"/>
            <w:noWrap/>
            <w:vAlign w:val="bottom"/>
            <w:hideMark/>
          </w:tcPr>
          <w:p w14:paraId="6B8D48D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1.22%</w:t>
            </w:r>
          </w:p>
        </w:tc>
        <w:tc>
          <w:tcPr>
            <w:tcW w:w="226" w:type="pct"/>
            <w:tcBorders>
              <w:top w:val="nil"/>
              <w:left w:val="nil"/>
              <w:bottom w:val="nil"/>
              <w:right w:val="nil"/>
            </w:tcBorders>
            <w:shd w:val="clear" w:color="000000" w:fill="FFFFFF"/>
            <w:noWrap/>
            <w:vAlign w:val="bottom"/>
            <w:hideMark/>
          </w:tcPr>
          <w:p w14:paraId="2630CCB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1.24%</w:t>
            </w:r>
          </w:p>
        </w:tc>
      </w:tr>
      <w:tr w:rsidR="006A523F" w:rsidRPr="006A523F" w14:paraId="0488F5A0" w14:textId="77777777" w:rsidTr="006A523F">
        <w:trPr>
          <w:trHeight w:val="20"/>
        </w:trPr>
        <w:tc>
          <w:tcPr>
            <w:tcW w:w="480" w:type="pct"/>
            <w:tcBorders>
              <w:top w:val="nil"/>
              <w:left w:val="nil"/>
              <w:bottom w:val="nil"/>
              <w:right w:val="nil"/>
            </w:tcBorders>
            <w:shd w:val="clear" w:color="000000" w:fill="FFFFFF"/>
            <w:noWrap/>
            <w:vAlign w:val="center"/>
            <w:hideMark/>
          </w:tcPr>
          <w:p w14:paraId="3EE1C56F"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2015</w:t>
            </w:r>
          </w:p>
        </w:tc>
        <w:tc>
          <w:tcPr>
            <w:tcW w:w="449" w:type="pct"/>
            <w:tcBorders>
              <w:top w:val="nil"/>
              <w:left w:val="nil"/>
              <w:bottom w:val="nil"/>
              <w:right w:val="nil"/>
            </w:tcBorders>
            <w:shd w:val="clear" w:color="000000" w:fill="FFFFFF"/>
            <w:noWrap/>
            <w:vAlign w:val="bottom"/>
            <w:hideMark/>
          </w:tcPr>
          <w:p w14:paraId="765FFE53"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2015Q3</w:t>
            </w:r>
          </w:p>
        </w:tc>
        <w:tc>
          <w:tcPr>
            <w:tcW w:w="449" w:type="pct"/>
            <w:tcBorders>
              <w:top w:val="nil"/>
              <w:left w:val="nil"/>
              <w:bottom w:val="nil"/>
              <w:right w:val="nil"/>
            </w:tcBorders>
            <w:shd w:val="clear" w:color="000000" w:fill="FFFFFF"/>
            <w:noWrap/>
            <w:vAlign w:val="center"/>
            <w:hideMark/>
          </w:tcPr>
          <w:p w14:paraId="5BACAF8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100,460</w:t>
            </w:r>
          </w:p>
        </w:tc>
        <w:tc>
          <w:tcPr>
            <w:tcW w:w="226" w:type="pct"/>
            <w:tcBorders>
              <w:top w:val="nil"/>
              <w:left w:val="nil"/>
              <w:bottom w:val="nil"/>
              <w:right w:val="nil"/>
            </w:tcBorders>
            <w:shd w:val="clear" w:color="000000" w:fill="FFFFFF"/>
            <w:noWrap/>
            <w:vAlign w:val="bottom"/>
            <w:hideMark/>
          </w:tcPr>
          <w:p w14:paraId="0AD6FE8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74EE454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0.10%</w:t>
            </w:r>
          </w:p>
        </w:tc>
        <w:tc>
          <w:tcPr>
            <w:tcW w:w="226" w:type="pct"/>
            <w:tcBorders>
              <w:top w:val="nil"/>
              <w:left w:val="nil"/>
              <w:bottom w:val="nil"/>
              <w:right w:val="nil"/>
            </w:tcBorders>
            <w:shd w:val="clear" w:color="000000" w:fill="FFFFFF"/>
            <w:noWrap/>
            <w:vAlign w:val="bottom"/>
            <w:hideMark/>
          </w:tcPr>
          <w:p w14:paraId="73E460E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0.21%</w:t>
            </w:r>
          </w:p>
        </w:tc>
        <w:tc>
          <w:tcPr>
            <w:tcW w:w="226" w:type="pct"/>
            <w:tcBorders>
              <w:top w:val="nil"/>
              <w:left w:val="nil"/>
              <w:bottom w:val="nil"/>
              <w:right w:val="nil"/>
            </w:tcBorders>
            <w:shd w:val="clear" w:color="000000" w:fill="FFFFFF"/>
            <w:noWrap/>
            <w:vAlign w:val="bottom"/>
            <w:hideMark/>
          </w:tcPr>
          <w:p w14:paraId="1B673D7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0.38%</w:t>
            </w:r>
          </w:p>
        </w:tc>
        <w:tc>
          <w:tcPr>
            <w:tcW w:w="226" w:type="pct"/>
            <w:tcBorders>
              <w:top w:val="nil"/>
              <w:left w:val="nil"/>
              <w:bottom w:val="nil"/>
              <w:right w:val="nil"/>
            </w:tcBorders>
            <w:shd w:val="clear" w:color="000000" w:fill="FFFFFF"/>
            <w:noWrap/>
            <w:vAlign w:val="bottom"/>
            <w:hideMark/>
          </w:tcPr>
          <w:p w14:paraId="62AEB2B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0.62%</w:t>
            </w:r>
          </w:p>
        </w:tc>
        <w:tc>
          <w:tcPr>
            <w:tcW w:w="226" w:type="pct"/>
            <w:tcBorders>
              <w:top w:val="nil"/>
              <w:left w:val="nil"/>
              <w:bottom w:val="nil"/>
              <w:right w:val="nil"/>
            </w:tcBorders>
            <w:shd w:val="clear" w:color="000000" w:fill="FFFFFF"/>
            <w:noWrap/>
            <w:vAlign w:val="bottom"/>
            <w:hideMark/>
          </w:tcPr>
          <w:p w14:paraId="630AC2D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0.72%</w:t>
            </w:r>
          </w:p>
        </w:tc>
        <w:tc>
          <w:tcPr>
            <w:tcW w:w="226" w:type="pct"/>
            <w:tcBorders>
              <w:top w:val="nil"/>
              <w:left w:val="nil"/>
              <w:bottom w:val="nil"/>
              <w:right w:val="nil"/>
            </w:tcBorders>
            <w:shd w:val="clear" w:color="000000" w:fill="FFFFFF"/>
            <w:noWrap/>
            <w:vAlign w:val="bottom"/>
            <w:hideMark/>
          </w:tcPr>
          <w:p w14:paraId="2EE179F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0.78%</w:t>
            </w:r>
          </w:p>
        </w:tc>
        <w:tc>
          <w:tcPr>
            <w:tcW w:w="226" w:type="pct"/>
            <w:tcBorders>
              <w:top w:val="nil"/>
              <w:left w:val="nil"/>
              <w:bottom w:val="nil"/>
              <w:right w:val="nil"/>
            </w:tcBorders>
            <w:shd w:val="clear" w:color="000000" w:fill="FFFFFF"/>
            <w:noWrap/>
            <w:vAlign w:val="bottom"/>
            <w:hideMark/>
          </w:tcPr>
          <w:p w14:paraId="1B10B3A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0.90%</w:t>
            </w:r>
          </w:p>
        </w:tc>
        <w:tc>
          <w:tcPr>
            <w:tcW w:w="226" w:type="pct"/>
            <w:tcBorders>
              <w:top w:val="nil"/>
              <w:left w:val="nil"/>
              <w:bottom w:val="nil"/>
              <w:right w:val="nil"/>
            </w:tcBorders>
            <w:shd w:val="clear" w:color="000000" w:fill="FFFFFF"/>
            <w:noWrap/>
            <w:vAlign w:val="bottom"/>
            <w:hideMark/>
          </w:tcPr>
          <w:p w14:paraId="6AC7D21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1.00%</w:t>
            </w:r>
          </w:p>
        </w:tc>
        <w:tc>
          <w:tcPr>
            <w:tcW w:w="226" w:type="pct"/>
            <w:tcBorders>
              <w:top w:val="nil"/>
              <w:left w:val="nil"/>
              <w:bottom w:val="nil"/>
              <w:right w:val="nil"/>
            </w:tcBorders>
            <w:shd w:val="clear" w:color="000000" w:fill="FFFFFF"/>
            <w:noWrap/>
            <w:vAlign w:val="bottom"/>
            <w:hideMark/>
          </w:tcPr>
          <w:p w14:paraId="0ED4D6A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1.12%</w:t>
            </w:r>
          </w:p>
        </w:tc>
        <w:tc>
          <w:tcPr>
            <w:tcW w:w="226" w:type="pct"/>
            <w:tcBorders>
              <w:top w:val="nil"/>
              <w:left w:val="nil"/>
              <w:bottom w:val="nil"/>
              <w:right w:val="nil"/>
            </w:tcBorders>
            <w:shd w:val="clear" w:color="000000" w:fill="FFFFFF"/>
            <w:noWrap/>
            <w:vAlign w:val="bottom"/>
            <w:hideMark/>
          </w:tcPr>
          <w:p w14:paraId="163C04B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1.19%</w:t>
            </w:r>
          </w:p>
        </w:tc>
        <w:tc>
          <w:tcPr>
            <w:tcW w:w="226" w:type="pct"/>
            <w:tcBorders>
              <w:top w:val="nil"/>
              <w:left w:val="nil"/>
              <w:bottom w:val="nil"/>
              <w:right w:val="nil"/>
            </w:tcBorders>
            <w:shd w:val="clear" w:color="000000" w:fill="FFFFFF"/>
            <w:noWrap/>
            <w:vAlign w:val="bottom"/>
            <w:hideMark/>
          </w:tcPr>
          <w:p w14:paraId="178D828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1.28%</w:t>
            </w:r>
          </w:p>
        </w:tc>
        <w:tc>
          <w:tcPr>
            <w:tcW w:w="226" w:type="pct"/>
            <w:tcBorders>
              <w:top w:val="nil"/>
              <w:left w:val="nil"/>
              <w:bottom w:val="nil"/>
              <w:right w:val="nil"/>
            </w:tcBorders>
            <w:shd w:val="clear" w:color="000000" w:fill="FFFFFF"/>
            <w:noWrap/>
            <w:vAlign w:val="bottom"/>
            <w:hideMark/>
          </w:tcPr>
          <w:p w14:paraId="2AD42DC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1.33%</w:t>
            </w:r>
          </w:p>
        </w:tc>
        <w:tc>
          <w:tcPr>
            <w:tcW w:w="226" w:type="pct"/>
            <w:tcBorders>
              <w:top w:val="nil"/>
              <w:left w:val="nil"/>
              <w:bottom w:val="nil"/>
              <w:right w:val="nil"/>
            </w:tcBorders>
            <w:shd w:val="clear" w:color="000000" w:fill="FFFFFF"/>
            <w:noWrap/>
            <w:vAlign w:val="bottom"/>
            <w:hideMark/>
          </w:tcPr>
          <w:p w14:paraId="28EE38B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1.36%</w:t>
            </w:r>
          </w:p>
        </w:tc>
        <w:tc>
          <w:tcPr>
            <w:tcW w:w="226" w:type="pct"/>
            <w:tcBorders>
              <w:top w:val="nil"/>
              <w:left w:val="nil"/>
              <w:bottom w:val="nil"/>
              <w:right w:val="nil"/>
            </w:tcBorders>
            <w:shd w:val="clear" w:color="000000" w:fill="FFFFFF"/>
            <w:noWrap/>
            <w:vAlign w:val="bottom"/>
            <w:hideMark/>
          </w:tcPr>
          <w:p w14:paraId="5602882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1.43%</w:t>
            </w:r>
          </w:p>
        </w:tc>
        <w:tc>
          <w:tcPr>
            <w:tcW w:w="226" w:type="pct"/>
            <w:tcBorders>
              <w:top w:val="nil"/>
              <w:left w:val="nil"/>
              <w:bottom w:val="nil"/>
              <w:right w:val="nil"/>
            </w:tcBorders>
            <w:shd w:val="clear" w:color="000000" w:fill="FFFFFF"/>
            <w:noWrap/>
            <w:vAlign w:val="bottom"/>
            <w:hideMark/>
          </w:tcPr>
          <w:p w14:paraId="3A2DA7B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1.49%</w:t>
            </w:r>
          </w:p>
        </w:tc>
      </w:tr>
      <w:tr w:rsidR="006A523F" w:rsidRPr="006A523F" w14:paraId="70906D09" w14:textId="77777777" w:rsidTr="006A523F">
        <w:trPr>
          <w:trHeight w:val="20"/>
        </w:trPr>
        <w:tc>
          <w:tcPr>
            <w:tcW w:w="480" w:type="pct"/>
            <w:tcBorders>
              <w:top w:val="nil"/>
              <w:left w:val="nil"/>
              <w:bottom w:val="nil"/>
              <w:right w:val="nil"/>
            </w:tcBorders>
            <w:shd w:val="clear" w:color="000000" w:fill="FFFFFF"/>
            <w:noWrap/>
            <w:vAlign w:val="center"/>
            <w:hideMark/>
          </w:tcPr>
          <w:p w14:paraId="1543A730"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2015</w:t>
            </w:r>
          </w:p>
        </w:tc>
        <w:tc>
          <w:tcPr>
            <w:tcW w:w="449" w:type="pct"/>
            <w:tcBorders>
              <w:top w:val="nil"/>
              <w:left w:val="nil"/>
              <w:bottom w:val="nil"/>
              <w:right w:val="nil"/>
            </w:tcBorders>
            <w:shd w:val="clear" w:color="000000" w:fill="FFFFFF"/>
            <w:noWrap/>
            <w:vAlign w:val="bottom"/>
            <w:hideMark/>
          </w:tcPr>
          <w:p w14:paraId="5F71886B"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2015Q4</w:t>
            </w:r>
          </w:p>
        </w:tc>
        <w:tc>
          <w:tcPr>
            <w:tcW w:w="449" w:type="pct"/>
            <w:tcBorders>
              <w:top w:val="nil"/>
              <w:left w:val="nil"/>
              <w:bottom w:val="nil"/>
              <w:right w:val="nil"/>
            </w:tcBorders>
            <w:shd w:val="clear" w:color="000000" w:fill="FFFFFF"/>
            <w:noWrap/>
            <w:vAlign w:val="center"/>
            <w:hideMark/>
          </w:tcPr>
          <w:p w14:paraId="218B629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100,704</w:t>
            </w:r>
          </w:p>
        </w:tc>
        <w:tc>
          <w:tcPr>
            <w:tcW w:w="226" w:type="pct"/>
            <w:tcBorders>
              <w:top w:val="nil"/>
              <w:left w:val="nil"/>
              <w:bottom w:val="nil"/>
              <w:right w:val="nil"/>
            </w:tcBorders>
            <w:shd w:val="clear" w:color="000000" w:fill="FFFFFF"/>
            <w:noWrap/>
            <w:vAlign w:val="bottom"/>
            <w:hideMark/>
          </w:tcPr>
          <w:p w14:paraId="7B52F08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37E286E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0.06%</w:t>
            </w:r>
          </w:p>
        </w:tc>
        <w:tc>
          <w:tcPr>
            <w:tcW w:w="226" w:type="pct"/>
            <w:tcBorders>
              <w:top w:val="nil"/>
              <w:left w:val="nil"/>
              <w:bottom w:val="nil"/>
              <w:right w:val="nil"/>
            </w:tcBorders>
            <w:shd w:val="clear" w:color="000000" w:fill="FFFFFF"/>
            <w:noWrap/>
            <w:vAlign w:val="bottom"/>
            <w:hideMark/>
          </w:tcPr>
          <w:p w14:paraId="085DD1D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0.12%</w:t>
            </w:r>
          </w:p>
        </w:tc>
        <w:tc>
          <w:tcPr>
            <w:tcW w:w="226" w:type="pct"/>
            <w:tcBorders>
              <w:top w:val="nil"/>
              <w:left w:val="nil"/>
              <w:bottom w:val="nil"/>
              <w:right w:val="nil"/>
            </w:tcBorders>
            <w:shd w:val="clear" w:color="000000" w:fill="FFFFFF"/>
            <w:noWrap/>
            <w:vAlign w:val="bottom"/>
            <w:hideMark/>
          </w:tcPr>
          <w:p w14:paraId="1247E5F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0.16%</w:t>
            </w:r>
          </w:p>
        </w:tc>
        <w:tc>
          <w:tcPr>
            <w:tcW w:w="226" w:type="pct"/>
            <w:tcBorders>
              <w:top w:val="nil"/>
              <w:left w:val="nil"/>
              <w:bottom w:val="nil"/>
              <w:right w:val="nil"/>
            </w:tcBorders>
            <w:shd w:val="clear" w:color="000000" w:fill="FFFFFF"/>
            <w:noWrap/>
            <w:vAlign w:val="bottom"/>
            <w:hideMark/>
          </w:tcPr>
          <w:p w14:paraId="6B4F26A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568AA54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1FF3F2C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0.54%</w:t>
            </w:r>
          </w:p>
        </w:tc>
        <w:tc>
          <w:tcPr>
            <w:tcW w:w="226" w:type="pct"/>
            <w:tcBorders>
              <w:top w:val="nil"/>
              <w:left w:val="nil"/>
              <w:bottom w:val="nil"/>
              <w:right w:val="nil"/>
            </w:tcBorders>
            <w:shd w:val="clear" w:color="000000" w:fill="FFFFFF"/>
            <w:noWrap/>
            <w:vAlign w:val="bottom"/>
            <w:hideMark/>
          </w:tcPr>
          <w:p w14:paraId="6CB6AA6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0.65%</w:t>
            </w:r>
          </w:p>
        </w:tc>
        <w:tc>
          <w:tcPr>
            <w:tcW w:w="226" w:type="pct"/>
            <w:tcBorders>
              <w:top w:val="nil"/>
              <w:left w:val="nil"/>
              <w:bottom w:val="nil"/>
              <w:right w:val="nil"/>
            </w:tcBorders>
            <w:shd w:val="clear" w:color="000000" w:fill="FFFFFF"/>
            <w:noWrap/>
            <w:vAlign w:val="bottom"/>
            <w:hideMark/>
          </w:tcPr>
          <w:p w14:paraId="36B3AB3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0.77%</w:t>
            </w:r>
          </w:p>
        </w:tc>
        <w:tc>
          <w:tcPr>
            <w:tcW w:w="226" w:type="pct"/>
            <w:tcBorders>
              <w:top w:val="nil"/>
              <w:left w:val="nil"/>
              <w:bottom w:val="nil"/>
              <w:right w:val="nil"/>
            </w:tcBorders>
            <w:shd w:val="clear" w:color="000000" w:fill="FFFFFF"/>
            <w:noWrap/>
            <w:vAlign w:val="bottom"/>
            <w:hideMark/>
          </w:tcPr>
          <w:p w14:paraId="25BB9A8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0.83%</w:t>
            </w:r>
          </w:p>
        </w:tc>
        <w:tc>
          <w:tcPr>
            <w:tcW w:w="226" w:type="pct"/>
            <w:tcBorders>
              <w:top w:val="nil"/>
              <w:left w:val="nil"/>
              <w:bottom w:val="nil"/>
              <w:right w:val="nil"/>
            </w:tcBorders>
            <w:shd w:val="clear" w:color="000000" w:fill="FFFFFF"/>
            <w:noWrap/>
            <w:vAlign w:val="bottom"/>
            <w:hideMark/>
          </w:tcPr>
          <w:p w14:paraId="2923B5B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0.93%</w:t>
            </w:r>
          </w:p>
        </w:tc>
        <w:tc>
          <w:tcPr>
            <w:tcW w:w="226" w:type="pct"/>
            <w:tcBorders>
              <w:top w:val="nil"/>
              <w:left w:val="nil"/>
              <w:bottom w:val="nil"/>
              <w:right w:val="nil"/>
            </w:tcBorders>
            <w:shd w:val="clear" w:color="000000" w:fill="FFFFFF"/>
            <w:noWrap/>
            <w:vAlign w:val="bottom"/>
            <w:hideMark/>
          </w:tcPr>
          <w:p w14:paraId="59FFC9D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0.97%</w:t>
            </w:r>
          </w:p>
        </w:tc>
        <w:tc>
          <w:tcPr>
            <w:tcW w:w="226" w:type="pct"/>
            <w:tcBorders>
              <w:top w:val="nil"/>
              <w:left w:val="nil"/>
              <w:bottom w:val="nil"/>
              <w:right w:val="nil"/>
            </w:tcBorders>
            <w:shd w:val="clear" w:color="000000" w:fill="FFFFFF"/>
            <w:noWrap/>
            <w:vAlign w:val="bottom"/>
            <w:hideMark/>
          </w:tcPr>
          <w:p w14:paraId="44EED6B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1.05%</w:t>
            </w:r>
          </w:p>
        </w:tc>
        <w:tc>
          <w:tcPr>
            <w:tcW w:w="226" w:type="pct"/>
            <w:tcBorders>
              <w:top w:val="nil"/>
              <w:left w:val="nil"/>
              <w:bottom w:val="nil"/>
              <w:right w:val="nil"/>
            </w:tcBorders>
            <w:shd w:val="clear" w:color="000000" w:fill="FFFFFF"/>
            <w:noWrap/>
            <w:vAlign w:val="bottom"/>
            <w:hideMark/>
          </w:tcPr>
          <w:p w14:paraId="19B0A26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1.17%</w:t>
            </w:r>
          </w:p>
        </w:tc>
        <w:tc>
          <w:tcPr>
            <w:tcW w:w="226" w:type="pct"/>
            <w:tcBorders>
              <w:top w:val="nil"/>
              <w:left w:val="nil"/>
              <w:bottom w:val="nil"/>
              <w:right w:val="nil"/>
            </w:tcBorders>
            <w:shd w:val="clear" w:color="000000" w:fill="FFFFFF"/>
            <w:noWrap/>
            <w:vAlign w:val="bottom"/>
            <w:hideMark/>
          </w:tcPr>
          <w:p w14:paraId="2853BE9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1.23%</w:t>
            </w:r>
          </w:p>
        </w:tc>
        <w:tc>
          <w:tcPr>
            <w:tcW w:w="226" w:type="pct"/>
            <w:tcBorders>
              <w:top w:val="nil"/>
              <w:left w:val="nil"/>
              <w:bottom w:val="nil"/>
              <w:right w:val="nil"/>
            </w:tcBorders>
            <w:shd w:val="clear" w:color="000000" w:fill="FFFFFF"/>
            <w:noWrap/>
            <w:vAlign w:val="bottom"/>
            <w:hideMark/>
          </w:tcPr>
          <w:p w14:paraId="2FC3408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1.23%</w:t>
            </w:r>
          </w:p>
        </w:tc>
      </w:tr>
      <w:tr w:rsidR="006A523F" w:rsidRPr="006A523F" w14:paraId="7A7AE4B4" w14:textId="77777777" w:rsidTr="006A523F">
        <w:trPr>
          <w:trHeight w:val="20"/>
        </w:trPr>
        <w:tc>
          <w:tcPr>
            <w:tcW w:w="480" w:type="pct"/>
            <w:tcBorders>
              <w:top w:val="nil"/>
              <w:left w:val="nil"/>
              <w:bottom w:val="nil"/>
              <w:right w:val="nil"/>
            </w:tcBorders>
            <w:shd w:val="clear" w:color="000000" w:fill="FFFFFF"/>
            <w:noWrap/>
            <w:vAlign w:val="center"/>
            <w:hideMark/>
          </w:tcPr>
          <w:p w14:paraId="6FB3F039"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2016</w:t>
            </w:r>
          </w:p>
        </w:tc>
        <w:tc>
          <w:tcPr>
            <w:tcW w:w="449" w:type="pct"/>
            <w:tcBorders>
              <w:top w:val="nil"/>
              <w:left w:val="nil"/>
              <w:bottom w:val="nil"/>
              <w:right w:val="nil"/>
            </w:tcBorders>
            <w:shd w:val="clear" w:color="000000" w:fill="FFFFFF"/>
            <w:noWrap/>
            <w:vAlign w:val="bottom"/>
            <w:hideMark/>
          </w:tcPr>
          <w:p w14:paraId="6513A195"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2016Q1</w:t>
            </w:r>
          </w:p>
        </w:tc>
        <w:tc>
          <w:tcPr>
            <w:tcW w:w="449" w:type="pct"/>
            <w:tcBorders>
              <w:top w:val="nil"/>
              <w:left w:val="nil"/>
              <w:bottom w:val="nil"/>
              <w:right w:val="nil"/>
            </w:tcBorders>
            <w:shd w:val="clear" w:color="000000" w:fill="FFFFFF"/>
            <w:noWrap/>
            <w:vAlign w:val="center"/>
            <w:hideMark/>
          </w:tcPr>
          <w:p w14:paraId="3D2ABA1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72,742</w:t>
            </w:r>
          </w:p>
        </w:tc>
        <w:tc>
          <w:tcPr>
            <w:tcW w:w="226" w:type="pct"/>
            <w:tcBorders>
              <w:top w:val="nil"/>
              <w:left w:val="nil"/>
              <w:bottom w:val="nil"/>
              <w:right w:val="nil"/>
            </w:tcBorders>
            <w:shd w:val="clear" w:color="000000" w:fill="FFFFFF"/>
            <w:noWrap/>
            <w:vAlign w:val="bottom"/>
            <w:hideMark/>
          </w:tcPr>
          <w:p w14:paraId="2B3263A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47256F8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0.08%</w:t>
            </w:r>
          </w:p>
        </w:tc>
        <w:tc>
          <w:tcPr>
            <w:tcW w:w="226" w:type="pct"/>
            <w:tcBorders>
              <w:top w:val="nil"/>
              <w:left w:val="nil"/>
              <w:bottom w:val="nil"/>
              <w:right w:val="nil"/>
            </w:tcBorders>
            <w:shd w:val="clear" w:color="000000" w:fill="FFFFFF"/>
            <w:noWrap/>
            <w:vAlign w:val="bottom"/>
            <w:hideMark/>
          </w:tcPr>
          <w:p w14:paraId="02339B6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0.21%</w:t>
            </w:r>
          </w:p>
        </w:tc>
        <w:tc>
          <w:tcPr>
            <w:tcW w:w="226" w:type="pct"/>
            <w:tcBorders>
              <w:top w:val="nil"/>
              <w:left w:val="nil"/>
              <w:bottom w:val="nil"/>
              <w:right w:val="nil"/>
            </w:tcBorders>
            <w:shd w:val="clear" w:color="000000" w:fill="FFFFFF"/>
            <w:noWrap/>
            <w:vAlign w:val="bottom"/>
            <w:hideMark/>
          </w:tcPr>
          <w:p w14:paraId="10DD9BB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0.29%</w:t>
            </w:r>
          </w:p>
        </w:tc>
        <w:tc>
          <w:tcPr>
            <w:tcW w:w="226" w:type="pct"/>
            <w:tcBorders>
              <w:top w:val="nil"/>
              <w:left w:val="nil"/>
              <w:bottom w:val="nil"/>
              <w:right w:val="nil"/>
            </w:tcBorders>
            <w:shd w:val="clear" w:color="000000" w:fill="FFFFFF"/>
            <w:noWrap/>
            <w:vAlign w:val="bottom"/>
            <w:hideMark/>
          </w:tcPr>
          <w:p w14:paraId="20AB27B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611EF0A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0.59%</w:t>
            </w:r>
          </w:p>
        </w:tc>
        <w:tc>
          <w:tcPr>
            <w:tcW w:w="226" w:type="pct"/>
            <w:tcBorders>
              <w:top w:val="nil"/>
              <w:left w:val="nil"/>
              <w:bottom w:val="nil"/>
              <w:right w:val="nil"/>
            </w:tcBorders>
            <w:shd w:val="clear" w:color="000000" w:fill="FFFFFF"/>
            <w:noWrap/>
            <w:vAlign w:val="bottom"/>
            <w:hideMark/>
          </w:tcPr>
          <w:p w14:paraId="7B03A68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0.70%</w:t>
            </w:r>
          </w:p>
        </w:tc>
        <w:tc>
          <w:tcPr>
            <w:tcW w:w="226" w:type="pct"/>
            <w:tcBorders>
              <w:top w:val="nil"/>
              <w:left w:val="nil"/>
              <w:bottom w:val="nil"/>
              <w:right w:val="nil"/>
            </w:tcBorders>
            <w:shd w:val="clear" w:color="000000" w:fill="FFFFFF"/>
            <w:noWrap/>
            <w:vAlign w:val="bottom"/>
            <w:hideMark/>
          </w:tcPr>
          <w:p w14:paraId="5617D9F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0.78%</w:t>
            </w:r>
          </w:p>
        </w:tc>
        <w:tc>
          <w:tcPr>
            <w:tcW w:w="226" w:type="pct"/>
            <w:tcBorders>
              <w:top w:val="nil"/>
              <w:left w:val="nil"/>
              <w:bottom w:val="nil"/>
              <w:right w:val="nil"/>
            </w:tcBorders>
            <w:shd w:val="clear" w:color="000000" w:fill="FFFFFF"/>
            <w:noWrap/>
            <w:vAlign w:val="bottom"/>
            <w:hideMark/>
          </w:tcPr>
          <w:p w14:paraId="6C12960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0.93%</w:t>
            </w:r>
          </w:p>
        </w:tc>
        <w:tc>
          <w:tcPr>
            <w:tcW w:w="226" w:type="pct"/>
            <w:tcBorders>
              <w:top w:val="nil"/>
              <w:left w:val="nil"/>
              <w:bottom w:val="nil"/>
              <w:right w:val="nil"/>
            </w:tcBorders>
            <w:shd w:val="clear" w:color="000000" w:fill="FFFFFF"/>
            <w:noWrap/>
            <w:vAlign w:val="bottom"/>
            <w:hideMark/>
          </w:tcPr>
          <w:p w14:paraId="2013541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1.04%</w:t>
            </w:r>
          </w:p>
        </w:tc>
        <w:tc>
          <w:tcPr>
            <w:tcW w:w="226" w:type="pct"/>
            <w:tcBorders>
              <w:top w:val="nil"/>
              <w:left w:val="nil"/>
              <w:bottom w:val="nil"/>
              <w:right w:val="nil"/>
            </w:tcBorders>
            <w:shd w:val="clear" w:color="000000" w:fill="FFFFFF"/>
            <w:noWrap/>
            <w:vAlign w:val="bottom"/>
            <w:hideMark/>
          </w:tcPr>
          <w:p w14:paraId="208D57B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1.10%</w:t>
            </w:r>
          </w:p>
        </w:tc>
        <w:tc>
          <w:tcPr>
            <w:tcW w:w="226" w:type="pct"/>
            <w:tcBorders>
              <w:top w:val="nil"/>
              <w:left w:val="nil"/>
              <w:bottom w:val="nil"/>
              <w:right w:val="nil"/>
            </w:tcBorders>
            <w:shd w:val="clear" w:color="000000" w:fill="FFFFFF"/>
            <w:noWrap/>
            <w:vAlign w:val="bottom"/>
            <w:hideMark/>
          </w:tcPr>
          <w:p w14:paraId="696AAFC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1.13%</w:t>
            </w:r>
          </w:p>
        </w:tc>
        <w:tc>
          <w:tcPr>
            <w:tcW w:w="226" w:type="pct"/>
            <w:tcBorders>
              <w:top w:val="nil"/>
              <w:left w:val="nil"/>
              <w:bottom w:val="nil"/>
              <w:right w:val="nil"/>
            </w:tcBorders>
            <w:shd w:val="clear" w:color="000000" w:fill="FFFFFF"/>
            <w:noWrap/>
            <w:vAlign w:val="bottom"/>
            <w:hideMark/>
          </w:tcPr>
          <w:p w14:paraId="3CE6CDF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1.25%</w:t>
            </w:r>
          </w:p>
        </w:tc>
        <w:tc>
          <w:tcPr>
            <w:tcW w:w="226" w:type="pct"/>
            <w:tcBorders>
              <w:top w:val="nil"/>
              <w:left w:val="nil"/>
              <w:bottom w:val="nil"/>
              <w:right w:val="nil"/>
            </w:tcBorders>
            <w:shd w:val="clear" w:color="000000" w:fill="FFFFFF"/>
            <w:noWrap/>
            <w:vAlign w:val="bottom"/>
            <w:hideMark/>
          </w:tcPr>
          <w:p w14:paraId="7D77968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1.36%</w:t>
            </w:r>
          </w:p>
        </w:tc>
        <w:tc>
          <w:tcPr>
            <w:tcW w:w="226" w:type="pct"/>
            <w:tcBorders>
              <w:top w:val="nil"/>
              <w:left w:val="nil"/>
              <w:bottom w:val="nil"/>
              <w:right w:val="nil"/>
            </w:tcBorders>
            <w:shd w:val="clear" w:color="000000" w:fill="FFFFFF"/>
            <w:noWrap/>
            <w:vAlign w:val="bottom"/>
            <w:hideMark/>
          </w:tcPr>
          <w:p w14:paraId="6FD69C2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1.40%</w:t>
            </w:r>
          </w:p>
        </w:tc>
        <w:tc>
          <w:tcPr>
            <w:tcW w:w="226" w:type="pct"/>
            <w:tcBorders>
              <w:top w:val="nil"/>
              <w:left w:val="nil"/>
              <w:bottom w:val="nil"/>
              <w:right w:val="nil"/>
            </w:tcBorders>
            <w:shd w:val="clear" w:color="000000" w:fill="FFFFFF"/>
            <w:noWrap/>
            <w:vAlign w:val="bottom"/>
            <w:hideMark/>
          </w:tcPr>
          <w:p w14:paraId="173229D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1.43%</w:t>
            </w:r>
          </w:p>
        </w:tc>
      </w:tr>
      <w:tr w:rsidR="006A523F" w:rsidRPr="006A523F" w14:paraId="5D56E59C" w14:textId="77777777" w:rsidTr="006A523F">
        <w:trPr>
          <w:trHeight w:val="20"/>
        </w:trPr>
        <w:tc>
          <w:tcPr>
            <w:tcW w:w="480" w:type="pct"/>
            <w:tcBorders>
              <w:top w:val="nil"/>
              <w:left w:val="nil"/>
              <w:bottom w:val="nil"/>
              <w:right w:val="nil"/>
            </w:tcBorders>
            <w:shd w:val="clear" w:color="000000" w:fill="FFFFFF"/>
            <w:noWrap/>
            <w:vAlign w:val="center"/>
            <w:hideMark/>
          </w:tcPr>
          <w:p w14:paraId="57A4CCEB"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2016</w:t>
            </w:r>
          </w:p>
        </w:tc>
        <w:tc>
          <w:tcPr>
            <w:tcW w:w="449" w:type="pct"/>
            <w:tcBorders>
              <w:top w:val="nil"/>
              <w:left w:val="nil"/>
              <w:bottom w:val="nil"/>
              <w:right w:val="nil"/>
            </w:tcBorders>
            <w:shd w:val="clear" w:color="000000" w:fill="FFFFFF"/>
            <w:noWrap/>
            <w:vAlign w:val="bottom"/>
            <w:hideMark/>
          </w:tcPr>
          <w:p w14:paraId="68563334"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2016Q2</w:t>
            </w:r>
          </w:p>
        </w:tc>
        <w:tc>
          <w:tcPr>
            <w:tcW w:w="449" w:type="pct"/>
            <w:tcBorders>
              <w:top w:val="nil"/>
              <w:left w:val="nil"/>
              <w:bottom w:val="nil"/>
              <w:right w:val="nil"/>
            </w:tcBorders>
            <w:shd w:val="clear" w:color="000000" w:fill="FFFFFF"/>
            <w:noWrap/>
            <w:vAlign w:val="center"/>
            <w:hideMark/>
          </w:tcPr>
          <w:p w14:paraId="4DF737F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72,935</w:t>
            </w:r>
          </w:p>
        </w:tc>
        <w:tc>
          <w:tcPr>
            <w:tcW w:w="226" w:type="pct"/>
            <w:tcBorders>
              <w:top w:val="nil"/>
              <w:left w:val="nil"/>
              <w:bottom w:val="nil"/>
              <w:right w:val="nil"/>
            </w:tcBorders>
            <w:shd w:val="clear" w:color="000000" w:fill="FFFFFF"/>
            <w:noWrap/>
            <w:vAlign w:val="bottom"/>
            <w:hideMark/>
          </w:tcPr>
          <w:p w14:paraId="202A018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06895DE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0.05%</w:t>
            </w:r>
          </w:p>
        </w:tc>
        <w:tc>
          <w:tcPr>
            <w:tcW w:w="226" w:type="pct"/>
            <w:tcBorders>
              <w:top w:val="nil"/>
              <w:left w:val="nil"/>
              <w:bottom w:val="nil"/>
              <w:right w:val="nil"/>
            </w:tcBorders>
            <w:shd w:val="clear" w:color="000000" w:fill="FFFFFF"/>
            <w:noWrap/>
            <w:vAlign w:val="bottom"/>
            <w:hideMark/>
          </w:tcPr>
          <w:p w14:paraId="5EE33F4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0.18%</w:t>
            </w:r>
          </w:p>
        </w:tc>
        <w:tc>
          <w:tcPr>
            <w:tcW w:w="226" w:type="pct"/>
            <w:tcBorders>
              <w:top w:val="nil"/>
              <w:left w:val="nil"/>
              <w:bottom w:val="nil"/>
              <w:right w:val="nil"/>
            </w:tcBorders>
            <w:shd w:val="clear" w:color="000000" w:fill="FFFFFF"/>
            <w:noWrap/>
            <w:vAlign w:val="bottom"/>
            <w:hideMark/>
          </w:tcPr>
          <w:p w14:paraId="4F00608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0.34%</w:t>
            </w:r>
          </w:p>
        </w:tc>
        <w:tc>
          <w:tcPr>
            <w:tcW w:w="226" w:type="pct"/>
            <w:tcBorders>
              <w:top w:val="nil"/>
              <w:left w:val="nil"/>
              <w:bottom w:val="nil"/>
              <w:right w:val="nil"/>
            </w:tcBorders>
            <w:shd w:val="clear" w:color="000000" w:fill="FFFFFF"/>
            <w:noWrap/>
            <w:vAlign w:val="bottom"/>
            <w:hideMark/>
          </w:tcPr>
          <w:p w14:paraId="5C835EE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0.41%</w:t>
            </w:r>
          </w:p>
        </w:tc>
        <w:tc>
          <w:tcPr>
            <w:tcW w:w="226" w:type="pct"/>
            <w:tcBorders>
              <w:top w:val="nil"/>
              <w:left w:val="nil"/>
              <w:bottom w:val="nil"/>
              <w:right w:val="nil"/>
            </w:tcBorders>
            <w:shd w:val="clear" w:color="000000" w:fill="FFFFFF"/>
            <w:noWrap/>
            <w:vAlign w:val="bottom"/>
            <w:hideMark/>
          </w:tcPr>
          <w:p w14:paraId="36DB96A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0.51%</w:t>
            </w:r>
          </w:p>
        </w:tc>
        <w:tc>
          <w:tcPr>
            <w:tcW w:w="226" w:type="pct"/>
            <w:tcBorders>
              <w:top w:val="nil"/>
              <w:left w:val="nil"/>
              <w:bottom w:val="nil"/>
              <w:right w:val="nil"/>
            </w:tcBorders>
            <w:shd w:val="clear" w:color="000000" w:fill="FFFFFF"/>
            <w:noWrap/>
            <w:vAlign w:val="bottom"/>
            <w:hideMark/>
          </w:tcPr>
          <w:p w14:paraId="2130933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0.58%</w:t>
            </w:r>
          </w:p>
        </w:tc>
        <w:tc>
          <w:tcPr>
            <w:tcW w:w="226" w:type="pct"/>
            <w:tcBorders>
              <w:top w:val="nil"/>
              <w:left w:val="nil"/>
              <w:bottom w:val="nil"/>
              <w:right w:val="nil"/>
            </w:tcBorders>
            <w:shd w:val="clear" w:color="000000" w:fill="FFFFFF"/>
            <w:noWrap/>
            <w:vAlign w:val="bottom"/>
            <w:hideMark/>
          </w:tcPr>
          <w:p w14:paraId="5F8C5E1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0.73%</w:t>
            </w:r>
          </w:p>
        </w:tc>
        <w:tc>
          <w:tcPr>
            <w:tcW w:w="226" w:type="pct"/>
            <w:tcBorders>
              <w:top w:val="nil"/>
              <w:left w:val="nil"/>
              <w:bottom w:val="nil"/>
              <w:right w:val="nil"/>
            </w:tcBorders>
            <w:shd w:val="clear" w:color="000000" w:fill="FFFFFF"/>
            <w:noWrap/>
            <w:vAlign w:val="bottom"/>
            <w:hideMark/>
          </w:tcPr>
          <w:p w14:paraId="2701E87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0.83%</w:t>
            </w:r>
          </w:p>
        </w:tc>
        <w:tc>
          <w:tcPr>
            <w:tcW w:w="226" w:type="pct"/>
            <w:tcBorders>
              <w:top w:val="nil"/>
              <w:left w:val="nil"/>
              <w:bottom w:val="nil"/>
              <w:right w:val="nil"/>
            </w:tcBorders>
            <w:shd w:val="clear" w:color="000000" w:fill="FFFFFF"/>
            <w:noWrap/>
            <w:vAlign w:val="bottom"/>
            <w:hideMark/>
          </w:tcPr>
          <w:p w14:paraId="0F40678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0.94%</w:t>
            </w:r>
          </w:p>
        </w:tc>
        <w:tc>
          <w:tcPr>
            <w:tcW w:w="226" w:type="pct"/>
            <w:tcBorders>
              <w:top w:val="nil"/>
              <w:left w:val="nil"/>
              <w:bottom w:val="nil"/>
              <w:right w:val="nil"/>
            </w:tcBorders>
            <w:shd w:val="clear" w:color="000000" w:fill="FFFFFF"/>
            <w:noWrap/>
            <w:vAlign w:val="bottom"/>
            <w:hideMark/>
          </w:tcPr>
          <w:p w14:paraId="34D0DD1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1.08%</w:t>
            </w:r>
          </w:p>
        </w:tc>
        <w:tc>
          <w:tcPr>
            <w:tcW w:w="226" w:type="pct"/>
            <w:tcBorders>
              <w:top w:val="nil"/>
              <w:left w:val="nil"/>
              <w:bottom w:val="nil"/>
              <w:right w:val="nil"/>
            </w:tcBorders>
            <w:shd w:val="clear" w:color="000000" w:fill="FFFFFF"/>
            <w:noWrap/>
            <w:vAlign w:val="bottom"/>
            <w:hideMark/>
          </w:tcPr>
          <w:p w14:paraId="4BBEB1E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1.18%</w:t>
            </w:r>
          </w:p>
        </w:tc>
        <w:tc>
          <w:tcPr>
            <w:tcW w:w="226" w:type="pct"/>
            <w:tcBorders>
              <w:top w:val="nil"/>
              <w:left w:val="nil"/>
              <w:bottom w:val="nil"/>
              <w:right w:val="nil"/>
            </w:tcBorders>
            <w:shd w:val="clear" w:color="000000" w:fill="FFFFFF"/>
            <w:noWrap/>
            <w:vAlign w:val="bottom"/>
            <w:hideMark/>
          </w:tcPr>
          <w:p w14:paraId="6DBB5F4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1.27%</w:t>
            </w:r>
          </w:p>
        </w:tc>
        <w:tc>
          <w:tcPr>
            <w:tcW w:w="226" w:type="pct"/>
            <w:tcBorders>
              <w:top w:val="nil"/>
              <w:left w:val="nil"/>
              <w:bottom w:val="nil"/>
              <w:right w:val="nil"/>
            </w:tcBorders>
            <w:shd w:val="clear" w:color="000000" w:fill="FFFFFF"/>
            <w:noWrap/>
            <w:vAlign w:val="bottom"/>
            <w:hideMark/>
          </w:tcPr>
          <w:p w14:paraId="4844074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1.46%</w:t>
            </w:r>
          </w:p>
        </w:tc>
        <w:tc>
          <w:tcPr>
            <w:tcW w:w="226" w:type="pct"/>
            <w:tcBorders>
              <w:top w:val="nil"/>
              <w:left w:val="nil"/>
              <w:bottom w:val="nil"/>
              <w:right w:val="nil"/>
            </w:tcBorders>
            <w:shd w:val="clear" w:color="000000" w:fill="FFFFFF"/>
            <w:noWrap/>
            <w:vAlign w:val="bottom"/>
            <w:hideMark/>
          </w:tcPr>
          <w:p w14:paraId="74D733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1.51%</w:t>
            </w:r>
          </w:p>
        </w:tc>
        <w:tc>
          <w:tcPr>
            <w:tcW w:w="226" w:type="pct"/>
            <w:tcBorders>
              <w:top w:val="nil"/>
              <w:left w:val="nil"/>
              <w:bottom w:val="nil"/>
              <w:right w:val="nil"/>
            </w:tcBorders>
            <w:shd w:val="clear" w:color="000000" w:fill="FFFFFF"/>
            <w:noWrap/>
            <w:vAlign w:val="bottom"/>
            <w:hideMark/>
          </w:tcPr>
          <w:p w14:paraId="7ED570D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1.55%</w:t>
            </w:r>
          </w:p>
        </w:tc>
      </w:tr>
      <w:tr w:rsidR="006A523F" w:rsidRPr="006A523F" w14:paraId="3B7B523D" w14:textId="77777777" w:rsidTr="006A523F">
        <w:trPr>
          <w:trHeight w:val="20"/>
        </w:trPr>
        <w:tc>
          <w:tcPr>
            <w:tcW w:w="480" w:type="pct"/>
            <w:tcBorders>
              <w:top w:val="nil"/>
              <w:left w:val="nil"/>
              <w:bottom w:val="nil"/>
              <w:right w:val="nil"/>
            </w:tcBorders>
            <w:shd w:val="clear" w:color="000000" w:fill="FFFFFF"/>
            <w:noWrap/>
            <w:vAlign w:val="center"/>
            <w:hideMark/>
          </w:tcPr>
          <w:p w14:paraId="69B37519"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2016</w:t>
            </w:r>
          </w:p>
        </w:tc>
        <w:tc>
          <w:tcPr>
            <w:tcW w:w="449" w:type="pct"/>
            <w:tcBorders>
              <w:top w:val="nil"/>
              <w:left w:val="nil"/>
              <w:bottom w:val="nil"/>
              <w:right w:val="nil"/>
            </w:tcBorders>
            <w:shd w:val="clear" w:color="000000" w:fill="FFFFFF"/>
            <w:noWrap/>
            <w:vAlign w:val="bottom"/>
            <w:hideMark/>
          </w:tcPr>
          <w:p w14:paraId="24A041B6"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2016Q3</w:t>
            </w:r>
          </w:p>
        </w:tc>
        <w:tc>
          <w:tcPr>
            <w:tcW w:w="449" w:type="pct"/>
            <w:tcBorders>
              <w:top w:val="nil"/>
              <w:left w:val="nil"/>
              <w:bottom w:val="nil"/>
              <w:right w:val="nil"/>
            </w:tcBorders>
            <w:shd w:val="clear" w:color="000000" w:fill="FFFFFF"/>
            <w:noWrap/>
            <w:vAlign w:val="center"/>
            <w:hideMark/>
          </w:tcPr>
          <w:p w14:paraId="33059FB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66,916</w:t>
            </w:r>
          </w:p>
        </w:tc>
        <w:tc>
          <w:tcPr>
            <w:tcW w:w="226" w:type="pct"/>
            <w:tcBorders>
              <w:top w:val="nil"/>
              <w:left w:val="nil"/>
              <w:bottom w:val="nil"/>
              <w:right w:val="nil"/>
            </w:tcBorders>
            <w:shd w:val="clear" w:color="000000" w:fill="FFFFFF"/>
            <w:noWrap/>
            <w:vAlign w:val="bottom"/>
            <w:hideMark/>
          </w:tcPr>
          <w:p w14:paraId="79CDC71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65C78E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0496256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0.33%</w:t>
            </w:r>
          </w:p>
        </w:tc>
        <w:tc>
          <w:tcPr>
            <w:tcW w:w="226" w:type="pct"/>
            <w:tcBorders>
              <w:top w:val="nil"/>
              <w:left w:val="nil"/>
              <w:bottom w:val="nil"/>
              <w:right w:val="nil"/>
            </w:tcBorders>
            <w:shd w:val="clear" w:color="000000" w:fill="FFFFFF"/>
            <w:noWrap/>
            <w:vAlign w:val="bottom"/>
            <w:hideMark/>
          </w:tcPr>
          <w:p w14:paraId="0F24EBA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0.42%</w:t>
            </w:r>
          </w:p>
        </w:tc>
        <w:tc>
          <w:tcPr>
            <w:tcW w:w="226" w:type="pct"/>
            <w:tcBorders>
              <w:top w:val="nil"/>
              <w:left w:val="nil"/>
              <w:bottom w:val="nil"/>
              <w:right w:val="nil"/>
            </w:tcBorders>
            <w:shd w:val="clear" w:color="000000" w:fill="FFFFFF"/>
            <w:noWrap/>
            <w:vAlign w:val="bottom"/>
            <w:hideMark/>
          </w:tcPr>
          <w:p w14:paraId="16724C3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0.51%</w:t>
            </w:r>
          </w:p>
        </w:tc>
        <w:tc>
          <w:tcPr>
            <w:tcW w:w="226" w:type="pct"/>
            <w:tcBorders>
              <w:top w:val="nil"/>
              <w:left w:val="nil"/>
              <w:bottom w:val="nil"/>
              <w:right w:val="nil"/>
            </w:tcBorders>
            <w:shd w:val="clear" w:color="000000" w:fill="FFFFFF"/>
            <w:noWrap/>
            <w:vAlign w:val="bottom"/>
            <w:hideMark/>
          </w:tcPr>
          <w:p w14:paraId="39E2202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0.58%</w:t>
            </w:r>
          </w:p>
        </w:tc>
        <w:tc>
          <w:tcPr>
            <w:tcW w:w="226" w:type="pct"/>
            <w:tcBorders>
              <w:top w:val="nil"/>
              <w:left w:val="nil"/>
              <w:bottom w:val="nil"/>
              <w:right w:val="nil"/>
            </w:tcBorders>
            <w:shd w:val="clear" w:color="000000" w:fill="FFFFFF"/>
            <w:noWrap/>
            <w:vAlign w:val="bottom"/>
            <w:hideMark/>
          </w:tcPr>
          <w:p w14:paraId="32F7AFD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0.64%</w:t>
            </w:r>
          </w:p>
        </w:tc>
        <w:tc>
          <w:tcPr>
            <w:tcW w:w="226" w:type="pct"/>
            <w:tcBorders>
              <w:top w:val="nil"/>
              <w:left w:val="nil"/>
              <w:bottom w:val="nil"/>
              <w:right w:val="nil"/>
            </w:tcBorders>
            <w:shd w:val="clear" w:color="000000" w:fill="FFFFFF"/>
            <w:noWrap/>
            <w:vAlign w:val="bottom"/>
            <w:hideMark/>
          </w:tcPr>
          <w:p w14:paraId="6322804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0.86%</w:t>
            </w:r>
          </w:p>
        </w:tc>
        <w:tc>
          <w:tcPr>
            <w:tcW w:w="226" w:type="pct"/>
            <w:tcBorders>
              <w:top w:val="nil"/>
              <w:left w:val="nil"/>
              <w:bottom w:val="nil"/>
              <w:right w:val="nil"/>
            </w:tcBorders>
            <w:shd w:val="clear" w:color="000000" w:fill="FFFFFF"/>
            <w:noWrap/>
            <w:vAlign w:val="bottom"/>
            <w:hideMark/>
          </w:tcPr>
          <w:p w14:paraId="3D9F4F0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0.99%</w:t>
            </w:r>
          </w:p>
        </w:tc>
        <w:tc>
          <w:tcPr>
            <w:tcW w:w="226" w:type="pct"/>
            <w:tcBorders>
              <w:top w:val="nil"/>
              <w:left w:val="nil"/>
              <w:bottom w:val="nil"/>
              <w:right w:val="nil"/>
            </w:tcBorders>
            <w:shd w:val="clear" w:color="000000" w:fill="FFFFFF"/>
            <w:noWrap/>
            <w:vAlign w:val="bottom"/>
            <w:hideMark/>
          </w:tcPr>
          <w:p w14:paraId="23A86ED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1.10%</w:t>
            </w:r>
          </w:p>
        </w:tc>
        <w:tc>
          <w:tcPr>
            <w:tcW w:w="226" w:type="pct"/>
            <w:tcBorders>
              <w:top w:val="nil"/>
              <w:left w:val="nil"/>
              <w:bottom w:val="nil"/>
              <w:right w:val="nil"/>
            </w:tcBorders>
            <w:shd w:val="clear" w:color="000000" w:fill="FFFFFF"/>
            <w:noWrap/>
            <w:vAlign w:val="bottom"/>
            <w:hideMark/>
          </w:tcPr>
          <w:p w14:paraId="0FB185D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1.35%</w:t>
            </w:r>
          </w:p>
        </w:tc>
        <w:tc>
          <w:tcPr>
            <w:tcW w:w="226" w:type="pct"/>
            <w:tcBorders>
              <w:top w:val="nil"/>
              <w:left w:val="nil"/>
              <w:bottom w:val="nil"/>
              <w:right w:val="nil"/>
            </w:tcBorders>
            <w:shd w:val="clear" w:color="000000" w:fill="FFFFFF"/>
            <w:noWrap/>
            <w:vAlign w:val="bottom"/>
            <w:hideMark/>
          </w:tcPr>
          <w:p w14:paraId="2867C75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1.46%</w:t>
            </w:r>
          </w:p>
        </w:tc>
        <w:tc>
          <w:tcPr>
            <w:tcW w:w="226" w:type="pct"/>
            <w:tcBorders>
              <w:top w:val="nil"/>
              <w:left w:val="nil"/>
              <w:bottom w:val="nil"/>
              <w:right w:val="nil"/>
            </w:tcBorders>
            <w:shd w:val="clear" w:color="000000" w:fill="FFFFFF"/>
            <w:noWrap/>
            <w:vAlign w:val="bottom"/>
            <w:hideMark/>
          </w:tcPr>
          <w:p w14:paraId="30565C3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1.51%</w:t>
            </w:r>
          </w:p>
        </w:tc>
        <w:tc>
          <w:tcPr>
            <w:tcW w:w="226" w:type="pct"/>
            <w:tcBorders>
              <w:top w:val="nil"/>
              <w:left w:val="nil"/>
              <w:bottom w:val="nil"/>
              <w:right w:val="nil"/>
            </w:tcBorders>
            <w:shd w:val="clear" w:color="000000" w:fill="FFFFFF"/>
            <w:noWrap/>
            <w:vAlign w:val="bottom"/>
            <w:hideMark/>
          </w:tcPr>
          <w:p w14:paraId="7C1BC7F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1.53%</w:t>
            </w:r>
          </w:p>
        </w:tc>
        <w:tc>
          <w:tcPr>
            <w:tcW w:w="226" w:type="pct"/>
            <w:tcBorders>
              <w:top w:val="nil"/>
              <w:left w:val="nil"/>
              <w:bottom w:val="nil"/>
              <w:right w:val="nil"/>
            </w:tcBorders>
            <w:shd w:val="clear" w:color="000000" w:fill="FFFFFF"/>
            <w:noWrap/>
            <w:vAlign w:val="bottom"/>
            <w:hideMark/>
          </w:tcPr>
          <w:p w14:paraId="50D3852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1.59%</w:t>
            </w:r>
          </w:p>
        </w:tc>
        <w:tc>
          <w:tcPr>
            <w:tcW w:w="226" w:type="pct"/>
            <w:tcBorders>
              <w:top w:val="nil"/>
              <w:left w:val="nil"/>
              <w:bottom w:val="nil"/>
              <w:right w:val="nil"/>
            </w:tcBorders>
            <w:shd w:val="clear" w:color="000000" w:fill="FFFFFF"/>
            <w:noWrap/>
            <w:vAlign w:val="bottom"/>
            <w:hideMark/>
          </w:tcPr>
          <w:p w14:paraId="5DA91AF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1.62%</w:t>
            </w:r>
          </w:p>
        </w:tc>
      </w:tr>
      <w:tr w:rsidR="006A523F" w:rsidRPr="006A523F" w14:paraId="32915C15" w14:textId="77777777" w:rsidTr="006A523F">
        <w:trPr>
          <w:trHeight w:val="20"/>
        </w:trPr>
        <w:tc>
          <w:tcPr>
            <w:tcW w:w="480" w:type="pct"/>
            <w:tcBorders>
              <w:top w:val="nil"/>
              <w:left w:val="nil"/>
              <w:bottom w:val="nil"/>
              <w:right w:val="nil"/>
            </w:tcBorders>
            <w:shd w:val="clear" w:color="000000" w:fill="FFFFFF"/>
            <w:noWrap/>
            <w:vAlign w:val="center"/>
            <w:hideMark/>
          </w:tcPr>
          <w:p w14:paraId="050EBAF7"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2016</w:t>
            </w:r>
          </w:p>
        </w:tc>
        <w:tc>
          <w:tcPr>
            <w:tcW w:w="449" w:type="pct"/>
            <w:tcBorders>
              <w:top w:val="nil"/>
              <w:left w:val="nil"/>
              <w:bottom w:val="nil"/>
              <w:right w:val="nil"/>
            </w:tcBorders>
            <w:shd w:val="clear" w:color="000000" w:fill="FFFFFF"/>
            <w:noWrap/>
            <w:vAlign w:val="bottom"/>
            <w:hideMark/>
          </w:tcPr>
          <w:p w14:paraId="2127502D"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2016Q4</w:t>
            </w:r>
          </w:p>
        </w:tc>
        <w:tc>
          <w:tcPr>
            <w:tcW w:w="449" w:type="pct"/>
            <w:tcBorders>
              <w:top w:val="nil"/>
              <w:left w:val="nil"/>
              <w:bottom w:val="nil"/>
              <w:right w:val="nil"/>
            </w:tcBorders>
            <w:shd w:val="clear" w:color="000000" w:fill="FFFFFF"/>
            <w:noWrap/>
            <w:vAlign w:val="center"/>
            <w:hideMark/>
          </w:tcPr>
          <w:p w14:paraId="7C3B9BE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75,499</w:t>
            </w:r>
          </w:p>
        </w:tc>
        <w:tc>
          <w:tcPr>
            <w:tcW w:w="226" w:type="pct"/>
            <w:tcBorders>
              <w:top w:val="nil"/>
              <w:left w:val="nil"/>
              <w:bottom w:val="nil"/>
              <w:right w:val="nil"/>
            </w:tcBorders>
            <w:shd w:val="clear" w:color="000000" w:fill="FFFFFF"/>
            <w:noWrap/>
            <w:vAlign w:val="bottom"/>
            <w:hideMark/>
          </w:tcPr>
          <w:p w14:paraId="15D8A05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328B34A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216F630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0.12%</w:t>
            </w:r>
          </w:p>
        </w:tc>
        <w:tc>
          <w:tcPr>
            <w:tcW w:w="226" w:type="pct"/>
            <w:tcBorders>
              <w:top w:val="nil"/>
              <w:left w:val="nil"/>
              <w:bottom w:val="nil"/>
              <w:right w:val="nil"/>
            </w:tcBorders>
            <w:shd w:val="clear" w:color="000000" w:fill="FFFFFF"/>
            <w:noWrap/>
            <w:vAlign w:val="bottom"/>
            <w:hideMark/>
          </w:tcPr>
          <w:p w14:paraId="4936C92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0.20%</w:t>
            </w:r>
          </w:p>
        </w:tc>
        <w:tc>
          <w:tcPr>
            <w:tcW w:w="226" w:type="pct"/>
            <w:tcBorders>
              <w:top w:val="nil"/>
              <w:left w:val="nil"/>
              <w:bottom w:val="nil"/>
              <w:right w:val="nil"/>
            </w:tcBorders>
            <w:shd w:val="clear" w:color="000000" w:fill="FFFFFF"/>
            <w:noWrap/>
            <w:vAlign w:val="bottom"/>
            <w:hideMark/>
          </w:tcPr>
          <w:p w14:paraId="55CFAD3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1B340A5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0.40%</w:t>
            </w:r>
          </w:p>
        </w:tc>
        <w:tc>
          <w:tcPr>
            <w:tcW w:w="226" w:type="pct"/>
            <w:tcBorders>
              <w:top w:val="nil"/>
              <w:left w:val="nil"/>
              <w:bottom w:val="nil"/>
              <w:right w:val="nil"/>
            </w:tcBorders>
            <w:shd w:val="clear" w:color="000000" w:fill="FFFFFF"/>
            <w:noWrap/>
            <w:vAlign w:val="bottom"/>
            <w:hideMark/>
          </w:tcPr>
          <w:p w14:paraId="367D87C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0.59%</w:t>
            </w:r>
          </w:p>
        </w:tc>
        <w:tc>
          <w:tcPr>
            <w:tcW w:w="226" w:type="pct"/>
            <w:tcBorders>
              <w:top w:val="nil"/>
              <w:left w:val="nil"/>
              <w:bottom w:val="nil"/>
              <w:right w:val="nil"/>
            </w:tcBorders>
            <w:shd w:val="clear" w:color="000000" w:fill="FFFFFF"/>
            <w:noWrap/>
            <w:vAlign w:val="bottom"/>
            <w:hideMark/>
          </w:tcPr>
          <w:p w14:paraId="08CE541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0.74%</w:t>
            </w:r>
          </w:p>
        </w:tc>
        <w:tc>
          <w:tcPr>
            <w:tcW w:w="226" w:type="pct"/>
            <w:tcBorders>
              <w:top w:val="nil"/>
              <w:left w:val="nil"/>
              <w:bottom w:val="nil"/>
              <w:right w:val="nil"/>
            </w:tcBorders>
            <w:shd w:val="clear" w:color="000000" w:fill="FFFFFF"/>
            <w:noWrap/>
            <w:vAlign w:val="bottom"/>
            <w:hideMark/>
          </w:tcPr>
          <w:p w14:paraId="6E7C4FF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0.84%</w:t>
            </w:r>
          </w:p>
        </w:tc>
        <w:tc>
          <w:tcPr>
            <w:tcW w:w="226" w:type="pct"/>
            <w:tcBorders>
              <w:top w:val="nil"/>
              <w:left w:val="nil"/>
              <w:bottom w:val="nil"/>
              <w:right w:val="nil"/>
            </w:tcBorders>
            <w:shd w:val="clear" w:color="000000" w:fill="FFFFFF"/>
            <w:noWrap/>
            <w:vAlign w:val="bottom"/>
            <w:hideMark/>
          </w:tcPr>
          <w:p w14:paraId="32159D1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1.03%</w:t>
            </w:r>
          </w:p>
        </w:tc>
        <w:tc>
          <w:tcPr>
            <w:tcW w:w="226" w:type="pct"/>
            <w:tcBorders>
              <w:top w:val="nil"/>
              <w:left w:val="nil"/>
              <w:bottom w:val="nil"/>
              <w:right w:val="nil"/>
            </w:tcBorders>
            <w:shd w:val="clear" w:color="000000" w:fill="FFFFFF"/>
            <w:noWrap/>
            <w:vAlign w:val="bottom"/>
            <w:hideMark/>
          </w:tcPr>
          <w:p w14:paraId="0239334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1.10%</w:t>
            </w:r>
          </w:p>
        </w:tc>
        <w:tc>
          <w:tcPr>
            <w:tcW w:w="226" w:type="pct"/>
            <w:tcBorders>
              <w:top w:val="nil"/>
              <w:left w:val="nil"/>
              <w:bottom w:val="nil"/>
              <w:right w:val="nil"/>
            </w:tcBorders>
            <w:shd w:val="clear" w:color="000000" w:fill="FFFFFF"/>
            <w:noWrap/>
            <w:vAlign w:val="bottom"/>
            <w:hideMark/>
          </w:tcPr>
          <w:p w14:paraId="6771318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1.20%</w:t>
            </w:r>
          </w:p>
        </w:tc>
        <w:tc>
          <w:tcPr>
            <w:tcW w:w="226" w:type="pct"/>
            <w:tcBorders>
              <w:top w:val="nil"/>
              <w:left w:val="nil"/>
              <w:bottom w:val="nil"/>
              <w:right w:val="nil"/>
            </w:tcBorders>
            <w:shd w:val="clear" w:color="000000" w:fill="FFFFFF"/>
            <w:noWrap/>
            <w:vAlign w:val="bottom"/>
            <w:hideMark/>
          </w:tcPr>
          <w:p w14:paraId="7C855F0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1.28%</w:t>
            </w:r>
          </w:p>
        </w:tc>
        <w:tc>
          <w:tcPr>
            <w:tcW w:w="226" w:type="pct"/>
            <w:tcBorders>
              <w:top w:val="nil"/>
              <w:left w:val="nil"/>
              <w:bottom w:val="nil"/>
              <w:right w:val="nil"/>
            </w:tcBorders>
            <w:shd w:val="clear" w:color="000000" w:fill="FFFFFF"/>
            <w:noWrap/>
            <w:vAlign w:val="bottom"/>
            <w:hideMark/>
          </w:tcPr>
          <w:p w14:paraId="239CA59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1.33%</w:t>
            </w:r>
          </w:p>
        </w:tc>
        <w:tc>
          <w:tcPr>
            <w:tcW w:w="226" w:type="pct"/>
            <w:tcBorders>
              <w:top w:val="nil"/>
              <w:left w:val="nil"/>
              <w:bottom w:val="nil"/>
              <w:right w:val="nil"/>
            </w:tcBorders>
            <w:shd w:val="clear" w:color="000000" w:fill="FFFFFF"/>
            <w:noWrap/>
            <w:vAlign w:val="bottom"/>
            <w:hideMark/>
          </w:tcPr>
          <w:p w14:paraId="4B89049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1.40%</w:t>
            </w:r>
          </w:p>
        </w:tc>
        <w:tc>
          <w:tcPr>
            <w:tcW w:w="226" w:type="pct"/>
            <w:tcBorders>
              <w:top w:val="nil"/>
              <w:left w:val="nil"/>
              <w:bottom w:val="nil"/>
              <w:right w:val="nil"/>
            </w:tcBorders>
            <w:shd w:val="clear" w:color="000000" w:fill="FFFFFF"/>
            <w:noWrap/>
            <w:vAlign w:val="bottom"/>
            <w:hideMark/>
          </w:tcPr>
          <w:p w14:paraId="62820F4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1.44%</w:t>
            </w:r>
          </w:p>
        </w:tc>
      </w:tr>
      <w:tr w:rsidR="006A523F" w:rsidRPr="006A523F" w14:paraId="67F93435" w14:textId="77777777" w:rsidTr="006A523F">
        <w:trPr>
          <w:trHeight w:val="20"/>
        </w:trPr>
        <w:tc>
          <w:tcPr>
            <w:tcW w:w="480" w:type="pct"/>
            <w:tcBorders>
              <w:top w:val="nil"/>
              <w:left w:val="nil"/>
              <w:bottom w:val="nil"/>
              <w:right w:val="nil"/>
            </w:tcBorders>
            <w:shd w:val="clear" w:color="000000" w:fill="FFFFFF"/>
            <w:noWrap/>
            <w:vAlign w:val="center"/>
            <w:hideMark/>
          </w:tcPr>
          <w:p w14:paraId="0D864F13"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2017</w:t>
            </w:r>
          </w:p>
        </w:tc>
        <w:tc>
          <w:tcPr>
            <w:tcW w:w="449" w:type="pct"/>
            <w:tcBorders>
              <w:top w:val="nil"/>
              <w:left w:val="nil"/>
              <w:bottom w:val="nil"/>
              <w:right w:val="nil"/>
            </w:tcBorders>
            <w:shd w:val="clear" w:color="000000" w:fill="FFFFFF"/>
            <w:noWrap/>
            <w:vAlign w:val="bottom"/>
            <w:hideMark/>
          </w:tcPr>
          <w:p w14:paraId="74943D47"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2017Q1</w:t>
            </w:r>
          </w:p>
        </w:tc>
        <w:tc>
          <w:tcPr>
            <w:tcW w:w="449" w:type="pct"/>
            <w:tcBorders>
              <w:top w:val="nil"/>
              <w:left w:val="nil"/>
              <w:bottom w:val="nil"/>
              <w:right w:val="nil"/>
            </w:tcBorders>
            <w:shd w:val="clear" w:color="000000" w:fill="FFFFFF"/>
            <w:noWrap/>
            <w:vAlign w:val="center"/>
            <w:hideMark/>
          </w:tcPr>
          <w:p w14:paraId="75FFC18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88,172</w:t>
            </w:r>
          </w:p>
        </w:tc>
        <w:tc>
          <w:tcPr>
            <w:tcW w:w="226" w:type="pct"/>
            <w:tcBorders>
              <w:top w:val="nil"/>
              <w:left w:val="nil"/>
              <w:bottom w:val="nil"/>
              <w:right w:val="nil"/>
            </w:tcBorders>
            <w:shd w:val="clear" w:color="000000" w:fill="FFFFFF"/>
            <w:noWrap/>
            <w:vAlign w:val="bottom"/>
            <w:hideMark/>
          </w:tcPr>
          <w:p w14:paraId="6FB0583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5B363AA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0.06%</w:t>
            </w:r>
          </w:p>
        </w:tc>
        <w:tc>
          <w:tcPr>
            <w:tcW w:w="226" w:type="pct"/>
            <w:tcBorders>
              <w:top w:val="nil"/>
              <w:left w:val="nil"/>
              <w:bottom w:val="nil"/>
              <w:right w:val="nil"/>
            </w:tcBorders>
            <w:shd w:val="clear" w:color="000000" w:fill="FFFFFF"/>
            <w:noWrap/>
            <w:vAlign w:val="bottom"/>
            <w:hideMark/>
          </w:tcPr>
          <w:p w14:paraId="4A74394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67C6769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0.31%</w:t>
            </w:r>
          </w:p>
        </w:tc>
        <w:tc>
          <w:tcPr>
            <w:tcW w:w="226" w:type="pct"/>
            <w:tcBorders>
              <w:top w:val="nil"/>
              <w:left w:val="nil"/>
              <w:bottom w:val="nil"/>
              <w:right w:val="nil"/>
            </w:tcBorders>
            <w:shd w:val="clear" w:color="000000" w:fill="FFFFFF"/>
            <w:noWrap/>
            <w:vAlign w:val="bottom"/>
            <w:hideMark/>
          </w:tcPr>
          <w:p w14:paraId="43C06D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0.38%</w:t>
            </w:r>
          </w:p>
        </w:tc>
        <w:tc>
          <w:tcPr>
            <w:tcW w:w="226" w:type="pct"/>
            <w:tcBorders>
              <w:top w:val="nil"/>
              <w:left w:val="nil"/>
              <w:bottom w:val="nil"/>
              <w:right w:val="nil"/>
            </w:tcBorders>
            <w:shd w:val="clear" w:color="000000" w:fill="FFFFFF"/>
            <w:noWrap/>
            <w:vAlign w:val="bottom"/>
            <w:hideMark/>
          </w:tcPr>
          <w:p w14:paraId="482B12E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0.43%</w:t>
            </w:r>
          </w:p>
        </w:tc>
        <w:tc>
          <w:tcPr>
            <w:tcW w:w="226" w:type="pct"/>
            <w:tcBorders>
              <w:top w:val="nil"/>
              <w:left w:val="nil"/>
              <w:bottom w:val="nil"/>
              <w:right w:val="nil"/>
            </w:tcBorders>
            <w:shd w:val="clear" w:color="000000" w:fill="FFFFFF"/>
            <w:noWrap/>
            <w:vAlign w:val="bottom"/>
            <w:hideMark/>
          </w:tcPr>
          <w:p w14:paraId="3780F0A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0.60%</w:t>
            </w:r>
          </w:p>
        </w:tc>
        <w:tc>
          <w:tcPr>
            <w:tcW w:w="226" w:type="pct"/>
            <w:tcBorders>
              <w:top w:val="nil"/>
              <w:left w:val="nil"/>
              <w:bottom w:val="nil"/>
              <w:right w:val="nil"/>
            </w:tcBorders>
            <w:shd w:val="clear" w:color="000000" w:fill="FFFFFF"/>
            <w:noWrap/>
            <w:vAlign w:val="bottom"/>
            <w:hideMark/>
          </w:tcPr>
          <w:p w14:paraId="689DDEA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0.79%</w:t>
            </w:r>
          </w:p>
        </w:tc>
        <w:tc>
          <w:tcPr>
            <w:tcW w:w="226" w:type="pct"/>
            <w:tcBorders>
              <w:top w:val="nil"/>
              <w:left w:val="nil"/>
              <w:bottom w:val="nil"/>
              <w:right w:val="nil"/>
            </w:tcBorders>
            <w:shd w:val="clear" w:color="000000" w:fill="FFFFFF"/>
            <w:noWrap/>
            <w:vAlign w:val="bottom"/>
            <w:hideMark/>
          </w:tcPr>
          <w:p w14:paraId="0B72D92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0.93%</w:t>
            </w:r>
          </w:p>
        </w:tc>
        <w:tc>
          <w:tcPr>
            <w:tcW w:w="226" w:type="pct"/>
            <w:tcBorders>
              <w:top w:val="nil"/>
              <w:left w:val="nil"/>
              <w:bottom w:val="nil"/>
              <w:right w:val="nil"/>
            </w:tcBorders>
            <w:shd w:val="clear" w:color="000000" w:fill="FFFFFF"/>
            <w:noWrap/>
            <w:vAlign w:val="bottom"/>
            <w:hideMark/>
          </w:tcPr>
          <w:p w14:paraId="5000662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0.96%</w:t>
            </w:r>
          </w:p>
        </w:tc>
        <w:tc>
          <w:tcPr>
            <w:tcW w:w="226" w:type="pct"/>
            <w:tcBorders>
              <w:top w:val="nil"/>
              <w:left w:val="nil"/>
              <w:bottom w:val="nil"/>
              <w:right w:val="nil"/>
            </w:tcBorders>
            <w:shd w:val="clear" w:color="000000" w:fill="FFFFFF"/>
            <w:noWrap/>
            <w:vAlign w:val="bottom"/>
            <w:hideMark/>
          </w:tcPr>
          <w:p w14:paraId="3A5BFBF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1.00%</w:t>
            </w:r>
          </w:p>
        </w:tc>
        <w:tc>
          <w:tcPr>
            <w:tcW w:w="226" w:type="pct"/>
            <w:tcBorders>
              <w:top w:val="nil"/>
              <w:left w:val="nil"/>
              <w:bottom w:val="nil"/>
              <w:right w:val="nil"/>
            </w:tcBorders>
            <w:shd w:val="clear" w:color="000000" w:fill="FFFFFF"/>
            <w:noWrap/>
            <w:vAlign w:val="bottom"/>
            <w:hideMark/>
          </w:tcPr>
          <w:p w14:paraId="75DD76E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1.13%</w:t>
            </w:r>
          </w:p>
        </w:tc>
        <w:tc>
          <w:tcPr>
            <w:tcW w:w="226" w:type="pct"/>
            <w:tcBorders>
              <w:top w:val="nil"/>
              <w:left w:val="nil"/>
              <w:bottom w:val="nil"/>
              <w:right w:val="nil"/>
            </w:tcBorders>
            <w:shd w:val="clear" w:color="000000" w:fill="FFFFFF"/>
            <w:noWrap/>
            <w:vAlign w:val="bottom"/>
            <w:hideMark/>
          </w:tcPr>
          <w:p w14:paraId="4C28B0F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1.21%</w:t>
            </w:r>
          </w:p>
        </w:tc>
        <w:tc>
          <w:tcPr>
            <w:tcW w:w="226" w:type="pct"/>
            <w:tcBorders>
              <w:top w:val="nil"/>
              <w:left w:val="nil"/>
              <w:bottom w:val="nil"/>
              <w:right w:val="nil"/>
            </w:tcBorders>
            <w:shd w:val="clear" w:color="000000" w:fill="FFFFFF"/>
            <w:noWrap/>
            <w:vAlign w:val="bottom"/>
            <w:hideMark/>
          </w:tcPr>
          <w:p w14:paraId="501A2DE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1.30%</w:t>
            </w:r>
          </w:p>
        </w:tc>
        <w:tc>
          <w:tcPr>
            <w:tcW w:w="226" w:type="pct"/>
            <w:tcBorders>
              <w:top w:val="nil"/>
              <w:left w:val="nil"/>
              <w:bottom w:val="nil"/>
              <w:right w:val="nil"/>
            </w:tcBorders>
            <w:shd w:val="clear" w:color="000000" w:fill="FFFFFF"/>
            <w:noWrap/>
            <w:vAlign w:val="bottom"/>
            <w:hideMark/>
          </w:tcPr>
          <w:p w14:paraId="1760C56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1.36%</w:t>
            </w:r>
          </w:p>
        </w:tc>
        <w:tc>
          <w:tcPr>
            <w:tcW w:w="226" w:type="pct"/>
            <w:tcBorders>
              <w:top w:val="nil"/>
              <w:left w:val="nil"/>
              <w:bottom w:val="nil"/>
              <w:right w:val="nil"/>
            </w:tcBorders>
            <w:shd w:val="clear" w:color="000000" w:fill="FFFFFF"/>
            <w:noWrap/>
            <w:vAlign w:val="bottom"/>
            <w:hideMark/>
          </w:tcPr>
          <w:p w14:paraId="7681ADE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1.39%</w:t>
            </w:r>
          </w:p>
        </w:tc>
      </w:tr>
      <w:tr w:rsidR="006A523F" w:rsidRPr="006A523F" w14:paraId="5F42E757" w14:textId="77777777" w:rsidTr="006A523F">
        <w:trPr>
          <w:trHeight w:val="20"/>
        </w:trPr>
        <w:tc>
          <w:tcPr>
            <w:tcW w:w="480" w:type="pct"/>
            <w:tcBorders>
              <w:top w:val="nil"/>
              <w:left w:val="nil"/>
              <w:bottom w:val="nil"/>
              <w:right w:val="nil"/>
            </w:tcBorders>
            <w:shd w:val="clear" w:color="000000" w:fill="FFFFFF"/>
            <w:noWrap/>
            <w:vAlign w:val="center"/>
            <w:hideMark/>
          </w:tcPr>
          <w:p w14:paraId="5E54C592"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2017</w:t>
            </w:r>
          </w:p>
        </w:tc>
        <w:tc>
          <w:tcPr>
            <w:tcW w:w="449" w:type="pct"/>
            <w:tcBorders>
              <w:top w:val="nil"/>
              <w:left w:val="nil"/>
              <w:bottom w:val="nil"/>
              <w:right w:val="nil"/>
            </w:tcBorders>
            <w:shd w:val="clear" w:color="000000" w:fill="FFFFFF"/>
            <w:noWrap/>
            <w:vAlign w:val="bottom"/>
            <w:hideMark/>
          </w:tcPr>
          <w:p w14:paraId="752C5697"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2017Q2</w:t>
            </w:r>
          </w:p>
        </w:tc>
        <w:tc>
          <w:tcPr>
            <w:tcW w:w="449" w:type="pct"/>
            <w:tcBorders>
              <w:top w:val="nil"/>
              <w:left w:val="nil"/>
              <w:bottom w:val="nil"/>
              <w:right w:val="nil"/>
            </w:tcBorders>
            <w:shd w:val="clear" w:color="000000" w:fill="FFFFFF"/>
            <w:noWrap/>
            <w:vAlign w:val="center"/>
            <w:hideMark/>
          </w:tcPr>
          <w:p w14:paraId="4102D5E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110,718</w:t>
            </w:r>
          </w:p>
        </w:tc>
        <w:tc>
          <w:tcPr>
            <w:tcW w:w="226" w:type="pct"/>
            <w:tcBorders>
              <w:top w:val="nil"/>
              <w:left w:val="nil"/>
              <w:bottom w:val="nil"/>
              <w:right w:val="nil"/>
            </w:tcBorders>
            <w:shd w:val="clear" w:color="000000" w:fill="FFFFFF"/>
            <w:noWrap/>
            <w:vAlign w:val="bottom"/>
            <w:hideMark/>
          </w:tcPr>
          <w:p w14:paraId="24D563F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29692BD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42C4800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0.27%</w:t>
            </w:r>
          </w:p>
        </w:tc>
        <w:tc>
          <w:tcPr>
            <w:tcW w:w="226" w:type="pct"/>
            <w:tcBorders>
              <w:top w:val="nil"/>
              <w:left w:val="nil"/>
              <w:bottom w:val="nil"/>
              <w:right w:val="nil"/>
            </w:tcBorders>
            <w:shd w:val="clear" w:color="000000" w:fill="FFFFFF"/>
            <w:noWrap/>
            <w:vAlign w:val="bottom"/>
            <w:hideMark/>
          </w:tcPr>
          <w:p w14:paraId="0771202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0.34%</w:t>
            </w:r>
          </w:p>
        </w:tc>
        <w:tc>
          <w:tcPr>
            <w:tcW w:w="226" w:type="pct"/>
            <w:tcBorders>
              <w:top w:val="nil"/>
              <w:left w:val="nil"/>
              <w:bottom w:val="nil"/>
              <w:right w:val="nil"/>
            </w:tcBorders>
            <w:shd w:val="clear" w:color="000000" w:fill="FFFFFF"/>
            <w:noWrap/>
            <w:vAlign w:val="bottom"/>
            <w:hideMark/>
          </w:tcPr>
          <w:p w14:paraId="19EA6EA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0.47%</w:t>
            </w:r>
          </w:p>
        </w:tc>
        <w:tc>
          <w:tcPr>
            <w:tcW w:w="226" w:type="pct"/>
            <w:tcBorders>
              <w:top w:val="nil"/>
              <w:left w:val="nil"/>
              <w:bottom w:val="nil"/>
              <w:right w:val="nil"/>
            </w:tcBorders>
            <w:shd w:val="clear" w:color="000000" w:fill="FFFFFF"/>
            <w:noWrap/>
            <w:vAlign w:val="bottom"/>
            <w:hideMark/>
          </w:tcPr>
          <w:p w14:paraId="51A4B0C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0.70%</w:t>
            </w:r>
          </w:p>
        </w:tc>
        <w:tc>
          <w:tcPr>
            <w:tcW w:w="226" w:type="pct"/>
            <w:tcBorders>
              <w:top w:val="nil"/>
              <w:left w:val="nil"/>
              <w:bottom w:val="nil"/>
              <w:right w:val="nil"/>
            </w:tcBorders>
            <w:shd w:val="clear" w:color="000000" w:fill="FFFFFF"/>
            <w:noWrap/>
            <w:vAlign w:val="bottom"/>
            <w:hideMark/>
          </w:tcPr>
          <w:p w14:paraId="361E722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0.89%</w:t>
            </w:r>
          </w:p>
        </w:tc>
        <w:tc>
          <w:tcPr>
            <w:tcW w:w="226" w:type="pct"/>
            <w:tcBorders>
              <w:top w:val="nil"/>
              <w:left w:val="nil"/>
              <w:bottom w:val="nil"/>
              <w:right w:val="nil"/>
            </w:tcBorders>
            <w:shd w:val="clear" w:color="000000" w:fill="FFFFFF"/>
            <w:noWrap/>
            <w:vAlign w:val="bottom"/>
            <w:hideMark/>
          </w:tcPr>
          <w:p w14:paraId="490EDE7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0.99%</w:t>
            </w:r>
          </w:p>
        </w:tc>
        <w:tc>
          <w:tcPr>
            <w:tcW w:w="226" w:type="pct"/>
            <w:tcBorders>
              <w:top w:val="nil"/>
              <w:left w:val="nil"/>
              <w:bottom w:val="nil"/>
              <w:right w:val="nil"/>
            </w:tcBorders>
            <w:shd w:val="clear" w:color="000000" w:fill="FFFFFF"/>
            <w:noWrap/>
            <w:vAlign w:val="bottom"/>
            <w:hideMark/>
          </w:tcPr>
          <w:p w14:paraId="5A789AC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1.04%</w:t>
            </w:r>
          </w:p>
        </w:tc>
        <w:tc>
          <w:tcPr>
            <w:tcW w:w="226" w:type="pct"/>
            <w:tcBorders>
              <w:top w:val="nil"/>
              <w:left w:val="nil"/>
              <w:bottom w:val="nil"/>
              <w:right w:val="nil"/>
            </w:tcBorders>
            <w:shd w:val="clear" w:color="000000" w:fill="FFFFFF"/>
            <w:noWrap/>
            <w:vAlign w:val="bottom"/>
            <w:hideMark/>
          </w:tcPr>
          <w:p w14:paraId="5FD766B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1.37%</w:t>
            </w:r>
          </w:p>
        </w:tc>
        <w:tc>
          <w:tcPr>
            <w:tcW w:w="226" w:type="pct"/>
            <w:tcBorders>
              <w:top w:val="nil"/>
              <w:left w:val="nil"/>
              <w:bottom w:val="nil"/>
              <w:right w:val="nil"/>
            </w:tcBorders>
            <w:shd w:val="clear" w:color="000000" w:fill="FFFFFF"/>
            <w:noWrap/>
            <w:vAlign w:val="bottom"/>
            <w:hideMark/>
          </w:tcPr>
          <w:p w14:paraId="658C55D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1.43%</w:t>
            </w:r>
          </w:p>
        </w:tc>
        <w:tc>
          <w:tcPr>
            <w:tcW w:w="226" w:type="pct"/>
            <w:tcBorders>
              <w:top w:val="nil"/>
              <w:left w:val="nil"/>
              <w:bottom w:val="nil"/>
              <w:right w:val="nil"/>
            </w:tcBorders>
            <w:shd w:val="clear" w:color="000000" w:fill="FFFFFF"/>
            <w:noWrap/>
            <w:vAlign w:val="bottom"/>
            <w:hideMark/>
          </w:tcPr>
          <w:p w14:paraId="53C51CE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1.49%</w:t>
            </w:r>
          </w:p>
        </w:tc>
        <w:tc>
          <w:tcPr>
            <w:tcW w:w="226" w:type="pct"/>
            <w:tcBorders>
              <w:top w:val="nil"/>
              <w:left w:val="nil"/>
              <w:bottom w:val="nil"/>
              <w:right w:val="nil"/>
            </w:tcBorders>
            <w:shd w:val="clear" w:color="000000" w:fill="FFFFFF"/>
            <w:noWrap/>
            <w:vAlign w:val="bottom"/>
            <w:hideMark/>
          </w:tcPr>
          <w:p w14:paraId="4BF1911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1.53%</w:t>
            </w:r>
          </w:p>
        </w:tc>
        <w:tc>
          <w:tcPr>
            <w:tcW w:w="226" w:type="pct"/>
            <w:tcBorders>
              <w:top w:val="nil"/>
              <w:left w:val="nil"/>
              <w:bottom w:val="nil"/>
              <w:right w:val="nil"/>
            </w:tcBorders>
            <w:shd w:val="clear" w:color="000000" w:fill="FFFFFF"/>
            <w:noWrap/>
            <w:vAlign w:val="bottom"/>
            <w:hideMark/>
          </w:tcPr>
          <w:p w14:paraId="0D57354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1.63%</w:t>
            </w:r>
          </w:p>
        </w:tc>
        <w:tc>
          <w:tcPr>
            <w:tcW w:w="226" w:type="pct"/>
            <w:tcBorders>
              <w:top w:val="nil"/>
              <w:left w:val="nil"/>
              <w:bottom w:val="nil"/>
              <w:right w:val="nil"/>
            </w:tcBorders>
            <w:shd w:val="clear" w:color="000000" w:fill="FFFFFF"/>
            <w:noWrap/>
            <w:vAlign w:val="bottom"/>
            <w:hideMark/>
          </w:tcPr>
          <w:p w14:paraId="65A2F70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1.68%</w:t>
            </w:r>
          </w:p>
        </w:tc>
        <w:tc>
          <w:tcPr>
            <w:tcW w:w="226" w:type="pct"/>
            <w:tcBorders>
              <w:top w:val="nil"/>
              <w:left w:val="nil"/>
              <w:bottom w:val="nil"/>
              <w:right w:val="nil"/>
            </w:tcBorders>
            <w:shd w:val="clear" w:color="000000" w:fill="FFFFFF"/>
            <w:noWrap/>
            <w:vAlign w:val="bottom"/>
            <w:hideMark/>
          </w:tcPr>
          <w:p w14:paraId="37EB770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1.73%</w:t>
            </w:r>
          </w:p>
        </w:tc>
      </w:tr>
      <w:tr w:rsidR="006A523F" w:rsidRPr="006A523F" w14:paraId="0CB4EC2D" w14:textId="77777777" w:rsidTr="006A523F">
        <w:trPr>
          <w:trHeight w:val="20"/>
        </w:trPr>
        <w:tc>
          <w:tcPr>
            <w:tcW w:w="480" w:type="pct"/>
            <w:tcBorders>
              <w:top w:val="nil"/>
              <w:left w:val="nil"/>
              <w:bottom w:val="nil"/>
              <w:right w:val="nil"/>
            </w:tcBorders>
            <w:shd w:val="clear" w:color="000000" w:fill="FFFFFF"/>
            <w:noWrap/>
            <w:vAlign w:val="center"/>
            <w:hideMark/>
          </w:tcPr>
          <w:p w14:paraId="24B1E899"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2017</w:t>
            </w:r>
          </w:p>
        </w:tc>
        <w:tc>
          <w:tcPr>
            <w:tcW w:w="449" w:type="pct"/>
            <w:tcBorders>
              <w:top w:val="nil"/>
              <w:left w:val="nil"/>
              <w:bottom w:val="nil"/>
              <w:right w:val="nil"/>
            </w:tcBorders>
            <w:shd w:val="clear" w:color="000000" w:fill="FFFFFF"/>
            <w:noWrap/>
            <w:vAlign w:val="bottom"/>
            <w:hideMark/>
          </w:tcPr>
          <w:p w14:paraId="5834EFF3"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2017Q3</w:t>
            </w:r>
          </w:p>
        </w:tc>
        <w:tc>
          <w:tcPr>
            <w:tcW w:w="449" w:type="pct"/>
            <w:tcBorders>
              <w:top w:val="nil"/>
              <w:left w:val="nil"/>
              <w:bottom w:val="nil"/>
              <w:right w:val="nil"/>
            </w:tcBorders>
            <w:shd w:val="clear" w:color="000000" w:fill="FFFFFF"/>
            <w:noWrap/>
            <w:vAlign w:val="center"/>
            <w:hideMark/>
          </w:tcPr>
          <w:p w14:paraId="01E62A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117,054</w:t>
            </w:r>
          </w:p>
        </w:tc>
        <w:tc>
          <w:tcPr>
            <w:tcW w:w="226" w:type="pct"/>
            <w:tcBorders>
              <w:top w:val="nil"/>
              <w:left w:val="nil"/>
              <w:bottom w:val="nil"/>
              <w:right w:val="nil"/>
            </w:tcBorders>
            <w:shd w:val="clear" w:color="000000" w:fill="FFFFFF"/>
            <w:noWrap/>
            <w:vAlign w:val="bottom"/>
            <w:hideMark/>
          </w:tcPr>
          <w:p w14:paraId="75EEAA9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013538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0.12%</w:t>
            </w:r>
          </w:p>
        </w:tc>
        <w:tc>
          <w:tcPr>
            <w:tcW w:w="226" w:type="pct"/>
            <w:tcBorders>
              <w:top w:val="nil"/>
              <w:left w:val="nil"/>
              <w:bottom w:val="nil"/>
              <w:right w:val="nil"/>
            </w:tcBorders>
            <w:shd w:val="clear" w:color="000000" w:fill="FFFFFF"/>
            <w:noWrap/>
            <w:vAlign w:val="bottom"/>
            <w:hideMark/>
          </w:tcPr>
          <w:p w14:paraId="607919F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0.21%</w:t>
            </w:r>
          </w:p>
        </w:tc>
        <w:tc>
          <w:tcPr>
            <w:tcW w:w="226" w:type="pct"/>
            <w:tcBorders>
              <w:top w:val="nil"/>
              <w:left w:val="nil"/>
              <w:bottom w:val="nil"/>
              <w:right w:val="nil"/>
            </w:tcBorders>
            <w:shd w:val="clear" w:color="000000" w:fill="FFFFFF"/>
            <w:noWrap/>
            <w:vAlign w:val="bottom"/>
            <w:hideMark/>
          </w:tcPr>
          <w:p w14:paraId="20E61F7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0.24%</w:t>
            </w:r>
          </w:p>
        </w:tc>
        <w:tc>
          <w:tcPr>
            <w:tcW w:w="226" w:type="pct"/>
            <w:tcBorders>
              <w:top w:val="nil"/>
              <w:left w:val="nil"/>
              <w:bottom w:val="nil"/>
              <w:right w:val="nil"/>
            </w:tcBorders>
            <w:shd w:val="clear" w:color="000000" w:fill="FFFFFF"/>
            <w:noWrap/>
            <w:vAlign w:val="bottom"/>
            <w:hideMark/>
          </w:tcPr>
          <w:p w14:paraId="37516F3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0.46%</w:t>
            </w:r>
          </w:p>
        </w:tc>
        <w:tc>
          <w:tcPr>
            <w:tcW w:w="226" w:type="pct"/>
            <w:tcBorders>
              <w:top w:val="nil"/>
              <w:left w:val="nil"/>
              <w:bottom w:val="nil"/>
              <w:right w:val="nil"/>
            </w:tcBorders>
            <w:shd w:val="clear" w:color="000000" w:fill="FFFFFF"/>
            <w:noWrap/>
            <w:vAlign w:val="bottom"/>
            <w:hideMark/>
          </w:tcPr>
          <w:p w14:paraId="4A25900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0.60%</w:t>
            </w:r>
          </w:p>
        </w:tc>
        <w:tc>
          <w:tcPr>
            <w:tcW w:w="226" w:type="pct"/>
            <w:tcBorders>
              <w:top w:val="nil"/>
              <w:left w:val="nil"/>
              <w:bottom w:val="nil"/>
              <w:right w:val="nil"/>
            </w:tcBorders>
            <w:shd w:val="clear" w:color="000000" w:fill="FFFFFF"/>
            <w:noWrap/>
            <w:vAlign w:val="bottom"/>
            <w:hideMark/>
          </w:tcPr>
          <w:p w14:paraId="1E12B1E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0.69%</w:t>
            </w:r>
          </w:p>
        </w:tc>
        <w:tc>
          <w:tcPr>
            <w:tcW w:w="226" w:type="pct"/>
            <w:tcBorders>
              <w:top w:val="nil"/>
              <w:left w:val="nil"/>
              <w:bottom w:val="nil"/>
              <w:right w:val="nil"/>
            </w:tcBorders>
            <w:shd w:val="clear" w:color="000000" w:fill="FFFFFF"/>
            <w:noWrap/>
            <w:vAlign w:val="bottom"/>
            <w:hideMark/>
          </w:tcPr>
          <w:p w14:paraId="4E4003E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0.86%</w:t>
            </w:r>
          </w:p>
        </w:tc>
        <w:tc>
          <w:tcPr>
            <w:tcW w:w="226" w:type="pct"/>
            <w:tcBorders>
              <w:top w:val="nil"/>
              <w:left w:val="nil"/>
              <w:bottom w:val="nil"/>
              <w:right w:val="nil"/>
            </w:tcBorders>
            <w:shd w:val="clear" w:color="000000" w:fill="FFFFFF"/>
            <w:noWrap/>
            <w:vAlign w:val="bottom"/>
            <w:hideMark/>
          </w:tcPr>
          <w:p w14:paraId="08E34B2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1.04%</w:t>
            </w:r>
          </w:p>
        </w:tc>
        <w:tc>
          <w:tcPr>
            <w:tcW w:w="226" w:type="pct"/>
            <w:tcBorders>
              <w:top w:val="nil"/>
              <w:left w:val="nil"/>
              <w:bottom w:val="nil"/>
              <w:right w:val="nil"/>
            </w:tcBorders>
            <w:shd w:val="clear" w:color="000000" w:fill="FFFFFF"/>
            <w:noWrap/>
            <w:vAlign w:val="bottom"/>
            <w:hideMark/>
          </w:tcPr>
          <w:p w14:paraId="12C5F50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1.05%</w:t>
            </w:r>
          </w:p>
        </w:tc>
        <w:tc>
          <w:tcPr>
            <w:tcW w:w="226" w:type="pct"/>
            <w:tcBorders>
              <w:top w:val="nil"/>
              <w:left w:val="nil"/>
              <w:bottom w:val="nil"/>
              <w:right w:val="nil"/>
            </w:tcBorders>
            <w:shd w:val="clear" w:color="000000" w:fill="FFFFFF"/>
            <w:noWrap/>
            <w:vAlign w:val="bottom"/>
            <w:hideMark/>
          </w:tcPr>
          <w:p w14:paraId="4F55BE5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1.17%</w:t>
            </w:r>
          </w:p>
        </w:tc>
        <w:tc>
          <w:tcPr>
            <w:tcW w:w="226" w:type="pct"/>
            <w:tcBorders>
              <w:top w:val="nil"/>
              <w:left w:val="nil"/>
              <w:bottom w:val="nil"/>
              <w:right w:val="nil"/>
            </w:tcBorders>
            <w:shd w:val="clear" w:color="000000" w:fill="FFFFFF"/>
            <w:noWrap/>
            <w:vAlign w:val="bottom"/>
            <w:hideMark/>
          </w:tcPr>
          <w:p w14:paraId="2773332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1.25%</w:t>
            </w:r>
          </w:p>
        </w:tc>
        <w:tc>
          <w:tcPr>
            <w:tcW w:w="226" w:type="pct"/>
            <w:tcBorders>
              <w:top w:val="nil"/>
              <w:left w:val="nil"/>
              <w:bottom w:val="nil"/>
              <w:right w:val="nil"/>
            </w:tcBorders>
            <w:shd w:val="clear" w:color="000000" w:fill="FFFFFF"/>
            <w:noWrap/>
            <w:vAlign w:val="bottom"/>
            <w:hideMark/>
          </w:tcPr>
          <w:p w14:paraId="097DE6B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1.30%</w:t>
            </w:r>
          </w:p>
        </w:tc>
        <w:tc>
          <w:tcPr>
            <w:tcW w:w="226" w:type="pct"/>
            <w:tcBorders>
              <w:top w:val="nil"/>
              <w:left w:val="nil"/>
              <w:bottom w:val="nil"/>
              <w:right w:val="nil"/>
            </w:tcBorders>
            <w:shd w:val="clear" w:color="000000" w:fill="FFFFFF"/>
            <w:noWrap/>
            <w:vAlign w:val="bottom"/>
            <w:hideMark/>
          </w:tcPr>
          <w:p w14:paraId="3E09A16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1.37%</w:t>
            </w:r>
          </w:p>
        </w:tc>
        <w:tc>
          <w:tcPr>
            <w:tcW w:w="226" w:type="pct"/>
            <w:tcBorders>
              <w:top w:val="nil"/>
              <w:left w:val="nil"/>
              <w:bottom w:val="nil"/>
              <w:right w:val="nil"/>
            </w:tcBorders>
            <w:shd w:val="clear" w:color="000000" w:fill="FFFFFF"/>
            <w:noWrap/>
            <w:vAlign w:val="bottom"/>
            <w:hideMark/>
          </w:tcPr>
          <w:p w14:paraId="12819D8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1.47%</w:t>
            </w:r>
          </w:p>
        </w:tc>
        <w:tc>
          <w:tcPr>
            <w:tcW w:w="226" w:type="pct"/>
            <w:tcBorders>
              <w:top w:val="nil"/>
              <w:left w:val="nil"/>
              <w:bottom w:val="nil"/>
              <w:right w:val="nil"/>
            </w:tcBorders>
            <w:shd w:val="clear" w:color="000000" w:fill="FFFFFF"/>
            <w:noWrap/>
            <w:vAlign w:val="bottom"/>
            <w:hideMark/>
          </w:tcPr>
          <w:p w14:paraId="1183EA0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1.50%</w:t>
            </w:r>
          </w:p>
        </w:tc>
      </w:tr>
      <w:tr w:rsidR="006A523F" w:rsidRPr="006A523F" w14:paraId="56FAC084" w14:textId="77777777" w:rsidTr="006A523F">
        <w:trPr>
          <w:trHeight w:val="20"/>
        </w:trPr>
        <w:tc>
          <w:tcPr>
            <w:tcW w:w="480" w:type="pct"/>
            <w:tcBorders>
              <w:top w:val="nil"/>
              <w:left w:val="nil"/>
              <w:bottom w:val="nil"/>
              <w:right w:val="nil"/>
            </w:tcBorders>
            <w:shd w:val="clear" w:color="000000" w:fill="FFFFFF"/>
            <w:noWrap/>
            <w:vAlign w:val="center"/>
            <w:hideMark/>
          </w:tcPr>
          <w:p w14:paraId="13D53C96"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2017</w:t>
            </w:r>
          </w:p>
        </w:tc>
        <w:tc>
          <w:tcPr>
            <w:tcW w:w="449" w:type="pct"/>
            <w:tcBorders>
              <w:top w:val="nil"/>
              <w:left w:val="nil"/>
              <w:bottom w:val="nil"/>
              <w:right w:val="nil"/>
            </w:tcBorders>
            <w:shd w:val="clear" w:color="000000" w:fill="FFFFFF"/>
            <w:noWrap/>
            <w:vAlign w:val="bottom"/>
            <w:hideMark/>
          </w:tcPr>
          <w:p w14:paraId="76820FD8"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2017Q4</w:t>
            </w:r>
          </w:p>
        </w:tc>
        <w:tc>
          <w:tcPr>
            <w:tcW w:w="449" w:type="pct"/>
            <w:tcBorders>
              <w:top w:val="nil"/>
              <w:left w:val="nil"/>
              <w:bottom w:val="nil"/>
              <w:right w:val="nil"/>
            </w:tcBorders>
            <w:shd w:val="clear" w:color="000000" w:fill="FFFFFF"/>
            <w:noWrap/>
            <w:vAlign w:val="center"/>
            <w:hideMark/>
          </w:tcPr>
          <w:p w14:paraId="76A6CB0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117,270</w:t>
            </w:r>
          </w:p>
        </w:tc>
        <w:tc>
          <w:tcPr>
            <w:tcW w:w="226" w:type="pct"/>
            <w:tcBorders>
              <w:top w:val="nil"/>
              <w:left w:val="nil"/>
              <w:bottom w:val="nil"/>
              <w:right w:val="nil"/>
            </w:tcBorders>
            <w:shd w:val="clear" w:color="000000" w:fill="FFFFFF"/>
            <w:noWrap/>
            <w:vAlign w:val="bottom"/>
            <w:hideMark/>
          </w:tcPr>
          <w:p w14:paraId="77C6B0D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C7A187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30985A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0.08%</w:t>
            </w:r>
          </w:p>
        </w:tc>
        <w:tc>
          <w:tcPr>
            <w:tcW w:w="226" w:type="pct"/>
            <w:tcBorders>
              <w:top w:val="nil"/>
              <w:left w:val="nil"/>
              <w:bottom w:val="nil"/>
              <w:right w:val="nil"/>
            </w:tcBorders>
            <w:shd w:val="clear" w:color="000000" w:fill="FFFFFF"/>
            <w:noWrap/>
            <w:vAlign w:val="bottom"/>
            <w:hideMark/>
          </w:tcPr>
          <w:p w14:paraId="6F58BA7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0.16%</w:t>
            </w:r>
          </w:p>
        </w:tc>
        <w:tc>
          <w:tcPr>
            <w:tcW w:w="226" w:type="pct"/>
            <w:tcBorders>
              <w:top w:val="nil"/>
              <w:left w:val="nil"/>
              <w:bottom w:val="nil"/>
              <w:right w:val="nil"/>
            </w:tcBorders>
            <w:shd w:val="clear" w:color="000000" w:fill="FFFFFF"/>
            <w:noWrap/>
            <w:vAlign w:val="bottom"/>
            <w:hideMark/>
          </w:tcPr>
          <w:p w14:paraId="39F5876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0.21%</w:t>
            </w:r>
          </w:p>
        </w:tc>
        <w:tc>
          <w:tcPr>
            <w:tcW w:w="226" w:type="pct"/>
            <w:tcBorders>
              <w:top w:val="nil"/>
              <w:left w:val="nil"/>
              <w:bottom w:val="nil"/>
              <w:right w:val="nil"/>
            </w:tcBorders>
            <w:shd w:val="clear" w:color="000000" w:fill="FFFFFF"/>
            <w:noWrap/>
            <w:vAlign w:val="bottom"/>
            <w:hideMark/>
          </w:tcPr>
          <w:p w14:paraId="1B5821C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0.40%</w:t>
            </w:r>
          </w:p>
        </w:tc>
        <w:tc>
          <w:tcPr>
            <w:tcW w:w="226" w:type="pct"/>
            <w:tcBorders>
              <w:top w:val="nil"/>
              <w:left w:val="nil"/>
              <w:bottom w:val="nil"/>
              <w:right w:val="nil"/>
            </w:tcBorders>
            <w:shd w:val="clear" w:color="000000" w:fill="FFFFFF"/>
            <w:noWrap/>
            <w:vAlign w:val="bottom"/>
            <w:hideMark/>
          </w:tcPr>
          <w:p w14:paraId="1F13D0D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0.50%</w:t>
            </w:r>
          </w:p>
        </w:tc>
        <w:tc>
          <w:tcPr>
            <w:tcW w:w="226" w:type="pct"/>
            <w:tcBorders>
              <w:top w:val="nil"/>
              <w:left w:val="nil"/>
              <w:bottom w:val="nil"/>
              <w:right w:val="nil"/>
            </w:tcBorders>
            <w:shd w:val="clear" w:color="000000" w:fill="FFFFFF"/>
            <w:noWrap/>
            <w:vAlign w:val="bottom"/>
            <w:hideMark/>
          </w:tcPr>
          <w:p w14:paraId="563EA46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0.58%</w:t>
            </w:r>
          </w:p>
        </w:tc>
        <w:tc>
          <w:tcPr>
            <w:tcW w:w="226" w:type="pct"/>
            <w:tcBorders>
              <w:top w:val="nil"/>
              <w:left w:val="nil"/>
              <w:bottom w:val="nil"/>
              <w:right w:val="nil"/>
            </w:tcBorders>
            <w:shd w:val="clear" w:color="000000" w:fill="FFFFFF"/>
            <w:noWrap/>
            <w:vAlign w:val="bottom"/>
            <w:hideMark/>
          </w:tcPr>
          <w:p w14:paraId="3C3548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0.64%</w:t>
            </w:r>
          </w:p>
        </w:tc>
        <w:tc>
          <w:tcPr>
            <w:tcW w:w="226" w:type="pct"/>
            <w:tcBorders>
              <w:top w:val="nil"/>
              <w:left w:val="nil"/>
              <w:bottom w:val="nil"/>
              <w:right w:val="nil"/>
            </w:tcBorders>
            <w:shd w:val="clear" w:color="000000" w:fill="FFFFFF"/>
            <w:noWrap/>
            <w:vAlign w:val="bottom"/>
            <w:hideMark/>
          </w:tcPr>
          <w:p w14:paraId="63209FE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0.72%</w:t>
            </w:r>
          </w:p>
        </w:tc>
        <w:tc>
          <w:tcPr>
            <w:tcW w:w="226" w:type="pct"/>
            <w:tcBorders>
              <w:top w:val="nil"/>
              <w:left w:val="nil"/>
              <w:bottom w:val="nil"/>
              <w:right w:val="nil"/>
            </w:tcBorders>
            <w:shd w:val="clear" w:color="000000" w:fill="FFFFFF"/>
            <w:noWrap/>
            <w:vAlign w:val="bottom"/>
            <w:hideMark/>
          </w:tcPr>
          <w:p w14:paraId="75A2472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0.82%</w:t>
            </w:r>
          </w:p>
        </w:tc>
        <w:tc>
          <w:tcPr>
            <w:tcW w:w="226" w:type="pct"/>
            <w:tcBorders>
              <w:top w:val="nil"/>
              <w:left w:val="nil"/>
              <w:bottom w:val="nil"/>
              <w:right w:val="nil"/>
            </w:tcBorders>
            <w:shd w:val="clear" w:color="000000" w:fill="FFFFFF"/>
            <w:noWrap/>
            <w:vAlign w:val="bottom"/>
            <w:hideMark/>
          </w:tcPr>
          <w:p w14:paraId="6D90FA9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0.93%</w:t>
            </w:r>
          </w:p>
        </w:tc>
        <w:tc>
          <w:tcPr>
            <w:tcW w:w="226" w:type="pct"/>
            <w:tcBorders>
              <w:top w:val="nil"/>
              <w:left w:val="nil"/>
              <w:bottom w:val="nil"/>
              <w:right w:val="nil"/>
            </w:tcBorders>
            <w:shd w:val="clear" w:color="000000" w:fill="FFFFFF"/>
            <w:noWrap/>
            <w:vAlign w:val="bottom"/>
            <w:hideMark/>
          </w:tcPr>
          <w:p w14:paraId="6DEA2EB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1.03%</w:t>
            </w:r>
          </w:p>
        </w:tc>
        <w:tc>
          <w:tcPr>
            <w:tcW w:w="226" w:type="pct"/>
            <w:tcBorders>
              <w:top w:val="nil"/>
              <w:left w:val="nil"/>
              <w:bottom w:val="nil"/>
              <w:right w:val="nil"/>
            </w:tcBorders>
            <w:shd w:val="clear" w:color="000000" w:fill="FFFFFF"/>
            <w:noWrap/>
            <w:vAlign w:val="bottom"/>
            <w:hideMark/>
          </w:tcPr>
          <w:p w14:paraId="4C0F4E2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1.08%</w:t>
            </w:r>
          </w:p>
        </w:tc>
        <w:tc>
          <w:tcPr>
            <w:tcW w:w="226" w:type="pct"/>
            <w:tcBorders>
              <w:top w:val="nil"/>
              <w:left w:val="nil"/>
              <w:bottom w:val="nil"/>
              <w:right w:val="nil"/>
            </w:tcBorders>
            <w:shd w:val="clear" w:color="000000" w:fill="FFFFFF"/>
            <w:noWrap/>
            <w:vAlign w:val="bottom"/>
            <w:hideMark/>
          </w:tcPr>
          <w:p w14:paraId="02359A5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1.08%</w:t>
            </w:r>
          </w:p>
        </w:tc>
        <w:tc>
          <w:tcPr>
            <w:tcW w:w="226" w:type="pct"/>
            <w:tcBorders>
              <w:top w:val="nil"/>
              <w:left w:val="nil"/>
              <w:bottom w:val="nil"/>
              <w:right w:val="nil"/>
            </w:tcBorders>
            <w:shd w:val="clear" w:color="000000" w:fill="FFFFFF"/>
            <w:noWrap/>
            <w:vAlign w:val="bottom"/>
            <w:hideMark/>
          </w:tcPr>
          <w:p w14:paraId="5D6DC3B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1.16%</w:t>
            </w:r>
          </w:p>
        </w:tc>
      </w:tr>
      <w:tr w:rsidR="006A523F" w:rsidRPr="006A523F" w14:paraId="032D0EA5" w14:textId="77777777" w:rsidTr="006A523F">
        <w:trPr>
          <w:trHeight w:val="20"/>
        </w:trPr>
        <w:tc>
          <w:tcPr>
            <w:tcW w:w="480" w:type="pct"/>
            <w:tcBorders>
              <w:top w:val="nil"/>
              <w:left w:val="nil"/>
              <w:bottom w:val="nil"/>
              <w:right w:val="nil"/>
            </w:tcBorders>
            <w:shd w:val="clear" w:color="000000" w:fill="FFFFFF"/>
            <w:noWrap/>
            <w:vAlign w:val="center"/>
            <w:hideMark/>
          </w:tcPr>
          <w:p w14:paraId="6CB861CA"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2018</w:t>
            </w:r>
          </w:p>
        </w:tc>
        <w:tc>
          <w:tcPr>
            <w:tcW w:w="449" w:type="pct"/>
            <w:tcBorders>
              <w:top w:val="nil"/>
              <w:left w:val="nil"/>
              <w:bottom w:val="nil"/>
              <w:right w:val="nil"/>
            </w:tcBorders>
            <w:shd w:val="clear" w:color="000000" w:fill="FFFFFF"/>
            <w:noWrap/>
            <w:vAlign w:val="bottom"/>
            <w:hideMark/>
          </w:tcPr>
          <w:p w14:paraId="788C7A6A"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2018Q1</w:t>
            </w:r>
          </w:p>
        </w:tc>
        <w:tc>
          <w:tcPr>
            <w:tcW w:w="449" w:type="pct"/>
            <w:tcBorders>
              <w:top w:val="nil"/>
              <w:left w:val="nil"/>
              <w:bottom w:val="nil"/>
              <w:right w:val="nil"/>
            </w:tcBorders>
            <w:shd w:val="clear" w:color="000000" w:fill="FFFFFF"/>
            <w:noWrap/>
            <w:vAlign w:val="center"/>
            <w:hideMark/>
          </w:tcPr>
          <w:p w14:paraId="4041346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147,306</w:t>
            </w:r>
          </w:p>
        </w:tc>
        <w:tc>
          <w:tcPr>
            <w:tcW w:w="226" w:type="pct"/>
            <w:tcBorders>
              <w:top w:val="nil"/>
              <w:left w:val="nil"/>
              <w:bottom w:val="nil"/>
              <w:right w:val="nil"/>
            </w:tcBorders>
            <w:shd w:val="clear" w:color="000000" w:fill="FFFFFF"/>
            <w:noWrap/>
            <w:vAlign w:val="bottom"/>
            <w:hideMark/>
          </w:tcPr>
          <w:p w14:paraId="20847C6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5A4861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0.05%</w:t>
            </w:r>
          </w:p>
        </w:tc>
        <w:tc>
          <w:tcPr>
            <w:tcW w:w="226" w:type="pct"/>
            <w:tcBorders>
              <w:top w:val="nil"/>
              <w:left w:val="nil"/>
              <w:bottom w:val="nil"/>
              <w:right w:val="nil"/>
            </w:tcBorders>
            <w:shd w:val="clear" w:color="000000" w:fill="FFFFFF"/>
            <w:noWrap/>
            <w:vAlign w:val="bottom"/>
            <w:hideMark/>
          </w:tcPr>
          <w:p w14:paraId="63B89C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0.11%</w:t>
            </w:r>
          </w:p>
        </w:tc>
        <w:tc>
          <w:tcPr>
            <w:tcW w:w="226" w:type="pct"/>
            <w:tcBorders>
              <w:top w:val="nil"/>
              <w:left w:val="nil"/>
              <w:bottom w:val="nil"/>
              <w:right w:val="nil"/>
            </w:tcBorders>
            <w:shd w:val="clear" w:color="000000" w:fill="FFFFFF"/>
            <w:noWrap/>
            <w:vAlign w:val="bottom"/>
            <w:hideMark/>
          </w:tcPr>
          <w:p w14:paraId="3C4E840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0.14%</w:t>
            </w:r>
          </w:p>
        </w:tc>
        <w:tc>
          <w:tcPr>
            <w:tcW w:w="226" w:type="pct"/>
            <w:tcBorders>
              <w:top w:val="nil"/>
              <w:left w:val="nil"/>
              <w:bottom w:val="nil"/>
              <w:right w:val="nil"/>
            </w:tcBorders>
            <w:shd w:val="clear" w:color="000000" w:fill="FFFFFF"/>
            <w:noWrap/>
            <w:vAlign w:val="bottom"/>
            <w:hideMark/>
          </w:tcPr>
          <w:p w14:paraId="2B2B353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33A6504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0.33%</w:t>
            </w:r>
          </w:p>
        </w:tc>
        <w:tc>
          <w:tcPr>
            <w:tcW w:w="226" w:type="pct"/>
            <w:tcBorders>
              <w:top w:val="nil"/>
              <w:left w:val="nil"/>
              <w:bottom w:val="nil"/>
              <w:right w:val="nil"/>
            </w:tcBorders>
            <w:shd w:val="clear" w:color="000000" w:fill="FFFFFF"/>
            <w:noWrap/>
            <w:vAlign w:val="bottom"/>
            <w:hideMark/>
          </w:tcPr>
          <w:p w14:paraId="0E63B6C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0.40%</w:t>
            </w:r>
          </w:p>
        </w:tc>
        <w:tc>
          <w:tcPr>
            <w:tcW w:w="226" w:type="pct"/>
            <w:tcBorders>
              <w:top w:val="nil"/>
              <w:left w:val="nil"/>
              <w:bottom w:val="nil"/>
              <w:right w:val="nil"/>
            </w:tcBorders>
            <w:shd w:val="clear" w:color="000000" w:fill="FFFFFF"/>
            <w:noWrap/>
            <w:vAlign w:val="bottom"/>
            <w:hideMark/>
          </w:tcPr>
          <w:p w14:paraId="2268909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0.52%</w:t>
            </w:r>
          </w:p>
        </w:tc>
        <w:tc>
          <w:tcPr>
            <w:tcW w:w="226" w:type="pct"/>
            <w:tcBorders>
              <w:top w:val="nil"/>
              <w:left w:val="nil"/>
              <w:bottom w:val="nil"/>
              <w:right w:val="nil"/>
            </w:tcBorders>
            <w:shd w:val="clear" w:color="000000" w:fill="FFFFFF"/>
            <w:noWrap/>
            <w:vAlign w:val="bottom"/>
            <w:hideMark/>
          </w:tcPr>
          <w:p w14:paraId="2080D57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0.60%</w:t>
            </w:r>
          </w:p>
        </w:tc>
        <w:tc>
          <w:tcPr>
            <w:tcW w:w="226" w:type="pct"/>
            <w:tcBorders>
              <w:top w:val="nil"/>
              <w:left w:val="nil"/>
              <w:bottom w:val="nil"/>
              <w:right w:val="nil"/>
            </w:tcBorders>
            <w:shd w:val="clear" w:color="000000" w:fill="FFFFFF"/>
            <w:noWrap/>
            <w:vAlign w:val="bottom"/>
            <w:hideMark/>
          </w:tcPr>
          <w:p w14:paraId="098913F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0.71%</w:t>
            </w:r>
          </w:p>
        </w:tc>
        <w:tc>
          <w:tcPr>
            <w:tcW w:w="226" w:type="pct"/>
            <w:tcBorders>
              <w:top w:val="nil"/>
              <w:left w:val="nil"/>
              <w:bottom w:val="nil"/>
              <w:right w:val="nil"/>
            </w:tcBorders>
            <w:shd w:val="clear" w:color="000000" w:fill="FFFFFF"/>
            <w:noWrap/>
            <w:vAlign w:val="bottom"/>
            <w:hideMark/>
          </w:tcPr>
          <w:p w14:paraId="6ACEA76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0.80%</w:t>
            </w:r>
          </w:p>
        </w:tc>
        <w:tc>
          <w:tcPr>
            <w:tcW w:w="226" w:type="pct"/>
            <w:tcBorders>
              <w:top w:val="nil"/>
              <w:left w:val="nil"/>
              <w:bottom w:val="nil"/>
              <w:right w:val="nil"/>
            </w:tcBorders>
            <w:shd w:val="clear" w:color="000000" w:fill="FFFFFF"/>
            <w:noWrap/>
            <w:vAlign w:val="bottom"/>
            <w:hideMark/>
          </w:tcPr>
          <w:p w14:paraId="14F892E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0.83%</w:t>
            </w:r>
          </w:p>
        </w:tc>
        <w:tc>
          <w:tcPr>
            <w:tcW w:w="226" w:type="pct"/>
            <w:tcBorders>
              <w:top w:val="nil"/>
              <w:left w:val="nil"/>
              <w:bottom w:val="nil"/>
              <w:right w:val="nil"/>
            </w:tcBorders>
            <w:shd w:val="clear" w:color="000000" w:fill="FFFFFF"/>
            <w:noWrap/>
            <w:vAlign w:val="bottom"/>
            <w:hideMark/>
          </w:tcPr>
          <w:p w14:paraId="1F2961A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0.90%</w:t>
            </w:r>
          </w:p>
        </w:tc>
        <w:tc>
          <w:tcPr>
            <w:tcW w:w="226" w:type="pct"/>
            <w:tcBorders>
              <w:top w:val="nil"/>
              <w:left w:val="nil"/>
              <w:bottom w:val="nil"/>
              <w:right w:val="nil"/>
            </w:tcBorders>
            <w:shd w:val="clear" w:color="000000" w:fill="FFFFFF"/>
            <w:noWrap/>
            <w:vAlign w:val="bottom"/>
            <w:hideMark/>
          </w:tcPr>
          <w:p w14:paraId="1193BEB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0.93%</w:t>
            </w:r>
          </w:p>
        </w:tc>
        <w:tc>
          <w:tcPr>
            <w:tcW w:w="226" w:type="pct"/>
            <w:tcBorders>
              <w:top w:val="nil"/>
              <w:left w:val="nil"/>
              <w:bottom w:val="nil"/>
              <w:right w:val="nil"/>
            </w:tcBorders>
            <w:shd w:val="clear" w:color="000000" w:fill="FFFFFF"/>
            <w:noWrap/>
            <w:vAlign w:val="bottom"/>
            <w:hideMark/>
          </w:tcPr>
          <w:p w14:paraId="6C08997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0.99%</w:t>
            </w:r>
          </w:p>
        </w:tc>
        <w:tc>
          <w:tcPr>
            <w:tcW w:w="226" w:type="pct"/>
            <w:tcBorders>
              <w:top w:val="nil"/>
              <w:left w:val="nil"/>
              <w:bottom w:val="nil"/>
              <w:right w:val="nil"/>
            </w:tcBorders>
            <w:shd w:val="clear" w:color="000000" w:fill="FFFFFF"/>
            <w:noWrap/>
            <w:vAlign w:val="bottom"/>
            <w:hideMark/>
          </w:tcPr>
          <w:p w14:paraId="20F5724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1.01%</w:t>
            </w:r>
          </w:p>
        </w:tc>
      </w:tr>
      <w:tr w:rsidR="006A523F" w:rsidRPr="006A523F" w14:paraId="642DA69E" w14:textId="77777777" w:rsidTr="006A523F">
        <w:trPr>
          <w:trHeight w:val="20"/>
        </w:trPr>
        <w:tc>
          <w:tcPr>
            <w:tcW w:w="480" w:type="pct"/>
            <w:tcBorders>
              <w:top w:val="nil"/>
              <w:left w:val="nil"/>
              <w:bottom w:val="nil"/>
              <w:right w:val="nil"/>
            </w:tcBorders>
            <w:shd w:val="clear" w:color="000000" w:fill="FFFFFF"/>
            <w:noWrap/>
            <w:vAlign w:val="center"/>
            <w:hideMark/>
          </w:tcPr>
          <w:p w14:paraId="72977A0C"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2018</w:t>
            </w:r>
          </w:p>
        </w:tc>
        <w:tc>
          <w:tcPr>
            <w:tcW w:w="449" w:type="pct"/>
            <w:tcBorders>
              <w:top w:val="nil"/>
              <w:left w:val="nil"/>
              <w:bottom w:val="nil"/>
              <w:right w:val="nil"/>
            </w:tcBorders>
            <w:shd w:val="clear" w:color="000000" w:fill="FFFFFF"/>
            <w:noWrap/>
            <w:vAlign w:val="bottom"/>
            <w:hideMark/>
          </w:tcPr>
          <w:p w14:paraId="383221B6"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2018Q2</w:t>
            </w:r>
          </w:p>
        </w:tc>
        <w:tc>
          <w:tcPr>
            <w:tcW w:w="449" w:type="pct"/>
            <w:tcBorders>
              <w:top w:val="nil"/>
              <w:left w:val="nil"/>
              <w:bottom w:val="nil"/>
              <w:right w:val="nil"/>
            </w:tcBorders>
            <w:shd w:val="clear" w:color="000000" w:fill="FFFFFF"/>
            <w:noWrap/>
            <w:vAlign w:val="center"/>
            <w:hideMark/>
          </w:tcPr>
          <w:p w14:paraId="76441D8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166,339</w:t>
            </w:r>
          </w:p>
        </w:tc>
        <w:tc>
          <w:tcPr>
            <w:tcW w:w="226" w:type="pct"/>
            <w:tcBorders>
              <w:top w:val="nil"/>
              <w:left w:val="nil"/>
              <w:bottom w:val="nil"/>
              <w:right w:val="nil"/>
            </w:tcBorders>
            <w:shd w:val="clear" w:color="000000" w:fill="FFFFFF"/>
            <w:noWrap/>
            <w:vAlign w:val="bottom"/>
            <w:hideMark/>
          </w:tcPr>
          <w:p w14:paraId="2E2EB3A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50AE798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0.06%</w:t>
            </w:r>
          </w:p>
        </w:tc>
        <w:tc>
          <w:tcPr>
            <w:tcW w:w="226" w:type="pct"/>
            <w:tcBorders>
              <w:top w:val="nil"/>
              <w:left w:val="nil"/>
              <w:bottom w:val="nil"/>
              <w:right w:val="nil"/>
            </w:tcBorders>
            <w:shd w:val="clear" w:color="000000" w:fill="FFFFFF"/>
            <w:noWrap/>
            <w:vAlign w:val="bottom"/>
            <w:hideMark/>
          </w:tcPr>
          <w:p w14:paraId="507875C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384A147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0.28%</w:t>
            </w:r>
          </w:p>
        </w:tc>
        <w:tc>
          <w:tcPr>
            <w:tcW w:w="226" w:type="pct"/>
            <w:tcBorders>
              <w:top w:val="nil"/>
              <w:left w:val="nil"/>
              <w:bottom w:val="nil"/>
              <w:right w:val="nil"/>
            </w:tcBorders>
            <w:shd w:val="clear" w:color="000000" w:fill="FFFFFF"/>
            <w:noWrap/>
            <w:vAlign w:val="bottom"/>
            <w:hideMark/>
          </w:tcPr>
          <w:p w14:paraId="0CFF677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0.32%</w:t>
            </w:r>
          </w:p>
        </w:tc>
        <w:tc>
          <w:tcPr>
            <w:tcW w:w="226" w:type="pct"/>
            <w:tcBorders>
              <w:top w:val="nil"/>
              <w:left w:val="nil"/>
              <w:bottom w:val="nil"/>
              <w:right w:val="nil"/>
            </w:tcBorders>
            <w:shd w:val="clear" w:color="000000" w:fill="FFFFFF"/>
            <w:noWrap/>
            <w:vAlign w:val="bottom"/>
            <w:hideMark/>
          </w:tcPr>
          <w:p w14:paraId="3D319C2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0.42%</w:t>
            </w:r>
          </w:p>
        </w:tc>
        <w:tc>
          <w:tcPr>
            <w:tcW w:w="226" w:type="pct"/>
            <w:tcBorders>
              <w:top w:val="nil"/>
              <w:left w:val="nil"/>
              <w:bottom w:val="nil"/>
              <w:right w:val="nil"/>
            </w:tcBorders>
            <w:shd w:val="clear" w:color="000000" w:fill="FFFFFF"/>
            <w:noWrap/>
            <w:vAlign w:val="bottom"/>
            <w:hideMark/>
          </w:tcPr>
          <w:p w14:paraId="334015B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0.51%</w:t>
            </w:r>
          </w:p>
        </w:tc>
        <w:tc>
          <w:tcPr>
            <w:tcW w:w="226" w:type="pct"/>
            <w:tcBorders>
              <w:top w:val="nil"/>
              <w:left w:val="nil"/>
              <w:bottom w:val="nil"/>
              <w:right w:val="nil"/>
            </w:tcBorders>
            <w:shd w:val="clear" w:color="000000" w:fill="FFFFFF"/>
            <w:noWrap/>
            <w:vAlign w:val="bottom"/>
            <w:hideMark/>
          </w:tcPr>
          <w:p w14:paraId="3C8D613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0.59%</w:t>
            </w:r>
          </w:p>
        </w:tc>
        <w:tc>
          <w:tcPr>
            <w:tcW w:w="226" w:type="pct"/>
            <w:tcBorders>
              <w:top w:val="nil"/>
              <w:left w:val="nil"/>
              <w:bottom w:val="nil"/>
              <w:right w:val="nil"/>
            </w:tcBorders>
            <w:shd w:val="clear" w:color="000000" w:fill="FFFFFF"/>
            <w:noWrap/>
            <w:vAlign w:val="bottom"/>
            <w:hideMark/>
          </w:tcPr>
          <w:p w14:paraId="16D6ADF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0.71%</w:t>
            </w:r>
          </w:p>
        </w:tc>
        <w:tc>
          <w:tcPr>
            <w:tcW w:w="226" w:type="pct"/>
            <w:tcBorders>
              <w:top w:val="nil"/>
              <w:left w:val="nil"/>
              <w:bottom w:val="nil"/>
              <w:right w:val="nil"/>
            </w:tcBorders>
            <w:shd w:val="clear" w:color="000000" w:fill="FFFFFF"/>
            <w:noWrap/>
            <w:vAlign w:val="bottom"/>
            <w:hideMark/>
          </w:tcPr>
          <w:p w14:paraId="44DC4DF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0.80%</w:t>
            </w:r>
          </w:p>
        </w:tc>
        <w:tc>
          <w:tcPr>
            <w:tcW w:w="226" w:type="pct"/>
            <w:tcBorders>
              <w:top w:val="nil"/>
              <w:left w:val="nil"/>
              <w:bottom w:val="nil"/>
              <w:right w:val="nil"/>
            </w:tcBorders>
            <w:shd w:val="clear" w:color="000000" w:fill="FFFFFF"/>
            <w:noWrap/>
            <w:vAlign w:val="bottom"/>
            <w:hideMark/>
          </w:tcPr>
          <w:p w14:paraId="52A8054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0.88%</w:t>
            </w:r>
          </w:p>
        </w:tc>
        <w:tc>
          <w:tcPr>
            <w:tcW w:w="226" w:type="pct"/>
            <w:tcBorders>
              <w:top w:val="nil"/>
              <w:left w:val="nil"/>
              <w:bottom w:val="nil"/>
              <w:right w:val="nil"/>
            </w:tcBorders>
            <w:shd w:val="clear" w:color="000000" w:fill="FFFFFF"/>
            <w:noWrap/>
            <w:vAlign w:val="bottom"/>
            <w:hideMark/>
          </w:tcPr>
          <w:p w14:paraId="12DE402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0.96%</w:t>
            </w:r>
          </w:p>
        </w:tc>
        <w:tc>
          <w:tcPr>
            <w:tcW w:w="226" w:type="pct"/>
            <w:tcBorders>
              <w:top w:val="nil"/>
              <w:left w:val="nil"/>
              <w:bottom w:val="nil"/>
              <w:right w:val="nil"/>
            </w:tcBorders>
            <w:shd w:val="clear" w:color="000000" w:fill="FFFFFF"/>
            <w:noWrap/>
            <w:vAlign w:val="bottom"/>
            <w:hideMark/>
          </w:tcPr>
          <w:p w14:paraId="734F816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1.00%</w:t>
            </w:r>
          </w:p>
        </w:tc>
        <w:tc>
          <w:tcPr>
            <w:tcW w:w="226" w:type="pct"/>
            <w:tcBorders>
              <w:top w:val="nil"/>
              <w:left w:val="nil"/>
              <w:bottom w:val="nil"/>
              <w:right w:val="nil"/>
            </w:tcBorders>
            <w:shd w:val="clear" w:color="000000" w:fill="FFFFFF"/>
            <w:noWrap/>
            <w:vAlign w:val="bottom"/>
            <w:hideMark/>
          </w:tcPr>
          <w:p w14:paraId="4C23AAC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1.02%</w:t>
            </w:r>
          </w:p>
        </w:tc>
        <w:tc>
          <w:tcPr>
            <w:tcW w:w="226" w:type="pct"/>
            <w:tcBorders>
              <w:top w:val="nil"/>
              <w:left w:val="nil"/>
              <w:bottom w:val="nil"/>
              <w:right w:val="nil"/>
            </w:tcBorders>
            <w:shd w:val="clear" w:color="000000" w:fill="FFFFFF"/>
            <w:noWrap/>
            <w:vAlign w:val="bottom"/>
            <w:hideMark/>
          </w:tcPr>
          <w:p w14:paraId="0F5B58D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1.03%</w:t>
            </w:r>
          </w:p>
        </w:tc>
        <w:tc>
          <w:tcPr>
            <w:tcW w:w="226" w:type="pct"/>
            <w:tcBorders>
              <w:top w:val="nil"/>
              <w:left w:val="nil"/>
              <w:bottom w:val="nil"/>
              <w:right w:val="nil"/>
            </w:tcBorders>
            <w:shd w:val="clear" w:color="000000" w:fill="FFFFFF"/>
            <w:noWrap/>
            <w:vAlign w:val="bottom"/>
            <w:hideMark/>
          </w:tcPr>
          <w:p w14:paraId="3E6C84C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1.05%</w:t>
            </w:r>
          </w:p>
        </w:tc>
      </w:tr>
      <w:tr w:rsidR="006A523F" w:rsidRPr="006A523F" w14:paraId="24E5BD52" w14:textId="77777777" w:rsidTr="006A523F">
        <w:trPr>
          <w:trHeight w:val="20"/>
        </w:trPr>
        <w:tc>
          <w:tcPr>
            <w:tcW w:w="480" w:type="pct"/>
            <w:tcBorders>
              <w:top w:val="nil"/>
              <w:left w:val="nil"/>
              <w:bottom w:val="nil"/>
              <w:right w:val="nil"/>
            </w:tcBorders>
            <w:shd w:val="clear" w:color="000000" w:fill="FFFFFF"/>
            <w:noWrap/>
            <w:vAlign w:val="center"/>
            <w:hideMark/>
          </w:tcPr>
          <w:p w14:paraId="465DF8AE"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2018</w:t>
            </w:r>
          </w:p>
        </w:tc>
        <w:tc>
          <w:tcPr>
            <w:tcW w:w="449" w:type="pct"/>
            <w:tcBorders>
              <w:top w:val="nil"/>
              <w:left w:val="nil"/>
              <w:bottom w:val="nil"/>
              <w:right w:val="nil"/>
            </w:tcBorders>
            <w:shd w:val="clear" w:color="000000" w:fill="FFFFFF"/>
            <w:noWrap/>
            <w:vAlign w:val="bottom"/>
            <w:hideMark/>
          </w:tcPr>
          <w:p w14:paraId="1E19F9AA"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2018Q3</w:t>
            </w:r>
          </w:p>
        </w:tc>
        <w:tc>
          <w:tcPr>
            <w:tcW w:w="449" w:type="pct"/>
            <w:tcBorders>
              <w:top w:val="nil"/>
              <w:left w:val="nil"/>
              <w:bottom w:val="nil"/>
              <w:right w:val="nil"/>
            </w:tcBorders>
            <w:shd w:val="clear" w:color="000000" w:fill="FFFFFF"/>
            <w:noWrap/>
            <w:vAlign w:val="center"/>
            <w:hideMark/>
          </w:tcPr>
          <w:p w14:paraId="658BA90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180,744</w:t>
            </w:r>
          </w:p>
        </w:tc>
        <w:tc>
          <w:tcPr>
            <w:tcW w:w="226" w:type="pct"/>
            <w:tcBorders>
              <w:top w:val="nil"/>
              <w:left w:val="nil"/>
              <w:bottom w:val="nil"/>
              <w:right w:val="nil"/>
            </w:tcBorders>
            <w:shd w:val="clear" w:color="000000" w:fill="FFFFFF"/>
            <w:noWrap/>
            <w:vAlign w:val="bottom"/>
            <w:hideMark/>
          </w:tcPr>
          <w:p w14:paraId="39E13DB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108DE0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1C3AC9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0.11%</w:t>
            </w:r>
          </w:p>
        </w:tc>
        <w:tc>
          <w:tcPr>
            <w:tcW w:w="226" w:type="pct"/>
            <w:tcBorders>
              <w:top w:val="nil"/>
              <w:left w:val="nil"/>
              <w:bottom w:val="nil"/>
              <w:right w:val="nil"/>
            </w:tcBorders>
            <w:shd w:val="clear" w:color="000000" w:fill="FFFFFF"/>
            <w:noWrap/>
            <w:vAlign w:val="bottom"/>
            <w:hideMark/>
          </w:tcPr>
          <w:p w14:paraId="1646744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0.22%</w:t>
            </w:r>
          </w:p>
        </w:tc>
        <w:tc>
          <w:tcPr>
            <w:tcW w:w="226" w:type="pct"/>
            <w:tcBorders>
              <w:top w:val="nil"/>
              <w:left w:val="nil"/>
              <w:bottom w:val="nil"/>
              <w:right w:val="nil"/>
            </w:tcBorders>
            <w:shd w:val="clear" w:color="000000" w:fill="FFFFFF"/>
            <w:noWrap/>
            <w:vAlign w:val="bottom"/>
            <w:hideMark/>
          </w:tcPr>
          <w:p w14:paraId="27E6FF0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0.35%</w:t>
            </w:r>
          </w:p>
        </w:tc>
        <w:tc>
          <w:tcPr>
            <w:tcW w:w="226" w:type="pct"/>
            <w:tcBorders>
              <w:top w:val="nil"/>
              <w:left w:val="nil"/>
              <w:bottom w:val="nil"/>
              <w:right w:val="nil"/>
            </w:tcBorders>
            <w:shd w:val="clear" w:color="000000" w:fill="FFFFFF"/>
            <w:noWrap/>
            <w:vAlign w:val="bottom"/>
            <w:hideMark/>
          </w:tcPr>
          <w:p w14:paraId="63D2EE2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0.48%</w:t>
            </w:r>
          </w:p>
        </w:tc>
        <w:tc>
          <w:tcPr>
            <w:tcW w:w="226" w:type="pct"/>
            <w:tcBorders>
              <w:top w:val="nil"/>
              <w:left w:val="nil"/>
              <w:bottom w:val="nil"/>
              <w:right w:val="nil"/>
            </w:tcBorders>
            <w:shd w:val="clear" w:color="000000" w:fill="FFFFFF"/>
            <w:noWrap/>
            <w:vAlign w:val="bottom"/>
            <w:hideMark/>
          </w:tcPr>
          <w:p w14:paraId="2E07785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0.65%</w:t>
            </w:r>
          </w:p>
        </w:tc>
        <w:tc>
          <w:tcPr>
            <w:tcW w:w="226" w:type="pct"/>
            <w:tcBorders>
              <w:top w:val="nil"/>
              <w:left w:val="nil"/>
              <w:bottom w:val="nil"/>
              <w:right w:val="nil"/>
            </w:tcBorders>
            <w:shd w:val="clear" w:color="000000" w:fill="FFFFFF"/>
            <w:noWrap/>
            <w:vAlign w:val="bottom"/>
            <w:hideMark/>
          </w:tcPr>
          <w:p w14:paraId="6FA01BC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0.71%</w:t>
            </w:r>
          </w:p>
        </w:tc>
        <w:tc>
          <w:tcPr>
            <w:tcW w:w="226" w:type="pct"/>
            <w:tcBorders>
              <w:top w:val="nil"/>
              <w:left w:val="nil"/>
              <w:bottom w:val="nil"/>
              <w:right w:val="nil"/>
            </w:tcBorders>
            <w:shd w:val="clear" w:color="000000" w:fill="FFFFFF"/>
            <w:noWrap/>
            <w:vAlign w:val="bottom"/>
            <w:hideMark/>
          </w:tcPr>
          <w:p w14:paraId="6C55DB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0.77%</w:t>
            </w:r>
          </w:p>
        </w:tc>
        <w:tc>
          <w:tcPr>
            <w:tcW w:w="226" w:type="pct"/>
            <w:tcBorders>
              <w:top w:val="nil"/>
              <w:left w:val="nil"/>
              <w:bottom w:val="nil"/>
              <w:right w:val="nil"/>
            </w:tcBorders>
            <w:shd w:val="clear" w:color="000000" w:fill="FFFFFF"/>
            <w:noWrap/>
            <w:vAlign w:val="bottom"/>
            <w:hideMark/>
          </w:tcPr>
          <w:p w14:paraId="34C86D1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0.85%</w:t>
            </w:r>
          </w:p>
        </w:tc>
        <w:tc>
          <w:tcPr>
            <w:tcW w:w="226" w:type="pct"/>
            <w:tcBorders>
              <w:top w:val="nil"/>
              <w:left w:val="nil"/>
              <w:bottom w:val="nil"/>
              <w:right w:val="nil"/>
            </w:tcBorders>
            <w:shd w:val="clear" w:color="000000" w:fill="FFFFFF"/>
            <w:noWrap/>
            <w:vAlign w:val="bottom"/>
            <w:hideMark/>
          </w:tcPr>
          <w:p w14:paraId="080D81D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0.91%</w:t>
            </w:r>
          </w:p>
        </w:tc>
        <w:tc>
          <w:tcPr>
            <w:tcW w:w="226" w:type="pct"/>
            <w:tcBorders>
              <w:top w:val="nil"/>
              <w:left w:val="nil"/>
              <w:bottom w:val="nil"/>
              <w:right w:val="nil"/>
            </w:tcBorders>
            <w:shd w:val="clear" w:color="000000" w:fill="FFFFFF"/>
            <w:noWrap/>
            <w:vAlign w:val="bottom"/>
            <w:hideMark/>
          </w:tcPr>
          <w:p w14:paraId="093AEC5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0.96%</w:t>
            </w:r>
          </w:p>
        </w:tc>
        <w:tc>
          <w:tcPr>
            <w:tcW w:w="226" w:type="pct"/>
            <w:tcBorders>
              <w:top w:val="nil"/>
              <w:left w:val="nil"/>
              <w:bottom w:val="nil"/>
              <w:right w:val="nil"/>
            </w:tcBorders>
            <w:shd w:val="clear" w:color="000000" w:fill="FFFFFF"/>
            <w:noWrap/>
            <w:vAlign w:val="bottom"/>
            <w:hideMark/>
          </w:tcPr>
          <w:p w14:paraId="3488F01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1.06%</w:t>
            </w:r>
          </w:p>
        </w:tc>
        <w:tc>
          <w:tcPr>
            <w:tcW w:w="226" w:type="pct"/>
            <w:tcBorders>
              <w:top w:val="nil"/>
              <w:left w:val="nil"/>
              <w:bottom w:val="nil"/>
              <w:right w:val="nil"/>
            </w:tcBorders>
            <w:shd w:val="clear" w:color="000000" w:fill="FFFFFF"/>
            <w:noWrap/>
            <w:vAlign w:val="bottom"/>
            <w:hideMark/>
          </w:tcPr>
          <w:p w14:paraId="047058B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1.13%</w:t>
            </w:r>
          </w:p>
        </w:tc>
        <w:tc>
          <w:tcPr>
            <w:tcW w:w="226" w:type="pct"/>
            <w:tcBorders>
              <w:top w:val="nil"/>
              <w:left w:val="nil"/>
              <w:bottom w:val="nil"/>
              <w:right w:val="nil"/>
            </w:tcBorders>
            <w:shd w:val="clear" w:color="000000" w:fill="FFFFFF"/>
            <w:noWrap/>
            <w:vAlign w:val="bottom"/>
            <w:hideMark/>
          </w:tcPr>
          <w:p w14:paraId="6507FF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1.15%</w:t>
            </w:r>
          </w:p>
        </w:tc>
        <w:tc>
          <w:tcPr>
            <w:tcW w:w="226" w:type="pct"/>
            <w:tcBorders>
              <w:top w:val="nil"/>
              <w:left w:val="nil"/>
              <w:bottom w:val="nil"/>
              <w:right w:val="nil"/>
            </w:tcBorders>
            <w:shd w:val="clear" w:color="000000" w:fill="FFFFFF"/>
            <w:noWrap/>
            <w:vAlign w:val="bottom"/>
            <w:hideMark/>
          </w:tcPr>
          <w:p w14:paraId="7ED74E5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1.20%</w:t>
            </w:r>
          </w:p>
        </w:tc>
      </w:tr>
      <w:tr w:rsidR="006A523F" w:rsidRPr="006A523F" w14:paraId="30F8C52A" w14:textId="77777777" w:rsidTr="006A523F">
        <w:trPr>
          <w:trHeight w:val="20"/>
        </w:trPr>
        <w:tc>
          <w:tcPr>
            <w:tcW w:w="480" w:type="pct"/>
            <w:tcBorders>
              <w:top w:val="nil"/>
              <w:left w:val="nil"/>
              <w:bottom w:val="nil"/>
              <w:right w:val="nil"/>
            </w:tcBorders>
            <w:shd w:val="clear" w:color="000000" w:fill="FFFFFF"/>
            <w:noWrap/>
            <w:vAlign w:val="center"/>
            <w:hideMark/>
          </w:tcPr>
          <w:p w14:paraId="1C9CB88D"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2018</w:t>
            </w:r>
          </w:p>
        </w:tc>
        <w:tc>
          <w:tcPr>
            <w:tcW w:w="449" w:type="pct"/>
            <w:tcBorders>
              <w:top w:val="nil"/>
              <w:left w:val="nil"/>
              <w:bottom w:val="nil"/>
              <w:right w:val="nil"/>
            </w:tcBorders>
            <w:shd w:val="clear" w:color="000000" w:fill="FFFFFF"/>
            <w:noWrap/>
            <w:vAlign w:val="bottom"/>
            <w:hideMark/>
          </w:tcPr>
          <w:p w14:paraId="4360B0D2"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2018Q4</w:t>
            </w:r>
          </w:p>
        </w:tc>
        <w:tc>
          <w:tcPr>
            <w:tcW w:w="449" w:type="pct"/>
            <w:tcBorders>
              <w:top w:val="nil"/>
              <w:left w:val="nil"/>
              <w:bottom w:val="nil"/>
              <w:right w:val="nil"/>
            </w:tcBorders>
            <w:shd w:val="clear" w:color="000000" w:fill="FFFFFF"/>
            <w:noWrap/>
            <w:vAlign w:val="center"/>
            <w:hideMark/>
          </w:tcPr>
          <w:p w14:paraId="6F6C399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175,500</w:t>
            </w:r>
          </w:p>
        </w:tc>
        <w:tc>
          <w:tcPr>
            <w:tcW w:w="226" w:type="pct"/>
            <w:tcBorders>
              <w:top w:val="nil"/>
              <w:left w:val="nil"/>
              <w:bottom w:val="nil"/>
              <w:right w:val="nil"/>
            </w:tcBorders>
            <w:shd w:val="clear" w:color="000000" w:fill="FFFFFF"/>
            <w:noWrap/>
            <w:vAlign w:val="bottom"/>
            <w:hideMark/>
          </w:tcPr>
          <w:p w14:paraId="25EA0C6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EEAAE4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0.03%</w:t>
            </w:r>
          </w:p>
        </w:tc>
        <w:tc>
          <w:tcPr>
            <w:tcW w:w="226" w:type="pct"/>
            <w:tcBorders>
              <w:top w:val="nil"/>
              <w:left w:val="nil"/>
              <w:bottom w:val="nil"/>
              <w:right w:val="nil"/>
            </w:tcBorders>
            <w:shd w:val="clear" w:color="000000" w:fill="FFFFFF"/>
            <w:noWrap/>
            <w:vAlign w:val="bottom"/>
            <w:hideMark/>
          </w:tcPr>
          <w:p w14:paraId="2C2B972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0.10%</w:t>
            </w:r>
          </w:p>
        </w:tc>
        <w:tc>
          <w:tcPr>
            <w:tcW w:w="226" w:type="pct"/>
            <w:tcBorders>
              <w:top w:val="nil"/>
              <w:left w:val="nil"/>
              <w:bottom w:val="nil"/>
              <w:right w:val="nil"/>
            </w:tcBorders>
            <w:shd w:val="clear" w:color="000000" w:fill="FFFFFF"/>
            <w:noWrap/>
            <w:vAlign w:val="bottom"/>
            <w:hideMark/>
          </w:tcPr>
          <w:p w14:paraId="1F51AA9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1B099E3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0.35%</w:t>
            </w:r>
          </w:p>
        </w:tc>
        <w:tc>
          <w:tcPr>
            <w:tcW w:w="226" w:type="pct"/>
            <w:tcBorders>
              <w:top w:val="nil"/>
              <w:left w:val="nil"/>
              <w:bottom w:val="nil"/>
              <w:right w:val="nil"/>
            </w:tcBorders>
            <w:shd w:val="clear" w:color="000000" w:fill="FFFFFF"/>
            <w:noWrap/>
            <w:vAlign w:val="bottom"/>
            <w:hideMark/>
          </w:tcPr>
          <w:p w14:paraId="5B07BBD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0.44%</w:t>
            </w:r>
          </w:p>
        </w:tc>
        <w:tc>
          <w:tcPr>
            <w:tcW w:w="226" w:type="pct"/>
            <w:tcBorders>
              <w:top w:val="nil"/>
              <w:left w:val="nil"/>
              <w:bottom w:val="nil"/>
              <w:right w:val="nil"/>
            </w:tcBorders>
            <w:shd w:val="clear" w:color="000000" w:fill="FFFFFF"/>
            <w:noWrap/>
            <w:vAlign w:val="bottom"/>
            <w:hideMark/>
          </w:tcPr>
          <w:p w14:paraId="52BEC7E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0.57%</w:t>
            </w:r>
          </w:p>
        </w:tc>
        <w:tc>
          <w:tcPr>
            <w:tcW w:w="226" w:type="pct"/>
            <w:tcBorders>
              <w:top w:val="nil"/>
              <w:left w:val="nil"/>
              <w:bottom w:val="nil"/>
              <w:right w:val="nil"/>
            </w:tcBorders>
            <w:shd w:val="clear" w:color="000000" w:fill="FFFFFF"/>
            <w:noWrap/>
            <w:vAlign w:val="bottom"/>
            <w:hideMark/>
          </w:tcPr>
          <w:p w14:paraId="7C06DE3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0.62%</w:t>
            </w:r>
          </w:p>
        </w:tc>
        <w:tc>
          <w:tcPr>
            <w:tcW w:w="226" w:type="pct"/>
            <w:tcBorders>
              <w:top w:val="nil"/>
              <w:left w:val="nil"/>
              <w:bottom w:val="nil"/>
              <w:right w:val="nil"/>
            </w:tcBorders>
            <w:shd w:val="clear" w:color="000000" w:fill="FFFFFF"/>
            <w:noWrap/>
            <w:vAlign w:val="bottom"/>
            <w:hideMark/>
          </w:tcPr>
          <w:p w14:paraId="2E88289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0.67%</w:t>
            </w:r>
          </w:p>
        </w:tc>
        <w:tc>
          <w:tcPr>
            <w:tcW w:w="226" w:type="pct"/>
            <w:tcBorders>
              <w:top w:val="nil"/>
              <w:left w:val="nil"/>
              <w:bottom w:val="nil"/>
              <w:right w:val="nil"/>
            </w:tcBorders>
            <w:shd w:val="clear" w:color="000000" w:fill="FFFFFF"/>
            <w:noWrap/>
            <w:vAlign w:val="bottom"/>
            <w:hideMark/>
          </w:tcPr>
          <w:p w14:paraId="388A1AA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0.76%</w:t>
            </w:r>
          </w:p>
        </w:tc>
        <w:tc>
          <w:tcPr>
            <w:tcW w:w="226" w:type="pct"/>
            <w:tcBorders>
              <w:top w:val="nil"/>
              <w:left w:val="nil"/>
              <w:bottom w:val="nil"/>
              <w:right w:val="nil"/>
            </w:tcBorders>
            <w:shd w:val="clear" w:color="000000" w:fill="FFFFFF"/>
            <w:noWrap/>
            <w:vAlign w:val="bottom"/>
            <w:hideMark/>
          </w:tcPr>
          <w:p w14:paraId="252E0EF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0.79%</w:t>
            </w:r>
          </w:p>
        </w:tc>
        <w:tc>
          <w:tcPr>
            <w:tcW w:w="226" w:type="pct"/>
            <w:tcBorders>
              <w:top w:val="nil"/>
              <w:left w:val="nil"/>
              <w:bottom w:val="nil"/>
              <w:right w:val="nil"/>
            </w:tcBorders>
            <w:shd w:val="clear" w:color="000000" w:fill="FFFFFF"/>
            <w:noWrap/>
            <w:vAlign w:val="bottom"/>
            <w:hideMark/>
          </w:tcPr>
          <w:p w14:paraId="730071A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0.86%</w:t>
            </w:r>
          </w:p>
        </w:tc>
        <w:tc>
          <w:tcPr>
            <w:tcW w:w="226" w:type="pct"/>
            <w:tcBorders>
              <w:top w:val="nil"/>
              <w:left w:val="nil"/>
              <w:bottom w:val="nil"/>
              <w:right w:val="nil"/>
            </w:tcBorders>
            <w:shd w:val="clear" w:color="000000" w:fill="FFFFFF"/>
            <w:noWrap/>
            <w:vAlign w:val="bottom"/>
            <w:hideMark/>
          </w:tcPr>
          <w:p w14:paraId="731499F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0.91%</w:t>
            </w:r>
          </w:p>
        </w:tc>
        <w:tc>
          <w:tcPr>
            <w:tcW w:w="226" w:type="pct"/>
            <w:tcBorders>
              <w:top w:val="nil"/>
              <w:left w:val="nil"/>
              <w:bottom w:val="nil"/>
              <w:right w:val="nil"/>
            </w:tcBorders>
            <w:shd w:val="clear" w:color="000000" w:fill="FFFFFF"/>
            <w:noWrap/>
            <w:vAlign w:val="bottom"/>
            <w:hideMark/>
          </w:tcPr>
          <w:p w14:paraId="7863561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0.93%</w:t>
            </w:r>
          </w:p>
        </w:tc>
        <w:tc>
          <w:tcPr>
            <w:tcW w:w="226" w:type="pct"/>
            <w:tcBorders>
              <w:top w:val="nil"/>
              <w:left w:val="nil"/>
              <w:bottom w:val="nil"/>
              <w:right w:val="nil"/>
            </w:tcBorders>
            <w:shd w:val="clear" w:color="000000" w:fill="FFFFFF"/>
            <w:noWrap/>
            <w:vAlign w:val="bottom"/>
            <w:hideMark/>
          </w:tcPr>
          <w:p w14:paraId="15EACDE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0.97%</w:t>
            </w:r>
          </w:p>
        </w:tc>
        <w:tc>
          <w:tcPr>
            <w:tcW w:w="226" w:type="pct"/>
            <w:tcBorders>
              <w:top w:val="nil"/>
              <w:left w:val="nil"/>
              <w:bottom w:val="nil"/>
              <w:right w:val="nil"/>
            </w:tcBorders>
            <w:shd w:val="clear" w:color="000000" w:fill="FFFFFF"/>
            <w:noWrap/>
            <w:vAlign w:val="bottom"/>
            <w:hideMark/>
          </w:tcPr>
          <w:p w14:paraId="6BEAFCF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1.00%</w:t>
            </w:r>
          </w:p>
        </w:tc>
      </w:tr>
      <w:tr w:rsidR="006A523F" w:rsidRPr="006A523F" w14:paraId="3D684D4E" w14:textId="77777777" w:rsidTr="006A523F">
        <w:trPr>
          <w:trHeight w:val="20"/>
        </w:trPr>
        <w:tc>
          <w:tcPr>
            <w:tcW w:w="480" w:type="pct"/>
            <w:tcBorders>
              <w:top w:val="nil"/>
              <w:left w:val="nil"/>
              <w:bottom w:val="nil"/>
              <w:right w:val="nil"/>
            </w:tcBorders>
            <w:shd w:val="clear" w:color="000000" w:fill="FFFFFF"/>
            <w:noWrap/>
            <w:vAlign w:val="center"/>
            <w:hideMark/>
          </w:tcPr>
          <w:p w14:paraId="52B09FEB"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2019</w:t>
            </w:r>
          </w:p>
        </w:tc>
        <w:tc>
          <w:tcPr>
            <w:tcW w:w="449" w:type="pct"/>
            <w:tcBorders>
              <w:top w:val="nil"/>
              <w:left w:val="nil"/>
              <w:bottom w:val="nil"/>
              <w:right w:val="nil"/>
            </w:tcBorders>
            <w:shd w:val="clear" w:color="000000" w:fill="FFFFFF"/>
            <w:noWrap/>
            <w:vAlign w:val="bottom"/>
            <w:hideMark/>
          </w:tcPr>
          <w:p w14:paraId="5CF3D508"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2019Q1</w:t>
            </w:r>
          </w:p>
        </w:tc>
        <w:tc>
          <w:tcPr>
            <w:tcW w:w="449" w:type="pct"/>
            <w:tcBorders>
              <w:top w:val="nil"/>
              <w:left w:val="nil"/>
              <w:bottom w:val="nil"/>
              <w:right w:val="nil"/>
            </w:tcBorders>
            <w:shd w:val="clear" w:color="000000" w:fill="FFFFFF"/>
            <w:noWrap/>
            <w:vAlign w:val="center"/>
            <w:hideMark/>
          </w:tcPr>
          <w:p w14:paraId="11408BD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193,755</w:t>
            </w:r>
          </w:p>
        </w:tc>
        <w:tc>
          <w:tcPr>
            <w:tcW w:w="226" w:type="pct"/>
            <w:tcBorders>
              <w:top w:val="nil"/>
              <w:left w:val="nil"/>
              <w:bottom w:val="nil"/>
              <w:right w:val="nil"/>
            </w:tcBorders>
            <w:shd w:val="clear" w:color="000000" w:fill="FFFFFF"/>
            <w:noWrap/>
            <w:vAlign w:val="bottom"/>
            <w:hideMark/>
          </w:tcPr>
          <w:p w14:paraId="7442961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398402E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86F89E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0A0AD2D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0.07%</w:t>
            </w:r>
          </w:p>
        </w:tc>
        <w:tc>
          <w:tcPr>
            <w:tcW w:w="226" w:type="pct"/>
            <w:tcBorders>
              <w:top w:val="nil"/>
              <w:left w:val="nil"/>
              <w:bottom w:val="nil"/>
              <w:right w:val="nil"/>
            </w:tcBorders>
            <w:shd w:val="clear" w:color="000000" w:fill="FFFFFF"/>
            <w:noWrap/>
            <w:vAlign w:val="bottom"/>
            <w:hideMark/>
          </w:tcPr>
          <w:p w14:paraId="5C474D1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0.15%</w:t>
            </w:r>
          </w:p>
        </w:tc>
        <w:tc>
          <w:tcPr>
            <w:tcW w:w="226" w:type="pct"/>
            <w:tcBorders>
              <w:top w:val="nil"/>
              <w:left w:val="nil"/>
              <w:bottom w:val="nil"/>
              <w:right w:val="nil"/>
            </w:tcBorders>
            <w:shd w:val="clear" w:color="000000" w:fill="FFFFFF"/>
            <w:noWrap/>
            <w:vAlign w:val="bottom"/>
            <w:hideMark/>
          </w:tcPr>
          <w:p w14:paraId="3665FE3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0.19%</w:t>
            </w:r>
          </w:p>
        </w:tc>
        <w:tc>
          <w:tcPr>
            <w:tcW w:w="226" w:type="pct"/>
            <w:tcBorders>
              <w:top w:val="nil"/>
              <w:left w:val="nil"/>
              <w:bottom w:val="nil"/>
              <w:right w:val="nil"/>
            </w:tcBorders>
            <w:shd w:val="clear" w:color="000000" w:fill="FFFFFF"/>
            <w:noWrap/>
            <w:vAlign w:val="bottom"/>
            <w:hideMark/>
          </w:tcPr>
          <w:p w14:paraId="01D5818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0.27%</w:t>
            </w:r>
          </w:p>
        </w:tc>
        <w:tc>
          <w:tcPr>
            <w:tcW w:w="226" w:type="pct"/>
            <w:tcBorders>
              <w:top w:val="nil"/>
              <w:left w:val="nil"/>
              <w:bottom w:val="nil"/>
              <w:right w:val="nil"/>
            </w:tcBorders>
            <w:shd w:val="clear" w:color="000000" w:fill="FFFFFF"/>
            <w:noWrap/>
            <w:vAlign w:val="bottom"/>
            <w:hideMark/>
          </w:tcPr>
          <w:p w14:paraId="76D70F2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0.35%</w:t>
            </w:r>
          </w:p>
        </w:tc>
        <w:tc>
          <w:tcPr>
            <w:tcW w:w="226" w:type="pct"/>
            <w:tcBorders>
              <w:top w:val="nil"/>
              <w:left w:val="nil"/>
              <w:bottom w:val="nil"/>
              <w:right w:val="nil"/>
            </w:tcBorders>
            <w:shd w:val="clear" w:color="000000" w:fill="FFFFFF"/>
            <w:noWrap/>
            <w:vAlign w:val="bottom"/>
            <w:hideMark/>
          </w:tcPr>
          <w:p w14:paraId="336E2A3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0.41%</w:t>
            </w:r>
          </w:p>
        </w:tc>
        <w:tc>
          <w:tcPr>
            <w:tcW w:w="226" w:type="pct"/>
            <w:tcBorders>
              <w:top w:val="nil"/>
              <w:left w:val="nil"/>
              <w:bottom w:val="nil"/>
              <w:right w:val="nil"/>
            </w:tcBorders>
            <w:shd w:val="clear" w:color="000000" w:fill="FFFFFF"/>
            <w:noWrap/>
            <w:vAlign w:val="bottom"/>
            <w:hideMark/>
          </w:tcPr>
          <w:p w14:paraId="2456239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0.48%</w:t>
            </w:r>
          </w:p>
        </w:tc>
        <w:tc>
          <w:tcPr>
            <w:tcW w:w="226" w:type="pct"/>
            <w:tcBorders>
              <w:top w:val="nil"/>
              <w:left w:val="nil"/>
              <w:bottom w:val="nil"/>
              <w:right w:val="nil"/>
            </w:tcBorders>
            <w:shd w:val="clear" w:color="000000" w:fill="FFFFFF"/>
            <w:noWrap/>
            <w:vAlign w:val="bottom"/>
            <w:hideMark/>
          </w:tcPr>
          <w:p w14:paraId="179F7C9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0.51%</w:t>
            </w:r>
          </w:p>
        </w:tc>
        <w:tc>
          <w:tcPr>
            <w:tcW w:w="226" w:type="pct"/>
            <w:tcBorders>
              <w:top w:val="nil"/>
              <w:left w:val="nil"/>
              <w:bottom w:val="nil"/>
              <w:right w:val="nil"/>
            </w:tcBorders>
            <w:shd w:val="clear" w:color="000000" w:fill="FFFFFF"/>
            <w:noWrap/>
            <w:vAlign w:val="bottom"/>
            <w:hideMark/>
          </w:tcPr>
          <w:p w14:paraId="5C7BA3E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0.57%</w:t>
            </w:r>
          </w:p>
        </w:tc>
        <w:tc>
          <w:tcPr>
            <w:tcW w:w="226" w:type="pct"/>
            <w:tcBorders>
              <w:top w:val="nil"/>
              <w:left w:val="nil"/>
              <w:bottom w:val="nil"/>
              <w:right w:val="nil"/>
            </w:tcBorders>
            <w:shd w:val="clear" w:color="000000" w:fill="FFFFFF"/>
            <w:noWrap/>
            <w:vAlign w:val="bottom"/>
            <w:hideMark/>
          </w:tcPr>
          <w:p w14:paraId="0E4C39E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0.63%</w:t>
            </w:r>
          </w:p>
        </w:tc>
        <w:tc>
          <w:tcPr>
            <w:tcW w:w="226" w:type="pct"/>
            <w:tcBorders>
              <w:top w:val="nil"/>
              <w:left w:val="nil"/>
              <w:bottom w:val="nil"/>
              <w:right w:val="nil"/>
            </w:tcBorders>
            <w:shd w:val="clear" w:color="000000" w:fill="FFFFFF"/>
            <w:noWrap/>
            <w:vAlign w:val="bottom"/>
            <w:hideMark/>
          </w:tcPr>
          <w:p w14:paraId="1D5609F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0.64%</w:t>
            </w:r>
          </w:p>
        </w:tc>
        <w:tc>
          <w:tcPr>
            <w:tcW w:w="226" w:type="pct"/>
            <w:tcBorders>
              <w:top w:val="nil"/>
              <w:left w:val="nil"/>
              <w:bottom w:val="nil"/>
              <w:right w:val="nil"/>
            </w:tcBorders>
            <w:shd w:val="clear" w:color="000000" w:fill="FFFFFF"/>
            <w:noWrap/>
            <w:vAlign w:val="bottom"/>
            <w:hideMark/>
          </w:tcPr>
          <w:p w14:paraId="08CA1C2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0.67%</w:t>
            </w:r>
          </w:p>
        </w:tc>
        <w:tc>
          <w:tcPr>
            <w:tcW w:w="226" w:type="pct"/>
            <w:tcBorders>
              <w:top w:val="nil"/>
              <w:left w:val="nil"/>
              <w:bottom w:val="nil"/>
              <w:right w:val="nil"/>
            </w:tcBorders>
            <w:shd w:val="clear" w:color="000000" w:fill="FFFFFF"/>
            <w:noWrap/>
            <w:vAlign w:val="bottom"/>
            <w:hideMark/>
          </w:tcPr>
          <w:p w14:paraId="4CA6FDE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0.68%</w:t>
            </w:r>
          </w:p>
        </w:tc>
      </w:tr>
      <w:tr w:rsidR="006A523F" w:rsidRPr="006A523F" w14:paraId="774E99A3" w14:textId="77777777" w:rsidTr="006A523F">
        <w:trPr>
          <w:trHeight w:val="20"/>
        </w:trPr>
        <w:tc>
          <w:tcPr>
            <w:tcW w:w="480" w:type="pct"/>
            <w:tcBorders>
              <w:top w:val="nil"/>
              <w:left w:val="nil"/>
              <w:bottom w:val="nil"/>
              <w:right w:val="nil"/>
            </w:tcBorders>
            <w:shd w:val="clear" w:color="000000" w:fill="FFFFFF"/>
            <w:noWrap/>
            <w:vAlign w:val="center"/>
            <w:hideMark/>
          </w:tcPr>
          <w:p w14:paraId="656A8BDD"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2019</w:t>
            </w:r>
          </w:p>
        </w:tc>
        <w:tc>
          <w:tcPr>
            <w:tcW w:w="449" w:type="pct"/>
            <w:tcBorders>
              <w:top w:val="nil"/>
              <w:left w:val="nil"/>
              <w:bottom w:val="nil"/>
              <w:right w:val="nil"/>
            </w:tcBorders>
            <w:shd w:val="clear" w:color="000000" w:fill="FFFFFF"/>
            <w:noWrap/>
            <w:vAlign w:val="bottom"/>
            <w:hideMark/>
          </w:tcPr>
          <w:p w14:paraId="43849805"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2019Q2</w:t>
            </w:r>
          </w:p>
        </w:tc>
        <w:tc>
          <w:tcPr>
            <w:tcW w:w="449" w:type="pct"/>
            <w:tcBorders>
              <w:top w:val="nil"/>
              <w:left w:val="nil"/>
              <w:bottom w:val="nil"/>
              <w:right w:val="nil"/>
            </w:tcBorders>
            <w:shd w:val="clear" w:color="000000" w:fill="FFFFFF"/>
            <w:noWrap/>
            <w:vAlign w:val="center"/>
            <w:hideMark/>
          </w:tcPr>
          <w:p w14:paraId="50C8BF8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213,945</w:t>
            </w:r>
          </w:p>
        </w:tc>
        <w:tc>
          <w:tcPr>
            <w:tcW w:w="226" w:type="pct"/>
            <w:tcBorders>
              <w:top w:val="nil"/>
              <w:left w:val="nil"/>
              <w:bottom w:val="nil"/>
              <w:right w:val="nil"/>
            </w:tcBorders>
            <w:shd w:val="clear" w:color="000000" w:fill="FFFFFF"/>
            <w:noWrap/>
            <w:vAlign w:val="bottom"/>
            <w:hideMark/>
          </w:tcPr>
          <w:p w14:paraId="40684B0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7C1218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5D38C2C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0.10%</w:t>
            </w:r>
          </w:p>
        </w:tc>
        <w:tc>
          <w:tcPr>
            <w:tcW w:w="226" w:type="pct"/>
            <w:tcBorders>
              <w:top w:val="nil"/>
              <w:left w:val="nil"/>
              <w:bottom w:val="nil"/>
              <w:right w:val="nil"/>
            </w:tcBorders>
            <w:shd w:val="clear" w:color="000000" w:fill="FFFFFF"/>
            <w:noWrap/>
            <w:vAlign w:val="bottom"/>
            <w:hideMark/>
          </w:tcPr>
          <w:p w14:paraId="659679B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0.17%</w:t>
            </w:r>
          </w:p>
        </w:tc>
        <w:tc>
          <w:tcPr>
            <w:tcW w:w="226" w:type="pct"/>
            <w:tcBorders>
              <w:top w:val="nil"/>
              <w:left w:val="nil"/>
              <w:bottom w:val="nil"/>
              <w:right w:val="nil"/>
            </w:tcBorders>
            <w:shd w:val="clear" w:color="000000" w:fill="FFFFFF"/>
            <w:noWrap/>
            <w:vAlign w:val="bottom"/>
            <w:hideMark/>
          </w:tcPr>
          <w:p w14:paraId="58C7EDE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0.22%</w:t>
            </w:r>
          </w:p>
        </w:tc>
        <w:tc>
          <w:tcPr>
            <w:tcW w:w="226" w:type="pct"/>
            <w:tcBorders>
              <w:top w:val="nil"/>
              <w:left w:val="nil"/>
              <w:bottom w:val="nil"/>
              <w:right w:val="nil"/>
            </w:tcBorders>
            <w:shd w:val="clear" w:color="000000" w:fill="FFFFFF"/>
            <w:noWrap/>
            <w:vAlign w:val="bottom"/>
            <w:hideMark/>
          </w:tcPr>
          <w:p w14:paraId="08FF300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0.30%</w:t>
            </w:r>
          </w:p>
        </w:tc>
        <w:tc>
          <w:tcPr>
            <w:tcW w:w="226" w:type="pct"/>
            <w:tcBorders>
              <w:top w:val="nil"/>
              <w:left w:val="nil"/>
              <w:bottom w:val="nil"/>
              <w:right w:val="nil"/>
            </w:tcBorders>
            <w:shd w:val="clear" w:color="000000" w:fill="FFFFFF"/>
            <w:noWrap/>
            <w:vAlign w:val="bottom"/>
            <w:hideMark/>
          </w:tcPr>
          <w:p w14:paraId="40E3613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0.32%</w:t>
            </w:r>
          </w:p>
        </w:tc>
        <w:tc>
          <w:tcPr>
            <w:tcW w:w="226" w:type="pct"/>
            <w:tcBorders>
              <w:top w:val="nil"/>
              <w:left w:val="nil"/>
              <w:bottom w:val="nil"/>
              <w:right w:val="nil"/>
            </w:tcBorders>
            <w:shd w:val="clear" w:color="000000" w:fill="FFFFFF"/>
            <w:noWrap/>
            <w:vAlign w:val="bottom"/>
            <w:hideMark/>
          </w:tcPr>
          <w:p w14:paraId="6E14D2B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0.43%</w:t>
            </w:r>
          </w:p>
        </w:tc>
        <w:tc>
          <w:tcPr>
            <w:tcW w:w="226" w:type="pct"/>
            <w:tcBorders>
              <w:top w:val="nil"/>
              <w:left w:val="nil"/>
              <w:bottom w:val="nil"/>
              <w:right w:val="nil"/>
            </w:tcBorders>
            <w:shd w:val="clear" w:color="000000" w:fill="FFFFFF"/>
            <w:noWrap/>
            <w:vAlign w:val="bottom"/>
            <w:hideMark/>
          </w:tcPr>
          <w:p w14:paraId="2FE5AE7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0.52%</w:t>
            </w:r>
          </w:p>
        </w:tc>
        <w:tc>
          <w:tcPr>
            <w:tcW w:w="226" w:type="pct"/>
            <w:tcBorders>
              <w:top w:val="nil"/>
              <w:left w:val="nil"/>
              <w:bottom w:val="nil"/>
              <w:right w:val="nil"/>
            </w:tcBorders>
            <w:shd w:val="clear" w:color="000000" w:fill="FFFFFF"/>
            <w:noWrap/>
            <w:vAlign w:val="bottom"/>
            <w:hideMark/>
          </w:tcPr>
          <w:p w14:paraId="19631DB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0.60%</w:t>
            </w:r>
          </w:p>
        </w:tc>
        <w:tc>
          <w:tcPr>
            <w:tcW w:w="226" w:type="pct"/>
            <w:tcBorders>
              <w:top w:val="nil"/>
              <w:left w:val="nil"/>
              <w:bottom w:val="nil"/>
              <w:right w:val="nil"/>
            </w:tcBorders>
            <w:shd w:val="clear" w:color="000000" w:fill="FFFFFF"/>
            <w:noWrap/>
            <w:vAlign w:val="bottom"/>
            <w:hideMark/>
          </w:tcPr>
          <w:p w14:paraId="0A77D37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0.64%</w:t>
            </w:r>
          </w:p>
        </w:tc>
        <w:tc>
          <w:tcPr>
            <w:tcW w:w="226" w:type="pct"/>
            <w:tcBorders>
              <w:top w:val="nil"/>
              <w:left w:val="nil"/>
              <w:bottom w:val="nil"/>
              <w:right w:val="nil"/>
            </w:tcBorders>
            <w:shd w:val="clear" w:color="000000" w:fill="FFFFFF"/>
            <w:noWrap/>
            <w:vAlign w:val="bottom"/>
            <w:hideMark/>
          </w:tcPr>
          <w:p w14:paraId="31F7675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0.68%</w:t>
            </w:r>
          </w:p>
        </w:tc>
        <w:tc>
          <w:tcPr>
            <w:tcW w:w="226" w:type="pct"/>
            <w:tcBorders>
              <w:top w:val="nil"/>
              <w:left w:val="nil"/>
              <w:bottom w:val="nil"/>
              <w:right w:val="nil"/>
            </w:tcBorders>
            <w:shd w:val="clear" w:color="000000" w:fill="FFFFFF"/>
            <w:noWrap/>
            <w:vAlign w:val="bottom"/>
            <w:hideMark/>
          </w:tcPr>
          <w:p w14:paraId="7B449E3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0.72%</w:t>
            </w:r>
          </w:p>
        </w:tc>
        <w:tc>
          <w:tcPr>
            <w:tcW w:w="226" w:type="pct"/>
            <w:tcBorders>
              <w:top w:val="nil"/>
              <w:left w:val="nil"/>
              <w:bottom w:val="nil"/>
              <w:right w:val="nil"/>
            </w:tcBorders>
            <w:shd w:val="clear" w:color="000000" w:fill="FFFFFF"/>
            <w:noWrap/>
            <w:vAlign w:val="bottom"/>
            <w:hideMark/>
          </w:tcPr>
          <w:p w14:paraId="1277935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0.80%</w:t>
            </w:r>
          </w:p>
        </w:tc>
        <w:tc>
          <w:tcPr>
            <w:tcW w:w="226" w:type="pct"/>
            <w:tcBorders>
              <w:top w:val="nil"/>
              <w:left w:val="nil"/>
              <w:bottom w:val="nil"/>
              <w:right w:val="nil"/>
            </w:tcBorders>
            <w:shd w:val="clear" w:color="000000" w:fill="FFFFFF"/>
            <w:noWrap/>
            <w:vAlign w:val="bottom"/>
            <w:hideMark/>
          </w:tcPr>
          <w:p w14:paraId="105CD40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0.83%</w:t>
            </w:r>
          </w:p>
        </w:tc>
        <w:tc>
          <w:tcPr>
            <w:tcW w:w="226" w:type="pct"/>
            <w:tcBorders>
              <w:top w:val="nil"/>
              <w:left w:val="nil"/>
              <w:bottom w:val="nil"/>
              <w:right w:val="nil"/>
            </w:tcBorders>
            <w:shd w:val="clear" w:color="000000" w:fill="FFFFFF"/>
            <w:noWrap/>
            <w:vAlign w:val="bottom"/>
            <w:hideMark/>
          </w:tcPr>
          <w:p w14:paraId="543E5BA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0.86%</w:t>
            </w:r>
          </w:p>
        </w:tc>
      </w:tr>
      <w:tr w:rsidR="006A523F" w:rsidRPr="006A523F" w14:paraId="4521D862" w14:textId="77777777" w:rsidTr="006A523F">
        <w:trPr>
          <w:trHeight w:val="20"/>
        </w:trPr>
        <w:tc>
          <w:tcPr>
            <w:tcW w:w="480" w:type="pct"/>
            <w:tcBorders>
              <w:top w:val="nil"/>
              <w:left w:val="nil"/>
              <w:bottom w:val="nil"/>
              <w:right w:val="nil"/>
            </w:tcBorders>
            <w:shd w:val="clear" w:color="000000" w:fill="FFFFFF"/>
            <w:noWrap/>
            <w:vAlign w:val="center"/>
            <w:hideMark/>
          </w:tcPr>
          <w:p w14:paraId="1D68F41C"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2019</w:t>
            </w:r>
          </w:p>
        </w:tc>
        <w:tc>
          <w:tcPr>
            <w:tcW w:w="449" w:type="pct"/>
            <w:tcBorders>
              <w:top w:val="nil"/>
              <w:left w:val="nil"/>
              <w:bottom w:val="nil"/>
              <w:right w:val="nil"/>
            </w:tcBorders>
            <w:shd w:val="clear" w:color="000000" w:fill="FFFFFF"/>
            <w:noWrap/>
            <w:vAlign w:val="bottom"/>
            <w:hideMark/>
          </w:tcPr>
          <w:p w14:paraId="5E698D3E"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2019Q3</w:t>
            </w:r>
          </w:p>
        </w:tc>
        <w:tc>
          <w:tcPr>
            <w:tcW w:w="449" w:type="pct"/>
            <w:tcBorders>
              <w:top w:val="nil"/>
              <w:left w:val="nil"/>
              <w:bottom w:val="nil"/>
              <w:right w:val="nil"/>
            </w:tcBorders>
            <w:shd w:val="clear" w:color="000000" w:fill="FFFFFF"/>
            <w:noWrap/>
            <w:vAlign w:val="center"/>
            <w:hideMark/>
          </w:tcPr>
          <w:p w14:paraId="125C70C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187,739</w:t>
            </w:r>
          </w:p>
        </w:tc>
        <w:tc>
          <w:tcPr>
            <w:tcW w:w="226" w:type="pct"/>
            <w:tcBorders>
              <w:top w:val="nil"/>
              <w:left w:val="nil"/>
              <w:bottom w:val="nil"/>
              <w:right w:val="nil"/>
            </w:tcBorders>
            <w:shd w:val="clear" w:color="000000" w:fill="FFFFFF"/>
            <w:noWrap/>
            <w:vAlign w:val="bottom"/>
            <w:hideMark/>
          </w:tcPr>
          <w:p w14:paraId="7F5F08F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7BE7A59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00C7DAF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0.10%</w:t>
            </w:r>
          </w:p>
        </w:tc>
        <w:tc>
          <w:tcPr>
            <w:tcW w:w="226" w:type="pct"/>
            <w:tcBorders>
              <w:top w:val="nil"/>
              <w:left w:val="nil"/>
              <w:bottom w:val="nil"/>
              <w:right w:val="nil"/>
            </w:tcBorders>
            <w:shd w:val="clear" w:color="000000" w:fill="FFFFFF"/>
            <w:noWrap/>
            <w:vAlign w:val="bottom"/>
            <w:hideMark/>
          </w:tcPr>
          <w:p w14:paraId="0E26D74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031D40B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0.32%</w:t>
            </w:r>
          </w:p>
        </w:tc>
        <w:tc>
          <w:tcPr>
            <w:tcW w:w="226" w:type="pct"/>
            <w:tcBorders>
              <w:top w:val="nil"/>
              <w:left w:val="nil"/>
              <w:bottom w:val="nil"/>
              <w:right w:val="nil"/>
            </w:tcBorders>
            <w:shd w:val="clear" w:color="000000" w:fill="FFFFFF"/>
            <w:noWrap/>
            <w:vAlign w:val="bottom"/>
            <w:hideMark/>
          </w:tcPr>
          <w:p w14:paraId="144993B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0.41%</w:t>
            </w:r>
          </w:p>
        </w:tc>
        <w:tc>
          <w:tcPr>
            <w:tcW w:w="226" w:type="pct"/>
            <w:tcBorders>
              <w:top w:val="nil"/>
              <w:left w:val="nil"/>
              <w:bottom w:val="nil"/>
              <w:right w:val="nil"/>
            </w:tcBorders>
            <w:shd w:val="clear" w:color="000000" w:fill="FFFFFF"/>
            <w:noWrap/>
            <w:vAlign w:val="bottom"/>
            <w:hideMark/>
          </w:tcPr>
          <w:p w14:paraId="65B5087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0.45%</w:t>
            </w:r>
          </w:p>
        </w:tc>
        <w:tc>
          <w:tcPr>
            <w:tcW w:w="226" w:type="pct"/>
            <w:tcBorders>
              <w:top w:val="nil"/>
              <w:left w:val="nil"/>
              <w:bottom w:val="nil"/>
              <w:right w:val="nil"/>
            </w:tcBorders>
            <w:shd w:val="clear" w:color="000000" w:fill="FFFFFF"/>
            <w:noWrap/>
            <w:vAlign w:val="bottom"/>
            <w:hideMark/>
          </w:tcPr>
          <w:p w14:paraId="6D12DE2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0.51%</w:t>
            </w:r>
          </w:p>
        </w:tc>
        <w:tc>
          <w:tcPr>
            <w:tcW w:w="226" w:type="pct"/>
            <w:tcBorders>
              <w:top w:val="nil"/>
              <w:left w:val="nil"/>
              <w:bottom w:val="nil"/>
              <w:right w:val="nil"/>
            </w:tcBorders>
            <w:shd w:val="clear" w:color="000000" w:fill="FFFFFF"/>
            <w:noWrap/>
            <w:vAlign w:val="bottom"/>
            <w:hideMark/>
          </w:tcPr>
          <w:p w14:paraId="07E0D48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0.56%</w:t>
            </w:r>
          </w:p>
        </w:tc>
        <w:tc>
          <w:tcPr>
            <w:tcW w:w="226" w:type="pct"/>
            <w:tcBorders>
              <w:top w:val="nil"/>
              <w:left w:val="nil"/>
              <w:bottom w:val="nil"/>
              <w:right w:val="nil"/>
            </w:tcBorders>
            <w:shd w:val="clear" w:color="000000" w:fill="FFFFFF"/>
            <w:noWrap/>
            <w:vAlign w:val="bottom"/>
            <w:hideMark/>
          </w:tcPr>
          <w:p w14:paraId="5745595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0.61%</w:t>
            </w:r>
          </w:p>
        </w:tc>
        <w:tc>
          <w:tcPr>
            <w:tcW w:w="226" w:type="pct"/>
            <w:tcBorders>
              <w:top w:val="nil"/>
              <w:left w:val="nil"/>
              <w:bottom w:val="nil"/>
              <w:right w:val="nil"/>
            </w:tcBorders>
            <w:shd w:val="clear" w:color="000000" w:fill="FFFFFF"/>
            <w:noWrap/>
            <w:vAlign w:val="bottom"/>
            <w:hideMark/>
          </w:tcPr>
          <w:p w14:paraId="1A82325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0.66%</w:t>
            </w:r>
          </w:p>
        </w:tc>
        <w:tc>
          <w:tcPr>
            <w:tcW w:w="226" w:type="pct"/>
            <w:tcBorders>
              <w:top w:val="nil"/>
              <w:left w:val="nil"/>
              <w:bottom w:val="nil"/>
              <w:right w:val="nil"/>
            </w:tcBorders>
            <w:shd w:val="clear" w:color="000000" w:fill="FFFFFF"/>
            <w:noWrap/>
            <w:vAlign w:val="bottom"/>
            <w:hideMark/>
          </w:tcPr>
          <w:p w14:paraId="0FD1AFC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0.73%</w:t>
            </w:r>
          </w:p>
        </w:tc>
        <w:tc>
          <w:tcPr>
            <w:tcW w:w="226" w:type="pct"/>
            <w:tcBorders>
              <w:top w:val="nil"/>
              <w:left w:val="nil"/>
              <w:bottom w:val="nil"/>
              <w:right w:val="nil"/>
            </w:tcBorders>
            <w:shd w:val="clear" w:color="000000" w:fill="FFFFFF"/>
            <w:noWrap/>
            <w:vAlign w:val="bottom"/>
            <w:hideMark/>
          </w:tcPr>
          <w:p w14:paraId="7A5181B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0.78%</w:t>
            </w:r>
          </w:p>
        </w:tc>
        <w:tc>
          <w:tcPr>
            <w:tcW w:w="226" w:type="pct"/>
            <w:tcBorders>
              <w:top w:val="nil"/>
              <w:left w:val="nil"/>
              <w:bottom w:val="nil"/>
              <w:right w:val="nil"/>
            </w:tcBorders>
            <w:shd w:val="clear" w:color="000000" w:fill="FFFFFF"/>
            <w:noWrap/>
            <w:vAlign w:val="bottom"/>
            <w:hideMark/>
          </w:tcPr>
          <w:p w14:paraId="23EB3A0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0.84%</w:t>
            </w:r>
          </w:p>
        </w:tc>
        <w:tc>
          <w:tcPr>
            <w:tcW w:w="226" w:type="pct"/>
            <w:tcBorders>
              <w:top w:val="nil"/>
              <w:left w:val="nil"/>
              <w:bottom w:val="nil"/>
              <w:right w:val="nil"/>
            </w:tcBorders>
            <w:shd w:val="clear" w:color="000000" w:fill="FFFFFF"/>
            <w:noWrap/>
            <w:vAlign w:val="bottom"/>
            <w:hideMark/>
          </w:tcPr>
          <w:p w14:paraId="121EF17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0.86%</w:t>
            </w:r>
          </w:p>
        </w:tc>
        <w:tc>
          <w:tcPr>
            <w:tcW w:w="226" w:type="pct"/>
            <w:tcBorders>
              <w:top w:val="nil"/>
              <w:left w:val="nil"/>
              <w:bottom w:val="nil"/>
              <w:right w:val="nil"/>
            </w:tcBorders>
            <w:shd w:val="clear" w:color="000000" w:fill="FFFFFF"/>
            <w:noWrap/>
            <w:vAlign w:val="bottom"/>
            <w:hideMark/>
          </w:tcPr>
          <w:p w14:paraId="48216B6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0.88%</w:t>
            </w:r>
          </w:p>
        </w:tc>
      </w:tr>
      <w:tr w:rsidR="006A523F" w:rsidRPr="006A523F" w14:paraId="3473A8CF" w14:textId="77777777" w:rsidTr="006A523F">
        <w:trPr>
          <w:trHeight w:val="20"/>
        </w:trPr>
        <w:tc>
          <w:tcPr>
            <w:tcW w:w="480" w:type="pct"/>
            <w:tcBorders>
              <w:top w:val="nil"/>
              <w:left w:val="nil"/>
              <w:bottom w:val="nil"/>
              <w:right w:val="nil"/>
            </w:tcBorders>
            <w:shd w:val="clear" w:color="000000" w:fill="FFFFFF"/>
            <w:noWrap/>
            <w:vAlign w:val="center"/>
            <w:hideMark/>
          </w:tcPr>
          <w:p w14:paraId="3E770783"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2019</w:t>
            </w:r>
          </w:p>
        </w:tc>
        <w:tc>
          <w:tcPr>
            <w:tcW w:w="449" w:type="pct"/>
            <w:tcBorders>
              <w:top w:val="nil"/>
              <w:left w:val="nil"/>
              <w:bottom w:val="nil"/>
              <w:right w:val="nil"/>
            </w:tcBorders>
            <w:shd w:val="clear" w:color="000000" w:fill="FFFFFF"/>
            <w:noWrap/>
            <w:vAlign w:val="bottom"/>
            <w:hideMark/>
          </w:tcPr>
          <w:p w14:paraId="7767F33F"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2019Q4</w:t>
            </w:r>
          </w:p>
        </w:tc>
        <w:tc>
          <w:tcPr>
            <w:tcW w:w="449" w:type="pct"/>
            <w:tcBorders>
              <w:top w:val="nil"/>
              <w:left w:val="nil"/>
              <w:bottom w:val="nil"/>
              <w:right w:val="nil"/>
            </w:tcBorders>
            <w:shd w:val="clear" w:color="000000" w:fill="FFFFFF"/>
            <w:noWrap/>
            <w:vAlign w:val="center"/>
            <w:hideMark/>
          </w:tcPr>
          <w:p w14:paraId="69EB9CB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220,949</w:t>
            </w:r>
          </w:p>
        </w:tc>
        <w:tc>
          <w:tcPr>
            <w:tcW w:w="226" w:type="pct"/>
            <w:tcBorders>
              <w:top w:val="nil"/>
              <w:left w:val="nil"/>
              <w:bottom w:val="nil"/>
              <w:right w:val="nil"/>
            </w:tcBorders>
            <w:shd w:val="clear" w:color="000000" w:fill="FFFFFF"/>
            <w:noWrap/>
            <w:vAlign w:val="bottom"/>
            <w:hideMark/>
          </w:tcPr>
          <w:p w14:paraId="0EE8EB6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89AD79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074D45D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0.05%</w:t>
            </w:r>
          </w:p>
        </w:tc>
        <w:tc>
          <w:tcPr>
            <w:tcW w:w="226" w:type="pct"/>
            <w:tcBorders>
              <w:top w:val="nil"/>
              <w:left w:val="nil"/>
              <w:bottom w:val="nil"/>
              <w:right w:val="nil"/>
            </w:tcBorders>
            <w:shd w:val="clear" w:color="000000" w:fill="FFFFFF"/>
            <w:noWrap/>
            <w:vAlign w:val="bottom"/>
            <w:hideMark/>
          </w:tcPr>
          <w:p w14:paraId="3A7C693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0.19%</w:t>
            </w:r>
          </w:p>
        </w:tc>
        <w:tc>
          <w:tcPr>
            <w:tcW w:w="226" w:type="pct"/>
            <w:tcBorders>
              <w:top w:val="nil"/>
              <w:left w:val="nil"/>
              <w:bottom w:val="nil"/>
              <w:right w:val="nil"/>
            </w:tcBorders>
            <w:shd w:val="clear" w:color="000000" w:fill="FFFFFF"/>
            <w:noWrap/>
            <w:vAlign w:val="bottom"/>
            <w:hideMark/>
          </w:tcPr>
          <w:p w14:paraId="51DC902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0.24%</w:t>
            </w:r>
          </w:p>
        </w:tc>
        <w:tc>
          <w:tcPr>
            <w:tcW w:w="226" w:type="pct"/>
            <w:tcBorders>
              <w:top w:val="nil"/>
              <w:left w:val="nil"/>
              <w:bottom w:val="nil"/>
              <w:right w:val="nil"/>
            </w:tcBorders>
            <w:shd w:val="clear" w:color="000000" w:fill="FFFFFF"/>
            <w:noWrap/>
            <w:vAlign w:val="bottom"/>
            <w:hideMark/>
          </w:tcPr>
          <w:p w14:paraId="15943FE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0.36%</w:t>
            </w:r>
          </w:p>
        </w:tc>
        <w:tc>
          <w:tcPr>
            <w:tcW w:w="226" w:type="pct"/>
            <w:tcBorders>
              <w:top w:val="nil"/>
              <w:left w:val="nil"/>
              <w:bottom w:val="nil"/>
              <w:right w:val="nil"/>
            </w:tcBorders>
            <w:shd w:val="clear" w:color="000000" w:fill="FFFFFF"/>
            <w:noWrap/>
            <w:vAlign w:val="bottom"/>
            <w:hideMark/>
          </w:tcPr>
          <w:p w14:paraId="736553A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0.47%</w:t>
            </w:r>
          </w:p>
        </w:tc>
        <w:tc>
          <w:tcPr>
            <w:tcW w:w="226" w:type="pct"/>
            <w:tcBorders>
              <w:top w:val="nil"/>
              <w:left w:val="nil"/>
              <w:bottom w:val="nil"/>
              <w:right w:val="nil"/>
            </w:tcBorders>
            <w:shd w:val="clear" w:color="000000" w:fill="FFFFFF"/>
            <w:noWrap/>
            <w:vAlign w:val="bottom"/>
            <w:hideMark/>
          </w:tcPr>
          <w:p w14:paraId="1147A88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0.53%</w:t>
            </w:r>
          </w:p>
        </w:tc>
        <w:tc>
          <w:tcPr>
            <w:tcW w:w="226" w:type="pct"/>
            <w:tcBorders>
              <w:top w:val="nil"/>
              <w:left w:val="nil"/>
              <w:bottom w:val="nil"/>
              <w:right w:val="nil"/>
            </w:tcBorders>
            <w:shd w:val="clear" w:color="000000" w:fill="FFFFFF"/>
            <w:noWrap/>
            <w:vAlign w:val="bottom"/>
            <w:hideMark/>
          </w:tcPr>
          <w:p w14:paraId="051921F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0.62%</w:t>
            </w:r>
          </w:p>
        </w:tc>
        <w:tc>
          <w:tcPr>
            <w:tcW w:w="226" w:type="pct"/>
            <w:tcBorders>
              <w:top w:val="nil"/>
              <w:left w:val="nil"/>
              <w:bottom w:val="nil"/>
              <w:right w:val="nil"/>
            </w:tcBorders>
            <w:shd w:val="clear" w:color="000000" w:fill="FFFFFF"/>
            <w:noWrap/>
            <w:vAlign w:val="bottom"/>
            <w:hideMark/>
          </w:tcPr>
          <w:p w14:paraId="303952F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0.69%</w:t>
            </w:r>
          </w:p>
        </w:tc>
        <w:tc>
          <w:tcPr>
            <w:tcW w:w="226" w:type="pct"/>
            <w:tcBorders>
              <w:top w:val="nil"/>
              <w:left w:val="nil"/>
              <w:bottom w:val="nil"/>
              <w:right w:val="nil"/>
            </w:tcBorders>
            <w:shd w:val="clear" w:color="000000" w:fill="FFFFFF"/>
            <w:noWrap/>
            <w:vAlign w:val="bottom"/>
            <w:hideMark/>
          </w:tcPr>
          <w:p w14:paraId="223134E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0.71%</w:t>
            </w:r>
          </w:p>
        </w:tc>
        <w:tc>
          <w:tcPr>
            <w:tcW w:w="226" w:type="pct"/>
            <w:tcBorders>
              <w:top w:val="nil"/>
              <w:left w:val="nil"/>
              <w:bottom w:val="nil"/>
              <w:right w:val="nil"/>
            </w:tcBorders>
            <w:shd w:val="clear" w:color="000000" w:fill="FFFFFF"/>
            <w:noWrap/>
            <w:vAlign w:val="bottom"/>
            <w:hideMark/>
          </w:tcPr>
          <w:p w14:paraId="54C6A9C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0.73%</w:t>
            </w:r>
          </w:p>
        </w:tc>
        <w:tc>
          <w:tcPr>
            <w:tcW w:w="226" w:type="pct"/>
            <w:tcBorders>
              <w:top w:val="nil"/>
              <w:left w:val="nil"/>
              <w:bottom w:val="nil"/>
              <w:right w:val="nil"/>
            </w:tcBorders>
            <w:shd w:val="clear" w:color="000000" w:fill="FFFFFF"/>
            <w:noWrap/>
            <w:vAlign w:val="bottom"/>
            <w:hideMark/>
          </w:tcPr>
          <w:p w14:paraId="646D064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0.79%</w:t>
            </w:r>
          </w:p>
        </w:tc>
        <w:tc>
          <w:tcPr>
            <w:tcW w:w="226" w:type="pct"/>
            <w:tcBorders>
              <w:top w:val="nil"/>
              <w:left w:val="nil"/>
              <w:bottom w:val="nil"/>
              <w:right w:val="nil"/>
            </w:tcBorders>
            <w:shd w:val="clear" w:color="000000" w:fill="FFFFFF"/>
            <w:noWrap/>
            <w:vAlign w:val="bottom"/>
            <w:hideMark/>
          </w:tcPr>
          <w:p w14:paraId="45976FD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0.84%</w:t>
            </w:r>
          </w:p>
        </w:tc>
        <w:tc>
          <w:tcPr>
            <w:tcW w:w="226" w:type="pct"/>
            <w:tcBorders>
              <w:top w:val="nil"/>
              <w:left w:val="nil"/>
              <w:bottom w:val="nil"/>
              <w:right w:val="nil"/>
            </w:tcBorders>
            <w:shd w:val="clear" w:color="000000" w:fill="FFFFFF"/>
            <w:noWrap/>
            <w:vAlign w:val="bottom"/>
            <w:hideMark/>
          </w:tcPr>
          <w:p w14:paraId="5DAB84D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0.90%</w:t>
            </w:r>
          </w:p>
        </w:tc>
        <w:tc>
          <w:tcPr>
            <w:tcW w:w="226" w:type="pct"/>
            <w:tcBorders>
              <w:top w:val="nil"/>
              <w:left w:val="nil"/>
              <w:bottom w:val="nil"/>
              <w:right w:val="nil"/>
            </w:tcBorders>
            <w:shd w:val="clear" w:color="000000" w:fill="FFFFFF"/>
            <w:noWrap/>
            <w:vAlign w:val="bottom"/>
            <w:hideMark/>
          </w:tcPr>
          <w:p w14:paraId="181338B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0.94%</w:t>
            </w:r>
          </w:p>
        </w:tc>
      </w:tr>
      <w:tr w:rsidR="006A523F" w:rsidRPr="006A523F" w14:paraId="4BF59851" w14:textId="77777777" w:rsidTr="006A523F">
        <w:trPr>
          <w:trHeight w:val="20"/>
        </w:trPr>
        <w:tc>
          <w:tcPr>
            <w:tcW w:w="480" w:type="pct"/>
            <w:tcBorders>
              <w:top w:val="nil"/>
              <w:left w:val="nil"/>
              <w:bottom w:val="nil"/>
              <w:right w:val="nil"/>
            </w:tcBorders>
            <w:shd w:val="clear" w:color="000000" w:fill="FFFFFF"/>
            <w:noWrap/>
            <w:vAlign w:val="center"/>
            <w:hideMark/>
          </w:tcPr>
          <w:p w14:paraId="541FEF5B"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2020</w:t>
            </w:r>
          </w:p>
        </w:tc>
        <w:tc>
          <w:tcPr>
            <w:tcW w:w="449" w:type="pct"/>
            <w:tcBorders>
              <w:top w:val="nil"/>
              <w:left w:val="nil"/>
              <w:bottom w:val="nil"/>
              <w:right w:val="nil"/>
            </w:tcBorders>
            <w:shd w:val="clear" w:color="000000" w:fill="FFFFFF"/>
            <w:noWrap/>
            <w:vAlign w:val="bottom"/>
            <w:hideMark/>
          </w:tcPr>
          <w:p w14:paraId="682E4DF3"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2020Q1</w:t>
            </w:r>
          </w:p>
        </w:tc>
        <w:tc>
          <w:tcPr>
            <w:tcW w:w="449" w:type="pct"/>
            <w:tcBorders>
              <w:top w:val="nil"/>
              <w:left w:val="nil"/>
              <w:bottom w:val="nil"/>
              <w:right w:val="nil"/>
            </w:tcBorders>
            <w:shd w:val="clear" w:color="000000" w:fill="FFFFFF"/>
            <w:noWrap/>
            <w:vAlign w:val="center"/>
            <w:hideMark/>
          </w:tcPr>
          <w:p w14:paraId="53713F9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214,367</w:t>
            </w:r>
          </w:p>
        </w:tc>
        <w:tc>
          <w:tcPr>
            <w:tcW w:w="226" w:type="pct"/>
            <w:tcBorders>
              <w:top w:val="nil"/>
              <w:left w:val="nil"/>
              <w:bottom w:val="nil"/>
              <w:right w:val="nil"/>
            </w:tcBorders>
            <w:shd w:val="clear" w:color="000000" w:fill="FFFFFF"/>
            <w:noWrap/>
            <w:vAlign w:val="bottom"/>
            <w:hideMark/>
          </w:tcPr>
          <w:p w14:paraId="3AA1554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5A5255D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23B333E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0.05%</w:t>
            </w:r>
          </w:p>
        </w:tc>
        <w:tc>
          <w:tcPr>
            <w:tcW w:w="226" w:type="pct"/>
            <w:tcBorders>
              <w:top w:val="nil"/>
              <w:left w:val="nil"/>
              <w:bottom w:val="nil"/>
              <w:right w:val="nil"/>
            </w:tcBorders>
            <w:shd w:val="clear" w:color="000000" w:fill="FFFFFF"/>
            <w:noWrap/>
            <w:vAlign w:val="bottom"/>
            <w:hideMark/>
          </w:tcPr>
          <w:p w14:paraId="2CDA095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0.08%</w:t>
            </w:r>
          </w:p>
        </w:tc>
        <w:tc>
          <w:tcPr>
            <w:tcW w:w="226" w:type="pct"/>
            <w:tcBorders>
              <w:top w:val="nil"/>
              <w:left w:val="nil"/>
              <w:bottom w:val="nil"/>
              <w:right w:val="nil"/>
            </w:tcBorders>
            <w:shd w:val="clear" w:color="000000" w:fill="FFFFFF"/>
            <w:noWrap/>
            <w:vAlign w:val="bottom"/>
            <w:hideMark/>
          </w:tcPr>
          <w:p w14:paraId="43A631B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0.14%</w:t>
            </w:r>
          </w:p>
        </w:tc>
        <w:tc>
          <w:tcPr>
            <w:tcW w:w="226" w:type="pct"/>
            <w:tcBorders>
              <w:top w:val="nil"/>
              <w:left w:val="nil"/>
              <w:bottom w:val="nil"/>
              <w:right w:val="nil"/>
            </w:tcBorders>
            <w:shd w:val="clear" w:color="000000" w:fill="FFFFFF"/>
            <w:noWrap/>
            <w:vAlign w:val="bottom"/>
            <w:hideMark/>
          </w:tcPr>
          <w:p w14:paraId="59CD254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0.20%</w:t>
            </w:r>
          </w:p>
        </w:tc>
        <w:tc>
          <w:tcPr>
            <w:tcW w:w="226" w:type="pct"/>
            <w:tcBorders>
              <w:top w:val="nil"/>
              <w:left w:val="nil"/>
              <w:bottom w:val="nil"/>
              <w:right w:val="nil"/>
            </w:tcBorders>
            <w:shd w:val="clear" w:color="000000" w:fill="FFFFFF"/>
            <w:noWrap/>
            <w:vAlign w:val="bottom"/>
            <w:hideMark/>
          </w:tcPr>
          <w:p w14:paraId="2E1BBD5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0.24%</w:t>
            </w:r>
          </w:p>
        </w:tc>
        <w:tc>
          <w:tcPr>
            <w:tcW w:w="226" w:type="pct"/>
            <w:tcBorders>
              <w:top w:val="nil"/>
              <w:left w:val="nil"/>
              <w:bottom w:val="nil"/>
              <w:right w:val="nil"/>
            </w:tcBorders>
            <w:shd w:val="clear" w:color="000000" w:fill="FFFFFF"/>
            <w:noWrap/>
            <w:vAlign w:val="bottom"/>
            <w:hideMark/>
          </w:tcPr>
          <w:p w14:paraId="793B239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0.35%</w:t>
            </w:r>
          </w:p>
        </w:tc>
        <w:tc>
          <w:tcPr>
            <w:tcW w:w="226" w:type="pct"/>
            <w:tcBorders>
              <w:top w:val="nil"/>
              <w:left w:val="nil"/>
              <w:bottom w:val="nil"/>
              <w:right w:val="nil"/>
            </w:tcBorders>
            <w:shd w:val="clear" w:color="000000" w:fill="FFFFFF"/>
            <w:noWrap/>
            <w:vAlign w:val="bottom"/>
            <w:hideMark/>
          </w:tcPr>
          <w:p w14:paraId="6CD2580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0.43%</w:t>
            </w:r>
          </w:p>
        </w:tc>
        <w:tc>
          <w:tcPr>
            <w:tcW w:w="226" w:type="pct"/>
            <w:tcBorders>
              <w:top w:val="nil"/>
              <w:left w:val="nil"/>
              <w:bottom w:val="nil"/>
              <w:right w:val="nil"/>
            </w:tcBorders>
            <w:shd w:val="clear" w:color="000000" w:fill="FFFFFF"/>
            <w:noWrap/>
            <w:vAlign w:val="bottom"/>
            <w:hideMark/>
          </w:tcPr>
          <w:p w14:paraId="5C874F6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0.51%</w:t>
            </w:r>
          </w:p>
        </w:tc>
        <w:tc>
          <w:tcPr>
            <w:tcW w:w="226" w:type="pct"/>
            <w:tcBorders>
              <w:top w:val="nil"/>
              <w:left w:val="nil"/>
              <w:bottom w:val="nil"/>
              <w:right w:val="nil"/>
            </w:tcBorders>
            <w:shd w:val="clear" w:color="000000" w:fill="FFFFFF"/>
            <w:noWrap/>
            <w:vAlign w:val="bottom"/>
            <w:hideMark/>
          </w:tcPr>
          <w:p w14:paraId="4DFE9E1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0.54%</w:t>
            </w:r>
          </w:p>
        </w:tc>
        <w:tc>
          <w:tcPr>
            <w:tcW w:w="226" w:type="pct"/>
            <w:tcBorders>
              <w:top w:val="nil"/>
              <w:left w:val="nil"/>
              <w:bottom w:val="nil"/>
              <w:right w:val="nil"/>
            </w:tcBorders>
            <w:shd w:val="clear" w:color="000000" w:fill="FFFFFF"/>
            <w:noWrap/>
            <w:vAlign w:val="bottom"/>
            <w:hideMark/>
          </w:tcPr>
          <w:p w14:paraId="3C042A4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0.60%</w:t>
            </w:r>
          </w:p>
        </w:tc>
        <w:tc>
          <w:tcPr>
            <w:tcW w:w="226" w:type="pct"/>
            <w:tcBorders>
              <w:top w:val="nil"/>
              <w:left w:val="nil"/>
              <w:bottom w:val="nil"/>
              <w:right w:val="nil"/>
            </w:tcBorders>
            <w:shd w:val="clear" w:color="000000" w:fill="FFFFFF"/>
            <w:noWrap/>
            <w:vAlign w:val="bottom"/>
            <w:hideMark/>
          </w:tcPr>
          <w:p w14:paraId="06D7CA8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0.65%</w:t>
            </w:r>
          </w:p>
        </w:tc>
        <w:tc>
          <w:tcPr>
            <w:tcW w:w="226" w:type="pct"/>
            <w:tcBorders>
              <w:top w:val="nil"/>
              <w:left w:val="nil"/>
              <w:bottom w:val="nil"/>
              <w:right w:val="nil"/>
            </w:tcBorders>
            <w:shd w:val="clear" w:color="000000" w:fill="FFFFFF"/>
            <w:noWrap/>
            <w:vAlign w:val="bottom"/>
            <w:hideMark/>
          </w:tcPr>
          <w:p w14:paraId="1F816ED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0.70%</w:t>
            </w:r>
          </w:p>
        </w:tc>
        <w:tc>
          <w:tcPr>
            <w:tcW w:w="226" w:type="pct"/>
            <w:tcBorders>
              <w:top w:val="nil"/>
              <w:left w:val="nil"/>
              <w:bottom w:val="nil"/>
              <w:right w:val="nil"/>
            </w:tcBorders>
            <w:shd w:val="clear" w:color="000000" w:fill="FFFFFF"/>
            <w:noWrap/>
            <w:vAlign w:val="bottom"/>
            <w:hideMark/>
          </w:tcPr>
          <w:p w14:paraId="4386FB9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0.72%</w:t>
            </w:r>
          </w:p>
        </w:tc>
        <w:tc>
          <w:tcPr>
            <w:tcW w:w="226" w:type="pct"/>
            <w:tcBorders>
              <w:top w:val="nil"/>
              <w:left w:val="nil"/>
              <w:bottom w:val="nil"/>
              <w:right w:val="nil"/>
            </w:tcBorders>
            <w:shd w:val="clear" w:color="000000" w:fill="FFFFFF"/>
            <w:noWrap/>
            <w:vAlign w:val="bottom"/>
            <w:hideMark/>
          </w:tcPr>
          <w:p w14:paraId="2C6F7C0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0.77%</w:t>
            </w:r>
          </w:p>
        </w:tc>
      </w:tr>
      <w:tr w:rsidR="006A523F" w:rsidRPr="006A523F" w14:paraId="28968641" w14:textId="77777777" w:rsidTr="006A523F">
        <w:trPr>
          <w:trHeight w:val="20"/>
        </w:trPr>
        <w:tc>
          <w:tcPr>
            <w:tcW w:w="480" w:type="pct"/>
            <w:tcBorders>
              <w:top w:val="nil"/>
              <w:left w:val="nil"/>
              <w:bottom w:val="nil"/>
              <w:right w:val="nil"/>
            </w:tcBorders>
            <w:shd w:val="clear" w:color="000000" w:fill="FFFFFF"/>
            <w:noWrap/>
            <w:vAlign w:val="center"/>
            <w:hideMark/>
          </w:tcPr>
          <w:p w14:paraId="27E146BA"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2020</w:t>
            </w:r>
          </w:p>
        </w:tc>
        <w:tc>
          <w:tcPr>
            <w:tcW w:w="449" w:type="pct"/>
            <w:tcBorders>
              <w:top w:val="nil"/>
              <w:left w:val="nil"/>
              <w:bottom w:val="nil"/>
              <w:right w:val="nil"/>
            </w:tcBorders>
            <w:shd w:val="clear" w:color="000000" w:fill="FFFFFF"/>
            <w:noWrap/>
            <w:vAlign w:val="bottom"/>
            <w:hideMark/>
          </w:tcPr>
          <w:p w14:paraId="0863053F"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2020Q2</w:t>
            </w:r>
          </w:p>
        </w:tc>
        <w:tc>
          <w:tcPr>
            <w:tcW w:w="449" w:type="pct"/>
            <w:tcBorders>
              <w:top w:val="nil"/>
              <w:left w:val="nil"/>
              <w:bottom w:val="nil"/>
              <w:right w:val="nil"/>
            </w:tcBorders>
            <w:shd w:val="clear" w:color="000000" w:fill="FFFFFF"/>
            <w:noWrap/>
            <w:vAlign w:val="center"/>
            <w:hideMark/>
          </w:tcPr>
          <w:p w14:paraId="59CCF3C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170,311</w:t>
            </w:r>
          </w:p>
        </w:tc>
        <w:tc>
          <w:tcPr>
            <w:tcW w:w="226" w:type="pct"/>
            <w:tcBorders>
              <w:top w:val="nil"/>
              <w:left w:val="nil"/>
              <w:bottom w:val="nil"/>
              <w:right w:val="nil"/>
            </w:tcBorders>
            <w:shd w:val="clear" w:color="000000" w:fill="FFFFFF"/>
            <w:noWrap/>
            <w:vAlign w:val="bottom"/>
            <w:hideMark/>
          </w:tcPr>
          <w:p w14:paraId="26B1652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7E832C3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0.03%</w:t>
            </w:r>
          </w:p>
        </w:tc>
        <w:tc>
          <w:tcPr>
            <w:tcW w:w="226" w:type="pct"/>
            <w:tcBorders>
              <w:top w:val="nil"/>
              <w:left w:val="nil"/>
              <w:bottom w:val="nil"/>
              <w:right w:val="nil"/>
            </w:tcBorders>
            <w:shd w:val="clear" w:color="000000" w:fill="FFFFFF"/>
            <w:noWrap/>
            <w:vAlign w:val="bottom"/>
            <w:hideMark/>
          </w:tcPr>
          <w:p w14:paraId="09431A2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0.09%</w:t>
            </w:r>
          </w:p>
        </w:tc>
        <w:tc>
          <w:tcPr>
            <w:tcW w:w="226" w:type="pct"/>
            <w:tcBorders>
              <w:top w:val="nil"/>
              <w:left w:val="nil"/>
              <w:bottom w:val="nil"/>
              <w:right w:val="nil"/>
            </w:tcBorders>
            <w:shd w:val="clear" w:color="000000" w:fill="FFFFFF"/>
            <w:noWrap/>
            <w:vAlign w:val="bottom"/>
            <w:hideMark/>
          </w:tcPr>
          <w:p w14:paraId="6E4F5FF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0.15%</w:t>
            </w:r>
          </w:p>
        </w:tc>
        <w:tc>
          <w:tcPr>
            <w:tcW w:w="226" w:type="pct"/>
            <w:tcBorders>
              <w:top w:val="nil"/>
              <w:left w:val="nil"/>
              <w:bottom w:val="nil"/>
              <w:right w:val="nil"/>
            </w:tcBorders>
            <w:shd w:val="clear" w:color="000000" w:fill="FFFFFF"/>
            <w:noWrap/>
            <w:vAlign w:val="bottom"/>
            <w:hideMark/>
          </w:tcPr>
          <w:p w14:paraId="7620CAE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0.16%</w:t>
            </w:r>
          </w:p>
        </w:tc>
        <w:tc>
          <w:tcPr>
            <w:tcW w:w="226" w:type="pct"/>
            <w:tcBorders>
              <w:top w:val="nil"/>
              <w:left w:val="nil"/>
              <w:bottom w:val="nil"/>
              <w:right w:val="nil"/>
            </w:tcBorders>
            <w:shd w:val="clear" w:color="000000" w:fill="FFFFFF"/>
            <w:noWrap/>
            <w:vAlign w:val="bottom"/>
            <w:hideMark/>
          </w:tcPr>
          <w:p w14:paraId="6316351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0.20%</w:t>
            </w:r>
          </w:p>
        </w:tc>
        <w:tc>
          <w:tcPr>
            <w:tcW w:w="226" w:type="pct"/>
            <w:tcBorders>
              <w:top w:val="nil"/>
              <w:left w:val="nil"/>
              <w:bottom w:val="nil"/>
              <w:right w:val="nil"/>
            </w:tcBorders>
            <w:shd w:val="clear" w:color="000000" w:fill="FFFFFF"/>
            <w:noWrap/>
            <w:vAlign w:val="bottom"/>
            <w:hideMark/>
          </w:tcPr>
          <w:p w14:paraId="6600E1A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0.28%</w:t>
            </w:r>
          </w:p>
        </w:tc>
        <w:tc>
          <w:tcPr>
            <w:tcW w:w="226" w:type="pct"/>
            <w:tcBorders>
              <w:top w:val="nil"/>
              <w:left w:val="nil"/>
              <w:bottom w:val="nil"/>
              <w:right w:val="nil"/>
            </w:tcBorders>
            <w:shd w:val="clear" w:color="000000" w:fill="FFFFFF"/>
            <w:noWrap/>
            <w:vAlign w:val="bottom"/>
            <w:hideMark/>
          </w:tcPr>
          <w:p w14:paraId="4ADE3D2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0.35%</w:t>
            </w:r>
          </w:p>
        </w:tc>
        <w:tc>
          <w:tcPr>
            <w:tcW w:w="226" w:type="pct"/>
            <w:tcBorders>
              <w:top w:val="nil"/>
              <w:left w:val="nil"/>
              <w:bottom w:val="nil"/>
              <w:right w:val="nil"/>
            </w:tcBorders>
            <w:shd w:val="clear" w:color="000000" w:fill="FFFFFF"/>
            <w:noWrap/>
            <w:vAlign w:val="bottom"/>
            <w:hideMark/>
          </w:tcPr>
          <w:p w14:paraId="4ADDE24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0.41%</w:t>
            </w:r>
          </w:p>
        </w:tc>
        <w:tc>
          <w:tcPr>
            <w:tcW w:w="226" w:type="pct"/>
            <w:tcBorders>
              <w:top w:val="nil"/>
              <w:left w:val="nil"/>
              <w:bottom w:val="nil"/>
              <w:right w:val="nil"/>
            </w:tcBorders>
            <w:shd w:val="clear" w:color="000000" w:fill="FFFFFF"/>
            <w:noWrap/>
            <w:vAlign w:val="bottom"/>
            <w:hideMark/>
          </w:tcPr>
          <w:p w14:paraId="3D3FA6F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0.47%</w:t>
            </w:r>
          </w:p>
        </w:tc>
        <w:tc>
          <w:tcPr>
            <w:tcW w:w="226" w:type="pct"/>
            <w:tcBorders>
              <w:top w:val="nil"/>
              <w:left w:val="nil"/>
              <w:bottom w:val="nil"/>
              <w:right w:val="nil"/>
            </w:tcBorders>
            <w:shd w:val="clear" w:color="000000" w:fill="FFFFFF"/>
            <w:noWrap/>
            <w:vAlign w:val="bottom"/>
            <w:hideMark/>
          </w:tcPr>
          <w:p w14:paraId="4DF47F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0.54%</w:t>
            </w:r>
          </w:p>
        </w:tc>
        <w:tc>
          <w:tcPr>
            <w:tcW w:w="226" w:type="pct"/>
            <w:tcBorders>
              <w:top w:val="nil"/>
              <w:left w:val="nil"/>
              <w:bottom w:val="nil"/>
              <w:right w:val="nil"/>
            </w:tcBorders>
            <w:shd w:val="clear" w:color="000000" w:fill="FFFFFF"/>
            <w:noWrap/>
            <w:vAlign w:val="bottom"/>
            <w:hideMark/>
          </w:tcPr>
          <w:p w14:paraId="37C1FB2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0.57%</w:t>
            </w:r>
          </w:p>
        </w:tc>
        <w:tc>
          <w:tcPr>
            <w:tcW w:w="226" w:type="pct"/>
            <w:tcBorders>
              <w:top w:val="nil"/>
              <w:left w:val="nil"/>
              <w:bottom w:val="nil"/>
              <w:right w:val="nil"/>
            </w:tcBorders>
            <w:shd w:val="clear" w:color="000000" w:fill="FFFFFF"/>
            <w:noWrap/>
            <w:vAlign w:val="bottom"/>
            <w:hideMark/>
          </w:tcPr>
          <w:p w14:paraId="27CD2FF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0.61%</w:t>
            </w:r>
          </w:p>
        </w:tc>
        <w:tc>
          <w:tcPr>
            <w:tcW w:w="226" w:type="pct"/>
            <w:tcBorders>
              <w:top w:val="nil"/>
              <w:left w:val="nil"/>
              <w:bottom w:val="nil"/>
              <w:right w:val="nil"/>
            </w:tcBorders>
            <w:shd w:val="clear" w:color="000000" w:fill="FFFFFF"/>
            <w:noWrap/>
            <w:vAlign w:val="bottom"/>
            <w:hideMark/>
          </w:tcPr>
          <w:p w14:paraId="05B6931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0.67%</w:t>
            </w:r>
          </w:p>
        </w:tc>
        <w:tc>
          <w:tcPr>
            <w:tcW w:w="226" w:type="pct"/>
            <w:tcBorders>
              <w:top w:val="nil"/>
              <w:left w:val="nil"/>
              <w:bottom w:val="nil"/>
              <w:right w:val="nil"/>
            </w:tcBorders>
            <w:shd w:val="clear" w:color="000000" w:fill="FFFFFF"/>
            <w:noWrap/>
            <w:vAlign w:val="bottom"/>
            <w:hideMark/>
          </w:tcPr>
          <w:p w14:paraId="4835AA3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0.70%</w:t>
            </w:r>
          </w:p>
        </w:tc>
        <w:tc>
          <w:tcPr>
            <w:tcW w:w="226" w:type="pct"/>
            <w:tcBorders>
              <w:top w:val="nil"/>
              <w:left w:val="nil"/>
              <w:bottom w:val="nil"/>
              <w:right w:val="nil"/>
            </w:tcBorders>
            <w:shd w:val="clear" w:color="000000" w:fill="FFFFFF"/>
            <w:noWrap/>
            <w:vAlign w:val="bottom"/>
            <w:hideMark/>
          </w:tcPr>
          <w:p w14:paraId="4DCF665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0.72%</w:t>
            </w:r>
          </w:p>
        </w:tc>
      </w:tr>
      <w:tr w:rsidR="006A523F" w:rsidRPr="006A523F" w14:paraId="11E0D503" w14:textId="77777777" w:rsidTr="006A523F">
        <w:trPr>
          <w:trHeight w:val="20"/>
        </w:trPr>
        <w:tc>
          <w:tcPr>
            <w:tcW w:w="480" w:type="pct"/>
            <w:tcBorders>
              <w:top w:val="nil"/>
              <w:left w:val="nil"/>
              <w:bottom w:val="nil"/>
              <w:right w:val="nil"/>
            </w:tcBorders>
            <w:shd w:val="clear" w:color="000000" w:fill="FFFFFF"/>
            <w:noWrap/>
            <w:vAlign w:val="center"/>
            <w:hideMark/>
          </w:tcPr>
          <w:p w14:paraId="31A9333F"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2020</w:t>
            </w:r>
          </w:p>
        </w:tc>
        <w:tc>
          <w:tcPr>
            <w:tcW w:w="449" w:type="pct"/>
            <w:tcBorders>
              <w:top w:val="nil"/>
              <w:left w:val="nil"/>
              <w:bottom w:val="nil"/>
              <w:right w:val="nil"/>
            </w:tcBorders>
            <w:shd w:val="clear" w:color="000000" w:fill="FFFFFF"/>
            <w:noWrap/>
            <w:vAlign w:val="bottom"/>
            <w:hideMark/>
          </w:tcPr>
          <w:p w14:paraId="431FC43D"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2020Q3</w:t>
            </w:r>
          </w:p>
        </w:tc>
        <w:tc>
          <w:tcPr>
            <w:tcW w:w="449" w:type="pct"/>
            <w:tcBorders>
              <w:top w:val="nil"/>
              <w:left w:val="nil"/>
              <w:bottom w:val="nil"/>
              <w:right w:val="nil"/>
            </w:tcBorders>
            <w:shd w:val="clear" w:color="000000" w:fill="FFFFFF"/>
            <w:noWrap/>
            <w:vAlign w:val="center"/>
            <w:hideMark/>
          </w:tcPr>
          <w:p w14:paraId="34B8358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201,916</w:t>
            </w:r>
          </w:p>
        </w:tc>
        <w:tc>
          <w:tcPr>
            <w:tcW w:w="226" w:type="pct"/>
            <w:tcBorders>
              <w:top w:val="nil"/>
              <w:left w:val="nil"/>
              <w:bottom w:val="nil"/>
              <w:right w:val="nil"/>
            </w:tcBorders>
            <w:shd w:val="clear" w:color="000000" w:fill="FFFFFF"/>
            <w:noWrap/>
            <w:vAlign w:val="bottom"/>
            <w:hideMark/>
          </w:tcPr>
          <w:p w14:paraId="19EA159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444B3FB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15D8EF2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0.06%</w:t>
            </w:r>
          </w:p>
        </w:tc>
        <w:tc>
          <w:tcPr>
            <w:tcW w:w="226" w:type="pct"/>
            <w:tcBorders>
              <w:top w:val="nil"/>
              <w:left w:val="nil"/>
              <w:bottom w:val="nil"/>
              <w:right w:val="nil"/>
            </w:tcBorders>
            <w:shd w:val="clear" w:color="000000" w:fill="FFFFFF"/>
            <w:noWrap/>
            <w:vAlign w:val="bottom"/>
            <w:hideMark/>
          </w:tcPr>
          <w:p w14:paraId="3E5AAB0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3760879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0.19%</w:t>
            </w:r>
          </w:p>
        </w:tc>
        <w:tc>
          <w:tcPr>
            <w:tcW w:w="226" w:type="pct"/>
            <w:tcBorders>
              <w:top w:val="nil"/>
              <w:left w:val="nil"/>
              <w:bottom w:val="nil"/>
              <w:right w:val="nil"/>
            </w:tcBorders>
            <w:shd w:val="clear" w:color="000000" w:fill="FFFFFF"/>
            <w:noWrap/>
            <w:vAlign w:val="bottom"/>
            <w:hideMark/>
          </w:tcPr>
          <w:p w14:paraId="0D3F318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0.24%</w:t>
            </w:r>
          </w:p>
        </w:tc>
        <w:tc>
          <w:tcPr>
            <w:tcW w:w="226" w:type="pct"/>
            <w:tcBorders>
              <w:top w:val="nil"/>
              <w:left w:val="nil"/>
              <w:bottom w:val="nil"/>
              <w:right w:val="nil"/>
            </w:tcBorders>
            <w:shd w:val="clear" w:color="000000" w:fill="FFFFFF"/>
            <w:noWrap/>
            <w:vAlign w:val="bottom"/>
            <w:hideMark/>
          </w:tcPr>
          <w:p w14:paraId="4C5B06C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0.34%</w:t>
            </w:r>
          </w:p>
        </w:tc>
        <w:tc>
          <w:tcPr>
            <w:tcW w:w="226" w:type="pct"/>
            <w:tcBorders>
              <w:top w:val="nil"/>
              <w:left w:val="nil"/>
              <w:bottom w:val="nil"/>
              <w:right w:val="nil"/>
            </w:tcBorders>
            <w:shd w:val="clear" w:color="000000" w:fill="FFFFFF"/>
            <w:noWrap/>
            <w:vAlign w:val="bottom"/>
            <w:hideMark/>
          </w:tcPr>
          <w:p w14:paraId="5B2066E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0.38%</w:t>
            </w:r>
          </w:p>
        </w:tc>
        <w:tc>
          <w:tcPr>
            <w:tcW w:w="226" w:type="pct"/>
            <w:tcBorders>
              <w:top w:val="nil"/>
              <w:left w:val="nil"/>
              <w:bottom w:val="nil"/>
              <w:right w:val="nil"/>
            </w:tcBorders>
            <w:shd w:val="clear" w:color="000000" w:fill="FFFFFF"/>
            <w:noWrap/>
            <w:vAlign w:val="bottom"/>
            <w:hideMark/>
          </w:tcPr>
          <w:p w14:paraId="0519490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0.47%</w:t>
            </w:r>
          </w:p>
        </w:tc>
        <w:tc>
          <w:tcPr>
            <w:tcW w:w="226" w:type="pct"/>
            <w:tcBorders>
              <w:top w:val="nil"/>
              <w:left w:val="nil"/>
              <w:bottom w:val="nil"/>
              <w:right w:val="nil"/>
            </w:tcBorders>
            <w:shd w:val="clear" w:color="000000" w:fill="FFFFFF"/>
            <w:noWrap/>
            <w:vAlign w:val="bottom"/>
            <w:hideMark/>
          </w:tcPr>
          <w:p w14:paraId="3613242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0.54%</w:t>
            </w:r>
          </w:p>
        </w:tc>
        <w:tc>
          <w:tcPr>
            <w:tcW w:w="226" w:type="pct"/>
            <w:tcBorders>
              <w:top w:val="nil"/>
              <w:left w:val="nil"/>
              <w:bottom w:val="nil"/>
              <w:right w:val="nil"/>
            </w:tcBorders>
            <w:shd w:val="clear" w:color="000000" w:fill="FFFFFF"/>
            <w:noWrap/>
            <w:vAlign w:val="bottom"/>
            <w:hideMark/>
          </w:tcPr>
          <w:p w14:paraId="175DBB4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0.57%</w:t>
            </w:r>
          </w:p>
        </w:tc>
        <w:tc>
          <w:tcPr>
            <w:tcW w:w="226" w:type="pct"/>
            <w:tcBorders>
              <w:top w:val="nil"/>
              <w:left w:val="nil"/>
              <w:bottom w:val="nil"/>
              <w:right w:val="nil"/>
            </w:tcBorders>
            <w:shd w:val="clear" w:color="000000" w:fill="FFFFFF"/>
            <w:noWrap/>
            <w:vAlign w:val="bottom"/>
            <w:hideMark/>
          </w:tcPr>
          <w:p w14:paraId="01E5D8C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0.62%</w:t>
            </w:r>
          </w:p>
        </w:tc>
        <w:tc>
          <w:tcPr>
            <w:tcW w:w="226" w:type="pct"/>
            <w:tcBorders>
              <w:top w:val="nil"/>
              <w:left w:val="nil"/>
              <w:bottom w:val="nil"/>
              <w:right w:val="nil"/>
            </w:tcBorders>
            <w:shd w:val="clear" w:color="000000" w:fill="FFFFFF"/>
            <w:noWrap/>
            <w:vAlign w:val="bottom"/>
            <w:hideMark/>
          </w:tcPr>
          <w:p w14:paraId="69BAF3A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0.68%</w:t>
            </w:r>
          </w:p>
        </w:tc>
        <w:tc>
          <w:tcPr>
            <w:tcW w:w="226" w:type="pct"/>
            <w:tcBorders>
              <w:top w:val="nil"/>
              <w:left w:val="nil"/>
              <w:bottom w:val="nil"/>
              <w:right w:val="nil"/>
            </w:tcBorders>
            <w:shd w:val="clear" w:color="000000" w:fill="FFFFFF"/>
            <w:noWrap/>
            <w:vAlign w:val="bottom"/>
            <w:hideMark/>
          </w:tcPr>
          <w:p w14:paraId="442357C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0.72%</w:t>
            </w:r>
          </w:p>
        </w:tc>
        <w:tc>
          <w:tcPr>
            <w:tcW w:w="226" w:type="pct"/>
            <w:tcBorders>
              <w:top w:val="nil"/>
              <w:left w:val="nil"/>
              <w:bottom w:val="nil"/>
              <w:right w:val="nil"/>
            </w:tcBorders>
            <w:shd w:val="clear" w:color="000000" w:fill="FFFFFF"/>
            <w:noWrap/>
            <w:vAlign w:val="bottom"/>
            <w:hideMark/>
          </w:tcPr>
          <w:p w14:paraId="1AEBE1B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0.78%</w:t>
            </w:r>
          </w:p>
        </w:tc>
        <w:tc>
          <w:tcPr>
            <w:tcW w:w="226" w:type="pct"/>
            <w:tcBorders>
              <w:top w:val="nil"/>
              <w:left w:val="nil"/>
              <w:bottom w:val="nil"/>
              <w:right w:val="nil"/>
            </w:tcBorders>
            <w:shd w:val="clear" w:color="000000" w:fill="FFFFFF"/>
            <w:noWrap/>
            <w:vAlign w:val="bottom"/>
            <w:hideMark/>
          </w:tcPr>
          <w:p w14:paraId="663ECA3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0.81%</w:t>
            </w:r>
          </w:p>
        </w:tc>
      </w:tr>
      <w:tr w:rsidR="006A523F" w:rsidRPr="006A523F" w14:paraId="7E0B7034" w14:textId="77777777" w:rsidTr="006A523F">
        <w:trPr>
          <w:trHeight w:val="20"/>
        </w:trPr>
        <w:tc>
          <w:tcPr>
            <w:tcW w:w="480" w:type="pct"/>
            <w:tcBorders>
              <w:top w:val="nil"/>
              <w:left w:val="nil"/>
              <w:bottom w:val="nil"/>
              <w:right w:val="nil"/>
            </w:tcBorders>
            <w:shd w:val="clear" w:color="000000" w:fill="FFFFFF"/>
            <w:noWrap/>
            <w:vAlign w:val="center"/>
            <w:hideMark/>
          </w:tcPr>
          <w:p w14:paraId="79588191"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2020</w:t>
            </w:r>
          </w:p>
        </w:tc>
        <w:tc>
          <w:tcPr>
            <w:tcW w:w="449" w:type="pct"/>
            <w:tcBorders>
              <w:top w:val="nil"/>
              <w:left w:val="nil"/>
              <w:bottom w:val="nil"/>
              <w:right w:val="nil"/>
            </w:tcBorders>
            <w:shd w:val="clear" w:color="000000" w:fill="FFFFFF"/>
            <w:noWrap/>
            <w:vAlign w:val="bottom"/>
            <w:hideMark/>
          </w:tcPr>
          <w:p w14:paraId="536FA1B1"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2020Q4</w:t>
            </w:r>
          </w:p>
        </w:tc>
        <w:tc>
          <w:tcPr>
            <w:tcW w:w="449" w:type="pct"/>
            <w:tcBorders>
              <w:top w:val="nil"/>
              <w:left w:val="nil"/>
              <w:bottom w:val="nil"/>
              <w:right w:val="nil"/>
            </w:tcBorders>
            <w:shd w:val="clear" w:color="000000" w:fill="FFFFFF"/>
            <w:noWrap/>
            <w:vAlign w:val="center"/>
            <w:hideMark/>
          </w:tcPr>
          <w:p w14:paraId="7C9AF39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234,853</w:t>
            </w:r>
          </w:p>
        </w:tc>
        <w:tc>
          <w:tcPr>
            <w:tcW w:w="226" w:type="pct"/>
            <w:tcBorders>
              <w:top w:val="nil"/>
              <w:left w:val="nil"/>
              <w:bottom w:val="nil"/>
              <w:right w:val="nil"/>
            </w:tcBorders>
            <w:shd w:val="clear" w:color="000000" w:fill="FFFFFF"/>
            <w:noWrap/>
            <w:vAlign w:val="bottom"/>
            <w:hideMark/>
          </w:tcPr>
          <w:p w14:paraId="5F80D8F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D0FD97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41769E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0.03%</w:t>
            </w:r>
          </w:p>
        </w:tc>
        <w:tc>
          <w:tcPr>
            <w:tcW w:w="226" w:type="pct"/>
            <w:tcBorders>
              <w:top w:val="nil"/>
              <w:left w:val="nil"/>
              <w:bottom w:val="nil"/>
              <w:right w:val="nil"/>
            </w:tcBorders>
            <w:shd w:val="clear" w:color="000000" w:fill="FFFFFF"/>
            <w:noWrap/>
            <w:vAlign w:val="bottom"/>
            <w:hideMark/>
          </w:tcPr>
          <w:p w14:paraId="61458BB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0.03%</w:t>
            </w:r>
          </w:p>
        </w:tc>
        <w:tc>
          <w:tcPr>
            <w:tcW w:w="226" w:type="pct"/>
            <w:tcBorders>
              <w:top w:val="nil"/>
              <w:left w:val="nil"/>
              <w:bottom w:val="nil"/>
              <w:right w:val="nil"/>
            </w:tcBorders>
            <w:shd w:val="clear" w:color="000000" w:fill="FFFFFF"/>
            <w:noWrap/>
            <w:vAlign w:val="bottom"/>
            <w:hideMark/>
          </w:tcPr>
          <w:p w14:paraId="440DE76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0.09%</w:t>
            </w:r>
          </w:p>
        </w:tc>
        <w:tc>
          <w:tcPr>
            <w:tcW w:w="226" w:type="pct"/>
            <w:tcBorders>
              <w:top w:val="nil"/>
              <w:left w:val="nil"/>
              <w:bottom w:val="nil"/>
              <w:right w:val="nil"/>
            </w:tcBorders>
            <w:shd w:val="clear" w:color="000000" w:fill="FFFFFF"/>
            <w:noWrap/>
            <w:vAlign w:val="bottom"/>
            <w:hideMark/>
          </w:tcPr>
          <w:p w14:paraId="6473919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0.11%</w:t>
            </w:r>
          </w:p>
        </w:tc>
        <w:tc>
          <w:tcPr>
            <w:tcW w:w="226" w:type="pct"/>
            <w:tcBorders>
              <w:top w:val="nil"/>
              <w:left w:val="nil"/>
              <w:bottom w:val="nil"/>
              <w:right w:val="nil"/>
            </w:tcBorders>
            <w:shd w:val="clear" w:color="000000" w:fill="FFFFFF"/>
            <w:noWrap/>
            <w:vAlign w:val="bottom"/>
            <w:hideMark/>
          </w:tcPr>
          <w:p w14:paraId="40A6388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0.21%</w:t>
            </w:r>
          </w:p>
        </w:tc>
        <w:tc>
          <w:tcPr>
            <w:tcW w:w="226" w:type="pct"/>
            <w:tcBorders>
              <w:top w:val="nil"/>
              <w:left w:val="nil"/>
              <w:bottom w:val="nil"/>
              <w:right w:val="nil"/>
            </w:tcBorders>
            <w:shd w:val="clear" w:color="000000" w:fill="FFFFFF"/>
            <w:noWrap/>
            <w:vAlign w:val="bottom"/>
            <w:hideMark/>
          </w:tcPr>
          <w:p w14:paraId="43D2B27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0.25%</w:t>
            </w:r>
          </w:p>
        </w:tc>
        <w:tc>
          <w:tcPr>
            <w:tcW w:w="226" w:type="pct"/>
            <w:tcBorders>
              <w:top w:val="nil"/>
              <w:left w:val="nil"/>
              <w:bottom w:val="nil"/>
              <w:right w:val="nil"/>
            </w:tcBorders>
            <w:shd w:val="clear" w:color="000000" w:fill="FFFFFF"/>
            <w:noWrap/>
            <w:vAlign w:val="bottom"/>
            <w:hideMark/>
          </w:tcPr>
          <w:p w14:paraId="05152D8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0.29%</w:t>
            </w:r>
          </w:p>
        </w:tc>
        <w:tc>
          <w:tcPr>
            <w:tcW w:w="226" w:type="pct"/>
            <w:tcBorders>
              <w:top w:val="nil"/>
              <w:left w:val="nil"/>
              <w:bottom w:val="nil"/>
              <w:right w:val="nil"/>
            </w:tcBorders>
            <w:shd w:val="clear" w:color="000000" w:fill="FFFFFF"/>
            <w:noWrap/>
            <w:vAlign w:val="bottom"/>
            <w:hideMark/>
          </w:tcPr>
          <w:p w14:paraId="1880C45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1EF9738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0.43%</w:t>
            </w:r>
          </w:p>
        </w:tc>
        <w:tc>
          <w:tcPr>
            <w:tcW w:w="226" w:type="pct"/>
            <w:tcBorders>
              <w:top w:val="nil"/>
              <w:left w:val="nil"/>
              <w:bottom w:val="nil"/>
              <w:right w:val="nil"/>
            </w:tcBorders>
            <w:shd w:val="clear" w:color="000000" w:fill="FFFFFF"/>
            <w:noWrap/>
            <w:vAlign w:val="bottom"/>
            <w:hideMark/>
          </w:tcPr>
          <w:p w14:paraId="62D2032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0.45%</w:t>
            </w:r>
          </w:p>
        </w:tc>
        <w:tc>
          <w:tcPr>
            <w:tcW w:w="226" w:type="pct"/>
            <w:tcBorders>
              <w:top w:val="nil"/>
              <w:left w:val="nil"/>
              <w:bottom w:val="nil"/>
              <w:right w:val="nil"/>
            </w:tcBorders>
            <w:shd w:val="clear" w:color="000000" w:fill="FFFFFF"/>
            <w:noWrap/>
            <w:vAlign w:val="bottom"/>
            <w:hideMark/>
          </w:tcPr>
          <w:p w14:paraId="2DCF7B0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0.49%</w:t>
            </w:r>
          </w:p>
        </w:tc>
        <w:tc>
          <w:tcPr>
            <w:tcW w:w="226" w:type="pct"/>
            <w:tcBorders>
              <w:top w:val="nil"/>
              <w:left w:val="nil"/>
              <w:bottom w:val="nil"/>
              <w:right w:val="nil"/>
            </w:tcBorders>
            <w:shd w:val="clear" w:color="000000" w:fill="FFFFFF"/>
            <w:noWrap/>
            <w:vAlign w:val="bottom"/>
            <w:hideMark/>
          </w:tcPr>
          <w:p w14:paraId="0BAECA0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0.55%</w:t>
            </w:r>
          </w:p>
        </w:tc>
        <w:tc>
          <w:tcPr>
            <w:tcW w:w="226" w:type="pct"/>
            <w:tcBorders>
              <w:top w:val="nil"/>
              <w:left w:val="nil"/>
              <w:bottom w:val="nil"/>
              <w:right w:val="nil"/>
            </w:tcBorders>
            <w:shd w:val="clear" w:color="000000" w:fill="FFFFFF"/>
            <w:noWrap/>
            <w:vAlign w:val="bottom"/>
            <w:hideMark/>
          </w:tcPr>
          <w:p w14:paraId="4B89414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0.63%</w:t>
            </w:r>
          </w:p>
        </w:tc>
        <w:tc>
          <w:tcPr>
            <w:tcW w:w="226" w:type="pct"/>
            <w:tcBorders>
              <w:top w:val="nil"/>
              <w:left w:val="nil"/>
              <w:bottom w:val="nil"/>
              <w:right w:val="nil"/>
            </w:tcBorders>
            <w:shd w:val="clear" w:color="000000" w:fill="FFFFFF"/>
            <w:noWrap/>
            <w:vAlign w:val="bottom"/>
            <w:hideMark/>
          </w:tcPr>
          <w:p w14:paraId="6B99958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0.68%</w:t>
            </w:r>
          </w:p>
        </w:tc>
      </w:tr>
      <w:tr w:rsidR="006A523F" w:rsidRPr="006A523F" w14:paraId="1DD25EE7" w14:textId="77777777" w:rsidTr="006A523F">
        <w:trPr>
          <w:trHeight w:val="20"/>
        </w:trPr>
        <w:tc>
          <w:tcPr>
            <w:tcW w:w="480" w:type="pct"/>
            <w:tcBorders>
              <w:top w:val="nil"/>
              <w:left w:val="nil"/>
              <w:bottom w:val="nil"/>
              <w:right w:val="nil"/>
            </w:tcBorders>
            <w:shd w:val="clear" w:color="000000" w:fill="FFFFFF"/>
            <w:noWrap/>
            <w:vAlign w:val="center"/>
            <w:hideMark/>
          </w:tcPr>
          <w:p w14:paraId="17DC7267"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2021</w:t>
            </w:r>
          </w:p>
        </w:tc>
        <w:tc>
          <w:tcPr>
            <w:tcW w:w="449" w:type="pct"/>
            <w:tcBorders>
              <w:top w:val="nil"/>
              <w:left w:val="nil"/>
              <w:bottom w:val="nil"/>
              <w:right w:val="nil"/>
            </w:tcBorders>
            <w:shd w:val="clear" w:color="000000" w:fill="FFFFFF"/>
            <w:noWrap/>
            <w:vAlign w:val="bottom"/>
            <w:hideMark/>
          </w:tcPr>
          <w:p w14:paraId="7F1DA877"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2021Q1</w:t>
            </w:r>
          </w:p>
        </w:tc>
        <w:tc>
          <w:tcPr>
            <w:tcW w:w="449" w:type="pct"/>
            <w:tcBorders>
              <w:top w:val="nil"/>
              <w:left w:val="nil"/>
              <w:bottom w:val="nil"/>
              <w:right w:val="nil"/>
            </w:tcBorders>
            <w:shd w:val="clear" w:color="000000" w:fill="FFFFFF"/>
            <w:noWrap/>
            <w:vAlign w:val="center"/>
            <w:hideMark/>
          </w:tcPr>
          <w:p w14:paraId="2FD4CF4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167,689</w:t>
            </w:r>
          </w:p>
        </w:tc>
        <w:tc>
          <w:tcPr>
            <w:tcW w:w="226" w:type="pct"/>
            <w:tcBorders>
              <w:top w:val="nil"/>
              <w:left w:val="nil"/>
              <w:bottom w:val="nil"/>
              <w:right w:val="nil"/>
            </w:tcBorders>
            <w:shd w:val="clear" w:color="000000" w:fill="FFFFFF"/>
            <w:noWrap/>
            <w:vAlign w:val="bottom"/>
            <w:hideMark/>
          </w:tcPr>
          <w:p w14:paraId="1220759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024BEE7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3606E4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416E5EF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0.11%</w:t>
            </w:r>
          </w:p>
        </w:tc>
        <w:tc>
          <w:tcPr>
            <w:tcW w:w="226" w:type="pct"/>
            <w:tcBorders>
              <w:top w:val="nil"/>
              <w:left w:val="nil"/>
              <w:bottom w:val="nil"/>
              <w:right w:val="nil"/>
            </w:tcBorders>
            <w:shd w:val="clear" w:color="000000" w:fill="FFFFFF"/>
            <w:noWrap/>
            <w:vAlign w:val="bottom"/>
            <w:hideMark/>
          </w:tcPr>
          <w:p w14:paraId="423ED93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0.14%</w:t>
            </w:r>
          </w:p>
        </w:tc>
        <w:tc>
          <w:tcPr>
            <w:tcW w:w="226" w:type="pct"/>
            <w:tcBorders>
              <w:top w:val="nil"/>
              <w:left w:val="nil"/>
              <w:bottom w:val="nil"/>
              <w:right w:val="nil"/>
            </w:tcBorders>
            <w:shd w:val="clear" w:color="000000" w:fill="FFFFFF"/>
            <w:noWrap/>
            <w:vAlign w:val="bottom"/>
            <w:hideMark/>
          </w:tcPr>
          <w:p w14:paraId="001EF90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0.18%</w:t>
            </w:r>
          </w:p>
        </w:tc>
        <w:tc>
          <w:tcPr>
            <w:tcW w:w="226" w:type="pct"/>
            <w:tcBorders>
              <w:top w:val="nil"/>
              <w:left w:val="nil"/>
              <w:bottom w:val="nil"/>
              <w:right w:val="nil"/>
            </w:tcBorders>
            <w:shd w:val="clear" w:color="000000" w:fill="FFFFFF"/>
            <w:noWrap/>
            <w:vAlign w:val="bottom"/>
            <w:hideMark/>
          </w:tcPr>
          <w:p w14:paraId="3F436AC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0.26%</w:t>
            </w:r>
          </w:p>
        </w:tc>
        <w:tc>
          <w:tcPr>
            <w:tcW w:w="226" w:type="pct"/>
            <w:tcBorders>
              <w:top w:val="nil"/>
              <w:left w:val="nil"/>
              <w:bottom w:val="nil"/>
              <w:right w:val="nil"/>
            </w:tcBorders>
            <w:shd w:val="clear" w:color="000000" w:fill="FFFFFF"/>
            <w:noWrap/>
            <w:vAlign w:val="bottom"/>
            <w:hideMark/>
          </w:tcPr>
          <w:p w14:paraId="18648F8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0.32%</w:t>
            </w:r>
          </w:p>
        </w:tc>
        <w:tc>
          <w:tcPr>
            <w:tcW w:w="226" w:type="pct"/>
            <w:tcBorders>
              <w:top w:val="nil"/>
              <w:left w:val="nil"/>
              <w:bottom w:val="nil"/>
              <w:right w:val="nil"/>
            </w:tcBorders>
            <w:shd w:val="clear" w:color="000000" w:fill="FFFFFF"/>
            <w:noWrap/>
            <w:vAlign w:val="bottom"/>
            <w:hideMark/>
          </w:tcPr>
          <w:p w14:paraId="64E3864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07A380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0.48%</w:t>
            </w:r>
          </w:p>
        </w:tc>
        <w:tc>
          <w:tcPr>
            <w:tcW w:w="226" w:type="pct"/>
            <w:tcBorders>
              <w:top w:val="nil"/>
              <w:left w:val="nil"/>
              <w:bottom w:val="nil"/>
              <w:right w:val="nil"/>
            </w:tcBorders>
            <w:shd w:val="clear" w:color="000000" w:fill="FFFFFF"/>
            <w:noWrap/>
            <w:vAlign w:val="bottom"/>
            <w:hideMark/>
          </w:tcPr>
          <w:p w14:paraId="268964D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0.57%</w:t>
            </w:r>
          </w:p>
        </w:tc>
        <w:tc>
          <w:tcPr>
            <w:tcW w:w="226" w:type="pct"/>
            <w:tcBorders>
              <w:top w:val="nil"/>
              <w:left w:val="nil"/>
              <w:bottom w:val="nil"/>
              <w:right w:val="nil"/>
            </w:tcBorders>
            <w:shd w:val="clear" w:color="000000" w:fill="FFFFFF"/>
            <w:noWrap/>
            <w:vAlign w:val="bottom"/>
            <w:hideMark/>
          </w:tcPr>
          <w:p w14:paraId="7FEF791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0.63%</w:t>
            </w:r>
          </w:p>
        </w:tc>
        <w:tc>
          <w:tcPr>
            <w:tcW w:w="226" w:type="pct"/>
            <w:tcBorders>
              <w:top w:val="nil"/>
              <w:left w:val="nil"/>
              <w:bottom w:val="nil"/>
              <w:right w:val="nil"/>
            </w:tcBorders>
            <w:shd w:val="clear" w:color="000000" w:fill="FFFFFF"/>
            <w:noWrap/>
            <w:vAlign w:val="bottom"/>
            <w:hideMark/>
          </w:tcPr>
          <w:p w14:paraId="2104EBB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0.67%</w:t>
            </w:r>
          </w:p>
        </w:tc>
        <w:tc>
          <w:tcPr>
            <w:tcW w:w="226" w:type="pct"/>
            <w:tcBorders>
              <w:top w:val="nil"/>
              <w:left w:val="nil"/>
              <w:bottom w:val="nil"/>
              <w:right w:val="nil"/>
            </w:tcBorders>
            <w:shd w:val="clear" w:color="000000" w:fill="FFFFFF"/>
            <w:noWrap/>
            <w:vAlign w:val="bottom"/>
            <w:hideMark/>
          </w:tcPr>
          <w:p w14:paraId="54D3208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0.74%</w:t>
            </w:r>
          </w:p>
        </w:tc>
        <w:tc>
          <w:tcPr>
            <w:tcW w:w="226" w:type="pct"/>
            <w:tcBorders>
              <w:top w:val="nil"/>
              <w:left w:val="nil"/>
              <w:bottom w:val="nil"/>
              <w:right w:val="nil"/>
            </w:tcBorders>
            <w:shd w:val="clear" w:color="000000" w:fill="FFFFFF"/>
            <w:noWrap/>
            <w:vAlign w:val="bottom"/>
            <w:hideMark/>
          </w:tcPr>
          <w:p w14:paraId="429471A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0.76%</w:t>
            </w:r>
          </w:p>
        </w:tc>
        <w:tc>
          <w:tcPr>
            <w:tcW w:w="226" w:type="pct"/>
            <w:tcBorders>
              <w:top w:val="nil"/>
              <w:left w:val="nil"/>
              <w:bottom w:val="nil"/>
              <w:right w:val="nil"/>
            </w:tcBorders>
            <w:shd w:val="clear" w:color="000000" w:fill="FFFFFF"/>
            <w:noWrap/>
            <w:vAlign w:val="bottom"/>
            <w:hideMark/>
          </w:tcPr>
          <w:p w14:paraId="53D7EE0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0.79%</w:t>
            </w:r>
          </w:p>
        </w:tc>
      </w:tr>
      <w:tr w:rsidR="006A523F" w:rsidRPr="006A523F" w14:paraId="273156D1" w14:textId="77777777" w:rsidTr="006A523F">
        <w:trPr>
          <w:trHeight w:val="20"/>
        </w:trPr>
        <w:tc>
          <w:tcPr>
            <w:tcW w:w="480" w:type="pct"/>
            <w:tcBorders>
              <w:top w:val="nil"/>
              <w:left w:val="nil"/>
              <w:bottom w:val="nil"/>
              <w:right w:val="nil"/>
            </w:tcBorders>
            <w:shd w:val="clear" w:color="000000" w:fill="FFFFFF"/>
            <w:noWrap/>
            <w:vAlign w:val="center"/>
            <w:hideMark/>
          </w:tcPr>
          <w:p w14:paraId="2A8F82C9"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2021</w:t>
            </w:r>
          </w:p>
        </w:tc>
        <w:tc>
          <w:tcPr>
            <w:tcW w:w="449" w:type="pct"/>
            <w:tcBorders>
              <w:top w:val="nil"/>
              <w:left w:val="nil"/>
              <w:bottom w:val="nil"/>
              <w:right w:val="nil"/>
            </w:tcBorders>
            <w:shd w:val="clear" w:color="000000" w:fill="FFFFFF"/>
            <w:noWrap/>
            <w:vAlign w:val="bottom"/>
            <w:hideMark/>
          </w:tcPr>
          <w:p w14:paraId="5E991BB4"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2021Q2</w:t>
            </w:r>
          </w:p>
        </w:tc>
        <w:tc>
          <w:tcPr>
            <w:tcW w:w="449" w:type="pct"/>
            <w:tcBorders>
              <w:top w:val="nil"/>
              <w:left w:val="nil"/>
              <w:bottom w:val="nil"/>
              <w:right w:val="nil"/>
            </w:tcBorders>
            <w:shd w:val="clear" w:color="000000" w:fill="FFFFFF"/>
            <w:noWrap/>
            <w:vAlign w:val="center"/>
            <w:hideMark/>
          </w:tcPr>
          <w:p w14:paraId="32C8BB8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252,708</w:t>
            </w:r>
          </w:p>
        </w:tc>
        <w:tc>
          <w:tcPr>
            <w:tcW w:w="226" w:type="pct"/>
            <w:tcBorders>
              <w:top w:val="nil"/>
              <w:left w:val="nil"/>
              <w:bottom w:val="nil"/>
              <w:right w:val="nil"/>
            </w:tcBorders>
            <w:shd w:val="clear" w:color="000000" w:fill="FFFFFF"/>
            <w:noWrap/>
            <w:vAlign w:val="bottom"/>
            <w:hideMark/>
          </w:tcPr>
          <w:p w14:paraId="59D0176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F1E4B3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839634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7CA2D89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0.07%</w:t>
            </w:r>
          </w:p>
        </w:tc>
        <w:tc>
          <w:tcPr>
            <w:tcW w:w="226" w:type="pct"/>
            <w:tcBorders>
              <w:top w:val="nil"/>
              <w:left w:val="nil"/>
              <w:bottom w:val="nil"/>
              <w:right w:val="nil"/>
            </w:tcBorders>
            <w:shd w:val="clear" w:color="000000" w:fill="FFFFFF"/>
            <w:noWrap/>
            <w:vAlign w:val="bottom"/>
            <w:hideMark/>
          </w:tcPr>
          <w:p w14:paraId="0E5BD00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0.11%</w:t>
            </w:r>
          </w:p>
        </w:tc>
        <w:tc>
          <w:tcPr>
            <w:tcW w:w="226" w:type="pct"/>
            <w:tcBorders>
              <w:top w:val="nil"/>
              <w:left w:val="nil"/>
              <w:bottom w:val="nil"/>
              <w:right w:val="nil"/>
            </w:tcBorders>
            <w:shd w:val="clear" w:color="000000" w:fill="FFFFFF"/>
            <w:noWrap/>
            <w:vAlign w:val="bottom"/>
            <w:hideMark/>
          </w:tcPr>
          <w:p w14:paraId="7347843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0.17%</w:t>
            </w:r>
          </w:p>
        </w:tc>
        <w:tc>
          <w:tcPr>
            <w:tcW w:w="226" w:type="pct"/>
            <w:tcBorders>
              <w:top w:val="nil"/>
              <w:left w:val="nil"/>
              <w:bottom w:val="nil"/>
              <w:right w:val="nil"/>
            </w:tcBorders>
            <w:shd w:val="clear" w:color="000000" w:fill="FFFFFF"/>
            <w:noWrap/>
            <w:vAlign w:val="bottom"/>
            <w:hideMark/>
          </w:tcPr>
          <w:p w14:paraId="19A8014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0.22%</w:t>
            </w:r>
          </w:p>
        </w:tc>
        <w:tc>
          <w:tcPr>
            <w:tcW w:w="226" w:type="pct"/>
            <w:tcBorders>
              <w:top w:val="nil"/>
              <w:left w:val="nil"/>
              <w:bottom w:val="nil"/>
              <w:right w:val="nil"/>
            </w:tcBorders>
            <w:shd w:val="clear" w:color="000000" w:fill="FFFFFF"/>
            <w:noWrap/>
            <w:vAlign w:val="bottom"/>
            <w:hideMark/>
          </w:tcPr>
          <w:p w14:paraId="5D44FB5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0.31%</w:t>
            </w:r>
          </w:p>
        </w:tc>
        <w:tc>
          <w:tcPr>
            <w:tcW w:w="226" w:type="pct"/>
            <w:tcBorders>
              <w:top w:val="nil"/>
              <w:left w:val="nil"/>
              <w:bottom w:val="nil"/>
              <w:right w:val="nil"/>
            </w:tcBorders>
            <w:shd w:val="clear" w:color="000000" w:fill="FFFFFF"/>
            <w:noWrap/>
            <w:vAlign w:val="bottom"/>
            <w:hideMark/>
          </w:tcPr>
          <w:p w14:paraId="3A6B4BE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0.41%</w:t>
            </w:r>
          </w:p>
        </w:tc>
        <w:tc>
          <w:tcPr>
            <w:tcW w:w="226" w:type="pct"/>
            <w:tcBorders>
              <w:top w:val="nil"/>
              <w:left w:val="nil"/>
              <w:bottom w:val="nil"/>
              <w:right w:val="nil"/>
            </w:tcBorders>
            <w:shd w:val="clear" w:color="000000" w:fill="FFFFFF"/>
            <w:noWrap/>
            <w:vAlign w:val="bottom"/>
            <w:hideMark/>
          </w:tcPr>
          <w:p w14:paraId="414C2DE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0.51%</w:t>
            </w:r>
          </w:p>
        </w:tc>
        <w:tc>
          <w:tcPr>
            <w:tcW w:w="226" w:type="pct"/>
            <w:tcBorders>
              <w:top w:val="nil"/>
              <w:left w:val="nil"/>
              <w:bottom w:val="nil"/>
              <w:right w:val="nil"/>
            </w:tcBorders>
            <w:shd w:val="clear" w:color="000000" w:fill="FFFFFF"/>
            <w:noWrap/>
            <w:vAlign w:val="bottom"/>
            <w:hideMark/>
          </w:tcPr>
          <w:p w14:paraId="2289748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0.58%</w:t>
            </w:r>
          </w:p>
        </w:tc>
        <w:tc>
          <w:tcPr>
            <w:tcW w:w="226" w:type="pct"/>
            <w:tcBorders>
              <w:top w:val="nil"/>
              <w:left w:val="nil"/>
              <w:bottom w:val="nil"/>
              <w:right w:val="nil"/>
            </w:tcBorders>
            <w:shd w:val="clear" w:color="000000" w:fill="FFFFFF"/>
            <w:noWrap/>
            <w:vAlign w:val="bottom"/>
            <w:hideMark/>
          </w:tcPr>
          <w:p w14:paraId="0E47F35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0.64%</w:t>
            </w:r>
          </w:p>
        </w:tc>
        <w:tc>
          <w:tcPr>
            <w:tcW w:w="226" w:type="pct"/>
            <w:tcBorders>
              <w:top w:val="nil"/>
              <w:left w:val="nil"/>
              <w:bottom w:val="nil"/>
              <w:right w:val="nil"/>
            </w:tcBorders>
            <w:shd w:val="clear" w:color="000000" w:fill="FFFFFF"/>
            <w:noWrap/>
            <w:vAlign w:val="bottom"/>
            <w:hideMark/>
          </w:tcPr>
          <w:p w14:paraId="794F7FC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0.66%</w:t>
            </w:r>
          </w:p>
        </w:tc>
        <w:tc>
          <w:tcPr>
            <w:tcW w:w="226" w:type="pct"/>
            <w:tcBorders>
              <w:top w:val="nil"/>
              <w:left w:val="nil"/>
              <w:bottom w:val="nil"/>
              <w:right w:val="nil"/>
            </w:tcBorders>
            <w:shd w:val="clear" w:color="000000" w:fill="FFFFFF"/>
            <w:noWrap/>
            <w:vAlign w:val="bottom"/>
            <w:hideMark/>
          </w:tcPr>
          <w:p w14:paraId="79E635C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0.71%</w:t>
            </w:r>
          </w:p>
        </w:tc>
        <w:tc>
          <w:tcPr>
            <w:tcW w:w="226" w:type="pct"/>
            <w:tcBorders>
              <w:top w:val="nil"/>
              <w:left w:val="nil"/>
              <w:bottom w:val="nil"/>
              <w:right w:val="nil"/>
            </w:tcBorders>
            <w:shd w:val="clear" w:color="000000" w:fill="FFFFFF"/>
            <w:noWrap/>
            <w:vAlign w:val="bottom"/>
            <w:hideMark/>
          </w:tcPr>
          <w:p w14:paraId="0FAA2BE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0.76%</w:t>
            </w:r>
          </w:p>
        </w:tc>
        <w:tc>
          <w:tcPr>
            <w:tcW w:w="226" w:type="pct"/>
            <w:tcBorders>
              <w:top w:val="nil"/>
              <w:left w:val="nil"/>
              <w:bottom w:val="nil"/>
              <w:right w:val="nil"/>
            </w:tcBorders>
            <w:shd w:val="clear" w:color="000000" w:fill="FFFFFF"/>
            <w:noWrap/>
            <w:vAlign w:val="bottom"/>
            <w:hideMark/>
          </w:tcPr>
          <w:p w14:paraId="0E63D6B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0.80%</w:t>
            </w:r>
          </w:p>
        </w:tc>
      </w:tr>
      <w:tr w:rsidR="006A523F" w:rsidRPr="006A523F" w14:paraId="254F5227" w14:textId="77777777" w:rsidTr="006A523F">
        <w:trPr>
          <w:trHeight w:val="20"/>
        </w:trPr>
        <w:tc>
          <w:tcPr>
            <w:tcW w:w="480" w:type="pct"/>
            <w:tcBorders>
              <w:top w:val="nil"/>
              <w:left w:val="nil"/>
              <w:bottom w:val="nil"/>
              <w:right w:val="nil"/>
            </w:tcBorders>
            <w:shd w:val="clear" w:color="000000" w:fill="FFFFFF"/>
            <w:noWrap/>
            <w:vAlign w:val="center"/>
            <w:hideMark/>
          </w:tcPr>
          <w:p w14:paraId="2ADC6113"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2021</w:t>
            </w:r>
          </w:p>
        </w:tc>
        <w:tc>
          <w:tcPr>
            <w:tcW w:w="449" w:type="pct"/>
            <w:tcBorders>
              <w:top w:val="nil"/>
              <w:left w:val="nil"/>
              <w:bottom w:val="nil"/>
              <w:right w:val="nil"/>
            </w:tcBorders>
            <w:shd w:val="clear" w:color="000000" w:fill="FFFFFF"/>
            <w:noWrap/>
            <w:vAlign w:val="bottom"/>
            <w:hideMark/>
          </w:tcPr>
          <w:p w14:paraId="6384E4E0"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2021Q3</w:t>
            </w:r>
          </w:p>
        </w:tc>
        <w:tc>
          <w:tcPr>
            <w:tcW w:w="449" w:type="pct"/>
            <w:tcBorders>
              <w:top w:val="nil"/>
              <w:left w:val="nil"/>
              <w:bottom w:val="nil"/>
              <w:right w:val="nil"/>
            </w:tcBorders>
            <w:shd w:val="clear" w:color="000000" w:fill="FFFFFF"/>
            <w:noWrap/>
            <w:vAlign w:val="center"/>
            <w:hideMark/>
          </w:tcPr>
          <w:p w14:paraId="7C4D507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205,280</w:t>
            </w:r>
          </w:p>
        </w:tc>
        <w:tc>
          <w:tcPr>
            <w:tcW w:w="226" w:type="pct"/>
            <w:tcBorders>
              <w:top w:val="nil"/>
              <w:left w:val="nil"/>
              <w:bottom w:val="nil"/>
              <w:right w:val="nil"/>
            </w:tcBorders>
            <w:shd w:val="clear" w:color="000000" w:fill="FFFFFF"/>
            <w:noWrap/>
            <w:vAlign w:val="bottom"/>
            <w:hideMark/>
          </w:tcPr>
          <w:p w14:paraId="3D1414E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4672ECE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41F77E5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0.03%</w:t>
            </w:r>
          </w:p>
        </w:tc>
        <w:tc>
          <w:tcPr>
            <w:tcW w:w="226" w:type="pct"/>
            <w:tcBorders>
              <w:top w:val="nil"/>
              <w:left w:val="nil"/>
              <w:bottom w:val="nil"/>
              <w:right w:val="nil"/>
            </w:tcBorders>
            <w:shd w:val="clear" w:color="000000" w:fill="FFFFFF"/>
            <w:noWrap/>
            <w:vAlign w:val="bottom"/>
            <w:hideMark/>
          </w:tcPr>
          <w:p w14:paraId="4EB58A7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0.08%</w:t>
            </w:r>
          </w:p>
        </w:tc>
        <w:tc>
          <w:tcPr>
            <w:tcW w:w="226" w:type="pct"/>
            <w:tcBorders>
              <w:top w:val="nil"/>
              <w:left w:val="nil"/>
              <w:bottom w:val="nil"/>
              <w:right w:val="nil"/>
            </w:tcBorders>
            <w:shd w:val="clear" w:color="000000" w:fill="FFFFFF"/>
            <w:noWrap/>
            <w:vAlign w:val="bottom"/>
            <w:hideMark/>
          </w:tcPr>
          <w:p w14:paraId="258DFB6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52F2882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0.15%</w:t>
            </w:r>
          </w:p>
        </w:tc>
        <w:tc>
          <w:tcPr>
            <w:tcW w:w="226" w:type="pct"/>
            <w:tcBorders>
              <w:top w:val="nil"/>
              <w:left w:val="nil"/>
              <w:bottom w:val="nil"/>
              <w:right w:val="nil"/>
            </w:tcBorders>
            <w:shd w:val="clear" w:color="000000" w:fill="FFFFFF"/>
            <w:noWrap/>
            <w:vAlign w:val="bottom"/>
            <w:hideMark/>
          </w:tcPr>
          <w:p w14:paraId="3D5DB23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0.19%</w:t>
            </w:r>
          </w:p>
        </w:tc>
        <w:tc>
          <w:tcPr>
            <w:tcW w:w="226" w:type="pct"/>
            <w:tcBorders>
              <w:top w:val="nil"/>
              <w:left w:val="nil"/>
              <w:bottom w:val="nil"/>
              <w:right w:val="nil"/>
            </w:tcBorders>
            <w:shd w:val="clear" w:color="000000" w:fill="FFFFFF"/>
            <w:noWrap/>
            <w:vAlign w:val="bottom"/>
            <w:hideMark/>
          </w:tcPr>
          <w:p w14:paraId="4E8B638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0.33%</w:t>
            </w:r>
          </w:p>
        </w:tc>
        <w:tc>
          <w:tcPr>
            <w:tcW w:w="226" w:type="pct"/>
            <w:tcBorders>
              <w:top w:val="nil"/>
              <w:left w:val="nil"/>
              <w:bottom w:val="nil"/>
              <w:right w:val="nil"/>
            </w:tcBorders>
            <w:shd w:val="clear" w:color="000000" w:fill="FFFFFF"/>
            <w:noWrap/>
            <w:vAlign w:val="bottom"/>
            <w:hideMark/>
          </w:tcPr>
          <w:p w14:paraId="54758FE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3D1D64C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0.51%</w:t>
            </w:r>
          </w:p>
        </w:tc>
        <w:tc>
          <w:tcPr>
            <w:tcW w:w="226" w:type="pct"/>
            <w:tcBorders>
              <w:top w:val="nil"/>
              <w:left w:val="nil"/>
              <w:bottom w:val="nil"/>
              <w:right w:val="nil"/>
            </w:tcBorders>
            <w:shd w:val="clear" w:color="000000" w:fill="FFFFFF"/>
            <w:noWrap/>
            <w:vAlign w:val="bottom"/>
            <w:hideMark/>
          </w:tcPr>
          <w:p w14:paraId="2BB12A4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0.63%</w:t>
            </w:r>
          </w:p>
        </w:tc>
        <w:tc>
          <w:tcPr>
            <w:tcW w:w="226" w:type="pct"/>
            <w:tcBorders>
              <w:top w:val="nil"/>
              <w:left w:val="nil"/>
              <w:bottom w:val="nil"/>
              <w:right w:val="nil"/>
            </w:tcBorders>
            <w:shd w:val="clear" w:color="000000" w:fill="FFFFFF"/>
            <w:noWrap/>
            <w:vAlign w:val="bottom"/>
            <w:hideMark/>
          </w:tcPr>
          <w:p w14:paraId="46AF877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0.67%</w:t>
            </w:r>
          </w:p>
        </w:tc>
        <w:tc>
          <w:tcPr>
            <w:tcW w:w="226" w:type="pct"/>
            <w:tcBorders>
              <w:top w:val="nil"/>
              <w:left w:val="nil"/>
              <w:bottom w:val="nil"/>
              <w:right w:val="nil"/>
            </w:tcBorders>
            <w:shd w:val="clear" w:color="000000" w:fill="FFFFFF"/>
            <w:noWrap/>
            <w:vAlign w:val="bottom"/>
            <w:hideMark/>
          </w:tcPr>
          <w:p w14:paraId="56EB9C8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0.72%</w:t>
            </w:r>
          </w:p>
        </w:tc>
        <w:tc>
          <w:tcPr>
            <w:tcW w:w="226" w:type="pct"/>
            <w:tcBorders>
              <w:top w:val="nil"/>
              <w:left w:val="nil"/>
              <w:bottom w:val="nil"/>
              <w:right w:val="nil"/>
            </w:tcBorders>
            <w:shd w:val="clear" w:color="000000" w:fill="FFFFFF"/>
            <w:noWrap/>
            <w:vAlign w:val="bottom"/>
            <w:hideMark/>
          </w:tcPr>
          <w:p w14:paraId="27E0631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0.78%</w:t>
            </w:r>
          </w:p>
        </w:tc>
        <w:tc>
          <w:tcPr>
            <w:tcW w:w="226" w:type="pct"/>
            <w:tcBorders>
              <w:top w:val="nil"/>
              <w:left w:val="nil"/>
              <w:bottom w:val="nil"/>
              <w:right w:val="nil"/>
            </w:tcBorders>
            <w:shd w:val="clear" w:color="000000" w:fill="FFFFFF"/>
            <w:noWrap/>
            <w:vAlign w:val="bottom"/>
            <w:hideMark/>
          </w:tcPr>
          <w:p w14:paraId="664591B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0.80%</w:t>
            </w:r>
          </w:p>
        </w:tc>
        <w:tc>
          <w:tcPr>
            <w:tcW w:w="226" w:type="pct"/>
            <w:tcBorders>
              <w:top w:val="nil"/>
              <w:left w:val="nil"/>
              <w:bottom w:val="nil"/>
              <w:right w:val="nil"/>
            </w:tcBorders>
            <w:shd w:val="clear" w:color="000000" w:fill="FFFFFF"/>
            <w:noWrap/>
            <w:vAlign w:val="bottom"/>
            <w:hideMark/>
          </w:tcPr>
          <w:p w14:paraId="15F2F93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2FB9B8E1" w14:textId="77777777" w:rsidTr="006A523F">
        <w:trPr>
          <w:trHeight w:val="20"/>
        </w:trPr>
        <w:tc>
          <w:tcPr>
            <w:tcW w:w="480" w:type="pct"/>
            <w:tcBorders>
              <w:top w:val="nil"/>
              <w:left w:val="nil"/>
              <w:bottom w:val="nil"/>
              <w:right w:val="nil"/>
            </w:tcBorders>
            <w:shd w:val="clear" w:color="000000" w:fill="FFFFFF"/>
            <w:noWrap/>
            <w:vAlign w:val="center"/>
            <w:hideMark/>
          </w:tcPr>
          <w:p w14:paraId="6F0F6B38"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2021</w:t>
            </w:r>
          </w:p>
        </w:tc>
        <w:tc>
          <w:tcPr>
            <w:tcW w:w="449" w:type="pct"/>
            <w:tcBorders>
              <w:top w:val="nil"/>
              <w:left w:val="nil"/>
              <w:bottom w:val="nil"/>
              <w:right w:val="nil"/>
            </w:tcBorders>
            <w:shd w:val="clear" w:color="000000" w:fill="FFFFFF"/>
            <w:noWrap/>
            <w:vAlign w:val="bottom"/>
            <w:hideMark/>
          </w:tcPr>
          <w:p w14:paraId="3D91475E"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2021Q4</w:t>
            </w:r>
          </w:p>
        </w:tc>
        <w:tc>
          <w:tcPr>
            <w:tcW w:w="449" w:type="pct"/>
            <w:tcBorders>
              <w:top w:val="nil"/>
              <w:left w:val="nil"/>
              <w:bottom w:val="nil"/>
              <w:right w:val="nil"/>
            </w:tcBorders>
            <w:shd w:val="clear" w:color="000000" w:fill="FFFFFF"/>
            <w:noWrap/>
            <w:vAlign w:val="center"/>
            <w:hideMark/>
          </w:tcPr>
          <w:p w14:paraId="096BBD1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235,417</w:t>
            </w:r>
          </w:p>
        </w:tc>
        <w:tc>
          <w:tcPr>
            <w:tcW w:w="226" w:type="pct"/>
            <w:tcBorders>
              <w:top w:val="nil"/>
              <w:left w:val="nil"/>
              <w:bottom w:val="nil"/>
              <w:right w:val="nil"/>
            </w:tcBorders>
            <w:shd w:val="clear" w:color="000000" w:fill="FFFFFF"/>
            <w:noWrap/>
            <w:vAlign w:val="bottom"/>
            <w:hideMark/>
          </w:tcPr>
          <w:p w14:paraId="0541C9F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47EDBB7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063D503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793B509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0.07%</w:t>
            </w:r>
          </w:p>
        </w:tc>
        <w:tc>
          <w:tcPr>
            <w:tcW w:w="226" w:type="pct"/>
            <w:tcBorders>
              <w:top w:val="nil"/>
              <w:left w:val="nil"/>
              <w:bottom w:val="nil"/>
              <w:right w:val="nil"/>
            </w:tcBorders>
            <w:shd w:val="clear" w:color="000000" w:fill="FFFFFF"/>
            <w:noWrap/>
            <w:vAlign w:val="bottom"/>
            <w:hideMark/>
          </w:tcPr>
          <w:p w14:paraId="738F2E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0.11%</w:t>
            </w:r>
          </w:p>
        </w:tc>
        <w:tc>
          <w:tcPr>
            <w:tcW w:w="226" w:type="pct"/>
            <w:tcBorders>
              <w:top w:val="nil"/>
              <w:left w:val="nil"/>
              <w:bottom w:val="nil"/>
              <w:right w:val="nil"/>
            </w:tcBorders>
            <w:shd w:val="clear" w:color="000000" w:fill="FFFFFF"/>
            <w:noWrap/>
            <w:vAlign w:val="bottom"/>
            <w:hideMark/>
          </w:tcPr>
          <w:p w14:paraId="56FBDF6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0.15%</w:t>
            </w:r>
          </w:p>
        </w:tc>
        <w:tc>
          <w:tcPr>
            <w:tcW w:w="226" w:type="pct"/>
            <w:tcBorders>
              <w:top w:val="nil"/>
              <w:left w:val="nil"/>
              <w:bottom w:val="nil"/>
              <w:right w:val="nil"/>
            </w:tcBorders>
            <w:shd w:val="clear" w:color="000000" w:fill="FFFFFF"/>
            <w:noWrap/>
            <w:vAlign w:val="bottom"/>
            <w:hideMark/>
          </w:tcPr>
          <w:p w14:paraId="17B740D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0.21%</w:t>
            </w:r>
          </w:p>
        </w:tc>
        <w:tc>
          <w:tcPr>
            <w:tcW w:w="226" w:type="pct"/>
            <w:tcBorders>
              <w:top w:val="nil"/>
              <w:left w:val="nil"/>
              <w:bottom w:val="nil"/>
              <w:right w:val="nil"/>
            </w:tcBorders>
            <w:shd w:val="clear" w:color="000000" w:fill="FFFFFF"/>
            <w:noWrap/>
            <w:vAlign w:val="bottom"/>
            <w:hideMark/>
          </w:tcPr>
          <w:p w14:paraId="6C3EAB8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0.22%</w:t>
            </w:r>
          </w:p>
        </w:tc>
        <w:tc>
          <w:tcPr>
            <w:tcW w:w="226" w:type="pct"/>
            <w:tcBorders>
              <w:top w:val="nil"/>
              <w:left w:val="nil"/>
              <w:bottom w:val="nil"/>
              <w:right w:val="nil"/>
            </w:tcBorders>
            <w:shd w:val="clear" w:color="000000" w:fill="FFFFFF"/>
            <w:noWrap/>
            <w:vAlign w:val="bottom"/>
            <w:hideMark/>
          </w:tcPr>
          <w:p w14:paraId="3B4741D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0.25%</w:t>
            </w:r>
          </w:p>
        </w:tc>
        <w:tc>
          <w:tcPr>
            <w:tcW w:w="226" w:type="pct"/>
            <w:tcBorders>
              <w:top w:val="nil"/>
              <w:left w:val="nil"/>
              <w:bottom w:val="nil"/>
              <w:right w:val="nil"/>
            </w:tcBorders>
            <w:shd w:val="clear" w:color="000000" w:fill="FFFFFF"/>
            <w:noWrap/>
            <w:vAlign w:val="bottom"/>
            <w:hideMark/>
          </w:tcPr>
          <w:p w14:paraId="37B4DEC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0.36%</w:t>
            </w:r>
          </w:p>
        </w:tc>
        <w:tc>
          <w:tcPr>
            <w:tcW w:w="226" w:type="pct"/>
            <w:tcBorders>
              <w:top w:val="nil"/>
              <w:left w:val="nil"/>
              <w:bottom w:val="nil"/>
              <w:right w:val="nil"/>
            </w:tcBorders>
            <w:shd w:val="clear" w:color="000000" w:fill="FFFFFF"/>
            <w:noWrap/>
            <w:vAlign w:val="bottom"/>
            <w:hideMark/>
          </w:tcPr>
          <w:p w14:paraId="30D3F2D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0.43%</w:t>
            </w:r>
          </w:p>
        </w:tc>
        <w:tc>
          <w:tcPr>
            <w:tcW w:w="226" w:type="pct"/>
            <w:tcBorders>
              <w:top w:val="nil"/>
              <w:left w:val="nil"/>
              <w:bottom w:val="nil"/>
              <w:right w:val="nil"/>
            </w:tcBorders>
            <w:shd w:val="clear" w:color="000000" w:fill="FFFFFF"/>
            <w:noWrap/>
            <w:vAlign w:val="bottom"/>
            <w:hideMark/>
          </w:tcPr>
          <w:p w14:paraId="4E187E9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0.50%</w:t>
            </w:r>
          </w:p>
        </w:tc>
        <w:tc>
          <w:tcPr>
            <w:tcW w:w="226" w:type="pct"/>
            <w:tcBorders>
              <w:top w:val="nil"/>
              <w:left w:val="nil"/>
              <w:bottom w:val="nil"/>
              <w:right w:val="nil"/>
            </w:tcBorders>
            <w:shd w:val="clear" w:color="000000" w:fill="FFFFFF"/>
            <w:noWrap/>
            <w:vAlign w:val="bottom"/>
            <w:hideMark/>
          </w:tcPr>
          <w:p w14:paraId="1CBE630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0.54%</w:t>
            </w:r>
          </w:p>
        </w:tc>
        <w:tc>
          <w:tcPr>
            <w:tcW w:w="226" w:type="pct"/>
            <w:tcBorders>
              <w:top w:val="nil"/>
              <w:left w:val="nil"/>
              <w:bottom w:val="nil"/>
              <w:right w:val="nil"/>
            </w:tcBorders>
            <w:shd w:val="clear" w:color="000000" w:fill="FFFFFF"/>
            <w:noWrap/>
            <w:vAlign w:val="bottom"/>
            <w:hideMark/>
          </w:tcPr>
          <w:p w14:paraId="4EEA693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0.62%</w:t>
            </w:r>
          </w:p>
        </w:tc>
        <w:tc>
          <w:tcPr>
            <w:tcW w:w="226" w:type="pct"/>
            <w:tcBorders>
              <w:top w:val="nil"/>
              <w:left w:val="nil"/>
              <w:bottom w:val="nil"/>
              <w:right w:val="nil"/>
            </w:tcBorders>
            <w:shd w:val="clear" w:color="000000" w:fill="FFFFFF"/>
            <w:noWrap/>
            <w:vAlign w:val="bottom"/>
            <w:hideMark/>
          </w:tcPr>
          <w:p w14:paraId="11D298F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74290C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49E864AD" w14:textId="77777777" w:rsidTr="006A523F">
        <w:trPr>
          <w:trHeight w:val="20"/>
        </w:trPr>
        <w:tc>
          <w:tcPr>
            <w:tcW w:w="480" w:type="pct"/>
            <w:tcBorders>
              <w:top w:val="nil"/>
              <w:left w:val="nil"/>
              <w:bottom w:val="nil"/>
              <w:right w:val="nil"/>
            </w:tcBorders>
            <w:shd w:val="clear" w:color="000000" w:fill="FFFFFF"/>
            <w:noWrap/>
            <w:vAlign w:val="center"/>
            <w:hideMark/>
          </w:tcPr>
          <w:p w14:paraId="02F65041"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2022</w:t>
            </w:r>
          </w:p>
        </w:tc>
        <w:tc>
          <w:tcPr>
            <w:tcW w:w="449" w:type="pct"/>
            <w:tcBorders>
              <w:top w:val="nil"/>
              <w:left w:val="nil"/>
              <w:bottom w:val="nil"/>
              <w:right w:val="nil"/>
            </w:tcBorders>
            <w:shd w:val="clear" w:color="000000" w:fill="FFFFFF"/>
            <w:noWrap/>
            <w:vAlign w:val="bottom"/>
            <w:hideMark/>
          </w:tcPr>
          <w:p w14:paraId="3E719026"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2022Q1</w:t>
            </w:r>
          </w:p>
        </w:tc>
        <w:tc>
          <w:tcPr>
            <w:tcW w:w="449" w:type="pct"/>
            <w:tcBorders>
              <w:top w:val="nil"/>
              <w:left w:val="nil"/>
              <w:bottom w:val="nil"/>
              <w:right w:val="nil"/>
            </w:tcBorders>
            <w:shd w:val="clear" w:color="000000" w:fill="FFFFFF"/>
            <w:noWrap/>
            <w:vAlign w:val="center"/>
            <w:hideMark/>
          </w:tcPr>
          <w:p w14:paraId="25B3E70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200,013</w:t>
            </w:r>
          </w:p>
        </w:tc>
        <w:tc>
          <w:tcPr>
            <w:tcW w:w="226" w:type="pct"/>
            <w:tcBorders>
              <w:top w:val="nil"/>
              <w:left w:val="nil"/>
              <w:bottom w:val="nil"/>
              <w:right w:val="nil"/>
            </w:tcBorders>
            <w:shd w:val="clear" w:color="000000" w:fill="FFFFFF"/>
            <w:noWrap/>
            <w:vAlign w:val="bottom"/>
            <w:hideMark/>
          </w:tcPr>
          <w:p w14:paraId="01B31DF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4F912A1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0F09091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68AE28B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0.06%</w:t>
            </w:r>
          </w:p>
        </w:tc>
        <w:tc>
          <w:tcPr>
            <w:tcW w:w="226" w:type="pct"/>
            <w:tcBorders>
              <w:top w:val="nil"/>
              <w:left w:val="nil"/>
              <w:bottom w:val="nil"/>
              <w:right w:val="nil"/>
            </w:tcBorders>
            <w:shd w:val="clear" w:color="000000" w:fill="FFFFFF"/>
            <w:noWrap/>
            <w:vAlign w:val="bottom"/>
            <w:hideMark/>
          </w:tcPr>
          <w:p w14:paraId="7C5DF11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0.13%</w:t>
            </w:r>
          </w:p>
        </w:tc>
        <w:tc>
          <w:tcPr>
            <w:tcW w:w="226" w:type="pct"/>
            <w:tcBorders>
              <w:top w:val="nil"/>
              <w:left w:val="nil"/>
              <w:bottom w:val="nil"/>
              <w:right w:val="nil"/>
            </w:tcBorders>
            <w:shd w:val="clear" w:color="000000" w:fill="FFFFFF"/>
            <w:noWrap/>
            <w:vAlign w:val="bottom"/>
            <w:hideMark/>
          </w:tcPr>
          <w:p w14:paraId="3AF7DB8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0.17%</w:t>
            </w:r>
          </w:p>
        </w:tc>
        <w:tc>
          <w:tcPr>
            <w:tcW w:w="226" w:type="pct"/>
            <w:tcBorders>
              <w:top w:val="nil"/>
              <w:left w:val="nil"/>
              <w:bottom w:val="nil"/>
              <w:right w:val="nil"/>
            </w:tcBorders>
            <w:shd w:val="clear" w:color="000000" w:fill="FFFFFF"/>
            <w:noWrap/>
            <w:vAlign w:val="bottom"/>
            <w:hideMark/>
          </w:tcPr>
          <w:p w14:paraId="51AE66F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0.27%</w:t>
            </w:r>
          </w:p>
        </w:tc>
        <w:tc>
          <w:tcPr>
            <w:tcW w:w="226" w:type="pct"/>
            <w:tcBorders>
              <w:top w:val="nil"/>
              <w:left w:val="nil"/>
              <w:bottom w:val="nil"/>
              <w:right w:val="nil"/>
            </w:tcBorders>
            <w:shd w:val="clear" w:color="000000" w:fill="FFFFFF"/>
            <w:noWrap/>
            <w:vAlign w:val="bottom"/>
            <w:hideMark/>
          </w:tcPr>
          <w:p w14:paraId="2AB2160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0.31%</w:t>
            </w:r>
          </w:p>
        </w:tc>
        <w:tc>
          <w:tcPr>
            <w:tcW w:w="226" w:type="pct"/>
            <w:tcBorders>
              <w:top w:val="nil"/>
              <w:left w:val="nil"/>
              <w:bottom w:val="nil"/>
              <w:right w:val="nil"/>
            </w:tcBorders>
            <w:shd w:val="clear" w:color="000000" w:fill="FFFFFF"/>
            <w:noWrap/>
            <w:vAlign w:val="bottom"/>
            <w:hideMark/>
          </w:tcPr>
          <w:p w14:paraId="0D032E9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0.44%</w:t>
            </w:r>
          </w:p>
        </w:tc>
        <w:tc>
          <w:tcPr>
            <w:tcW w:w="226" w:type="pct"/>
            <w:tcBorders>
              <w:top w:val="nil"/>
              <w:left w:val="nil"/>
              <w:bottom w:val="nil"/>
              <w:right w:val="nil"/>
            </w:tcBorders>
            <w:shd w:val="clear" w:color="000000" w:fill="FFFFFF"/>
            <w:noWrap/>
            <w:vAlign w:val="bottom"/>
            <w:hideMark/>
          </w:tcPr>
          <w:p w14:paraId="4E1FCF0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0.49%</w:t>
            </w:r>
          </w:p>
        </w:tc>
        <w:tc>
          <w:tcPr>
            <w:tcW w:w="226" w:type="pct"/>
            <w:tcBorders>
              <w:top w:val="nil"/>
              <w:left w:val="nil"/>
              <w:bottom w:val="nil"/>
              <w:right w:val="nil"/>
            </w:tcBorders>
            <w:shd w:val="clear" w:color="000000" w:fill="FFFFFF"/>
            <w:noWrap/>
            <w:vAlign w:val="bottom"/>
            <w:hideMark/>
          </w:tcPr>
          <w:p w14:paraId="3555BD1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0.56%</w:t>
            </w:r>
          </w:p>
        </w:tc>
        <w:tc>
          <w:tcPr>
            <w:tcW w:w="226" w:type="pct"/>
            <w:tcBorders>
              <w:top w:val="nil"/>
              <w:left w:val="nil"/>
              <w:bottom w:val="nil"/>
              <w:right w:val="nil"/>
            </w:tcBorders>
            <w:shd w:val="clear" w:color="000000" w:fill="FFFFFF"/>
            <w:noWrap/>
            <w:vAlign w:val="bottom"/>
            <w:hideMark/>
          </w:tcPr>
          <w:p w14:paraId="354335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0.67%</w:t>
            </w:r>
          </w:p>
        </w:tc>
        <w:tc>
          <w:tcPr>
            <w:tcW w:w="226" w:type="pct"/>
            <w:tcBorders>
              <w:top w:val="nil"/>
              <w:left w:val="nil"/>
              <w:bottom w:val="nil"/>
              <w:right w:val="nil"/>
            </w:tcBorders>
            <w:shd w:val="clear" w:color="000000" w:fill="FFFFFF"/>
            <w:noWrap/>
            <w:vAlign w:val="bottom"/>
            <w:hideMark/>
          </w:tcPr>
          <w:p w14:paraId="6E6C3B8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0.75%</w:t>
            </w:r>
          </w:p>
        </w:tc>
        <w:tc>
          <w:tcPr>
            <w:tcW w:w="226" w:type="pct"/>
            <w:tcBorders>
              <w:top w:val="nil"/>
              <w:left w:val="nil"/>
              <w:bottom w:val="nil"/>
              <w:right w:val="nil"/>
            </w:tcBorders>
            <w:shd w:val="clear" w:color="000000" w:fill="FFFFFF"/>
            <w:noWrap/>
            <w:vAlign w:val="bottom"/>
            <w:hideMark/>
          </w:tcPr>
          <w:p w14:paraId="493450B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708FF1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F2F6FF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1E44D46F" w14:textId="77777777" w:rsidTr="006A523F">
        <w:trPr>
          <w:trHeight w:val="20"/>
        </w:trPr>
        <w:tc>
          <w:tcPr>
            <w:tcW w:w="480" w:type="pct"/>
            <w:tcBorders>
              <w:top w:val="nil"/>
              <w:left w:val="nil"/>
              <w:bottom w:val="nil"/>
              <w:right w:val="nil"/>
            </w:tcBorders>
            <w:shd w:val="clear" w:color="000000" w:fill="FFFFFF"/>
            <w:noWrap/>
            <w:vAlign w:val="center"/>
            <w:hideMark/>
          </w:tcPr>
          <w:p w14:paraId="736B0EEC"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2022</w:t>
            </w:r>
          </w:p>
        </w:tc>
        <w:tc>
          <w:tcPr>
            <w:tcW w:w="449" w:type="pct"/>
            <w:tcBorders>
              <w:top w:val="nil"/>
              <w:left w:val="nil"/>
              <w:bottom w:val="nil"/>
              <w:right w:val="nil"/>
            </w:tcBorders>
            <w:shd w:val="clear" w:color="000000" w:fill="FFFFFF"/>
            <w:noWrap/>
            <w:vAlign w:val="bottom"/>
            <w:hideMark/>
          </w:tcPr>
          <w:p w14:paraId="6D2857E9"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2022Q2</w:t>
            </w:r>
          </w:p>
        </w:tc>
        <w:tc>
          <w:tcPr>
            <w:tcW w:w="449" w:type="pct"/>
            <w:tcBorders>
              <w:top w:val="nil"/>
              <w:left w:val="nil"/>
              <w:bottom w:val="nil"/>
              <w:right w:val="nil"/>
            </w:tcBorders>
            <w:shd w:val="clear" w:color="000000" w:fill="FFFFFF"/>
            <w:noWrap/>
            <w:vAlign w:val="center"/>
            <w:hideMark/>
          </w:tcPr>
          <w:p w14:paraId="3FC1804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166,084</w:t>
            </w:r>
          </w:p>
        </w:tc>
        <w:tc>
          <w:tcPr>
            <w:tcW w:w="226" w:type="pct"/>
            <w:tcBorders>
              <w:top w:val="nil"/>
              <w:left w:val="nil"/>
              <w:bottom w:val="nil"/>
              <w:right w:val="nil"/>
            </w:tcBorders>
            <w:shd w:val="clear" w:color="000000" w:fill="FFFFFF"/>
            <w:noWrap/>
            <w:vAlign w:val="bottom"/>
            <w:hideMark/>
          </w:tcPr>
          <w:p w14:paraId="7D63F12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7E271D3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3D989BB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229AF2D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0.07%</w:t>
            </w:r>
          </w:p>
        </w:tc>
        <w:tc>
          <w:tcPr>
            <w:tcW w:w="226" w:type="pct"/>
            <w:tcBorders>
              <w:top w:val="nil"/>
              <w:left w:val="nil"/>
              <w:bottom w:val="nil"/>
              <w:right w:val="nil"/>
            </w:tcBorders>
            <w:shd w:val="clear" w:color="000000" w:fill="FFFFFF"/>
            <w:noWrap/>
            <w:vAlign w:val="bottom"/>
            <w:hideMark/>
          </w:tcPr>
          <w:p w14:paraId="2D629B1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0.16%</w:t>
            </w:r>
          </w:p>
        </w:tc>
        <w:tc>
          <w:tcPr>
            <w:tcW w:w="226" w:type="pct"/>
            <w:tcBorders>
              <w:top w:val="nil"/>
              <w:left w:val="nil"/>
              <w:bottom w:val="nil"/>
              <w:right w:val="nil"/>
            </w:tcBorders>
            <w:shd w:val="clear" w:color="000000" w:fill="FFFFFF"/>
            <w:noWrap/>
            <w:vAlign w:val="bottom"/>
            <w:hideMark/>
          </w:tcPr>
          <w:p w14:paraId="3AE38BC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4677334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0.27%</w:t>
            </w:r>
          </w:p>
        </w:tc>
        <w:tc>
          <w:tcPr>
            <w:tcW w:w="226" w:type="pct"/>
            <w:tcBorders>
              <w:top w:val="nil"/>
              <w:left w:val="nil"/>
              <w:bottom w:val="nil"/>
              <w:right w:val="nil"/>
            </w:tcBorders>
            <w:shd w:val="clear" w:color="000000" w:fill="FFFFFF"/>
            <w:noWrap/>
            <w:vAlign w:val="bottom"/>
            <w:hideMark/>
          </w:tcPr>
          <w:p w14:paraId="65F6212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0.40%</w:t>
            </w:r>
          </w:p>
        </w:tc>
        <w:tc>
          <w:tcPr>
            <w:tcW w:w="226" w:type="pct"/>
            <w:tcBorders>
              <w:top w:val="nil"/>
              <w:left w:val="nil"/>
              <w:bottom w:val="nil"/>
              <w:right w:val="nil"/>
            </w:tcBorders>
            <w:shd w:val="clear" w:color="000000" w:fill="FFFFFF"/>
            <w:noWrap/>
            <w:vAlign w:val="bottom"/>
            <w:hideMark/>
          </w:tcPr>
          <w:p w14:paraId="2E62952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0.43%</w:t>
            </w:r>
          </w:p>
        </w:tc>
        <w:tc>
          <w:tcPr>
            <w:tcW w:w="226" w:type="pct"/>
            <w:tcBorders>
              <w:top w:val="nil"/>
              <w:left w:val="nil"/>
              <w:bottom w:val="nil"/>
              <w:right w:val="nil"/>
            </w:tcBorders>
            <w:shd w:val="clear" w:color="000000" w:fill="FFFFFF"/>
            <w:noWrap/>
            <w:vAlign w:val="bottom"/>
            <w:hideMark/>
          </w:tcPr>
          <w:p w14:paraId="1700FE0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0.53%</w:t>
            </w:r>
          </w:p>
        </w:tc>
        <w:tc>
          <w:tcPr>
            <w:tcW w:w="226" w:type="pct"/>
            <w:tcBorders>
              <w:top w:val="nil"/>
              <w:left w:val="nil"/>
              <w:bottom w:val="nil"/>
              <w:right w:val="nil"/>
            </w:tcBorders>
            <w:shd w:val="clear" w:color="000000" w:fill="FFFFFF"/>
            <w:noWrap/>
            <w:vAlign w:val="bottom"/>
            <w:hideMark/>
          </w:tcPr>
          <w:p w14:paraId="1C1DBB2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0.68%</w:t>
            </w:r>
          </w:p>
        </w:tc>
        <w:tc>
          <w:tcPr>
            <w:tcW w:w="226" w:type="pct"/>
            <w:tcBorders>
              <w:top w:val="nil"/>
              <w:left w:val="nil"/>
              <w:bottom w:val="nil"/>
              <w:right w:val="nil"/>
            </w:tcBorders>
            <w:shd w:val="clear" w:color="000000" w:fill="FFFFFF"/>
            <w:noWrap/>
            <w:vAlign w:val="bottom"/>
            <w:hideMark/>
          </w:tcPr>
          <w:p w14:paraId="3BA220A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0.74%</w:t>
            </w:r>
          </w:p>
        </w:tc>
        <w:tc>
          <w:tcPr>
            <w:tcW w:w="226" w:type="pct"/>
            <w:tcBorders>
              <w:top w:val="nil"/>
              <w:left w:val="nil"/>
              <w:bottom w:val="nil"/>
              <w:right w:val="nil"/>
            </w:tcBorders>
            <w:shd w:val="clear" w:color="000000" w:fill="FFFFFF"/>
            <w:noWrap/>
            <w:vAlign w:val="bottom"/>
            <w:hideMark/>
          </w:tcPr>
          <w:p w14:paraId="55CCBF0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AC9472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6BACA2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46EA1C1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6F143F17" w14:textId="77777777" w:rsidTr="006A523F">
        <w:trPr>
          <w:trHeight w:val="20"/>
        </w:trPr>
        <w:tc>
          <w:tcPr>
            <w:tcW w:w="480" w:type="pct"/>
            <w:tcBorders>
              <w:top w:val="nil"/>
              <w:left w:val="nil"/>
              <w:bottom w:val="nil"/>
              <w:right w:val="nil"/>
            </w:tcBorders>
            <w:shd w:val="clear" w:color="000000" w:fill="FFFFFF"/>
            <w:noWrap/>
            <w:vAlign w:val="center"/>
            <w:hideMark/>
          </w:tcPr>
          <w:p w14:paraId="519668A3"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2022</w:t>
            </w:r>
          </w:p>
        </w:tc>
        <w:tc>
          <w:tcPr>
            <w:tcW w:w="449" w:type="pct"/>
            <w:tcBorders>
              <w:top w:val="nil"/>
              <w:left w:val="nil"/>
              <w:bottom w:val="nil"/>
              <w:right w:val="nil"/>
            </w:tcBorders>
            <w:shd w:val="clear" w:color="000000" w:fill="FFFFFF"/>
            <w:noWrap/>
            <w:vAlign w:val="bottom"/>
            <w:hideMark/>
          </w:tcPr>
          <w:p w14:paraId="1239058B"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2022Q3</w:t>
            </w:r>
          </w:p>
        </w:tc>
        <w:tc>
          <w:tcPr>
            <w:tcW w:w="449" w:type="pct"/>
            <w:tcBorders>
              <w:top w:val="nil"/>
              <w:left w:val="nil"/>
              <w:bottom w:val="nil"/>
              <w:right w:val="nil"/>
            </w:tcBorders>
            <w:shd w:val="clear" w:color="000000" w:fill="FFFFFF"/>
            <w:noWrap/>
            <w:vAlign w:val="center"/>
            <w:hideMark/>
          </w:tcPr>
          <w:p w14:paraId="30964E2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148,996</w:t>
            </w:r>
          </w:p>
        </w:tc>
        <w:tc>
          <w:tcPr>
            <w:tcW w:w="226" w:type="pct"/>
            <w:tcBorders>
              <w:top w:val="nil"/>
              <w:left w:val="nil"/>
              <w:bottom w:val="nil"/>
              <w:right w:val="nil"/>
            </w:tcBorders>
            <w:shd w:val="clear" w:color="000000" w:fill="FFFFFF"/>
            <w:noWrap/>
            <w:vAlign w:val="bottom"/>
            <w:hideMark/>
          </w:tcPr>
          <w:p w14:paraId="11422CC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32BBAD2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4ED634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0205FBD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0.12%</w:t>
            </w:r>
          </w:p>
        </w:tc>
        <w:tc>
          <w:tcPr>
            <w:tcW w:w="226" w:type="pct"/>
            <w:tcBorders>
              <w:top w:val="nil"/>
              <w:left w:val="nil"/>
              <w:bottom w:val="nil"/>
              <w:right w:val="nil"/>
            </w:tcBorders>
            <w:shd w:val="clear" w:color="000000" w:fill="FFFFFF"/>
            <w:noWrap/>
            <w:vAlign w:val="bottom"/>
            <w:hideMark/>
          </w:tcPr>
          <w:p w14:paraId="3A9B8CF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0.15%</w:t>
            </w:r>
          </w:p>
        </w:tc>
        <w:tc>
          <w:tcPr>
            <w:tcW w:w="226" w:type="pct"/>
            <w:tcBorders>
              <w:top w:val="nil"/>
              <w:left w:val="nil"/>
              <w:bottom w:val="nil"/>
              <w:right w:val="nil"/>
            </w:tcBorders>
            <w:shd w:val="clear" w:color="000000" w:fill="FFFFFF"/>
            <w:noWrap/>
            <w:vAlign w:val="bottom"/>
            <w:hideMark/>
          </w:tcPr>
          <w:p w14:paraId="7C7CF25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0.18%</w:t>
            </w:r>
          </w:p>
        </w:tc>
        <w:tc>
          <w:tcPr>
            <w:tcW w:w="226" w:type="pct"/>
            <w:tcBorders>
              <w:top w:val="nil"/>
              <w:left w:val="nil"/>
              <w:bottom w:val="nil"/>
              <w:right w:val="nil"/>
            </w:tcBorders>
            <w:shd w:val="clear" w:color="000000" w:fill="FFFFFF"/>
            <w:noWrap/>
            <w:vAlign w:val="bottom"/>
            <w:hideMark/>
          </w:tcPr>
          <w:p w14:paraId="606922E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0.34%</w:t>
            </w:r>
          </w:p>
        </w:tc>
        <w:tc>
          <w:tcPr>
            <w:tcW w:w="226" w:type="pct"/>
            <w:tcBorders>
              <w:top w:val="nil"/>
              <w:left w:val="nil"/>
              <w:bottom w:val="nil"/>
              <w:right w:val="nil"/>
            </w:tcBorders>
            <w:shd w:val="clear" w:color="000000" w:fill="FFFFFF"/>
            <w:noWrap/>
            <w:vAlign w:val="bottom"/>
            <w:hideMark/>
          </w:tcPr>
          <w:p w14:paraId="3C6D068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0.40%</w:t>
            </w:r>
          </w:p>
        </w:tc>
        <w:tc>
          <w:tcPr>
            <w:tcW w:w="226" w:type="pct"/>
            <w:tcBorders>
              <w:top w:val="nil"/>
              <w:left w:val="nil"/>
              <w:bottom w:val="nil"/>
              <w:right w:val="nil"/>
            </w:tcBorders>
            <w:shd w:val="clear" w:color="000000" w:fill="FFFFFF"/>
            <w:noWrap/>
            <w:vAlign w:val="bottom"/>
            <w:hideMark/>
          </w:tcPr>
          <w:p w14:paraId="3D9F761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0.47%</w:t>
            </w:r>
          </w:p>
        </w:tc>
        <w:tc>
          <w:tcPr>
            <w:tcW w:w="226" w:type="pct"/>
            <w:tcBorders>
              <w:top w:val="nil"/>
              <w:left w:val="nil"/>
              <w:bottom w:val="nil"/>
              <w:right w:val="nil"/>
            </w:tcBorders>
            <w:shd w:val="clear" w:color="000000" w:fill="FFFFFF"/>
            <w:noWrap/>
            <w:vAlign w:val="bottom"/>
            <w:hideMark/>
          </w:tcPr>
          <w:p w14:paraId="2982AB3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0.59%</w:t>
            </w:r>
          </w:p>
        </w:tc>
        <w:tc>
          <w:tcPr>
            <w:tcW w:w="226" w:type="pct"/>
            <w:tcBorders>
              <w:top w:val="nil"/>
              <w:left w:val="nil"/>
              <w:bottom w:val="nil"/>
              <w:right w:val="nil"/>
            </w:tcBorders>
            <w:shd w:val="clear" w:color="000000" w:fill="FFFFFF"/>
            <w:noWrap/>
            <w:vAlign w:val="bottom"/>
            <w:hideMark/>
          </w:tcPr>
          <w:p w14:paraId="14EF732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0.74%</w:t>
            </w:r>
          </w:p>
        </w:tc>
        <w:tc>
          <w:tcPr>
            <w:tcW w:w="226" w:type="pct"/>
            <w:tcBorders>
              <w:top w:val="nil"/>
              <w:left w:val="nil"/>
              <w:bottom w:val="nil"/>
              <w:right w:val="nil"/>
            </w:tcBorders>
            <w:shd w:val="clear" w:color="000000" w:fill="FFFFFF"/>
            <w:noWrap/>
            <w:vAlign w:val="bottom"/>
            <w:hideMark/>
          </w:tcPr>
          <w:p w14:paraId="4120DFD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5389BB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7BB90E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41B3CA2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960511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452BDE57" w14:textId="77777777" w:rsidTr="006A523F">
        <w:trPr>
          <w:trHeight w:val="20"/>
        </w:trPr>
        <w:tc>
          <w:tcPr>
            <w:tcW w:w="480" w:type="pct"/>
            <w:tcBorders>
              <w:top w:val="nil"/>
              <w:left w:val="nil"/>
              <w:bottom w:val="nil"/>
              <w:right w:val="nil"/>
            </w:tcBorders>
            <w:shd w:val="clear" w:color="000000" w:fill="FFFFFF"/>
            <w:noWrap/>
            <w:vAlign w:val="center"/>
            <w:hideMark/>
          </w:tcPr>
          <w:p w14:paraId="76C53DBA"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2022</w:t>
            </w:r>
          </w:p>
        </w:tc>
        <w:tc>
          <w:tcPr>
            <w:tcW w:w="449" w:type="pct"/>
            <w:tcBorders>
              <w:top w:val="nil"/>
              <w:left w:val="nil"/>
              <w:bottom w:val="nil"/>
              <w:right w:val="nil"/>
            </w:tcBorders>
            <w:shd w:val="clear" w:color="000000" w:fill="FFFFFF"/>
            <w:noWrap/>
            <w:vAlign w:val="bottom"/>
            <w:hideMark/>
          </w:tcPr>
          <w:p w14:paraId="07DE09D3"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2022Q4</w:t>
            </w:r>
          </w:p>
        </w:tc>
        <w:tc>
          <w:tcPr>
            <w:tcW w:w="449" w:type="pct"/>
            <w:tcBorders>
              <w:top w:val="nil"/>
              <w:left w:val="nil"/>
              <w:bottom w:val="nil"/>
              <w:right w:val="nil"/>
            </w:tcBorders>
            <w:shd w:val="clear" w:color="000000" w:fill="FFFFFF"/>
            <w:noWrap/>
            <w:vAlign w:val="center"/>
            <w:hideMark/>
          </w:tcPr>
          <w:p w14:paraId="6C2BA3D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197,736</w:t>
            </w:r>
          </w:p>
        </w:tc>
        <w:tc>
          <w:tcPr>
            <w:tcW w:w="226" w:type="pct"/>
            <w:tcBorders>
              <w:top w:val="nil"/>
              <w:left w:val="nil"/>
              <w:bottom w:val="nil"/>
              <w:right w:val="nil"/>
            </w:tcBorders>
            <w:shd w:val="clear" w:color="000000" w:fill="FFFFFF"/>
            <w:noWrap/>
            <w:vAlign w:val="bottom"/>
            <w:hideMark/>
          </w:tcPr>
          <w:p w14:paraId="613A48A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402E43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4DF939B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0.11%</w:t>
            </w:r>
          </w:p>
        </w:tc>
        <w:tc>
          <w:tcPr>
            <w:tcW w:w="226" w:type="pct"/>
            <w:tcBorders>
              <w:top w:val="nil"/>
              <w:left w:val="nil"/>
              <w:bottom w:val="nil"/>
              <w:right w:val="nil"/>
            </w:tcBorders>
            <w:shd w:val="clear" w:color="000000" w:fill="FFFFFF"/>
            <w:noWrap/>
            <w:vAlign w:val="bottom"/>
            <w:hideMark/>
          </w:tcPr>
          <w:p w14:paraId="6D27FC5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0.16%</w:t>
            </w:r>
          </w:p>
        </w:tc>
        <w:tc>
          <w:tcPr>
            <w:tcW w:w="226" w:type="pct"/>
            <w:tcBorders>
              <w:top w:val="nil"/>
              <w:left w:val="nil"/>
              <w:bottom w:val="nil"/>
              <w:right w:val="nil"/>
            </w:tcBorders>
            <w:shd w:val="clear" w:color="000000" w:fill="FFFFFF"/>
            <w:noWrap/>
            <w:vAlign w:val="bottom"/>
            <w:hideMark/>
          </w:tcPr>
          <w:p w14:paraId="320988A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0.19%</w:t>
            </w:r>
          </w:p>
        </w:tc>
        <w:tc>
          <w:tcPr>
            <w:tcW w:w="226" w:type="pct"/>
            <w:tcBorders>
              <w:top w:val="nil"/>
              <w:left w:val="nil"/>
              <w:bottom w:val="nil"/>
              <w:right w:val="nil"/>
            </w:tcBorders>
            <w:shd w:val="clear" w:color="000000" w:fill="FFFFFF"/>
            <w:noWrap/>
            <w:vAlign w:val="bottom"/>
            <w:hideMark/>
          </w:tcPr>
          <w:p w14:paraId="32CC34B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0.29%</w:t>
            </w:r>
          </w:p>
        </w:tc>
        <w:tc>
          <w:tcPr>
            <w:tcW w:w="226" w:type="pct"/>
            <w:tcBorders>
              <w:top w:val="nil"/>
              <w:left w:val="nil"/>
              <w:bottom w:val="nil"/>
              <w:right w:val="nil"/>
            </w:tcBorders>
            <w:shd w:val="clear" w:color="000000" w:fill="FFFFFF"/>
            <w:noWrap/>
            <w:vAlign w:val="bottom"/>
            <w:hideMark/>
          </w:tcPr>
          <w:p w14:paraId="5F0F970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0.36%</w:t>
            </w:r>
          </w:p>
        </w:tc>
        <w:tc>
          <w:tcPr>
            <w:tcW w:w="226" w:type="pct"/>
            <w:tcBorders>
              <w:top w:val="nil"/>
              <w:left w:val="nil"/>
              <w:bottom w:val="nil"/>
              <w:right w:val="nil"/>
            </w:tcBorders>
            <w:shd w:val="clear" w:color="000000" w:fill="FFFFFF"/>
            <w:noWrap/>
            <w:vAlign w:val="bottom"/>
            <w:hideMark/>
          </w:tcPr>
          <w:p w14:paraId="742241C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0.38%</w:t>
            </w:r>
          </w:p>
        </w:tc>
        <w:tc>
          <w:tcPr>
            <w:tcW w:w="226" w:type="pct"/>
            <w:tcBorders>
              <w:top w:val="nil"/>
              <w:left w:val="nil"/>
              <w:bottom w:val="nil"/>
              <w:right w:val="nil"/>
            </w:tcBorders>
            <w:shd w:val="clear" w:color="000000" w:fill="FFFFFF"/>
            <w:noWrap/>
            <w:vAlign w:val="bottom"/>
            <w:hideMark/>
          </w:tcPr>
          <w:p w14:paraId="614380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0.50%</w:t>
            </w:r>
          </w:p>
        </w:tc>
        <w:tc>
          <w:tcPr>
            <w:tcW w:w="226" w:type="pct"/>
            <w:tcBorders>
              <w:top w:val="nil"/>
              <w:left w:val="nil"/>
              <w:bottom w:val="nil"/>
              <w:right w:val="nil"/>
            </w:tcBorders>
            <w:shd w:val="clear" w:color="000000" w:fill="FFFFFF"/>
            <w:noWrap/>
            <w:vAlign w:val="bottom"/>
            <w:hideMark/>
          </w:tcPr>
          <w:p w14:paraId="75A9B56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0.61%</w:t>
            </w:r>
          </w:p>
        </w:tc>
        <w:tc>
          <w:tcPr>
            <w:tcW w:w="226" w:type="pct"/>
            <w:tcBorders>
              <w:top w:val="nil"/>
              <w:left w:val="nil"/>
              <w:bottom w:val="nil"/>
              <w:right w:val="nil"/>
            </w:tcBorders>
            <w:shd w:val="clear" w:color="000000" w:fill="FFFFFF"/>
            <w:noWrap/>
            <w:vAlign w:val="bottom"/>
            <w:hideMark/>
          </w:tcPr>
          <w:p w14:paraId="0AA18E0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2D3945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9EDAA1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DA3E77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43F46EC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34B273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25D8F003" w14:textId="77777777" w:rsidTr="006A523F">
        <w:trPr>
          <w:trHeight w:val="20"/>
        </w:trPr>
        <w:tc>
          <w:tcPr>
            <w:tcW w:w="480" w:type="pct"/>
            <w:tcBorders>
              <w:top w:val="nil"/>
              <w:left w:val="nil"/>
              <w:bottom w:val="nil"/>
              <w:right w:val="nil"/>
            </w:tcBorders>
            <w:shd w:val="clear" w:color="000000" w:fill="FFFFFF"/>
            <w:noWrap/>
            <w:vAlign w:val="center"/>
            <w:hideMark/>
          </w:tcPr>
          <w:p w14:paraId="3EFD9163"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2023</w:t>
            </w:r>
          </w:p>
        </w:tc>
        <w:tc>
          <w:tcPr>
            <w:tcW w:w="449" w:type="pct"/>
            <w:tcBorders>
              <w:top w:val="nil"/>
              <w:left w:val="nil"/>
              <w:bottom w:val="nil"/>
              <w:right w:val="nil"/>
            </w:tcBorders>
            <w:shd w:val="clear" w:color="000000" w:fill="FFFFFF"/>
            <w:noWrap/>
            <w:vAlign w:val="bottom"/>
            <w:hideMark/>
          </w:tcPr>
          <w:p w14:paraId="20BF5E61"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2023Q1</w:t>
            </w:r>
          </w:p>
        </w:tc>
        <w:tc>
          <w:tcPr>
            <w:tcW w:w="449" w:type="pct"/>
            <w:tcBorders>
              <w:top w:val="nil"/>
              <w:left w:val="nil"/>
              <w:bottom w:val="nil"/>
              <w:right w:val="nil"/>
            </w:tcBorders>
            <w:shd w:val="clear" w:color="000000" w:fill="FFFFFF"/>
            <w:noWrap/>
            <w:vAlign w:val="center"/>
            <w:hideMark/>
          </w:tcPr>
          <w:p w14:paraId="689479C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160,205</w:t>
            </w:r>
          </w:p>
        </w:tc>
        <w:tc>
          <w:tcPr>
            <w:tcW w:w="226" w:type="pct"/>
            <w:tcBorders>
              <w:top w:val="nil"/>
              <w:left w:val="nil"/>
              <w:bottom w:val="nil"/>
              <w:right w:val="nil"/>
            </w:tcBorders>
            <w:shd w:val="clear" w:color="000000" w:fill="FFFFFF"/>
            <w:noWrap/>
            <w:vAlign w:val="bottom"/>
            <w:hideMark/>
          </w:tcPr>
          <w:p w14:paraId="2311305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65778FE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36D79FA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0.06%</w:t>
            </w:r>
          </w:p>
        </w:tc>
        <w:tc>
          <w:tcPr>
            <w:tcW w:w="226" w:type="pct"/>
            <w:tcBorders>
              <w:top w:val="nil"/>
              <w:left w:val="nil"/>
              <w:bottom w:val="nil"/>
              <w:right w:val="nil"/>
            </w:tcBorders>
            <w:shd w:val="clear" w:color="000000" w:fill="FFFFFF"/>
            <w:noWrap/>
            <w:vAlign w:val="bottom"/>
            <w:hideMark/>
          </w:tcPr>
          <w:p w14:paraId="0913A4C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0.08%</w:t>
            </w:r>
          </w:p>
        </w:tc>
        <w:tc>
          <w:tcPr>
            <w:tcW w:w="226" w:type="pct"/>
            <w:tcBorders>
              <w:top w:val="nil"/>
              <w:left w:val="nil"/>
              <w:bottom w:val="nil"/>
              <w:right w:val="nil"/>
            </w:tcBorders>
            <w:shd w:val="clear" w:color="000000" w:fill="FFFFFF"/>
            <w:noWrap/>
            <w:vAlign w:val="bottom"/>
            <w:hideMark/>
          </w:tcPr>
          <w:p w14:paraId="51A43B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0.23%</w:t>
            </w:r>
          </w:p>
        </w:tc>
        <w:tc>
          <w:tcPr>
            <w:tcW w:w="226" w:type="pct"/>
            <w:tcBorders>
              <w:top w:val="nil"/>
              <w:left w:val="nil"/>
              <w:bottom w:val="nil"/>
              <w:right w:val="nil"/>
            </w:tcBorders>
            <w:shd w:val="clear" w:color="000000" w:fill="FFFFFF"/>
            <w:noWrap/>
            <w:vAlign w:val="bottom"/>
            <w:hideMark/>
          </w:tcPr>
          <w:p w14:paraId="248F8BB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0.25%</w:t>
            </w:r>
          </w:p>
        </w:tc>
        <w:tc>
          <w:tcPr>
            <w:tcW w:w="226" w:type="pct"/>
            <w:tcBorders>
              <w:top w:val="nil"/>
              <w:left w:val="nil"/>
              <w:bottom w:val="nil"/>
              <w:right w:val="nil"/>
            </w:tcBorders>
            <w:shd w:val="clear" w:color="000000" w:fill="FFFFFF"/>
            <w:noWrap/>
            <w:vAlign w:val="bottom"/>
            <w:hideMark/>
          </w:tcPr>
          <w:p w14:paraId="31EECBB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0.33%</w:t>
            </w:r>
          </w:p>
        </w:tc>
        <w:tc>
          <w:tcPr>
            <w:tcW w:w="226" w:type="pct"/>
            <w:tcBorders>
              <w:top w:val="nil"/>
              <w:left w:val="nil"/>
              <w:bottom w:val="nil"/>
              <w:right w:val="nil"/>
            </w:tcBorders>
            <w:shd w:val="clear" w:color="000000" w:fill="FFFFFF"/>
            <w:noWrap/>
            <w:vAlign w:val="bottom"/>
            <w:hideMark/>
          </w:tcPr>
          <w:p w14:paraId="310ABB3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0.39%</w:t>
            </w:r>
          </w:p>
        </w:tc>
        <w:tc>
          <w:tcPr>
            <w:tcW w:w="226" w:type="pct"/>
            <w:tcBorders>
              <w:top w:val="nil"/>
              <w:left w:val="nil"/>
              <w:bottom w:val="nil"/>
              <w:right w:val="nil"/>
            </w:tcBorders>
            <w:shd w:val="clear" w:color="000000" w:fill="FFFFFF"/>
            <w:noWrap/>
            <w:vAlign w:val="bottom"/>
            <w:hideMark/>
          </w:tcPr>
          <w:p w14:paraId="03BE327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0.45%</w:t>
            </w:r>
          </w:p>
        </w:tc>
        <w:tc>
          <w:tcPr>
            <w:tcW w:w="226" w:type="pct"/>
            <w:tcBorders>
              <w:top w:val="nil"/>
              <w:left w:val="nil"/>
              <w:bottom w:val="nil"/>
              <w:right w:val="nil"/>
            </w:tcBorders>
            <w:shd w:val="clear" w:color="000000" w:fill="FFFFFF"/>
            <w:noWrap/>
            <w:vAlign w:val="bottom"/>
            <w:hideMark/>
          </w:tcPr>
          <w:p w14:paraId="32A292C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1E6128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261489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929AAC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E88A44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B12FC6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26ACA2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550DBE3F" w14:textId="77777777" w:rsidTr="006A523F">
        <w:trPr>
          <w:trHeight w:val="20"/>
        </w:trPr>
        <w:tc>
          <w:tcPr>
            <w:tcW w:w="480" w:type="pct"/>
            <w:tcBorders>
              <w:top w:val="nil"/>
              <w:left w:val="nil"/>
              <w:bottom w:val="nil"/>
              <w:right w:val="nil"/>
            </w:tcBorders>
            <w:shd w:val="clear" w:color="000000" w:fill="FFFFFF"/>
            <w:noWrap/>
            <w:vAlign w:val="center"/>
            <w:hideMark/>
          </w:tcPr>
          <w:p w14:paraId="0E7C7A62"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2023</w:t>
            </w:r>
          </w:p>
        </w:tc>
        <w:tc>
          <w:tcPr>
            <w:tcW w:w="449" w:type="pct"/>
            <w:tcBorders>
              <w:top w:val="nil"/>
              <w:left w:val="nil"/>
              <w:bottom w:val="nil"/>
              <w:right w:val="nil"/>
            </w:tcBorders>
            <w:shd w:val="clear" w:color="000000" w:fill="FFFFFF"/>
            <w:noWrap/>
            <w:vAlign w:val="bottom"/>
            <w:hideMark/>
          </w:tcPr>
          <w:p w14:paraId="586FCC87"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2023Q2</w:t>
            </w:r>
          </w:p>
        </w:tc>
        <w:tc>
          <w:tcPr>
            <w:tcW w:w="449" w:type="pct"/>
            <w:tcBorders>
              <w:top w:val="nil"/>
              <w:left w:val="nil"/>
              <w:bottom w:val="nil"/>
              <w:right w:val="nil"/>
            </w:tcBorders>
            <w:shd w:val="clear" w:color="000000" w:fill="FFFFFF"/>
            <w:noWrap/>
            <w:vAlign w:val="center"/>
            <w:hideMark/>
          </w:tcPr>
          <w:p w14:paraId="5406497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198,663</w:t>
            </w:r>
          </w:p>
        </w:tc>
        <w:tc>
          <w:tcPr>
            <w:tcW w:w="226" w:type="pct"/>
            <w:tcBorders>
              <w:top w:val="nil"/>
              <w:left w:val="nil"/>
              <w:bottom w:val="nil"/>
              <w:right w:val="nil"/>
            </w:tcBorders>
            <w:shd w:val="clear" w:color="000000" w:fill="FFFFFF"/>
            <w:noWrap/>
            <w:vAlign w:val="bottom"/>
            <w:hideMark/>
          </w:tcPr>
          <w:p w14:paraId="103CF55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0D9D747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6C89828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0.06%</w:t>
            </w:r>
          </w:p>
        </w:tc>
        <w:tc>
          <w:tcPr>
            <w:tcW w:w="226" w:type="pct"/>
            <w:tcBorders>
              <w:top w:val="nil"/>
              <w:left w:val="nil"/>
              <w:bottom w:val="nil"/>
              <w:right w:val="nil"/>
            </w:tcBorders>
            <w:shd w:val="clear" w:color="000000" w:fill="FFFFFF"/>
            <w:noWrap/>
            <w:vAlign w:val="bottom"/>
            <w:hideMark/>
          </w:tcPr>
          <w:p w14:paraId="7261163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0.15%</w:t>
            </w:r>
          </w:p>
        </w:tc>
        <w:tc>
          <w:tcPr>
            <w:tcW w:w="226" w:type="pct"/>
            <w:tcBorders>
              <w:top w:val="nil"/>
              <w:left w:val="nil"/>
              <w:bottom w:val="nil"/>
              <w:right w:val="nil"/>
            </w:tcBorders>
            <w:shd w:val="clear" w:color="000000" w:fill="FFFFFF"/>
            <w:noWrap/>
            <w:vAlign w:val="bottom"/>
            <w:hideMark/>
          </w:tcPr>
          <w:p w14:paraId="119EE79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0.19%</w:t>
            </w:r>
          </w:p>
        </w:tc>
        <w:tc>
          <w:tcPr>
            <w:tcW w:w="226" w:type="pct"/>
            <w:tcBorders>
              <w:top w:val="nil"/>
              <w:left w:val="nil"/>
              <w:bottom w:val="nil"/>
              <w:right w:val="nil"/>
            </w:tcBorders>
            <w:shd w:val="clear" w:color="000000" w:fill="FFFFFF"/>
            <w:noWrap/>
            <w:vAlign w:val="bottom"/>
            <w:hideMark/>
          </w:tcPr>
          <w:p w14:paraId="182880E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0.30%</w:t>
            </w:r>
          </w:p>
        </w:tc>
        <w:tc>
          <w:tcPr>
            <w:tcW w:w="226" w:type="pct"/>
            <w:tcBorders>
              <w:top w:val="nil"/>
              <w:left w:val="nil"/>
              <w:bottom w:val="nil"/>
              <w:right w:val="nil"/>
            </w:tcBorders>
            <w:shd w:val="clear" w:color="000000" w:fill="FFFFFF"/>
            <w:noWrap/>
            <w:vAlign w:val="bottom"/>
            <w:hideMark/>
          </w:tcPr>
          <w:p w14:paraId="64E6C67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0.40%</w:t>
            </w:r>
          </w:p>
        </w:tc>
        <w:tc>
          <w:tcPr>
            <w:tcW w:w="226" w:type="pct"/>
            <w:tcBorders>
              <w:top w:val="nil"/>
              <w:left w:val="nil"/>
              <w:bottom w:val="nil"/>
              <w:right w:val="nil"/>
            </w:tcBorders>
            <w:shd w:val="clear" w:color="000000" w:fill="FFFFFF"/>
            <w:noWrap/>
            <w:vAlign w:val="bottom"/>
            <w:hideMark/>
          </w:tcPr>
          <w:p w14:paraId="04595A5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0.55%</w:t>
            </w:r>
          </w:p>
        </w:tc>
        <w:tc>
          <w:tcPr>
            <w:tcW w:w="226" w:type="pct"/>
            <w:tcBorders>
              <w:top w:val="nil"/>
              <w:left w:val="nil"/>
              <w:bottom w:val="nil"/>
              <w:right w:val="nil"/>
            </w:tcBorders>
            <w:shd w:val="clear" w:color="000000" w:fill="FFFFFF"/>
            <w:noWrap/>
            <w:vAlign w:val="bottom"/>
            <w:hideMark/>
          </w:tcPr>
          <w:p w14:paraId="72EB868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09501D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F73BD3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62EBE5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A492E6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485151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0878CC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B31155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35648C93" w14:textId="77777777" w:rsidTr="006A523F">
        <w:trPr>
          <w:trHeight w:val="20"/>
        </w:trPr>
        <w:tc>
          <w:tcPr>
            <w:tcW w:w="480" w:type="pct"/>
            <w:tcBorders>
              <w:top w:val="nil"/>
              <w:left w:val="nil"/>
              <w:bottom w:val="nil"/>
              <w:right w:val="nil"/>
            </w:tcBorders>
            <w:shd w:val="clear" w:color="000000" w:fill="FFFFFF"/>
            <w:noWrap/>
            <w:vAlign w:val="center"/>
            <w:hideMark/>
          </w:tcPr>
          <w:p w14:paraId="0B484916"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2023</w:t>
            </w:r>
          </w:p>
        </w:tc>
        <w:tc>
          <w:tcPr>
            <w:tcW w:w="449" w:type="pct"/>
            <w:tcBorders>
              <w:top w:val="nil"/>
              <w:left w:val="nil"/>
              <w:bottom w:val="nil"/>
              <w:right w:val="nil"/>
            </w:tcBorders>
            <w:shd w:val="clear" w:color="000000" w:fill="FFFFFF"/>
            <w:noWrap/>
            <w:vAlign w:val="bottom"/>
            <w:hideMark/>
          </w:tcPr>
          <w:p w14:paraId="6F288E6E"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2023Q3</w:t>
            </w:r>
          </w:p>
        </w:tc>
        <w:tc>
          <w:tcPr>
            <w:tcW w:w="449" w:type="pct"/>
            <w:tcBorders>
              <w:top w:val="nil"/>
              <w:left w:val="nil"/>
              <w:bottom w:val="nil"/>
              <w:right w:val="nil"/>
            </w:tcBorders>
            <w:shd w:val="clear" w:color="000000" w:fill="FFFFFF"/>
            <w:noWrap/>
            <w:vAlign w:val="center"/>
            <w:hideMark/>
          </w:tcPr>
          <w:p w14:paraId="01ED101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406,656</w:t>
            </w:r>
          </w:p>
        </w:tc>
        <w:tc>
          <w:tcPr>
            <w:tcW w:w="226" w:type="pct"/>
            <w:tcBorders>
              <w:top w:val="nil"/>
              <w:left w:val="nil"/>
              <w:bottom w:val="nil"/>
              <w:right w:val="nil"/>
            </w:tcBorders>
            <w:shd w:val="clear" w:color="000000" w:fill="FFFFFF"/>
            <w:noWrap/>
            <w:vAlign w:val="bottom"/>
            <w:hideMark/>
          </w:tcPr>
          <w:p w14:paraId="7E8E2A9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2F061CC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0.04%</w:t>
            </w:r>
          </w:p>
        </w:tc>
        <w:tc>
          <w:tcPr>
            <w:tcW w:w="226" w:type="pct"/>
            <w:tcBorders>
              <w:top w:val="nil"/>
              <w:left w:val="nil"/>
              <w:bottom w:val="nil"/>
              <w:right w:val="nil"/>
            </w:tcBorders>
            <w:shd w:val="clear" w:color="000000" w:fill="FFFFFF"/>
            <w:noWrap/>
            <w:vAlign w:val="bottom"/>
            <w:hideMark/>
          </w:tcPr>
          <w:p w14:paraId="188B21B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0.12%</w:t>
            </w:r>
          </w:p>
        </w:tc>
        <w:tc>
          <w:tcPr>
            <w:tcW w:w="226" w:type="pct"/>
            <w:tcBorders>
              <w:top w:val="nil"/>
              <w:left w:val="nil"/>
              <w:bottom w:val="nil"/>
              <w:right w:val="nil"/>
            </w:tcBorders>
            <w:shd w:val="clear" w:color="000000" w:fill="FFFFFF"/>
            <w:noWrap/>
            <w:vAlign w:val="bottom"/>
            <w:hideMark/>
          </w:tcPr>
          <w:p w14:paraId="2C99230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0.17%</w:t>
            </w:r>
          </w:p>
        </w:tc>
        <w:tc>
          <w:tcPr>
            <w:tcW w:w="226" w:type="pct"/>
            <w:tcBorders>
              <w:top w:val="nil"/>
              <w:left w:val="nil"/>
              <w:bottom w:val="nil"/>
              <w:right w:val="nil"/>
            </w:tcBorders>
            <w:shd w:val="clear" w:color="000000" w:fill="FFFFFF"/>
            <w:noWrap/>
            <w:vAlign w:val="bottom"/>
            <w:hideMark/>
          </w:tcPr>
          <w:p w14:paraId="09E18A3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0.25%</w:t>
            </w:r>
          </w:p>
        </w:tc>
        <w:tc>
          <w:tcPr>
            <w:tcW w:w="226" w:type="pct"/>
            <w:tcBorders>
              <w:top w:val="nil"/>
              <w:left w:val="nil"/>
              <w:bottom w:val="nil"/>
              <w:right w:val="nil"/>
            </w:tcBorders>
            <w:shd w:val="clear" w:color="000000" w:fill="FFFFFF"/>
            <w:noWrap/>
            <w:vAlign w:val="bottom"/>
            <w:hideMark/>
          </w:tcPr>
          <w:p w14:paraId="2C7FAB6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0.34%</w:t>
            </w:r>
          </w:p>
        </w:tc>
        <w:tc>
          <w:tcPr>
            <w:tcW w:w="226" w:type="pct"/>
            <w:tcBorders>
              <w:top w:val="nil"/>
              <w:left w:val="nil"/>
              <w:bottom w:val="nil"/>
              <w:right w:val="nil"/>
            </w:tcBorders>
            <w:shd w:val="clear" w:color="000000" w:fill="FFFFFF"/>
            <w:noWrap/>
            <w:vAlign w:val="bottom"/>
            <w:hideMark/>
          </w:tcPr>
          <w:p w14:paraId="38DE94C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0.45%</w:t>
            </w:r>
          </w:p>
        </w:tc>
        <w:tc>
          <w:tcPr>
            <w:tcW w:w="226" w:type="pct"/>
            <w:tcBorders>
              <w:top w:val="nil"/>
              <w:left w:val="nil"/>
              <w:bottom w:val="nil"/>
              <w:right w:val="nil"/>
            </w:tcBorders>
            <w:shd w:val="clear" w:color="000000" w:fill="FFFFFF"/>
            <w:noWrap/>
            <w:vAlign w:val="bottom"/>
            <w:hideMark/>
          </w:tcPr>
          <w:p w14:paraId="4DFFAA9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440DB3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727B8A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9E4DF4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C56682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9E5A2D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9A3E3D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F67DC7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E81674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007A491F" w14:textId="77777777" w:rsidTr="006A523F">
        <w:trPr>
          <w:trHeight w:val="20"/>
        </w:trPr>
        <w:tc>
          <w:tcPr>
            <w:tcW w:w="480" w:type="pct"/>
            <w:tcBorders>
              <w:top w:val="nil"/>
              <w:left w:val="nil"/>
              <w:bottom w:val="nil"/>
              <w:right w:val="nil"/>
            </w:tcBorders>
            <w:shd w:val="clear" w:color="000000" w:fill="FFFFFF"/>
            <w:noWrap/>
            <w:vAlign w:val="center"/>
            <w:hideMark/>
          </w:tcPr>
          <w:p w14:paraId="6D71C58E"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2023</w:t>
            </w:r>
          </w:p>
        </w:tc>
        <w:tc>
          <w:tcPr>
            <w:tcW w:w="449" w:type="pct"/>
            <w:tcBorders>
              <w:top w:val="nil"/>
              <w:left w:val="nil"/>
              <w:bottom w:val="nil"/>
              <w:right w:val="nil"/>
            </w:tcBorders>
            <w:shd w:val="clear" w:color="000000" w:fill="FFFFFF"/>
            <w:noWrap/>
            <w:vAlign w:val="bottom"/>
            <w:hideMark/>
          </w:tcPr>
          <w:p w14:paraId="40B4D6D7"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2023Q4</w:t>
            </w:r>
          </w:p>
        </w:tc>
        <w:tc>
          <w:tcPr>
            <w:tcW w:w="449" w:type="pct"/>
            <w:tcBorders>
              <w:top w:val="nil"/>
              <w:left w:val="nil"/>
              <w:bottom w:val="nil"/>
              <w:right w:val="nil"/>
            </w:tcBorders>
            <w:shd w:val="clear" w:color="000000" w:fill="FFFFFF"/>
            <w:noWrap/>
            <w:vAlign w:val="center"/>
            <w:hideMark/>
          </w:tcPr>
          <w:p w14:paraId="74A2D27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569,004</w:t>
            </w:r>
          </w:p>
        </w:tc>
        <w:tc>
          <w:tcPr>
            <w:tcW w:w="226" w:type="pct"/>
            <w:tcBorders>
              <w:top w:val="nil"/>
              <w:left w:val="nil"/>
              <w:bottom w:val="nil"/>
              <w:right w:val="nil"/>
            </w:tcBorders>
            <w:shd w:val="clear" w:color="000000" w:fill="FFFFFF"/>
            <w:noWrap/>
            <w:vAlign w:val="bottom"/>
            <w:hideMark/>
          </w:tcPr>
          <w:p w14:paraId="2572043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22178C2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7C69023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0.06%</w:t>
            </w:r>
          </w:p>
        </w:tc>
        <w:tc>
          <w:tcPr>
            <w:tcW w:w="226" w:type="pct"/>
            <w:tcBorders>
              <w:top w:val="nil"/>
              <w:left w:val="nil"/>
              <w:bottom w:val="nil"/>
              <w:right w:val="nil"/>
            </w:tcBorders>
            <w:shd w:val="clear" w:color="000000" w:fill="FFFFFF"/>
            <w:noWrap/>
            <w:vAlign w:val="bottom"/>
            <w:hideMark/>
          </w:tcPr>
          <w:p w14:paraId="63870BD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0.11%</w:t>
            </w:r>
          </w:p>
        </w:tc>
        <w:tc>
          <w:tcPr>
            <w:tcW w:w="226" w:type="pct"/>
            <w:tcBorders>
              <w:top w:val="nil"/>
              <w:left w:val="nil"/>
              <w:bottom w:val="nil"/>
              <w:right w:val="nil"/>
            </w:tcBorders>
            <w:shd w:val="clear" w:color="000000" w:fill="FFFFFF"/>
            <w:noWrap/>
            <w:vAlign w:val="bottom"/>
            <w:hideMark/>
          </w:tcPr>
          <w:p w14:paraId="4EDD12F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0.20%</w:t>
            </w:r>
          </w:p>
        </w:tc>
        <w:tc>
          <w:tcPr>
            <w:tcW w:w="226" w:type="pct"/>
            <w:tcBorders>
              <w:top w:val="nil"/>
              <w:left w:val="nil"/>
              <w:bottom w:val="nil"/>
              <w:right w:val="nil"/>
            </w:tcBorders>
            <w:shd w:val="clear" w:color="000000" w:fill="FFFFFF"/>
            <w:noWrap/>
            <w:vAlign w:val="bottom"/>
            <w:hideMark/>
          </w:tcPr>
          <w:p w14:paraId="122C5C0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0.30%</w:t>
            </w:r>
          </w:p>
        </w:tc>
        <w:tc>
          <w:tcPr>
            <w:tcW w:w="226" w:type="pct"/>
            <w:tcBorders>
              <w:top w:val="nil"/>
              <w:left w:val="nil"/>
              <w:bottom w:val="nil"/>
              <w:right w:val="nil"/>
            </w:tcBorders>
            <w:shd w:val="clear" w:color="000000" w:fill="FFFFFF"/>
            <w:noWrap/>
            <w:vAlign w:val="bottom"/>
            <w:hideMark/>
          </w:tcPr>
          <w:p w14:paraId="4AD24B8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0A890F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DCD8D5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1B5603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638CFB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C862A2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20BDF4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C80863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9AA08B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B1DC77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4F71CA56" w14:textId="77777777" w:rsidTr="006A523F">
        <w:trPr>
          <w:trHeight w:val="20"/>
        </w:trPr>
        <w:tc>
          <w:tcPr>
            <w:tcW w:w="480" w:type="pct"/>
            <w:tcBorders>
              <w:top w:val="nil"/>
              <w:left w:val="nil"/>
              <w:bottom w:val="nil"/>
              <w:right w:val="nil"/>
            </w:tcBorders>
            <w:shd w:val="clear" w:color="000000" w:fill="FFFFFF"/>
            <w:noWrap/>
            <w:vAlign w:val="center"/>
            <w:hideMark/>
          </w:tcPr>
          <w:p w14:paraId="6E53EDC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2024</w:t>
            </w:r>
          </w:p>
        </w:tc>
        <w:tc>
          <w:tcPr>
            <w:tcW w:w="449" w:type="pct"/>
            <w:tcBorders>
              <w:top w:val="nil"/>
              <w:left w:val="nil"/>
              <w:bottom w:val="nil"/>
              <w:right w:val="nil"/>
            </w:tcBorders>
            <w:shd w:val="clear" w:color="000000" w:fill="FFFFFF"/>
            <w:noWrap/>
            <w:vAlign w:val="bottom"/>
            <w:hideMark/>
          </w:tcPr>
          <w:p w14:paraId="24D591A9"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2024Q1</w:t>
            </w:r>
          </w:p>
        </w:tc>
        <w:tc>
          <w:tcPr>
            <w:tcW w:w="449" w:type="pct"/>
            <w:tcBorders>
              <w:top w:val="nil"/>
              <w:left w:val="nil"/>
              <w:bottom w:val="nil"/>
              <w:right w:val="nil"/>
            </w:tcBorders>
            <w:shd w:val="clear" w:color="000000" w:fill="FFFFFF"/>
            <w:noWrap/>
            <w:vAlign w:val="center"/>
            <w:hideMark/>
          </w:tcPr>
          <w:p w14:paraId="3041BF6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636,022</w:t>
            </w:r>
          </w:p>
        </w:tc>
        <w:tc>
          <w:tcPr>
            <w:tcW w:w="226" w:type="pct"/>
            <w:tcBorders>
              <w:top w:val="nil"/>
              <w:left w:val="nil"/>
              <w:bottom w:val="nil"/>
              <w:right w:val="nil"/>
            </w:tcBorders>
            <w:shd w:val="clear" w:color="000000" w:fill="FFFFFF"/>
            <w:noWrap/>
            <w:vAlign w:val="bottom"/>
            <w:hideMark/>
          </w:tcPr>
          <w:p w14:paraId="6558EFC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1FF31D2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4CB1362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0.08%</w:t>
            </w:r>
          </w:p>
        </w:tc>
        <w:tc>
          <w:tcPr>
            <w:tcW w:w="226" w:type="pct"/>
            <w:tcBorders>
              <w:top w:val="nil"/>
              <w:left w:val="nil"/>
              <w:bottom w:val="nil"/>
              <w:right w:val="nil"/>
            </w:tcBorders>
            <w:shd w:val="clear" w:color="000000" w:fill="FFFFFF"/>
            <w:noWrap/>
            <w:vAlign w:val="bottom"/>
            <w:hideMark/>
          </w:tcPr>
          <w:p w14:paraId="45786F9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0.16%</w:t>
            </w:r>
          </w:p>
        </w:tc>
        <w:tc>
          <w:tcPr>
            <w:tcW w:w="226" w:type="pct"/>
            <w:tcBorders>
              <w:top w:val="nil"/>
              <w:left w:val="nil"/>
              <w:bottom w:val="nil"/>
              <w:right w:val="nil"/>
            </w:tcBorders>
            <w:shd w:val="clear" w:color="000000" w:fill="FFFFFF"/>
            <w:noWrap/>
            <w:vAlign w:val="bottom"/>
            <w:hideMark/>
          </w:tcPr>
          <w:p w14:paraId="385D7E0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0.30%</w:t>
            </w:r>
          </w:p>
        </w:tc>
        <w:tc>
          <w:tcPr>
            <w:tcW w:w="226" w:type="pct"/>
            <w:tcBorders>
              <w:top w:val="nil"/>
              <w:left w:val="nil"/>
              <w:bottom w:val="nil"/>
              <w:right w:val="nil"/>
            </w:tcBorders>
            <w:shd w:val="clear" w:color="000000" w:fill="FFFFFF"/>
            <w:noWrap/>
            <w:vAlign w:val="bottom"/>
            <w:hideMark/>
          </w:tcPr>
          <w:p w14:paraId="75B960C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3C3C5D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88A48A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C13518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C2B1D0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D057AD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646A07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E87A41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4AEE78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4F5633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44ECE74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4B443697" w14:textId="77777777" w:rsidTr="006A523F">
        <w:trPr>
          <w:trHeight w:val="20"/>
        </w:trPr>
        <w:tc>
          <w:tcPr>
            <w:tcW w:w="480" w:type="pct"/>
            <w:tcBorders>
              <w:top w:val="nil"/>
              <w:left w:val="nil"/>
              <w:bottom w:val="nil"/>
              <w:right w:val="nil"/>
            </w:tcBorders>
            <w:shd w:val="clear" w:color="000000" w:fill="FFFFFF"/>
            <w:noWrap/>
            <w:vAlign w:val="center"/>
            <w:hideMark/>
          </w:tcPr>
          <w:p w14:paraId="5B6C37E2"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2024</w:t>
            </w:r>
          </w:p>
        </w:tc>
        <w:tc>
          <w:tcPr>
            <w:tcW w:w="449" w:type="pct"/>
            <w:tcBorders>
              <w:top w:val="nil"/>
              <w:left w:val="nil"/>
              <w:bottom w:val="nil"/>
              <w:right w:val="nil"/>
            </w:tcBorders>
            <w:shd w:val="clear" w:color="000000" w:fill="FFFFFF"/>
            <w:noWrap/>
            <w:vAlign w:val="bottom"/>
            <w:hideMark/>
          </w:tcPr>
          <w:p w14:paraId="61A8AF7E"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2024Q2</w:t>
            </w:r>
          </w:p>
        </w:tc>
        <w:tc>
          <w:tcPr>
            <w:tcW w:w="449" w:type="pct"/>
            <w:tcBorders>
              <w:top w:val="nil"/>
              <w:left w:val="nil"/>
              <w:bottom w:val="nil"/>
              <w:right w:val="nil"/>
            </w:tcBorders>
            <w:shd w:val="clear" w:color="000000" w:fill="FFFFFF"/>
            <w:noWrap/>
            <w:vAlign w:val="center"/>
            <w:hideMark/>
          </w:tcPr>
          <w:p w14:paraId="1F615F2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716,890</w:t>
            </w:r>
          </w:p>
        </w:tc>
        <w:tc>
          <w:tcPr>
            <w:tcW w:w="226" w:type="pct"/>
            <w:tcBorders>
              <w:top w:val="nil"/>
              <w:left w:val="nil"/>
              <w:bottom w:val="nil"/>
              <w:right w:val="nil"/>
            </w:tcBorders>
            <w:shd w:val="clear" w:color="000000" w:fill="FFFFFF"/>
            <w:noWrap/>
            <w:vAlign w:val="bottom"/>
            <w:hideMark/>
          </w:tcPr>
          <w:p w14:paraId="758CF21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3B3198F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0.02%</w:t>
            </w:r>
          </w:p>
        </w:tc>
        <w:tc>
          <w:tcPr>
            <w:tcW w:w="226" w:type="pct"/>
            <w:tcBorders>
              <w:top w:val="nil"/>
              <w:left w:val="nil"/>
              <w:bottom w:val="nil"/>
              <w:right w:val="nil"/>
            </w:tcBorders>
            <w:shd w:val="clear" w:color="000000" w:fill="FFFFFF"/>
            <w:noWrap/>
            <w:vAlign w:val="bottom"/>
            <w:hideMark/>
          </w:tcPr>
          <w:p w14:paraId="78C6A9A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0.08%</w:t>
            </w:r>
          </w:p>
        </w:tc>
        <w:tc>
          <w:tcPr>
            <w:tcW w:w="226" w:type="pct"/>
            <w:tcBorders>
              <w:top w:val="nil"/>
              <w:left w:val="nil"/>
              <w:bottom w:val="nil"/>
              <w:right w:val="nil"/>
            </w:tcBorders>
            <w:shd w:val="clear" w:color="000000" w:fill="FFFFFF"/>
            <w:noWrap/>
            <w:vAlign w:val="bottom"/>
            <w:hideMark/>
          </w:tcPr>
          <w:p w14:paraId="7866542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0.18%</w:t>
            </w:r>
          </w:p>
        </w:tc>
        <w:tc>
          <w:tcPr>
            <w:tcW w:w="226" w:type="pct"/>
            <w:tcBorders>
              <w:top w:val="nil"/>
              <w:left w:val="nil"/>
              <w:bottom w:val="nil"/>
              <w:right w:val="nil"/>
            </w:tcBorders>
            <w:shd w:val="clear" w:color="000000" w:fill="FFFFFF"/>
            <w:noWrap/>
            <w:vAlign w:val="bottom"/>
            <w:hideMark/>
          </w:tcPr>
          <w:p w14:paraId="08B79E9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74C87F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E07BDA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A049E9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E44F3A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6441D9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E3108F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A31F26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92C367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031B0F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D5FEA9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3B7BFC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6E2365AA" w14:textId="77777777" w:rsidTr="006A523F">
        <w:trPr>
          <w:trHeight w:val="20"/>
        </w:trPr>
        <w:tc>
          <w:tcPr>
            <w:tcW w:w="480" w:type="pct"/>
            <w:tcBorders>
              <w:top w:val="nil"/>
              <w:left w:val="nil"/>
              <w:bottom w:val="nil"/>
              <w:right w:val="nil"/>
            </w:tcBorders>
            <w:shd w:val="clear" w:color="000000" w:fill="FFFFFF"/>
            <w:noWrap/>
            <w:vAlign w:val="center"/>
            <w:hideMark/>
          </w:tcPr>
          <w:p w14:paraId="12EF12C7"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2024</w:t>
            </w:r>
          </w:p>
        </w:tc>
        <w:tc>
          <w:tcPr>
            <w:tcW w:w="449" w:type="pct"/>
            <w:tcBorders>
              <w:top w:val="nil"/>
              <w:left w:val="nil"/>
              <w:bottom w:val="nil"/>
              <w:right w:val="nil"/>
            </w:tcBorders>
            <w:shd w:val="clear" w:color="000000" w:fill="FFFFFF"/>
            <w:noWrap/>
            <w:vAlign w:val="bottom"/>
            <w:hideMark/>
          </w:tcPr>
          <w:p w14:paraId="78B0208D"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2024Q3</w:t>
            </w:r>
          </w:p>
        </w:tc>
        <w:tc>
          <w:tcPr>
            <w:tcW w:w="449" w:type="pct"/>
            <w:tcBorders>
              <w:top w:val="nil"/>
              <w:left w:val="nil"/>
              <w:bottom w:val="nil"/>
              <w:right w:val="nil"/>
            </w:tcBorders>
            <w:shd w:val="clear" w:color="000000" w:fill="FFFFFF"/>
            <w:noWrap/>
            <w:vAlign w:val="center"/>
            <w:hideMark/>
          </w:tcPr>
          <w:p w14:paraId="17DDAD4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883,488</w:t>
            </w:r>
          </w:p>
        </w:tc>
        <w:tc>
          <w:tcPr>
            <w:tcW w:w="226" w:type="pct"/>
            <w:tcBorders>
              <w:top w:val="nil"/>
              <w:left w:val="nil"/>
              <w:bottom w:val="nil"/>
              <w:right w:val="nil"/>
            </w:tcBorders>
            <w:shd w:val="clear" w:color="000000" w:fill="FFFFFF"/>
            <w:noWrap/>
            <w:vAlign w:val="bottom"/>
            <w:hideMark/>
          </w:tcPr>
          <w:p w14:paraId="2E4D073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5C1A5F9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0.03%</w:t>
            </w:r>
          </w:p>
        </w:tc>
        <w:tc>
          <w:tcPr>
            <w:tcW w:w="226" w:type="pct"/>
            <w:tcBorders>
              <w:top w:val="nil"/>
              <w:left w:val="nil"/>
              <w:bottom w:val="nil"/>
              <w:right w:val="nil"/>
            </w:tcBorders>
            <w:shd w:val="clear" w:color="000000" w:fill="FFFFFF"/>
            <w:noWrap/>
            <w:vAlign w:val="bottom"/>
            <w:hideMark/>
          </w:tcPr>
          <w:p w14:paraId="7AD2B7F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0.10%</w:t>
            </w:r>
          </w:p>
        </w:tc>
        <w:tc>
          <w:tcPr>
            <w:tcW w:w="226" w:type="pct"/>
            <w:tcBorders>
              <w:top w:val="nil"/>
              <w:left w:val="nil"/>
              <w:bottom w:val="nil"/>
              <w:right w:val="nil"/>
            </w:tcBorders>
            <w:shd w:val="clear" w:color="000000" w:fill="FFFFFF"/>
            <w:noWrap/>
            <w:vAlign w:val="bottom"/>
            <w:hideMark/>
          </w:tcPr>
          <w:p w14:paraId="00E865D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E9773D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4343182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00285E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BD6F04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FCD21C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B9576E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00065B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A4C2FC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7D17B2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A6F225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4848DD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C413F3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0C242748" w14:textId="77777777" w:rsidTr="006A523F">
        <w:trPr>
          <w:trHeight w:val="20"/>
        </w:trPr>
        <w:tc>
          <w:tcPr>
            <w:tcW w:w="480" w:type="pct"/>
            <w:tcBorders>
              <w:top w:val="nil"/>
              <w:left w:val="nil"/>
              <w:bottom w:val="nil"/>
              <w:right w:val="nil"/>
            </w:tcBorders>
            <w:shd w:val="clear" w:color="000000" w:fill="FFFFFF"/>
            <w:noWrap/>
            <w:vAlign w:val="center"/>
            <w:hideMark/>
          </w:tcPr>
          <w:p w14:paraId="5F00239E"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2024</w:t>
            </w:r>
          </w:p>
        </w:tc>
        <w:tc>
          <w:tcPr>
            <w:tcW w:w="449" w:type="pct"/>
            <w:tcBorders>
              <w:top w:val="nil"/>
              <w:left w:val="nil"/>
              <w:bottom w:val="nil"/>
              <w:right w:val="nil"/>
            </w:tcBorders>
            <w:shd w:val="clear" w:color="000000" w:fill="FFFFFF"/>
            <w:noWrap/>
            <w:vAlign w:val="bottom"/>
            <w:hideMark/>
          </w:tcPr>
          <w:p w14:paraId="23633DCA"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2024Q4</w:t>
            </w:r>
          </w:p>
        </w:tc>
        <w:tc>
          <w:tcPr>
            <w:tcW w:w="449" w:type="pct"/>
            <w:tcBorders>
              <w:top w:val="nil"/>
              <w:left w:val="nil"/>
              <w:bottom w:val="nil"/>
              <w:right w:val="nil"/>
            </w:tcBorders>
            <w:shd w:val="clear" w:color="000000" w:fill="FFFFFF"/>
            <w:noWrap/>
            <w:vAlign w:val="center"/>
            <w:hideMark/>
          </w:tcPr>
          <w:p w14:paraId="31463C9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751,308</w:t>
            </w:r>
          </w:p>
        </w:tc>
        <w:tc>
          <w:tcPr>
            <w:tcW w:w="226" w:type="pct"/>
            <w:tcBorders>
              <w:top w:val="nil"/>
              <w:left w:val="nil"/>
              <w:bottom w:val="nil"/>
              <w:right w:val="nil"/>
            </w:tcBorders>
            <w:shd w:val="clear" w:color="000000" w:fill="FFFFFF"/>
            <w:noWrap/>
            <w:vAlign w:val="bottom"/>
            <w:hideMark/>
          </w:tcPr>
          <w:p w14:paraId="6E8FF86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243A399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0.01%</w:t>
            </w:r>
          </w:p>
        </w:tc>
        <w:tc>
          <w:tcPr>
            <w:tcW w:w="226" w:type="pct"/>
            <w:tcBorders>
              <w:top w:val="nil"/>
              <w:left w:val="nil"/>
              <w:bottom w:val="nil"/>
              <w:right w:val="nil"/>
            </w:tcBorders>
            <w:shd w:val="clear" w:color="000000" w:fill="FFFFFF"/>
            <w:noWrap/>
            <w:vAlign w:val="bottom"/>
            <w:hideMark/>
          </w:tcPr>
          <w:p w14:paraId="68BF9D6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1A078DC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ED6FF0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903AE4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D41ACB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B8CAB6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E99234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43EB3AD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23D91C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F0ECEF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627D39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0ED48A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A09382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EBC62B9"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 </w:t>
            </w:r>
          </w:p>
        </w:tc>
      </w:tr>
      <w:tr w:rsidR="006A523F" w:rsidRPr="006A523F" w14:paraId="191DB5B4" w14:textId="77777777" w:rsidTr="006A523F">
        <w:trPr>
          <w:trHeight w:val="20"/>
        </w:trPr>
        <w:tc>
          <w:tcPr>
            <w:tcW w:w="480" w:type="pct"/>
            <w:tcBorders>
              <w:top w:val="nil"/>
              <w:left w:val="nil"/>
              <w:bottom w:val="nil"/>
              <w:right w:val="nil"/>
            </w:tcBorders>
            <w:shd w:val="clear" w:color="000000" w:fill="FFFFFF"/>
            <w:noWrap/>
            <w:vAlign w:val="center"/>
            <w:hideMark/>
          </w:tcPr>
          <w:p w14:paraId="6203A0FD"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2025</w:t>
            </w:r>
          </w:p>
        </w:tc>
        <w:tc>
          <w:tcPr>
            <w:tcW w:w="449" w:type="pct"/>
            <w:tcBorders>
              <w:top w:val="nil"/>
              <w:left w:val="nil"/>
              <w:bottom w:val="nil"/>
              <w:right w:val="nil"/>
            </w:tcBorders>
            <w:shd w:val="clear" w:color="000000" w:fill="FFFFFF"/>
            <w:noWrap/>
            <w:vAlign w:val="bottom"/>
            <w:hideMark/>
          </w:tcPr>
          <w:p w14:paraId="4043EDB7" w14:textId="77777777" w:rsidR="006A523F" w:rsidRPr="006A523F" w:rsidRDefault="006A523F" w:rsidP="006A523F">
            <w:pPr>
              <w:spacing w:line="240" w:lineRule="auto"/>
              <w:jc w:val="center"/>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2025Q1</w:t>
            </w:r>
          </w:p>
        </w:tc>
        <w:tc>
          <w:tcPr>
            <w:tcW w:w="449" w:type="pct"/>
            <w:tcBorders>
              <w:top w:val="nil"/>
              <w:left w:val="nil"/>
              <w:bottom w:val="nil"/>
              <w:right w:val="nil"/>
            </w:tcBorders>
            <w:shd w:val="clear" w:color="000000" w:fill="FFFFFF"/>
            <w:noWrap/>
            <w:vAlign w:val="center"/>
            <w:hideMark/>
          </w:tcPr>
          <w:p w14:paraId="09035D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616,407</w:t>
            </w:r>
          </w:p>
        </w:tc>
        <w:tc>
          <w:tcPr>
            <w:tcW w:w="226" w:type="pct"/>
            <w:tcBorders>
              <w:top w:val="nil"/>
              <w:left w:val="nil"/>
              <w:bottom w:val="nil"/>
              <w:right w:val="nil"/>
            </w:tcBorders>
            <w:shd w:val="clear" w:color="000000" w:fill="FFFFFF"/>
            <w:noWrap/>
            <w:vAlign w:val="bottom"/>
            <w:hideMark/>
          </w:tcPr>
          <w:p w14:paraId="611C221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0.00%</w:t>
            </w:r>
          </w:p>
        </w:tc>
        <w:tc>
          <w:tcPr>
            <w:tcW w:w="226" w:type="pct"/>
            <w:tcBorders>
              <w:top w:val="nil"/>
              <w:left w:val="nil"/>
              <w:bottom w:val="nil"/>
              <w:right w:val="nil"/>
            </w:tcBorders>
            <w:shd w:val="clear" w:color="000000" w:fill="FFFFFF"/>
            <w:noWrap/>
            <w:vAlign w:val="bottom"/>
            <w:hideMark/>
          </w:tcPr>
          <w:p w14:paraId="0F545952"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1F36287"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117904F"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60081A89"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1EEF2EE"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6EA6349"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8EFC4A7"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1583268"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F927D4C"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1DDAB52"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50023E8B"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01264336"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33ED2F35"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2D38CDC3"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c>
          <w:tcPr>
            <w:tcW w:w="226" w:type="pct"/>
            <w:tcBorders>
              <w:top w:val="nil"/>
              <w:left w:val="nil"/>
              <w:bottom w:val="nil"/>
              <w:right w:val="nil"/>
            </w:tcBorders>
            <w:shd w:val="clear" w:color="000000" w:fill="FFFFFF"/>
            <w:noWrap/>
            <w:vAlign w:val="bottom"/>
            <w:hideMark/>
          </w:tcPr>
          <w:p w14:paraId="773A7815" w14:textId="77777777" w:rsidR="006A523F" w:rsidRPr="006A523F" w:rsidRDefault="006A523F" w:rsidP="006A523F">
            <w:pPr>
              <w:spacing w:line="240" w:lineRule="auto"/>
              <w:jc w:val="left"/>
              <w:rPr>
                <w:rFonts w:ascii="Aptos Narrow" w:hAnsi="Aptos Narrow"/>
                <w:color w:val="000000"/>
                <w:sz w:val="14"/>
                <w:szCs w:val="14"/>
                <w:lang w:val="de-DE" w:eastAsia="de-DE"/>
              </w:rPr>
            </w:pPr>
            <w:r w:rsidRPr="006A523F">
              <w:rPr>
                <w:rFonts w:ascii="Aptos Narrow" w:hAnsi="Aptos Narrow"/>
                <w:color w:val="000000"/>
                <w:sz w:val="14"/>
                <w:szCs w:val="14"/>
                <w:lang w:val="de-DE" w:eastAsia="de-DE"/>
              </w:rPr>
              <w:t> </w:t>
            </w:r>
          </w:p>
        </w:tc>
      </w:tr>
    </w:tbl>
    <w:p w14:paraId="7C3E2A54" w14:textId="77777777" w:rsidR="006A523F" w:rsidRPr="00D427D8" w:rsidRDefault="006A523F" w:rsidP="00EF7333">
      <w:pPr>
        <w:pStyle w:val="Body1"/>
      </w:pPr>
    </w:p>
    <w:tbl>
      <w:tblPr>
        <w:tblW w:w="5000" w:type="pct"/>
        <w:tblCellMar>
          <w:left w:w="70" w:type="dxa"/>
          <w:right w:w="70" w:type="dxa"/>
        </w:tblCellMar>
        <w:tblLook w:val="04A0" w:firstRow="1" w:lastRow="0" w:firstColumn="1" w:lastColumn="0" w:noHBand="0" w:noVBand="1"/>
      </w:tblPr>
      <w:tblGrid>
        <w:gridCol w:w="1410"/>
        <w:gridCol w:w="1317"/>
        <w:gridCol w:w="1317"/>
        <w:gridCol w:w="664"/>
        <w:gridCol w:w="664"/>
        <w:gridCol w:w="664"/>
        <w:gridCol w:w="664"/>
        <w:gridCol w:w="664"/>
        <w:gridCol w:w="664"/>
        <w:gridCol w:w="664"/>
        <w:gridCol w:w="664"/>
        <w:gridCol w:w="664"/>
        <w:gridCol w:w="664"/>
        <w:gridCol w:w="664"/>
        <w:gridCol w:w="664"/>
        <w:gridCol w:w="664"/>
        <w:gridCol w:w="664"/>
        <w:gridCol w:w="664"/>
      </w:tblGrid>
      <w:tr w:rsidR="006A523F" w:rsidRPr="006A523F" w14:paraId="43C8150A" w14:textId="77777777" w:rsidTr="006A523F">
        <w:trPr>
          <w:trHeight w:val="20"/>
        </w:trPr>
        <w:tc>
          <w:tcPr>
            <w:tcW w:w="503" w:type="pct"/>
            <w:tcBorders>
              <w:top w:val="nil"/>
              <w:left w:val="nil"/>
              <w:bottom w:val="single" w:sz="4" w:space="0" w:color="auto"/>
              <w:right w:val="nil"/>
            </w:tcBorders>
            <w:shd w:val="clear" w:color="000000" w:fill="243782"/>
            <w:noWrap/>
            <w:vAlign w:val="center"/>
            <w:hideMark/>
          </w:tcPr>
          <w:p w14:paraId="4199B585"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bookmarkStart w:id="109" w:name="_Hlk157180226"/>
            <w:r w:rsidRPr="006A523F">
              <w:rPr>
                <w:rFonts w:ascii="Aptos Narrow" w:hAnsi="Aptos Narrow"/>
                <w:b/>
                <w:bCs/>
                <w:color w:val="FFFFFF"/>
                <w:sz w:val="13"/>
                <w:szCs w:val="13"/>
                <w:lang w:val="de-DE" w:eastAsia="de-DE"/>
              </w:rPr>
              <w:t>As at Month ending</w:t>
            </w:r>
          </w:p>
        </w:tc>
        <w:tc>
          <w:tcPr>
            <w:tcW w:w="470" w:type="pct"/>
            <w:tcBorders>
              <w:top w:val="nil"/>
              <w:left w:val="nil"/>
              <w:bottom w:val="single" w:sz="4" w:space="0" w:color="auto"/>
              <w:right w:val="nil"/>
            </w:tcBorders>
            <w:shd w:val="clear" w:color="000000" w:fill="243782"/>
            <w:noWrap/>
            <w:vAlign w:val="center"/>
            <w:hideMark/>
          </w:tcPr>
          <w:p w14:paraId="40D58D47"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Origination Quarter</w:t>
            </w:r>
          </w:p>
        </w:tc>
        <w:tc>
          <w:tcPr>
            <w:tcW w:w="470" w:type="pct"/>
            <w:tcBorders>
              <w:top w:val="nil"/>
              <w:left w:val="nil"/>
              <w:bottom w:val="single" w:sz="4" w:space="0" w:color="auto"/>
              <w:right w:val="nil"/>
            </w:tcBorders>
            <w:shd w:val="clear" w:color="000000" w:fill="243782"/>
            <w:noWrap/>
            <w:vAlign w:val="center"/>
            <w:hideMark/>
          </w:tcPr>
          <w:p w14:paraId="5B99C517" w14:textId="77777777" w:rsidR="006A523F" w:rsidRPr="006A523F" w:rsidRDefault="006A523F" w:rsidP="006A523F">
            <w:pPr>
              <w:spacing w:line="240" w:lineRule="auto"/>
              <w:jc w:val="right"/>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Origination in K€</w:t>
            </w:r>
          </w:p>
        </w:tc>
        <w:tc>
          <w:tcPr>
            <w:tcW w:w="237" w:type="pct"/>
            <w:tcBorders>
              <w:top w:val="nil"/>
              <w:left w:val="nil"/>
              <w:bottom w:val="single" w:sz="4" w:space="0" w:color="auto"/>
              <w:right w:val="nil"/>
            </w:tcBorders>
            <w:shd w:val="clear" w:color="000000" w:fill="243782"/>
            <w:noWrap/>
            <w:vAlign w:val="center"/>
            <w:hideMark/>
          </w:tcPr>
          <w:p w14:paraId="352AFD91"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16</w:t>
            </w:r>
          </w:p>
        </w:tc>
        <w:tc>
          <w:tcPr>
            <w:tcW w:w="237" w:type="pct"/>
            <w:tcBorders>
              <w:top w:val="nil"/>
              <w:left w:val="nil"/>
              <w:bottom w:val="single" w:sz="4" w:space="0" w:color="auto"/>
              <w:right w:val="nil"/>
            </w:tcBorders>
            <w:shd w:val="clear" w:color="000000" w:fill="243782"/>
            <w:noWrap/>
            <w:vAlign w:val="center"/>
            <w:hideMark/>
          </w:tcPr>
          <w:p w14:paraId="4D4E60F7"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17</w:t>
            </w:r>
          </w:p>
        </w:tc>
        <w:tc>
          <w:tcPr>
            <w:tcW w:w="237" w:type="pct"/>
            <w:tcBorders>
              <w:top w:val="nil"/>
              <w:left w:val="nil"/>
              <w:bottom w:val="single" w:sz="4" w:space="0" w:color="auto"/>
              <w:right w:val="nil"/>
            </w:tcBorders>
            <w:shd w:val="clear" w:color="000000" w:fill="243782"/>
            <w:noWrap/>
            <w:vAlign w:val="center"/>
            <w:hideMark/>
          </w:tcPr>
          <w:p w14:paraId="52EAD3E6"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18</w:t>
            </w:r>
          </w:p>
        </w:tc>
        <w:tc>
          <w:tcPr>
            <w:tcW w:w="237" w:type="pct"/>
            <w:tcBorders>
              <w:top w:val="nil"/>
              <w:left w:val="nil"/>
              <w:bottom w:val="single" w:sz="4" w:space="0" w:color="auto"/>
              <w:right w:val="nil"/>
            </w:tcBorders>
            <w:shd w:val="clear" w:color="000000" w:fill="243782"/>
            <w:noWrap/>
            <w:vAlign w:val="center"/>
            <w:hideMark/>
          </w:tcPr>
          <w:p w14:paraId="15CFF52D"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19</w:t>
            </w:r>
          </w:p>
        </w:tc>
        <w:tc>
          <w:tcPr>
            <w:tcW w:w="237" w:type="pct"/>
            <w:tcBorders>
              <w:top w:val="nil"/>
              <w:left w:val="nil"/>
              <w:bottom w:val="single" w:sz="4" w:space="0" w:color="auto"/>
              <w:right w:val="nil"/>
            </w:tcBorders>
            <w:shd w:val="clear" w:color="000000" w:fill="243782"/>
            <w:noWrap/>
            <w:vAlign w:val="center"/>
            <w:hideMark/>
          </w:tcPr>
          <w:p w14:paraId="65FD71EC"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20</w:t>
            </w:r>
          </w:p>
        </w:tc>
        <w:tc>
          <w:tcPr>
            <w:tcW w:w="237" w:type="pct"/>
            <w:tcBorders>
              <w:top w:val="nil"/>
              <w:left w:val="nil"/>
              <w:bottom w:val="single" w:sz="4" w:space="0" w:color="auto"/>
              <w:right w:val="nil"/>
            </w:tcBorders>
            <w:shd w:val="clear" w:color="000000" w:fill="243782"/>
            <w:noWrap/>
            <w:vAlign w:val="center"/>
            <w:hideMark/>
          </w:tcPr>
          <w:p w14:paraId="47085BE0"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21</w:t>
            </w:r>
          </w:p>
        </w:tc>
        <w:tc>
          <w:tcPr>
            <w:tcW w:w="237" w:type="pct"/>
            <w:tcBorders>
              <w:top w:val="nil"/>
              <w:left w:val="nil"/>
              <w:bottom w:val="single" w:sz="4" w:space="0" w:color="auto"/>
              <w:right w:val="nil"/>
            </w:tcBorders>
            <w:shd w:val="clear" w:color="000000" w:fill="243782"/>
            <w:noWrap/>
            <w:vAlign w:val="center"/>
            <w:hideMark/>
          </w:tcPr>
          <w:p w14:paraId="26B984DB"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22</w:t>
            </w:r>
          </w:p>
        </w:tc>
        <w:tc>
          <w:tcPr>
            <w:tcW w:w="237" w:type="pct"/>
            <w:tcBorders>
              <w:top w:val="nil"/>
              <w:left w:val="nil"/>
              <w:bottom w:val="single" w:sz="4" w:space="0" w:color="auto"/>
              <w:right w:val="nil"/>
            </w:tcBorders>
            <w:shd w:val="clear" w:color="000000" w:fill="243782"/>
            <w:noWrap/>
            <w:vAlign w:val="center"/>
            <w:hideMark/>
          </w:tcPr>
          <w:p w14:paraId="362A8F4A"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23</w:t>
            </w:r>
          </w:p>
        </w:tc>
        <w:tc>
          <w:tcPr>
            <w:tcW w:w="237" w:type="pct"/>
            <w:tcBorders>
              <w:top w:val="nil"/>
              <w:left w:val="nil"/>
              <w:bottom w:val="single" w:sz="4" w:space="0" w:color="auto"/>
              <w:right w:val="nil"/>
            </w:tcBorders>
            <w:shd w:val="clear" w:color="000000" w:fill="243782"/>
            <w:noWrap/>
            <w:vAlign w:val="center"/>
            <w:hideMark/>
          </w:tcPr>
          <w:p w14:paraId="19C7D989"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24</w:t>
            </w:r>
          </w:p>
        </w:tc>
        <w:tc>
          <w:tcPr>
            <w:tcW w:w="237" w:type="pct"/>
            <w:tcBorders>
              <w:top w:val="nil"/>
              <w:left w:val="nil"/>
              <w:bottom w:val="single" w:sz="4" w:space="0" w:color="auto"/>
              <w:right w:val="nil"/>
            </w:tcBorders>
            <w:shd w:val="clear" w:color="000000" w:fill="243782"/>
            <w:noWrap/>
            <w:vAlign w:val="center"/>
            <w:hideMark/>
          </w:tcPr>
          <w:p w14:paraId="22F11378"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25</w:t>
            </w:r>
          </w:p>
        </w:tc>
        <w:tc>
          <w:tcPr>
            <w:tcW w:w="237" w:type="pct"/>
            <w:tcBorders>
              <w:top w:val="nil"/>
              <w:left w:val="nil"/>
              <w:bottom w:val="single" w:sz="4" w:space="0" w:color="auto"/>
              <w:right w:val="nil"/>
            </w:tcBorders>
            <w:shd w:val="clear" w:color="000000" w:fill="243782"/>
            <w:noWrap/>
            <w:vAlign w:val="center"/>
            <w:hideMark/>
          </w:tcPr>
          <w:p w14:paraId="1584AD00"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26</w:t>
            </w:r>
          </w:p>
        </w:tc>
        <w:tc>
          <w:tcPr>
            <w:tcW w:w="237" w:type="pct"/>
            <w:tcBorders>
              <w:top w:val="nil"/>
              <w:left w:val="nil"/>
              <w:bottom w:val="single" w:sz="4" w:space="0" w:color="auto"/>
              <w:right w:val="nil"/>
            </w:tcBorders>
            <w:shd w:val="clear" w:color="000000" w:fill="243782"/>
            <w:noWrap/>
            <w:vAlign w:val="center"/>
            <w:hideMark/>
          </w:tcPr>
          <w:p w14:paraId="1DED9AA4"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27</w:t>
            </w:r>
          </w:p>
        </w:tc>
        <w:tc>
          <w:tcPr>
            <w:tcW w:w="237" w:type="pct"/>
            <w:tcBorders>
              <w:top w:val="nil"/>
              <w:left w:val="nil"/>
              <w:bottom w:val="single" w:sz="4" w:space="0" w:color="auto"/>
              <w:right w:val="nil"/>
            </w:tcBorders>
            <w:shd w:val="clear" w:color="000000" w:fill="243782"/>
            <w:noWrap/>
            <w:vAlign w:val="center"/>
            <w:hideMark/>
          </w:tcPr>
          <w:p w14:paraId="3F523D8D"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28</w:t>
            </w:r>
          </w:p>
        </w:tc>
        <w:tc>
          <w:tcPr>
            <w:tcW w:w="237" w:type="pct"/>
            <w:tcBorders>
              <w:top w:val="nil"/>
              <w:left w:val="nil"/>
              <w:bottom w:val="single" w:sz="4" w:space="0" w:color="auto"/>
              <w:right w:val="nil"/>
            </w:tcBorders>
            <w:shd w:val="clear" w:color="000000" w:fill="243782"/>
            <w:noWrap/>
            <w:vAlign w:val="center"/>
            <w:hideMark/>
          </w:tcPr>
          <w:p w14:paraId="511017FF"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29</w:t>
            </w:r>
          </w:p>
        </w:tc>
        <w:tc>
          <w:tcPr>
            <w:tcW w:w="237" w:type="pct"/>
            <w:tcBorders>
              <w:top w:val="nil"/>
              <w:left w:val="nil"/>
              <w:bottom w:val="single" w:sz="4" w:space="0" w:color="auto"/>
              <w:right w:val="nil"/>
            </w:tcBorders>
            <w:shd w:val="clear" w:color="000000" w:fill="243782"/>
            <w:noWrap/>
            <w:vAlign w:val="center"/>
            <w:hideMark/>
          </w:tcPr>
          <w:p w14:paraId="7175804E"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30</w:t>
            </w:r>
          </w:p>
        </w:tc>
      </w:tr>
      <w:tr w:rsidR="006A523F" w:rsidRPr="006A523F" w14:paraId="5CFB76C0" w14:textId="77777777" w:rsidTr="006A523F">
        <w:trPr>
          <w:trHeight w:val="20"/>
        </w:trPr>
        <w:tc>
          <w:tcPr>
            <w:tcW w:w="503" w:type="pct"/>
            <w:tcBorders>
              <w:top w:val="nil"/>
              <w:left w:val="nil"/>
              <w:bottom w:val="nil"/>
              <w:right w:val="nil"/>
            </w:tcBorders>
            <w:shd w:val="clear" w:color="000000" w:fill="FFFFFF"/>
            <w:noWrap/>
            <w:vAlign w:val="center"/>
            <w:hideMark/>
          </w:tcPr>
          <w:p w14:paraId="6DDBFF44"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lastRenderedPageBreak/>
              <w:t>31 March 2013</w:t>
            </w:r>
          </w:p>
        </w:tc>
        <w:tc>
          <w:tcPr>
            <w:tcW w:w="470" w:type="pct"/>
            <w:tcBorders>
              <w:top w:val="nil"/>
              <w:left w:val="nil"/>
              <w:bottom w:val="nil"/>
              <w:right w:val="nil"/>
            </w:tcBorders>
            <w:shd w:val="clear" w:color="000000" w:fill="FFFFFF"/>
            <w:noWrap/>
            <w:vAlign w:val="bottom"/>
            <w:hideMark/>
          </w:tcPr>
          <w:p w14:paraId="2BDCBD5B"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2013Q1</w:t>
            </w:r>
          </w:p>
        </w:tc>
        <w:tc>
          <w:tcPr>
            <w:tcW w:w="470" w:type="pct"/>
            <w:tcBorders>
              <w:top w:val="nil"/>
              <w:left w:val="nil"/>
              <w:bottom w:val="nil"/>
              <w:right w:val="nil"/>
            </w:tcBorders>
            <w:shd w:val="clear" w:color="000000" w:fill="FFFFFF"/>
            <w:noWrap/>
            <w:vAlign w:val="center"/>
            <w:hideMark/>
          </w:tcPr>
          <w:p w14:paraId="4E59040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84,290</w:t>
            </w:r>
          </w:p>
        </w:tc>
        <w:tc>
          <w:tcPr>
            <w:tcW w:w="237" w:type="pct"/>
            <w:tcBorders>
              <w:top w:val="nil"/>
              <w:left w:val="nil"/>
              <w:bottom w:val="nil"/>
              <w:right w:val="nil"/>
            </w:tcBorders>
            <w:shd w:val="clear" w:color="000000" w:fill="FFFFFF"/>
            <w:noWrap/>
            <w:vAlign w:val="bottom"/>
            <w:hideMark/>
          </w:tcPr>
          <w:p w14:paraId="47FC74A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1.95%</w:t>
            </w:r>
          </w:p>
        </w:tc>
        <w:tc>
          <w:tcPr>
            <w:tcW w:w="237" w:type="pct"/>
            <w:tcBorders>
              <w:top w:val="nil"/>
              <w:left w:val="nil"/>
              <w:bottom w:val="nil"/>
              <w:right w:val="nil"/>
            </w:tcBorders>
            <w:shd w:val="clear" w:color="000000" w:fill="FFFFFF"/>
            <w:noWrap/>
            <w:vAlign w:val="bottom"/>
            <w:hideMark/>
          </w:tcPr>
          <w:p w14:paraId="3B1525E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355B0D7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011F86B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317ED13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692D55E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0B44FD8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70BF299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70AA6D6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5532E3A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1C54472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683B441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44B00FC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315A34F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37" w:type="pct"/>
            <w:tcBorders>
              <w:top w:val="nil"/>
              <w:left w:val="nil"/>
              <w:bottom w:val="nil"/>
              <w:right w:val="nil"/>
            </w:tcBorders>
            <w:shd w:val="clear" w:color="000000" w:fill="FFFFFF"/>
            <w:noWrap/>
            <w:vAlign w:val="bottom"/>
            <w:hideMark/>
          </w:tcPr>
          <w:p w14:paraId="6CADA76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r>
      <w:tr w:rsidR="006A523F" w:rsidRPr="006A523F" w14:paraId="23593E4C" w14:textId="77777777" w:rsidTr="006A523F">
        <w:trPr>
          <w:trHeight w:val="20"/>
        </w:trPr>
        <w:tc>
          <w:tcPr>
            <w:tcW w:w="503" w:type="pct"/>
            <w:tcBorders>
              <w:top w:val="nil"/>
              <w:left w:val="nil"/>
              <w:bottom w:val="nil"/>
              <w:right w:val="nil"/>
            </w:tcBorders>
            <w:shd w:val="clear" w:color="000000" w:fill="FFFFFF"/>
            <w:noWrap/>
            <w:vAlign w:val="center"/>
            <w:hideMark/>
          </w:tcPr>
          <w:p w14:paraId="36079245"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2013</w:t>
            </w:r>
          </w:p>
        </w:tc>
        <w:tc>
          <w:tcPr>
            <w:tcW w:w="470" w:type="pct"/>
            <w:tcBorders>
              <w:top w:val="nil"/>
              <w:left w:val="nil"/>
              <w:bottom w:val="nil"/>
              <w:right w:val="nil"/>
            </w:tcBorders>
            <w:shd w:val="clear" w:color="000000" w:fill="FFFFFF"/>
            <w:noWrap/>
            <w:vAlign w:val="bottom"/>
            <w:hideMark/>
          </w:tcPr>
          <w:p w14:paraId="5B8337D5"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2013Q2</w:t>
            </w:r>
          </w:p>
        </w:tc>
        <w:tc>
          <w:tcPr>
            <w:tcW w:w="470" w:type="pct"/>
            <w:tcBorders>
              <w:top w:val="nil"/>
              <w:left w:val="nil"/>
              <w:bottom w:val="nil"/>
              <w:right w:val="nil"/>
            </w:tcBorders>
            <w:shd w:val="clear" w:color="000000" w:fill="FFFFFF"/>
            <w:noWrap/>
            <w:vAlign w:val="center"/>
            <w:hideMark/>
          </w:tcPr>
          <w:p w14:paraId="5401CD4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86,396</w:t>
            </w:r>
          </w:p>
        </w:tc>
        <w:tc>
          <w:tcPr>
            <w:tcW w:w="237" w:type="pct"/>
            <w:tcBorders>
              <w:top w:val="nil"/>
              <w:left w:val="nil"/>
              <w:bottom w:val="nil"/>
              <w:right w:val="nil"/>
            </w:tcBorders>
            <w:shd w:val="clear" w:color="000000" w:fill="FFFFFF"/>
            <w:noWrap/>
            <w:vAlign w:val="bottom"/>
            <w:hideMark/>
          </w:tcPr>
          <w:p w14:paraId="642C1F8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2.45%</w:t>
            </w:r>
          </w:p>
        </w:tc>
        <w:tc>
          <w:tcPr>
            <w:tcW w:w="237" w:type="pct"/>
            <w:tcBorders>
              <w:top w:val="nil"/>
              <w:left w:val="nil"/>
              <w:bottom w:val="nil"/>
              <w:right w:val="nil"/>
            </w:tcBorders>
            <w:shd w:val="clear" w:color="000000" w:fill="FFFFFF"/>
            <w:noWrap/>
            <w:vAlign w:val="bottom"/>
            <w:hideMark/>
          </w:tcPr>
          <w:p w14:paraId="0BC1C9D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2.53%</w:t>
            </w:r>
          </w:p>
        </w:tc>
        <w:tc>
          <w:tcPr>
            <w:tcW w:w="237" w:type="pct"/>
            <w:tcBorders>
              <w:top w:val="nil"/>
              <w:left w:val="nil"/>
              <w:bottom w:val="nil"/>
              <w:right w:val="nil"/>
            </w:tcBorders>
            <w:shd w:val="clear" w:color="000000" w:fill="FFFFFF"/>
            <w:noWrap/>
            <w:vAlign w:val="bottom"/>
            <w:hideMark/>
          </w:tcPr>
          <w:p w14:paraId="24683FF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4E6B269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7FB5829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715EE89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610DC2B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67F2F86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6F30B48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3A8982F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4872304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5FB3A30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0982586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6887245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37" w:type="pct"/>
            <w:tcBorders>
              <w:top w:val="nil"/>
              <w:left w:val="nil"/>
              <w:bottom w:val="nil"/>
              <w:right w:val="nil"/>
            </w:tcBorders>
            <w:shd w:val="clear" w:color="000000" w:fill="FFFFFF"/>
            <w:noWrap/>
            <w:vAlign w:val="bottom"/>
            <w:hideMark/>
          </w:tcPr>
          <w:p w14:paraId="238AEAA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r>
      <w:tr w:rsidR="006A523F" w:rsidRPr="006A523F" w14:paraId="6608F099" w14:textId="77777777" w:rsidTr="006A523F">
        <w:trPr>
          <w:trHeight w:val="20"/>
        </w:trPr>
        <w:tc>
          <w:tcPr>
            <w:tcW w:w="503" w:type="pct"/>
            <w:tcBorders>
              <w:top w:val="nil"/>
              <w:left w:val="nil"/>
              <w:bottom w:val="nil"/>
              <w:right w:val="nil"/>
            </w:tcBorders>
            <w:shd w:val="clear" w:color="000000" w:fill="FFFFFF"/>
            <w:noWrap/>
            <w:vAlign w:val="center"/>
            <w:hideMark/>
          </w:tcPr>
          <w:p w14:paraId="31B7A87A"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2013</w:t>
            </w:r>
          </w:p>
        </w:tc>
        <w:tc>
          <w:tcPr>
            <w:tcW w:w="470" w:type="pct"/>
            <w:tcBorders>
              <w:top w:val="nil"/>
              <w:left w:val="nil"/>
              <w:bottom w:val="nil"/>
              <w:right w:val="nil"/>
            </w:tcBorders>
            <w:shd w:val="clear" w:color="000000" w:fill="FFFFFF"/>
            <w:noWrap/>
            <w:vAlign w:val="bottom"/>
            <w:hideMark/>
          </w:tcPr>
          <w:p w14:paraId="6DC71301"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2013Q3</w:t>
            </w:r>
          </w:p>
        </w:tc>
        <w:tc>
          <w:tcPr>
            <w:tcW w:w="470" w:type="pct"/>
            <w:tcBorders>
              <w:top w:val="nil"/>
              <w:left w:val="nil"/>
              <w:bottom w:val="nil"/>
              <w:right w:val="nil"/>
            </w:tcBorders>
            <w:shd w:val="clear" w:color="000000" w:fill="FFFFFF"/>
            <w:noWrap/>
            <w:vAlign w:val="center"/>
            <w:hideMark/>
          </w:tcPr>
          <w:p w14:paraId="0931008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85,276</w:t>
            </w:r>
          </w:p>
        </w:tc>
        <w:tc>
          <w:tcPr>
            <w:tcW w:w="237" w:type="pct"/>
            <w:tcBorders>
              <w:top w:val="nil"/>
              <w:left w:val="nil"/>
              <w:bottom w:val="nil"/>
              <w:right w:val="nil"/>
            </w:tcBorders>
            <w:shd w:val="clear" w:color="000000" w:fill="FFFFFF"/>
            <w:noWrap/>
            <w:vAlign w:val="bottom"/>
            <w:hideMark/>
          </w:tcPr>
          <w:p w14:paraId="37EE1BE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2.13%</w:t>
            </w:r>
          </w:p>
        </w:tc>
        <w:tc>
          <w:tcPr>
            <w:tcW w:w="237" w:type="pct"/>
            <w:tcBorders>
              <w:top w:val="nil"/>
              <w:left w:val="nil"/>
              <w:bottom w:val="nil"/>
              <w:right w:val="nil"/>
            </w:tcBorders>
            <w:shd w:val="clear" w:color="000000" w:fill="FFFFFF"/>
            <w:noWrap/>
            <w:vAlign w:val="bottom"/>
            <w:hideMark/>
          </w:tcPr>
          <w:p w14:paraId="44B2279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2.16%</w:t>
            </w:r>
          </w:p>
        </w:tc>
        <w:tc>
          <w:tcPr>
            <w:tcW w:w="237" w:type="pct"/>
            <w:tcBorders>
              <w:top w:val="nil"/>
              <w:left w:val="nil"/>
              <w:bottom w:val="nil"/>
              <w:right w:val="nil"/>
            </w:tcBorders>
            <w:shd w:val="clear" w:color="000000" w:fill="FFFFFF"/>
            <w:noWrap/>
            <w:vAlign w:val="bottom"/>
            <w:hideMark/>
          </w:tcPr>
          <w:p w14:paraId="01A6AE0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726FA71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40695DE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2543DF0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37D0CCC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604D3DC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0E4786F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691231E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7A11929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0F3231C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13AC87A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5CDD85E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37" w:type="pct"/>
            <w:tcBorders>
              <w:top w:val="nil"/>
              <w:left w:val="nil"/>
              <w:bottom w:val="nil"/>
              <w:right w:val="nil"/>
            </w:tcBorders>
            <w:shd w:val="clear" w:color="000000" w:fill="FFFFFF"/>
            <w:noWrap/>
            <w:vAlign w:val="bottom"/>
            <w:hideMark/>
          </w:tcPr>
          <w:p w14:paraId="3968015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r>
      <w:tr w:rsidR="006A523F" w:rsidRPr="006A523F" w14:paraId="16DDA1D5" w14:textId="77777777" w:rsidTr="006A523F">
        <w:trPr>
          <w:trHeight w:val="20"/>
        </w:trPr>
        <w:tc>
          <w:tcPr>
            <w:tcW w:w="503" w:type="pct"/>
            <w:tcBorders>
              <w:top w:val="nil"/>
              <w:left w:val="nil"/>
              <w:bottom w:val="nil"/>
              <w:right w:val="nil"/>
            </w:tcBorders>
            <w:shd w:val="clear" w:color="000000" w:fill="FFFFFF"/>
            <w:noWrap/>
            <w:vAlign w:val="center"/>
            <w:hideMark/>
          </w:tcPr>
          <w:p w14:paraId="0003170C"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2013</w:t>
            </w:r>
          </w:p>
        </w:tc>
        <w:tc>
          <w:tcPr>
            <w:tcW w:w="470" w:type="pct"/>
            <w:tcBorders>
              <w:top w:val="nil"/>
              <w:left w:val="nil"/>
              <w:bottom w:val="nil"/>
              <w:right w:val="nil"/>
            </w:tcBorders>
            <w:shd w:val="clear" w:color="000000" w:fill="FFFFFF"/>
            <w:noWrap/>
            <w:vAlign w:val="bottom"/>
            <w:hideMark/>
          </w:tcPr>
          <w:p w14:paraId="1197C555"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2013Q4</w:t>
            </w:r>
          </w:p>
        </w:tc>
        <w:tc>
          <w:tcPr>
            <w:tcW w:w="470" w:type="pct"/>
            <w:tcBorders>
              <w:top w:val="nil"/>
              <w:left w:val="nil"/>
              <w:bottom w:val="nil"/>
              <w:right w:val="nil"/>
            </w:tcBorders>
            <w:shd w:val="clear" w:color="000000" w:fill="FFFFFF"/>
            <w:noWrap/>
            <w:vAlign w:val="center"/>
            <w:hideMark/>
          </w:tcPr>
          <w:p w14:paraId="067A1A8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88,198</w:t>
            </w:r>
          </w:p>
        </w:tc>
        <w:tc>
          <w:tcPr>
            <w:tcW w:w="237" w:type="pct"/>
            <w:tcBorders>
              <w:top w:val="nil"/>
              <w:left w:val="nil"/>
              <w:bottom w:val="nil"/>
              <w:right w:val="nil"/>
            </w:tcBorders>
            <w:shd w:val="clear" w:color="000000" w:fill="FFFFFF"/>
            <w:noWrap/>
            <w:vAlign w:val="bottom"/>
            <w:hideMark/>
          </w:tcPr>
          <w:p w14:paraId="1558B41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1.99%</w:t>
            </w:r>
          </w:p>
        </w:tc>
        <w:tc>
          <w:tcPr>
            <w:tcW w:w="237" w:type="pct"/>
            <w:tcBorders>
              <w:top w:val="nil"/>
              <w:left w:val="nil"/>
              <w:bottom w:val="nil"/>
              <w:right w:val="nil"/>
            </w:tcBorders>
            <w:shd w:val="clear" w:color="000000" w:fill="FFFFFF"/>
            <w:noWrap/>
            <w:vAlign w:val="bottom"/>
            <w:hideMark/>
          </w:tcPr>
          <w:p w14:paraId="07021FB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2.01%</w:t>
            </w:r>
          </w:p>
        </w:tc>
        <w:tc>
          <w:tcPr>
            <w:tcW w:w="237" w:type="pct"/>
            <w:tcBorders>
              <w:top w:val="nil"/>
              <w:left w:val="nil"/>
              <w:bottom w:val="nil"/>
              <w:right w:val="nil"/>
            </w:tcBorders>
            <w:shd w:val="clear" w:color="000000" w:fill="FFFFFF"/>
            <w:noWrap/>
            <w:vAlign w:val="bottom"/>
            <w:hideMark/>
          </w:tcPr>
          <w:p w14:paraId="7787EF5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34F5806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494B126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600EF63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3908067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03ED4B2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41686F3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5E800B6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7141D6D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05DAE17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3907C43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79FFE1E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37" w:type="pct"/>
            <w:tcBorders>
              <w:top w:val="nil"/>
              <w:left w:val="nil"/>
              <w:bottom w:val="nil"/>
              <w:right w:val="nil"/>
            </w:tcBorders>
            <w:shd w:val="clear" w:color="000000" w:fill="FFFFFF"/>
            <w:noWrap/>
            <w:vAlign w:val="bottom"/>
            <w:hideMark/>
          </w:tcPr>
          <w:p w14:paraId="688A25E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r>
      <w:tr w:rsidR="006A523F" w:rsidRPr="006A523F" w14:paraId="609E36DF" w14:textId="77777777" w:rsidTr="006A523F">
        <w:trPr>
          <w:trHeight w:val="20"/>
        </w:trPr>
        <w:tc>
          <w:tcPr>
            <w:tcW w:w="503" w:type="pct"/>
            <w:tcBorders>
              <w:top w:val="nil"/>
              <w:left w:val="nil"/>
              <w:bottom w:val="nil"/>
              <w:right w:val="nil"/>
            </w:tcBorders>
            <w:shd w:val="clear" w:color="000000" w:fill="FFFFFF"/>
            <w:noWrap/>
            <w:vAlign w:val="center"/>
            <w:hideMark/>
          </w:tcPr>
          <w:p w14:paraId="4F962CB6"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2014</w:t>
            </w:r>
          </w:p>
        </w:tc>
        <w:tc>
          <w:tcPr>
            <w:tcW w:w="470" w:type="pct"/>
            <w:tcBorders>
              <w:top w:val="nil"/>
              <w:left w:val="nil"/>
              <w:bottom w:val="nil"/>
              <w:right w:val="nil"/>
            </w:tcBorders>
            <w:shd w:val="clear" w:color="000000" w:fill="FFFFFF"/>
            <w:noWrap/>
            <w:vAlign w:val="bottom"/>
            <w:hideMark/>
          </w:tcPr>
          <w:p w14:paraId="4F3E3522"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2014Q1</w:t>
            </w:r>
          </w:p>
        </w:tc>
        <w:tc>
          <w:tcPr>
            <w:tcW w:w="470" w:type="pct"/>
            <w:tcBorders>
              <w:top w:val="nil"/>
              <w:left w:val="nil"/>
              <w:bottom w:val="nil"/>
              <w:right w:val="nil"/>
            </w:tcBorders>
            <w:shd w:val="clear" w:color="000000" w:fill="FFFFFF"/>
            <w:noWrap/>
            <w:vAlign w:val="center"/>
            <w:hideMark/>
          </w:tcPr>
          <w:p w14:paraId="20892C3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80,654</w:t>
            </w:r>
          </w:p>
        </w:tc>
        <w:tc>
          <w:tcPr>
            <w:tcW w:w="237" w:type="pct"/>
            <w:tcBorders>
              <w:top w:val="nil"/>
              <w:left w:val="nil"/>
              <w:bottom w:val="nil"/>
              <w:right w:val="nil"/>
            </w:tcBorders>
            <w:shd w:val="clear" w:color="000000" w:fill="FFFFFF"/>
            <w:noWrap/>
            <w:vAlign w:val="bottom"/>
            <w:hideMark/>
          </w:tcPr>
          <w:p w14:paraId="49725C8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2.04%</w:t>
            </w:r>
          </w:p>
        </w:tc>
        <w:tc>
          <w:tcPr>
            <w:tcW w:w="237" w:type="pct"/>
            <w:tcBorders>
              <w:top w:val="nil"/>
              <w:left w:val="nil"/>
              <w:bottom w:val="nil"/>
              <w:right w:val="nil"/>
            </w:tcBorders>
            <w:shd w:val="clear" w:color="000000" w:fill="FFFFFF"/>
            <w:noWrap/>
            <w:vAlign w:val="bottom"/>
            <w:hideMark/>
          </w:tcPr>
          <w:p w14:paraId="4353738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2.06%</w:t>
            </w:r>
          </w:p>
        </w:tc>
        <w:tc>
          <w:tcPr>
            <w:tcW w:w="237" w:type="pct"/>
            <w:tcBorders>
              <w:top w:val="nil"/>
              <w:left w:val="nil"/>
              <w:bottom w:val="nil"/>
              <w:right w:val="nil"/>
            </w:tcBorders>
            <w:shd w:val="clear" w:color="000000" w:fill="FFFFFF"/>
            <w:noWrap/>
            <w:vAlign w:val="bottom"/>
            <w:hideMark/>
          </w:tcPr>
          <w:p w14:paraId="738360B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2.09%</w:t>
            </w:r>
          </w:p>
        </w:tc>
        <w:tc>
          <w:tcPr>
            <w:tcW w:w="237" w:type="pct"/>
            <w:tcBorders>
              <w:top w:val="nil"/>
              <w:left w:val="nil"/>
              <w:bottom w:val="nil"/>
              <w:right w:val="nil"/>
            </w:tcBorders>
            <w:shd w:val="clear" w:color="000000" w:fill="FFFFFF"/>
            <w:noWrap/>
            <w:vAlign w:val="bottom"/>
            <w:hideMark/>
          </w:tcPr>
          <w:p w14:paraId="1221936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2D20073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40C1C96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6558815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0F67737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0EC4D22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2FBDFD2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26A682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5CDF1E4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769A360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1517A46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37" w:type="pct"/>
            <w:tcBorders>
              <w:top w:val="nil"/>
              <w:left w:val="nil"/>
              <w:bottom w:val="nil"/>
              <w:right w:val="nil"/>
            </w:tcBorders>
            <w:shd w:val="clear" w:color="000000" w:fill="FFFFFF"/>
            <w:noWrap/>
            <w:vAlign w:val="bottom"/>
            <w:hideMark/>
          </w:tcPr>
          <w:p w14:paraId="4709DE3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r>
      <w:tr w:rsidR="006A523F" w:rsidRPr="006A523F" w14:paraId="2C02BD2B" w14:textId="77777777" w:rsidTr="006A523F">
        <w:trPr>
          <w:trHeight w:val="20"/>
        </w:trPr>
        <w:tc>
          <w:tcPr>
            <w:tcW w:w="503" w:type="pct"/>
            <w:tcBorders>
              <w:top w:val="nil"/>
              <w:left w:val="nil"/>
              <w:bottom w:val="nil"/>
              <w:right w:val="nil"/>
            </w:tcBorders>
            <w:shd w:val="clear" w:color="000000" w:fill="FFFFFF"/>
            <w:noWrap/>
            <w:vAlign w:val="center"/>
            <w:hideMark/>
          </w:tcPr>
          <w:p w14:paraId="30ABFBE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2014</w:t>
            </w:r>
          </w:p>
        </w:tc>
        <w:tc>
          <w:tcPr>
            <w:tcW w:w="470" w:type="pct"/>
            <w:tcBorders>
              <w:top w:val="nil"/>
              <w:left w:val="nil"/>
              <w:bottom w:val="nil"/>
              <w:right w:val="nil"/>
            </w:tcBorders>
            <w:shd w:val="clear" w:color="000000" w:fill="FFFFFF"/>
            <w:noWrap/>
            <w:vAlign w:val="bottom"/>
            <w:hideMark/>
          </w:tcPr>
          <w:p w14:paraId="50EAABAC"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2014Q2</w:t>
            </w:r>
          </w:p>
        </w:tc>
        <w:tc>
          <w:tcPr>
            <w:tcW w:w="470" w:type="pct"/>
            <w:tcBorders>
              <w:top w:val="nil"/>
              <w:left w:val="nil"/>
              <w:bottom w:val="nil"/>
              <w:right w:val="nil"/>
            </w:tcBorders>
            <w:shd w:val="clear" w:color="000000" w:fill="FFFFFF"/>
            <w:noWrap/>
            <w:vAlign w:val="center"/>
            <w:hideMark/>
          </w:tcPr>
          <w:p w14:paraId="55C8C38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89,300</w:t>
            </w:r>
          </w:p>
        </w:tc>
        <w:tc>
          <w:tcPr>
            <w:tcW w:w="237" w:type="pct"/>
            <w:tcBorders>
              <w:top w:val="nil"/>
              <w:left w:val="nil"/>
              <w:bottom w:val="nil"/>
              <w:right w:val="nil"/>
            </w:tcBorders>
            <w:shd w:val="clear" w:color="000000" w:fill="FFFFFF"/>
            <w:noWrap/>
            <w:vAlign w:val="bottom"/>
            <w:hideMark/>
          </w:tcPr>
          <w:p w14:paraId="12019D9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1.83%</w:t>
            </w:r>
          </w:p>
        </w:tc>
        <w:tc>
          <w:tcPr>
            <w:tcW w:w="237" w:type="pct"/>
            <w:tcBorders>
              <w:top w:val="nil"/>
              <w:left w:val="nil"/>
              <w:bottom w:val="nil"/>
              <w:right w:val="nil"/>
            </w:tcBorders>
            <w:shd w:val="clear" w:color="000000" w:fill="FFFFFF"/>
            <w:noWrap/>
            <w:vAlign w:val="bottom"/>
            <w:hideMark/>
          </w:tcPr>
          <w:p w14:paraId="630735E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1.89%</w:t>
            </w:r>
          </w:p>
        </w:tc>
        <w:tc>
          <w:tcPr>
            <w:tcW w:w="237" w:type="pct"/>
            <w:tcBorders>
              <w:top w:val="nil"/>
              <w:left w:val="nil"/>
              <w:bottom w:val="nil"/>
              <w:right w:val="nil"/>
            </w:tcBorders>
            <w:shd w:val="clear" w:color="000000" w:fill="FFFFFF"/>
            <w:noWrap/>
            <w:vAlign w:val="bottom"/>
            <w:hideMark/>
          </w:tcPr>
          <w:p w14:paraId="26AC5B9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1.92%</w:t>
            </w:r>
          </w:p>
        </w:tc>
        <w:tc>
          <w:tcPr>
            <w:tcW w:w="237" w:type="pct"/>
            <w:tcBorders>
              <w:top w:val="nil"/>
              <w:left w:val="nil"/>
              <w:bottom w:val="nil"/>
              <w:right w:val="nil"/>
            </w:tcBorders>
            <w:shd w:val="clear" w:color="000000" w:fill="FFFFFF"/>
            <w:noWrap/>
            <w:vAlign w:val="bottom"/>
            <w:hideMark/>
          </w:tcPr>
          <w:p w14:paraId="3D42032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287EAB9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1E8A300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36604FE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27E6644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4CA2C2D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1B19053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29EA3D1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1A37607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597CBAC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21154BD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37" w:type="pct"/>
            <w:tcBorders>
              <w:top w:val="nil"/>
              <w:left w:val="nil"/>
              <w:bottom w:val="nil"/>
              <w:right w:val="nil"/>
            </w:tcBorders>
            <w:shd w:val="clear" w:color="000000" w:fill="FFFFFF"/>
            <w:noWrap/>
            <w:vAlign w:val="bottom"/>
            <w:hideMark/>
          </w:tcPr>
          <w:p w14:paraId="490A524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r>
      <w:tr w:rsidR="006A523F" w:rsidRPr="006A523F" w14:paraId="5119A21D" w14:textId="77777777" w:rsidTr="006A523F">
        <w:trPr>
          <w:trHeight w:val="20"/>
        </w:trPr>
        <w:tc>
          <w:tcPr>
            <w:tcW w:w="503" w:type="pct"/>
            <w:tcBorders>
              <w:top w:val="nil"/>
              <w:left w:val="nil"/>
              <w:bottom w:val="nil"/>
              <w:right w:val="nil"/>
            </w:tcBorders>
            <w:shd w:val="clear" w:color="000000" w:fill="FFFFFF"/>
            <w:noWrap/>
            <w:vAlign w:val="center"/>
            <w:hideMark/>
          </w:tcPr>
          <w:p w14:paraId="001FD286"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2014</w:t>
            </w:r>
          </w:p>
        </w:tc>
        <w:tc>
          <w:tcPr>
            <w:tcW w:w="470" w:type="pct"/>
            <w:tcBorders>
              <w:top w:val="nil"/>
              <w:left w:val="nil"/>
              <w:bottom w:val="nil"/>
              <w:right w:val="nil"/>
            </w:tcBorders>
            <w:shd w:val="clear" w:color="000000" w:fill="FFFFFF"/>
            <w:noWrap/>
            <w:vAlign w:val="bottom"/>
            <w:hideMark/>
          </w:tcPr>
          <w:p w14:paraId="5FDBFF1F"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2014Q3</w:t>
            </w:r>
          </w:p>
        </w:tc>
        <w:tc>
          <w:tcPr>
            <w:tcW w:w="470" w:type="pct"/>
            <w:tcBorders>
              <w:top w:val="nil"/>
              <w:left w:val="nil"/>
              <w:bottom w:val="nil"/>
              <w:right w:val="nil"/>
            </w:tcBorders>
            <w:shd w:val="clear" w:color="000000" w:fill="FFFFFF"/>
            <w:noWrap/>
            <w:vAlign w:val="center"/>
            <w:hideMark/>
          </w:tcPr>
          <w:p w14:paraId="15D73B0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76,294</w:t>
            </w:r>
          </w:p>
        </w:tc>
        <w:tc>
          <w:tcPr>
            <w:tcW w:w="237" w:type="pct"/>
            <w:tcBorders>
              <w:top w:val="nil"/>
              <w:left w:val="nil"/>
              <w:bottom w:val="nil"/>
              <w:right w:val="nil"/>
            </w:tcBorders>
            <w:shd w:val="clear" w:color="000000" w:fill="FFFFFF"/>
            <w:noWrap/>
            <w:vAlign w:val="bottom"/>
            <w:hideMark/>
          </w:tcPr>
          <w:p w14:paraId="7D01546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1.99%</w:t>
            </w:r>
          </w:p>
        </w:tc>
        <w:tc>
          <w:tcPr>
            <w:tcW w:w="237" w:type="pct"/>
            <w:tcBorders>
              <w:top w:val="nil"/>
              <w:left w:val="nil"/>
              <w:bottom w:val="nil"/>
              <w:right w:val="nil"/>
            </w:tcBorders>
            <w:shd w:val="clear" w:color="000000" w:fill="FFFFFF"/>
            <w:noWrap/>
            <w:vAlign w:val="bottom"/>
            <w:hideMark/>
          </w:tcPr>
          <w:p w14:paraId="37112A0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2.02%</w:t>
            </w:r>
          </w:p>
        </w:tc>
        <w:tc>
          <w:tcPr>
            <w:tcW w:w="237" w:type="pct"/>
            <w:tcBorders>
              <w:top w:val="nil"/>
              <w:left w:val="nil"/>
              <w:bottom w:val="nil"/>
              <w:right w:val="nil"/>
            </w:tcBorders>
            <w:shd w:val="clear" w:color="000000" w:fill="FFFFFF"/>
            <w:noWrap/>
            <w:vAlign w:val="bottom"/>
            <w:hideMark/>
          </w:tcPr>
          <w:p w14:paraId="2886F4C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5C69A87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5C71018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76553EA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3F51BB5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3D8C489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49C91F0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43B8DB9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25CBF2B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1C2C04D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5FC19CB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21A5192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37" w:type="pct"/>
            <w:tcBorders>
              <w:top w:val="nil"/>
              <w:left w:val="nil"/>
              <w:bottom w:val="nil"/>
              <w:right w:val="nil"/>
            </w:tcBorders>
            <w:shd w:val="clear" w:color="000000" w:fill="FFFFFF"/>
            <w:noWrap/>
            <w:vAlign w:val="bottom"/>
            <w:hideMark/>
          </w:tcPr>
          <w:p w14:paraId="55C3BC3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r>
      <w:tr w:rsidR="006A523F" w:rsidRPr="006A523F" w14:paraId="3C053741" w14:textId="77777777" w:rsidTr="006A523F">
        <w:trPr>
          <w:trHeight w:val="20"/>
        </w:trPr>
        <w:tc>
          <w:tcPr>
            <w:tcW w:w="503" w:type="pct"/>
            <w:tcBorders>
              <w:top w:val="nil"/>
              <w:left w:val="nil"/>
              <w:bottom w:val="nil"/>
              <w:right w:val="nil"/>
            </w:tcBorders>
            <w:shd w:val="clear" w:color="000000" w:fill="FFFFFF"/>
            <w:noWrap/>
            <w:vAlign w:val="center"/>
            <w:hideMark/>
          </w:tcPr>
          <w:p w14:paraId="5F6D1B95"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2014</w:t>
            </w:r>
          </w:p>
        </w:tc>
        <w:tc>
          <w:tcPr>
            <w:tcW w:w="470" w:type="pct"/>
            <w:tcBorders>
              <w:top w:val="nil"/>
              <w:left w:val="nil"/>
              <w:bottom w:val="nil"/>
              <w:right w:val="nil"/>
            </w:tcBorders>
            <w:shd w:val="clear" w:color="000000" w:fill="FFFFFF"/>
            <w:noWrap/>
            <w:vAlign w:val="bottom"/>
            <w:hideMark/>
          </w:tcPr>
          <w:p w14:paraId="77C8164A"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2014Q4</w:t>
            </w:r>
          </w:p>
        </w:tc>
        <w:tc>
          <w:tcPr>
            <w:tcW w:w="470" w:type="pct"/>
            <w:tcBorders>
              <w:top w:val="nil"/>
              <w:left w:val="nil"/>
              <w:bottom w:val="nil"/>
              <w:right w:val="nil"/>
            </w:tcBorders>
            <w:shd w:val="clear" w:color="000000" w:fill="FFFFFF"/>
            <w:noWrap/>
            <w:vAlign w:val="center"/>
            <w:hideMark/>
          </w:tcPr>
          <w:p w14:paraId="520C1C0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97,910</w:t>
            </w:r>
          </w:p>
        </w:tc>
        <w:tc>
          <w:tcPr>
            <w:tcW w:w="237" w:type="pct"/>
            <w:tcBorders>
              <w:top w:val="nil"/>
              <w:left w:val="nil"/>
              <w:bottom w:val="nil"/>
              <w:right w:val="nil"/>
            </w:tcBorders>
            <w:shd w:val="clear" w:color="000000" w:fill="FFFFFF"/>
            <w:noWrap/>
            <w:vAlign w:val="bottom"/>
            <w:hideMark/>
          </w:tcPr>
          <w:p w14:paraId="359D12A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1.67%</w:t>
            </w:r>
          </w:p>
        </w:tc>
        <w:tc>
          <w:tcPr>
            <w:tcW w:w="237" w:type="pct"/>
            <w:tcBorders>
              <w:top w:val="nil"/>
              <w:left w:val="nil"/>
              <w:bottom w:val="nil"/>
              <w:right w:val="nil"/>
            </w:tcBorders>
            <w:shd w:val="clear" w:color="000000" w:fill="FFFFFF"/>
            <w:noWrap/>
            <w:vAlign w:val="bottom"/>
            <w:hideMark/>
          </w:tcPr>
          <w:p w14:paraId="65E0D0F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1.70%</w:t>
            </w:r>
          </w:p>
        </w:tc>
        <w:tc>
          <w:tcPr>
            <w:tcW w:w="237" w:type="pct"/>
            <w:tcBorders>
              <w:top w:val="nil"/>
              <w:left w:val="nil"/>
              <w:bottom w:val="nil"/>
              <w:right w:val="nil"/>
            </w:tcBorders>
            <w:shd w:val="clear" w:color="000000" w:fill="FFFFFF"/>
            <w:noWrap/>
            <w:vAlign w:val="bottom"/>
            <w:hideMark/>
          </w:tcPr>
          <w:p w14:paraId="7CBDF7E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1EDB9CF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6A21F0A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331AC5C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2521841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11D4127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0FD4F8A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7853286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2942EC0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0765FAA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6E4D82E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2EA4A90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37" w:type="pct"/>
            <w:tcBorders>
              <w:top w:val="nil"/>
              <w:left w:val="nil"/>
              <w:bottom w:val="nil"/>
              <w:right w:val="nil"/>
            </w:tcBorders>
            <w:shd w:val="clear" w:color="000000" w:fill="FFFFFF"/>
            <w:noWrap/>
            <w:vAlign w:val="bottom"/>
            <w:hideMark/>
          </w:tcPr>
          <w:p w14:paraId="7DF5067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r>
      <w:tr w:rsidR="006A523F" w:rsidRPr="006A523F" w14:paraId="5914724B" w14:textId="77777777" w:rsidTr="006A523F">
        <w:trPr>
          <w:trHeight w:val="20"/>
        </w:trPr>
        <w:tc>
          <w:tcPr>
            <w:tcW w:w="503" w:type="pct"/>
            <w:tcBorders>
              <w:top w:val="nil"/>
              <w:left w:val="nil"/>
              <w:bottom w:val="nil"/>
              <w:right w:val="nil"/>
            </w:tcBorders>
            <w:shd w:val="clear" w:color="000000" w:fill="FFFFFF"/>
            <w:noWrap/>
            <w:vAlign w:val="center"/>
            <w:hideMark/>
          </w:tcPr>
          <w:p w14:paraId="2F258B8F"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2015</w:t>
            </w:r>
          </w:p>
        </w:tc>
        <w:tc>
          <w:tcPr>
            <w:tcW w:w="470" w:type="pct"/>
            <w:tcBorders>
              <w:top w:val="nil"/>
              <w:left w:val="nil"/>
              <w:bottom w:val="nil"/>
              <w:right w:val="nil"/>
            </w:tcBorders>
            <w:shd w:val="clear" w:color="000000" w:fill="FFFFFF"/>
            <w:noWrap/>
            <w:vAlign w:val="bottom"/>
            <w:hideMark/>
          </w:tcPr>
          <w:p w14:paraId="4E67C9B6"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2015Q1</w:t>
            </w:r>
          </w:p>
        </w:tc>
        <w:tc>
          <w:tcPr>
            <w:tcW w:w="470" w:type="pct"/>
            <w:tcBorders>
              <w:top w:val="nil"/>
              <w:left w:val="nil"/>
              <w:bottom w:val="nil"/>
              <w:right w:val="nil"/>
            </w:tcBorders>
            <w:shd w:val="clear" w:color="000000" w:fill="FFFFFF"/>
            <w:noWrap/>
            <w:vAlign w:val="center"/>
            <w:hideMark/>
          </w:tcPr>
          <w:p w14:paraId="7EB2200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95,458</w:t>
            </w:r>
          </w:p>
        </w:tc>
        <w:tc>
          <w:tcPr>
            <w:tcW w:w="237" w:type="pct"/>
            <w:tcBorders>
              <w:top w:val="nil"/>
              <w:left w:val="nil"/>
              <w:bottom w:val="nil"/>
              <w:right w:val="nil"/>
            </w:tcBorders>
            <w:shd w:val="clear" w:color="000000" w:fill="FFFFFF"/>
            <w:noWrap/>
            <w:vAlign w:val="bottom"/>
            <w:hideMark/>
          </w:tcPr>
          <w:p w14:paraId="1282E53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42A0257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14C9AF0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184B875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2494D7F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7D2F29F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156A3B9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277C7C0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6DADE0A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4290E3B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4B7C334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76C8F2A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1612D1A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6B01E8C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434C16D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r>
      <w:tr w:rsidR="006A523F" w:rsidRPr="006A523F" w14:paraId="23F08794" w14:textId="77777777" w:rsidTr="006A523F">
        <w:trPr>
          <w:trHeight w:val="20"/>
        </w:trPr>
        <w:tc>
          <w:tcPr>
            <w:tcW w:w="503" w:type="pct"/>
            <w:tcBorders>
              <w:top w:val="nil"/>
              <w:left w:val="nil"/>
              <w:bottom w:val="nil"/>
              <w:right w:val="nil"/>
            </w:tcBorders>
            <w:shd w:val="clear" w:color="000000" w:fill="FFFFFF"/>
            <w:noWrap/>
            <w:vAlign w:val="center"/>
            <w:hideMark/>
          </w:tcPr>
          <w:p w14:paraId="007198B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2015</w:t>
            </w:r>
          </w:p>
        </w:tc>
        <w:tc>
          <w:tcPr>
            <w:tcW w:w="470" w:type="pct"/>
            <w:tcBorders>
              <w:top w:val="nil"/>
              <w:left w:val="nil"/>
              <w:bottom w:val="nil"/>
              <w:right w:val="nil"/>
            </w:tcBorders>
            <w:shd w:val="clear" w:color="000000" w:fill="FFFFFF"/>
            <w:noWrap/>
            <w:vAlign w:val="bottom"/>
            <w:hideMark/>
          </w:tcPr>
          <w:p w14:paraId="20FB71EE"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2015Q2</w:t>
            </w:r>
          </w:p>
        </w:tc>
        <w:tc>
          <w:tcPr>
            <w:tcW w:w="470" w:type="pct"/>
            <w:tcBorders>
              <w:top w:val="nil"/>
              <w:left w:val="nil"/>
              <w:bottom w:val="nil"/>
              <w:right w:val="nil"/>
            </w:tcBorders>
            <w:shd w:val="clear" w:color="000000" w:fill="FFFFFF"/>
            <w:noWrap/>
            <w:vAlign w:val="center"/>
            <w:hideMark/>
          </w:tcPr>
          <w:p w14:paraId="694E70B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112,776</w:t>
            </w:r>
          </w:p>
        </w:tc>
        <w:tc>
          <w:tcPr>
            <w:tcW w:w="237" w:type="pct"/>
            <w:tcBorders>
              <w:top w:val="nil"/>
              <w:left w:val="nil"/>
              <w:bottom w:val="nil"/>
              <w:right w:val="nil"/>
            </w:tcBorders>
            <w:shd w:val="clear" w:color="000000" w:fill="FFFFFF"/>
            <w:noWrap/>
            <w:vAlign w:val="bottom"/>
            <w:hideMark/>
          </w:tcPr>
          <w:p w14:paraId="0146AC6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1.28%</w:t>
            </w:r>
          </w:p>
        </w:tc>
        <w:tc>
          <w:tcPr>
            <w:tcW w:w="237" w:type="pct"/>
            <w:tcBorders>
              <w:top w:val="nil"/>
              <w:left w:val="nil"/>
              <w:bottom w:val="nil"/>
              <w:right w:val="nil"/>
            </w:tcBorders>
            <w:shd w:val="clear" w:color="000000" w:fill="FFFFFF"/>
            <w:noWrap/>
            <w:vAlign w:val="bottom"/>
            <w:hideMark/>
          </w:tcPr>
          <w:p w14:paraId="0F50C91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1.31%</w:t>
            </w:r>
          </w:p>
        </w:tc>
        <w:tc>
          <w:tcPr>
            <w:tcW w:w="237" w:type="pct"/>
            <w:tcBorders>
              <w:top w:val="nil"/>
              <w:left w:val="nil"/>
              <w:bottom w:val="nil"/>
              <w:right w:val="nil"/>
            </w:tcBorders>
            <w:shd w:val="clear" w:color="000000" w:fill="FFFFFF"/>
            <w:noWrap/>
            <w:vAlign w:val="bottom"/>
            <w:hideMark/>
          </w:tcPr>
          <w:p w14:paraId="293EE00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1.33%</w:t>
            </w:r>
          </w:p>
        </w:tc>
        <w:tc>
          <w:tcPr>
            <w:tcW w:w="237" w:type="pct"/>
            <w:tcBorders>
              <w:top w:val="nil"/>
              <w:left w:val="nil"/>
              <w:bottom w:val="nil"/>
              <w:right w:val="nil"/>
            </w:tcBorders>
            <w:shd w:val="clear" w:color="000000" w:fill="FFFFFF"/>
            <w:noWrap/>
            <w:vAlign w:val="bottom"/>
            <w:hideMark/>
          </w:tcPr>
          <w:p w14:paraId="6C264B9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142FDC6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0B264DB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5780C64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0242F58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5DD2C35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799CC56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0E4D3D3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4431F6C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4BD589B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5A11CFC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37" w:type="pct"/>
            <w:tcBorders>
              <w:top w:val="nil"/>
              <w:left w:val="nil"/>
              <w:bottom w:val="nil"/>
              <w:right w:val="nil"/>
            </w:tcBorders>
            <w:shd w:val="clear" w:color="000000" w:fill="FFFFFF"/>
            <w:noWrap/>
            <w:vAlign w:val="bottom"/>
            <w:hideMark/>
          </w:tcPr>
          <w:p w14:paraId="785D075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r>
      <w:tr w:rsidR="006A523F" w:rsidRPr="006A523F" w14:paraId="6D6C281B" w14:textId="77777777" w:rsidTr="006A523F">
        <w:trPr>
          <w:trHeight w:val="20"/>
        </w:trPr>
        <w:tc>
          <w:tcPr>
            <w:tcW w:w="503" w:type="pct"/>
            <w:tcBorders>
              <w:top w:val="nil"/>
              <w:left w:val="nil"/>
              <w:bottom w:val="nil"/>
              <w:right w:val="nil"/>
            </w:tcBorders>
            <w:shd w:val="clear" w:color="000000" w:fill="FFFFFF"/>
            <w:noWrap/>
            <w:vAlign w:val="center"/>
            <w:hideMark/>
          </w:tcPr>
          <w:p w14:paraId="5D8DF7EE"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2015</w:t>
            </w:r>
          </w:p>
        </w:tc>
        <w:tc>
          <w:tcPr>
            <w:tcW w:w="470" w:type="pct"/>
            <w:tcBorders>
              <w:top w:val="nil"/>
              <w:left w:val="nil"/>
              <w:bottom w:val="nil"/>
              <w:right w:val="nil"/>
            </w:tcBorders>
            <w:shd w:val="clear" w:color="000000" w:fill="FFFFFF"/>
            <w:noWrap/>
            <w:vAlign w:val="bottom"/>
            <w:hideMark/>
          </w:tcPr>
          <w:p w14:paraId="2A6D4406"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2015Q3</w:t>
            </w:r>
          </w:p>
        </w:tc>
        <w:tc>
          <w:tcPr>
            <w:tcW w:w="470" w:type="pct"/>
            <w:tcBorders>
              <w:top w:val="nil"/>
              <w:left w:val="nil"/>
              <w:bottom w:val="nil"/>
              <w:right w:val="nil"/>
            </w:tcBorders>
            <w:shd w:val="clear" w:color="000000" w:fill="FFFFFF"/>
            <w:noWrap/>
            <w:vAlign w:val="center"/>
            <w:hideMark/>
          </w:tcPr>
          <w:p w14:paraId="3CD7567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100,460</w:t>
            </w:r>
          </w:p>
        </w:tc>
        <w:tc>
          <w:tcPr>
            <w:tcW w:w="237" w:type="pct"/>
            <w:tcBorders>
              <w:top w:val="nil"/>
              <w:left w:val="nil"/>
              <w:bottom w:val="nil"/>
              <w:right w:val="nil"/>
            </w:tcBorders>
            <w:shd w:val="clear" w:color="000000" w:fill="FFFFFF"/>
            <w:noWrap/>
            <w:vAlign w:val="bottom"/>
            <w:hideMark/>
          </w:tcPr>
          <w:p w14:paraId="2C1E287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1.53%</w:t>
            </w:r>
          </w:p>
        </w:tc>
        <w:tc>
          <w:tcPr>
            <w:tcW w:w="237" w:type="pct"/>
            <w:tcBorders>
              <w:top w:val="nil"/>
              <w:left w:val="nil"/>
              <w:bottom w:val="nil"/>
              <w:right w:val="nil"/>
            </w:tcBorders>
            <w:shd w:val="clear" w:color="000000" w:fill="FFFFFF"/>
            <w:noWrap/>
            <w:vAlign w:val="bottom"/>
            <w:hideMark/>
          </w:tcPr>
          <w:p w14:paraId="1C025CE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1.60%</w:t>
            </w:r>
          </w:p>
        </w:tc>
        <w:tc>
          <w:tcPr>
            <w:tcW w:w="237" w:type="pct"/>
            <w:tcBorders>
              <w:top w:val="nil"/>
              <w:left w:val="nil"/>
              <w:bottom w:val="nil"/>
              <w:right w:val="nil"/>
            </w:tcBorders>
            <w:shd w:val="clear" w:color="000000" w:fill="FFFFFF"/>
            <w:noWrap/>
            <w:vAlign w:val="bottom"/>
            <w:hideMark/>
          </w:tcPr>
          <w:p w14:paraId="21B1F7C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437C926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1D09108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7FCAAFE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1DCA191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6D32475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3CE8FF8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51A0776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1411603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79A507D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4B2B294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51DBAF5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73E32E1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r>
      <w:tr w:rsidR="006A523F" w:rsidRPr="006A523F" w14:paraId="66EE30FE" w14:textId="77777777" w:rsidTr="006A523F">
        <w:trPr>
          <w:trHeight w:val="20"/>
        </w:trPr>
        <w:tc>
          <w:tcPr>
            <w:tcW w:w="503" w:type="pct"/>
            <w:tcBorders>
              <w:top w:val="nil"/>
              <w:left w:val="nil"/>
              <w:bottom w:val="nil"/>
              <w:right w:val="nil"/>
            </w:tcBorders>
            <w:shd w:val="clear" w:color="000000" w:fill="FFFFFF"/>
            <w:noWrap/>
            <w:vAlign w:val="center"/>
            <w:hideMark/>
          </w:tcPr>
          <w:p w14:paraId="694B8878"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2015</w:t>
            </w:r>
          </w:p>
        </w:tc>
        <w:tc>
          <w:tcPr>
            <w:tcW w:w="470" w:type="pct"/>
            <w:tcBorders>
              <w:top w:val="nil"/>
              <w:left w:val="nil"/>
              <w:bottom w:val="nil"/>
              <w:right w:val="nil"/>
            </w:tcBorders>
            <w:shd w:val="clear" w:color="000000" w:fill="FFFFFF"/>
            <w:noWrap/>
            <w:vAlign w:val="bottom"/>
            <w:hideMark/>
          </w:tcPr>
          <w:p w14:paraId="11BF5CC2"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2015Q4</w:t>
            </w:r>
          </w:p>
        </w:tc>
        <w:tc>
          <w:tcPr>
            <w:tcW w:w="470" w:type="pct"/>
            <w:tcBorders>
              <w:top w:val="nil"/>
              <w:left w:val="nil"/>
              <w:bottom w:val="nil"/>
              <w:right w:val="nil"/>
            </w:tcBorders>
            <w:shd w:val="clear" w:color="000000" w:fill="FFFFFF"/>
            <w:noWrap/>
            <w:vAlign w:val="center"/>
            <w:hideMark/>
          </w:tcPr>
          <w:p w14:paraId="755626E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100,704</w:t>
            </w:r>
          </w:p>
        </w:tc>
        <w:tc>
          <w:tcPr>
            <w:tcW w:w="237" w:type="pct"/>
            <w:tcBorders>
              <w:top w:val="nil"/>
              <w:left w:val="nil"/>
              <w:bottom w:val="nil"/>
              <w:right w:val="nil"/>
            </w:tcBorders>
            <w:shd w:val="clear" w:color="000000" w:fill="FFFFFF"/>
            <w:noWrap/>
            <w:vAlign w:val="bottom"/>
            <w:hideMark/>
          </w:tcPr>
          <w:p w14:paraId="0520A25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1.28%</w:t>
            </w:r>
          </w:p>
        </w:tc>
        <w:tc>
          <w:tcPr>
            <w:tcW w:w="237" w:type="pct"/>
            <w:tcBorders>
              <w:top w:val="nil"/>
              <w:left w:val="nil"/>
              <w:bottom w:val="nil"/>
              <w:right w:val="nil"/>
            </w:tcBorders>
            <w:shd w:val="clear" w:color="000000" w:fill="FFFFFF"/>
            <w:noWrap/>
            <w:vAlign w:val="bottom"/>
            <w:hideMark/>
          </w:tcPr>
          <w:p w14:paraId="50001B9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1.32%</w:t>
            </w:r>
          </w:p>
        </w:tc>
        <w:tc>
          <w:tcPr>
            <w:tcW w:w="237" w:type="pct"/>
            <w:tcBorders>
              <w:top w:val="nil"/>
              <w:left w:val="nil"/>
              <w:bottom w:val="nil"/>
              <w:right w:val="nil"/>
            </w:tcBorders>
            <w:shd w:val="clear" w:color="000000" w:fill="FFFFFF"/>
            <w:noWrap/>
            <w:vAlign w:val="bottom"/>
            <w:hideMark/>
          </w:tcPr>
          <w:p w14:paraId="2F2FA76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5237018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234348D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674EA9B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4FD289A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5AF6DAC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4B32DBD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79292DC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3BCF427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1935377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299E2D4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343B83C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37" w:type="pct"/>
            <w:tcBorders>
              <w:top w:val="nil"/>
              <w:left w:val="nil"/>
              <w:bottom w:val="nil"/>
              <w:right w:val="nil"/>
            </w:tcBorders>
            <w:shd w:val="clear" w:color="000000" w:fill="FFFFFF"/>
            <w:noWrap/>
            <w:vAlign w:val="bottom"/>
            <w:hideMark/>
          </w:tcPr>
          <w:p w14:paraId="6A3AA58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r>
      <w:tr w:rsidR="006A523F" w:rsidRPr="006A523F" w14:paraId="057FA6BF" w14:textId="77777777" w:rsidTr="006A523F">
        <w:trPr>
          <w:trHeight w:val="20"/>
        </w:trPr>
        <w:tc>
          <w:tcPr>
            <w:tcW w:w="503" w:type="pct"/>
            <w:tcBorders>
              <w:top w:val="nil"/>
              <w:left w:val="nil"/>
              <w:bottom w:val="nil"/>
              <w:right w:val="nil"/>
            </w:tcBorders>
            <w:shd w:val="clear" w:color="000000" w:fill="FFFFFF"/>
            <w:noWrap/>
            <w:vAlign w:val="center"/>
            <w:hideMark/>
          </w:tcPr>
          <w:p w14:paraId="5ADA7C8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2016</w:t>
            </w:r>
          </w:p>
        </w:tc>
        <w:tc>
          <w:tcPr>
            <w:tcW w:w="470" w:type="pct"/>
            <w:tcBorders>
              <w:top w:val="nil"/>
              <w:left w:val="nil"/>
              <w:bottom w:val="nil"/>
              <w:right w:val="nil"/>
            </w:tcBorders>
            <w:shd w:val="clear" w:color="000000" w:fill="FFFFFF"/>
            <w:noWrap/>
            <w:vAlign w:val="bottom"/>
            <w:hideMark/>
          </w:tcPr>
          <w:p w14:paraId="0AE740DA"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2016Q1</w:t>
            </w:r>
          </w:p>
        </w:tc>
        <w:tc>
          <w:tcPr>
            <w:tcW w:w="470" w:type="pct"/>
            <w:tcBorders>
              <w:top w:val="nil"/>
              <w:left w:val="nil"/>
              <w:bottom w:val="nil"/>
              <w:right w:val="nil"/>
            </w:tcBorders>
            <w:shd w:val="clear" w:color="000000" w:fill="FFFFFF"/>
            <w:noWrap/>
            <w:vAlign w:val="center"/>
            <w:hideMark/>
          </w:tcPr>
          <w:p w14:paraId="64AF927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72,742</w:t>
            </w:r>
          </w:p>
        </w:tc>
        <w:tc>
          <w:tcPr>
            <w:tcW w:w="237" w:type="pct"/>
            <w:tcBorders>
              <w:top w:val="nil"/>
              <w:left w:val="nil"/>
              <w:bottom w:val="nil"/>
              <w:right w:val="nil"/>
            </w:tcBorders>
            <w:shd w:val="clear" w:color="000000" w:fill="FFFFFF"/>
            <w:noWrap/>
            <w:vAlign w:val="bottom"/>
            <w:hideMark/>
          </w:tcPr>
          <w:p w14:paraId="3E9273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1.44%</w:t>
            </w:r>
          </w:p>
        </w:tc>
        <w:tc>
          <w:tcPr>
            <w:tcW w:w="237" w:type="pct"/>
            <w:tcBorders>
              <w:top w:val="nil"/>
              <w:left w:val="nil"/>
              <w:bottom w:val="nil"/>
              <w:right w:val="nil"/>
            </w:tcBorders>
            <w:shd w:val="clear" w:color="000000" w:fill="FFFFFF"/>
            <w:noWrap/>
            <w:vAlign w:val="bottom"/>
            <w:hideMark/>
          </w:tcPr>
          <w:p w14:paraId="135BB1B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1.45%</w:t>
            </w:r>
          </w:p>
        </w:tc>
        <w:tc>
          <w:tcPr>
            <w:tcW w:w="237" w:type="pct"/>
            <w:tcBorders>
              <w:top w:val="nil"/>
              <w:left w:val="nil"/>
              <w:bottom w:val="nil"/>
              <w:right w:val="nil"/>
            </w:tcBorders>
            <w:shd w:val="clear" w:color="000000" w:fill="FFFFFF"/>
            <w:noWrap/>
            <w:vAlign w:val="bottom"/>
            <w:hideMark/>
          </w:tcPr>
          <w:p w14:paraId="3FBEA3E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1.49%</w:t>
            </w:r>
          </w:p>
        </w:tc>
        <w:tc>
          <w:tcPr>
            <w:tcW w:w="237" w:type="pct"/>
            <w:tcBorders>
              <w:top w:val="nil"/>
              <w:left w:val="nil"/>
              <w:bottom w:val="nil"/>
              <w:right w:val="nil"/>
            </w:tcBorders>
            <w:shd w:val="clear" w:color="000000" w:fill="FFFFFF"/>
            <w:noWrap/>
            <w:vAlign w:val="bottom"/>
            <w:hideMark/>
          </w:tcPr>
          <w:p w14:paraId="0FA2EBF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1.50%</w:t>
            </w:r>
          </w:p>
        </w:tc>
        <w:tc>
          <w:tcPr>
            <w:tcW w:w="237" w:type="pct"/>
            <w:tcBorders>
              <w:top w:val="nil"/>
              <w:left w:val="nil"/>
              <w:bottom w:val="nil"/>
              <w:right w:val="nil"/>
            </w:tcBorders>
            <w:shd w:val="clear" w:color="000000" w:fill="FFFFFF"/>
            <w:noWrap/>
            <w:vAlign w:val="bottom"/>
            <w:hideMark/>
          </w:tcPr>
          <w:p w14:paraId="7843907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530AEDD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65542B3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690A1D4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441290F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174F97C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637EEE3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1786431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14C7EA2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546D864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08C4EB3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r>
      <w:tr w:rsidR="006A523F" w:rsidRPr="006A523F" w14:paraId="138310CD" w14:textId="77777777" w:rsidTr="006A523F">
        <w:trPr>
          <w:trHeight w:val="20"/>
        </w:trPr>
        <w:tc>
          <w:tcPr>
            <w:tcW w:w="503" w:type="pct"/>
            <w:tcBorders>
              <w:top w:val="nil"/>
              <w:left w:val="nil"/>
              <w:bottom w:val="nil"/>
              <w:right w:val="nil"/>
            </w:tcBorders>
            <w:shd w:val="clear" w:color="000000" w:fill="FFFFFF"/>
            <w:noWrap/>
            <w:vAlign w:val="center"/>
            <w:hideMark/>
          </w:tcPr>
          <w:p w14:paraId="0D2CAF1A"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2016</w:t>
            </w:r>
          </w:p>
        </w:tc>
        <w:tc>
          <w:tcPr>
            <w:tcW w:w="470" w:type="pct"/>
            <w:tcBorders>
              <w:top w:val="nil"/>
              <w:left w:val="nil"/>
              <w:bottom w:val="nil"/>
              <w:right w:val="nil"/>
            </w:tcBorders>
            <w:shd w:val="clear" w:color="000000" w:fill="FFFFFF"/>
            <w:noWrap/>
            <w:vAlign w:val="bottom"/>
            <w:hideMark/>
          </w:tcPr>
          <w:p w14:paraId="06463764"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2016Q2</w:t>
            </w:r>
          </w:p>
        </w:tc>
        <w:tc>
          <w:tcPr>
            <w:tcW w:w="470" w:type="pct"/>
            <w:tcBorders>
              <w:top w:val="nil"/>
              <w:left w:val="nil"/>
              <w:bottom w:val="nil"/>
              <w:right w:val="nil"/>
            </w:tcBorders>
            <w:shd w:val="clear" w:color="000000" w:fill="FFFFFF"/>
            <w:noWrap/>
            <w:vAlign w:val="center"/>
            <w:hideMark/>
          </w:tcPr>
          <w:p w14:paraId="4EC79A9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72,935</w:t>
            </w:r>
          </w:p>
        </w:tc>
        <w:tc>
          <w:tcPr>
            <w:tcW w:w="237" w:type="pct"/>
            <w:tcBorders>
              <w:top w:val="nil"/>
              <w:left w:val="nil"/>
              <w:bottom w:val="nil"/>
              <w:right w:val="nil"/>
            </w:tcBorders>
            <w:shd w:val="clear" w:color="000000" w:fill="FFFFFF"/>
            <w:noWrap/>
            <w:vAlign w:val="bottom"/>
            <w:hideMark/>
          </w:tcPr>
          <w:p w14:paraId="5A838E7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1.57%</w:t>
            </w:r>
          </w:p>
        </w:tc>
        <w:tc>
          <w:tcPr>
            <w:tcW w:w="237" w:type="pct"/>
            <w:tcBorders>
              <w:top w:val="nil"/>
              <w:left w:val="nil"/>
              <w:bottom w:val="nil"/>
              <w:right w:val="nil"/>
            </w:tcBorders>
            <w:shd w:val="clear" w:color="000000" w:fill="FFFFFF"/>
            <w:noWrap/>
            <w:vAlign w:val="bottom"/>
            <w:hideMark/>
          </w:tcPr>
          <w:p w14:paraId="03FC66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1.58%</w:t>
            </w:r>
          </w:p>
        </w:tc>
        <w:tc>
          <w:tcPr>
            <w:tcW w:w="237" w:type="pct"/>
            <w:tcBorders>
              <w:top w:val="nil"/>
              <w:left w:val="nil"/>
              <w:bottom w:val="nil"/>
              <w:right w:val="nil"/>
            </w:tcBorders>
            <w:shd w:val="clear" w:color="000000" w:fill="FFFFFF"/>
            <w:noWrap/>
            <w:vAlign w:val="bottom"/>
            <w:hideMark/>
          </w:tcPr>
          <w:p w14:paraId="04EAD5D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1.62%</w:t>
            </w:r>
          </w:p>
        </w:tc>
        <w:tc>
          <w:tcPr>
            <w:tcW w:w="237" w:type="pct"/>
            <w:tcBorders>
              <w:top w:val="nil"/>
              <w:left w:val="nil"/>
              <w:bottom w:val="nil"/>
              <w:right w:val="nil"/>
            </w:tcBorders>
            <w:shd w:val="clear" w:color="000000" w:fill="FFFFFF"/>
            <w:noWrap/>
            <w:vAlign w:val="bottom"/>
            <w:hideMark/>
          </w:tcPr>
          <w:p w14:paraId="4019EB2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3D5FE9E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239DF50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7DCCDAE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36F71BA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40EC84A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4CA9A9D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23E6BA7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658D052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6E0BAEC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513C69D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37" w:type="pct"/>
            <w:tcBorders>
              <w:top w:val="nil"/>
              <w:left w:val="nil"/>
              <w:bottom w:val="nil"/>
              <w:right w:val="nil"/>
            </w:tcBorders>
            <w:shd w:val="clear" w:color="000000" w:fill="FFFFFF"/>
            <w:noWrap/>
            <w:vAlign w:val="bottom"/>
            <w:hideMark/>
          </w:tcPr>
          <w:p w14:paraId="15B673B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r>
      <w:tr w:rsidR="006A523F" w:rsidRPr="006A523F" w14:paraId="1CDCBA6A" w14:textId="77777777" w:rsidTr="006A523F">
        <w:trPr>
          <w:trHeight w:val="20"/>
        </w:trPr>
        <w:tc>
          <w:tcPr>
            <w:tcW w:w="503" w:type="pct"/>
            <w:tcBorders>
              <w:top w:val="nil"/>
              <w:left w:val="nil"/>
              <w:bottom w:val="nil"/>
              <w:right w:val="nil"/>
            </w:tcBorders>
            <w:shd w:val="clear" w:color="000000" w:fill="FFFFFF"/>
            <w:noWrap/>
            <w:vAlign w:val="center"/>
            <w:hideMark/>
          </w:tcPr>
          <w:p w14:paraId="2628349B"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2016</w:t>
            </w:r>
          </w:p>
        </w:tc>
        <w:tc>
          <w:tcPr>
            <w:tcW w:w="470" w:type="pct"/>
            <w:tcBorders>
              <w:top w:val="nil"/>
              <w:left w:val="nil"/>
              <w:bottom w:val="nil"/>
              <w:right w:val="nil"/>
            </w:tcBorders>
            <w:shd w:val="clear" w:color="000000" w:fill="FFFFFF"/>
            <w:noWrap/>
            <w:vAlign w:val="bottom"/>
            <w:hideMark/>
          </w:tcPr>
          <w:p w14:paraId="6F76F79F"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2016Q3</w:t>
            </w:r>
          </w:p>
        </w:tc>
        <w:tc>
          <w:tcPr>
            <w:tcW w:w="470" w:type="pct"/>
            <w:tcBorders>
              <w:top w:val="nil"/>
              <w:left w:val="nil"/>
              <w:bottom w:val="nil"/>
              <w:right w:val="nil"/>
            </w:tcBorders>
            <w:shd w:val="clear" w:color="000000" w:fill="FFFFFF"/>
            <w:noWrap/>
            <w:vAlign w:val="center"/>
            <w:hideMark/>
          </w:tcPr>
          <w:p w14:paraId="42067C6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66,916</w:t>
            </w:r>
          </w:p>
        </w:tc>
        <w:tc>
          <w:tcPr>
            <w:tcW w:w="237" w:type="pct"/>
            <w:tcBorders>
              <w:top w:val="nil"/>
              <w:left w:val="nil"/>
              <w:bottom w:val="nil"/>
              <w:right w:val="nil"/>
            </w:tcBorders>
            <w:shd w:val="clear" w:color="000000" w:fill="FFFFFF"/>
            <w:noWrap/>
            <w:vAlign w:val="bottom"/>
            <w:hideMark/>
          </w:tcPr>
          <w:p w14:paraId="0DDE8B8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1.70%</w:t>
            </w:r>
          </w:p>
        </w:tc>
        <w:tc>
          <w:tcPr>
            <w:tcW w:w="237" w:type="pct"/>
            <w:tcBorders>
              <w:top w:val="nil"/>
              <w:left w:val="nil"/>
              <w:bottom w:val="nil"/>
              <w:right w:val="nil"/>
            </w:tcBorders>
            <w:shd w:val="clear" w:color="000000" w:fill="FFFFFF"/>
            <w:noWrap/>
            <w:vAlign w:val="bottom"/>
            <w:hideMark/>
          </w:tcPr>
          <w:p w14:paraId="2D9C72C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1.71%</w:t>
            </w:r>
          </w:p>
        </w:tc>
        <w:tc>
          <w:tcPr>
            <w:tcW w:w="237" w:type="pct"/>
            <w:tcBorders>
              <w:top w:val="nil"/>
              <w:left w:val="nil"/>
              <w:bottom w:val="nil"/>
              <w:right w:val="nil"/>
            </w:tcBorders>
            <w:shd w:val="clear" w:color="000000" w:fill="FFFFFF"/>
            <w:noWrap/>
            <w:vAlign w:val="bottom"/>
            <w:hideMark/>
          </w:tcPr>
          <w:p w14:paraId="65ECB60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4510140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14DDBA3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193ECAF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18FD5BE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4ABB24D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08809B2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48CDF61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2066F46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28B9D1C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7BB297E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0D79C75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37" w:type="pct"/>
            <w:tcBorders>
              <w:top w:val="nil"/>
              <w:left w:val="nil"/>
              <w:bottom w:val="nil"/>
              <w:right w:val="nil"/>
            </w:tcBorders>
            <w:shd w:val="clear" w:color="000000" w:fill="FFFFFF"/>
            <w:noWrap/>
            <w:vAlign w:val="bottom"/>
            <w:hideMark/>
          </w:tcPr>
          <w:p w14:paraId="13E03EF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r>
      <w:tr w:rsidR="006A523F" w:rsidRPr="006A523F" w14:paraId="18A75523" w14:textId="77777777" w:rsidTr="006A523F">
        <w:trPr>
          <w:trHeight w:val="20"/>
        </w:trPr>
        <w:tc>
          <w:tcPr>
            <w:tcW w:w="503" w:type="pct"/>
            <w:tcBorders>
              <w:top w:val="nil"/>
              <w:left w:val="nil"/>
              <w:bottom w:val="nil"/>
              <w:right w:val="nil"/>
            </w:tcBorders>
            <w:shd w:val="clear" w:color="000000" w:fill="FFFFFF"/>
            <w:noWrap/>
            <w:vAlign w:val="center"/>
            <w:hideMark/>
          </w:tcPr>
          <w:p w14:paraId="5AE833D2"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2016</w:t>
            </w:r>
          </w:p>
        </w:tc>
        <w:tc>
          <w:tcPr>
            <w:tcW w:w="470" w:type="pct"/>
            <w:tcBorders>
              <w:top w:val="nil"/>
              <w:left w:val="nil"/>
              <w:bottom w:val="nil"/>
              <w:right w:val="nil"/>
            </w:tcBorders>
            <w:shd w:val="clear" w:color="000000" w:fill="FFFFFF"/>
            <w:noWrap/>
            <w:vAlign w:val="bottom"/>
            <w:hideMark/>
          </w:tcPr>
          <w:p w14:paraId="1918EBCA"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2016Q4</w:t>
            </w:r>
          </w:p>
        </w:tc>
        <w:tc>
          <w:tcPr>
            <w:tcW w:w="470" w:type="pct"/>
            <w:tcBorders>
              <w:top w:val="nil"/>
              <w:left w:val="nil"/>
              <w:bottom w:val="nil"/>
              <w:right w:val="nil"/>
            </w:tcBorders>
            <w:shd w:val="clear" w:color="000000" w:fill="FFFFFF"/>
            <w:noWrap/>
            <w:vAlign w:val="center"/>
            <w:hideMark/>
          </w:tcPr>
          <w:p w14:paraId="6C1A587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75,499</w:t>
            </w:r>
          </w:p>
        </w:tc>
        <w:tc>
          <w:tcPr>
            <w:tcW w:w="237" w:type="pct"/>
            <w:tcBorders>
              <w:top w:val="nil"/>
              <w:left w:val="nil"/>
              <w:bottom w:val="nil"/>
              <w:right w:val="nil"/>
            </w:tcBorders>
            <w:shd w:val="clear" w:color="000000" w:fill="FFFFFF"/>
            <w:noWrap/>
            <w:vAlign w:val="bottom"/>
            <w:hideMark/>
          </w:tcPr>
          <w:p w14:paraId="49C0638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1.49%</w:t>
            </w:r>
          </w:p>
        </w:tc>
        <w:tc>
          <w:tcPr>
            <w:tcW w:w="237" w:type="pct"/>
            <w:tcBorders>
              <w:top w:val="nil"/>
              <w:left w:val="nil"/>
              <w:bottom w:val="nil"/>
              <w:right w:val="nil"/>
            </w:tcBorders>
            <w:shd w:val="clear" w:color="000000" w:fill="FFFFFF"/>
            <w:noWrap/>
            <w:vAlign w:val="bottom"/>
            <w:hideMark/>
          </w:tcPr>
          <w:p w14:paraId="74B843E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37" w:type="pct"/>
            <w:tcBorders>
              <w:top w:val="nil"/>
              <w:left w:val="nil"/>
              <w:bottom w:val="nil"/>
              <w:right w:val="nil"/>
            </w:tcBorders>
            <w:shd w:val="clear" w:color="000000" w:fill="FFFFFF"/>
            <w:noWrap/>
            <w:vAlign w:val="bottom"/>
            <w:hideMark/>
          </w:tcPr>
          <w:p w14:paraId="5C11144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1.52%</w:t>
            </w:r>
          </w:p>
        </w:tc>
        <w:tc>
          <w:tcPr>
            <w:tcW w:w="237" w:type="pct"/>
            <w:tcBorders>
              <w:top w:val="nil"/>
              <w:left w:val="nil"/>
              <w:bottom w:val="nil"/>
              <w:right w:val="nil"/>
            </w:tcBorders>
            <w:shd w:val="clear" w:color="000000" w:fill="FFFFFF"/>
            <w:noWrap/>
            <w:vAlign w:val="bottom"/>
            <w:hideMark/>
          </w:tcPr>
          <w:p w14:paraId="16431C3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1.54%</w:t>
            </w:r>
          </w:p>
        </w:tc>
        <w:tc>
          <w:tcPr>
            <w:tcW w:w="237" w:type="pct"/>
            <w:tcBorders>
              <w:top w:val="nil"/>
              <w:left w:val="nil"/>
              <w:bottom w:val="nil"/>
              <w:right w:val="nil"/>
            </w:tcBorders>
            <w:shd w:val="clear" w:color="000000" w:fill="FFFFFF"/>
            <w:noWrap/>
            <w:vAlign w:val="bottom"/>
            <w:hideMark/>
          </w:tcPr>
          <w:p w14:paraId="279D531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5988E07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7318D40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1A8C033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08641EA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03F81BE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6053015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6B6889E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247F4E7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42F111B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37" w:type="pct"/>
            <w:tcBorders>
              <w:top w:val="nil"/>
              <w:left w:val="nil"/>
              <w:bottom w:val="nil"/>
              <w:right w:val="nil"/>
            </w:tcBorders>
            <w:shd w:val="clear" w:color="000000" w:fill="FFFFFF"/>
            <w:noWrap/>
            <w:vAlign w:val="bottom"/>
            <w:hideMark/>
          </w:tcPr>
          <w:p w14:paraId="3540F94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r>
      <w:tr w:rsidR="006A523F" w:rsidRPr="006A523F" w14:paraId="42036326" w14:textId="77777777" w:rsidTr="006A523F">
        <w:trPr>
          <w:trHeight w:val="20"/>
        </w:trPr>
        <w:tc>
          <w:tcPr>
            <w:tcW w:w="503" w:type="pct"/>
            <w:tcBorders>
              <w:top w:val="nil"/>
              <w:left w:val="nil"/>
              <w:bottom w:val="nil"/>
              <w:right w:val="nil"/>
            </w:tcBorders>
            <w:shd w:val="clear" w:color="000000" w:fill="FFFFFF"/>
            <w:noWrap/>
            <w:vAlign w:val="center"/>
            <w:hideMark/>
          </w:tcPr>
          <w:p w14:paraId="6679D25D"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2017</w:t>
            </w:r>
          </w:p>
        </w:tc>
        <w:tc>
          <w:tcPr>
            <w:tcW w:w="470" w:type="pct"/>
            <w:tcBorders>
              <w:top w:val="nil"/>
              <w:left w:val="nil"/>
              <w:bottom w:val="nil"/>
              <w:right w:val="nil"/>
            </w:tcBorders>
            <w:shd w:val="clear" w:color="000000" w:fill="FFFFFF"/>
            <w:noWrap/>
            <w:vAlign w:val="bottom"/>
            <w:hideMark/>
          </w:tcPr>
          <w:p w14:paraId="6A8831E5"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2017Q1</w:t>
            </w:r>
          </w:p>
        </w:tc>
        <w:tc>
          <w:tcPr>
            <w:tcW w:w="470" w:type="pct"/>
            <w:tcBorders>
              <w:top w:val="nil"/>
              <w:left w:val="nil"/>
              <w:bottom w:val="nil"/>
              <w:right w:val="nil"/>
            </w:tcBorders>
            <w:shd w:val="clear" w:color="000000" w:fill="FFFFFF"/>
            <w:noWrap/>
            <w:vAlign w:val="center"/>
            <w:hideMark/>
          </w:tcPr>
          <w:p w14:paraId="05EEFE8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88,172</w:t>
            </w:r>
          </w:p>
        </w:tc>
        <w:tc>
          <w:tcPr>
            <w:tcW w:w="237" w:type="pct"/>
            <w:tcBorders>
              <w:top w:val="nil"/>
              <w:left w:val="nil"/>
              <w:bottom w:val="nil"/>
              <w:right w:val="nil"/>
            </w:tcBorders>
            <w:shd w:val="clear" w:color="000000" w:fill="FFFFFF"/>
            <w:noWrap/>
            <w:vAlign w:val="bottom"/>
            <w:hideMark/>
          </w:tcPr>
          <w:p w14:paraId="3CA8315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1.42%</w:t>
            </w:r>
          </w:p>
        </w:tc>
        <w:tc>
          <w:tcPr>
            <w:tcW w:w="237" w:type="pct"/>
            <w:tcBorders>
              <w:top w:val="nil"/>
              <w:left w:val="nil"/>
              <w:bottom w:val="nil"/>
              <w:right w:val="nil"/>
            </w:tcBorders>
            <w:shd w:val="clear" w:color="000000" w:fill="FFFFFF"/>
            <w:noWrap/>
            <w:vAlign w:val="bottom"/>
            <w:hideMark/>
          </w:tcPr>
          <w:p w14:paraId="1B792FA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1.44%</w:t>
            </w:r>
          </w:p>
        </w:tc>
        <w:tc>
          <w:tcPr>
            <w:tcW w:w="237" w:type="pct"/>
            <w:tcBorders>
              <w:top w:val="nil"/>
              <w:left w:val="nil"/>
              <w:bottom w:val="nil"/>
              <w:right w:val="nil"/>
            </w:tcBorders>
            <w:shd w:val="clear" w:color="000000" w:fill="FFFFFF"/>
            <w:noWrap/>
            <w:vAlign w:val="bottom"/>
            <w:hideMark/>
          </w:tcPr>
          <w:p w14:paraId="1325956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1.46%</w:t>
            </w:r>
          </w:p>
        </w:tc>
        <w:tc>
          <w:tcPr>
            <w:tcW w:w="237" w:type="pct"/>
            <w:tcBorders>
              <w:top w:val="nil"/>
              <w:left w:val="nil"/>
              <w:bottom w:val="nil"/>
              <w:right w:val="nil"/>
            </w:tcBorders>
            <w:shd w:val="clear" w:color="000000" w:fill="FFFFFF"/>
            <w:noWrap/>
            <w:vAlign w:val="bottom"/>
            <w:hideMark/>
          </w:tcPr>
          <w:p w14:paraId="23E1365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11EE314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79E50E7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6368C25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44F599F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1D1F8DD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5E90478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6015774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328F0D6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3502245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2E3954C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37" w:type="pct"/>
            <w:tcBorders>
              <w:top w:val="nil"/>
              <w:left w:val="nil"/>
              <w:bottom w:val="nil"/>
              <w:right w:val="nil"/>
            </w:tcBorders>
            <w:shd w:val="clear" w:color="000000" w:fill="FFFFFF"/>
            <w:noWrap/>
            <w:vAlign w:val="bottom"/>
            <w:hideMark/>
          </w:tcPr>
          <w:p w14:paraId="687740F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r>
      <w:tr w:rsidR="006A523F" w:rsidRPr="006A523F" w14:paraId="13661534" w14:textId="77777777" w:rsidTr="006A523F">
        <w:trPr>
          <w:trHeight w:val="20"/>
        </w:trPr>
        <w:tc>
          <w:tcPr>
            <w:tcW w:w="503" w:type="pct"/>
            <w:tcBorders>
              <w:top w:val="nil"/>
              <w:left w:val="nil"/>
              <w:bottom w:val="nil"/>
              <w:right w:val="nil"/>
            </w:tcBorders>
            <w:shd w:val="clear" w:color="000000" w:fill="FFFFFF"/>
            <w:noWrap/>
            <w:vAlign w:val="center"/>
            <w:hideMark/>
          </w:tcPr>
          <w:p w14:paraId="16FF7D7A"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2017</w:t>
            </w:r>
          </w:p>
        </w:tc>
        <w:tc>
          <w:tcPr>
            <w:tcW w:w="470" w:type="pct"/>
            <w:tcBorders>
              <w:top w:val="nil"/>
              <w:left w:val="nil"/>
              <w:bottom w:val="nil"/>
              <w:right w:val="nil"/>
            </w:tcBorders>
            <w:shd w:val="clear" w:color="000000" w:fill="FFFFFF"/>
            <w:noWrap/>
            <w:vAlign w:val="bottom"/>
            <w:hideMark/>
          </w:tcPr>
          <w:p w14:paraId="627D6E89"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2017Q2</w:t>
            </w:r>
          </w:p>
        </w:tc>
        <w:tc>
          <w:tcPr>
            <w:tcW w:w="470" w:type="pct"/>
            <w:tcBorders>
              <w:top w:val="nil"/>
              <w:left w:val="nil"/>
              <w:bottom w:val="nil"/>
              <w:right w:val="nil"/>
            </w:tcBorders>
            <w:shd w:val="clear" w:color="000000" w:fill="FFFFFF"/>
            <w:noWrap/>
            <w:vAlign w:val="center"/>
            <w:hideMark/>
          </w:tcPr>
          <w:p w14:paraId="010666F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110,718</w:t>
            </w:r>
          </w:p>
        </w:tc>
        <w:tc>
          <w:tcPr>
            <w:tcW w:w="237" w:type="pct"/>
            <w:tcBorders>
              <w:top w:val="nil"/>
              <w:left w:val="nil"/>
              <w:bottom w:val="nil"/>
              <w:right w:val="nil"/>
            </w:tcBorders>
            <w:shd w:val="clear" w:color="000000" w:fill="FFFFFF"/>
            <w:noWrap/>
            <w:vAlign w:val="bottom"/>
            <w:hideMark/>
          </w:tcPr>
          <w:p w14:paraId="6DA912D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1.73%</w:t>
            </w:r>
          </w:p>
        </w:tc>
        <w:tc>
          <w:tcPr>
            <w:tcW w:w="237" w:type="pct"/>
            <w:tcBorders>
              <w:top w:val="nil"/>
              <w:left w:val="nil"/>
              <w:bottom w:val="nil"/>
              <w:right w:val="nil"/>
            </w:tcBorders>
            <w:shd w:val="clear" w:color="000000" w:fill="FFFFFF"/>
            <w:noWrap/>
            <w:vAlign w:val="bottom"/>
            <w:hideMark/>
          </w:tcPr>
          <w:p w14:paraId="0A444DF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1.75%</w:t>
            </w:r>
          </w:p>
        </w:tc>
        <w:tc>
          <w:tcPr>
            <w:tcW w:w="237" w:type="pct"/>
            <w:tcBorders>
              <w:top w:val="nil"/>
              <w:left w:val="nil"/>
              <w:bottom w:val="nil"/>
              <w:right w:val="nil"/>
            </w:tcBorders>
            <w:shd w:val="clear" w:color="000000" w:fill="FFFFFF"/>
            <w:noWrap/>
            <w:vAlign w:val="bottom"/>
            <w:hideMark/>
          </w:tcPr>
          <w:p w14:paraId="796F16C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35C8BBC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70D8E78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4C38351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235A5D3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5CB621D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523C939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78F7C07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539F1AD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19D5E8A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3E4AFEC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5E1CBCE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37" w:type="pct"/>
            <w:tcBorders>
              <w:top w:val="nil"/>
              <w:left w:val="nil"/>
              <w:bottom w:val="nil"/>
              <w:right w:val="nil"/>
            </w:tcBorders>
            <w:shd w:val="clear" w:color="000000" w:fill="FFFFFF"/>
            <w:noWrap/>
            <w:vAlign w:val="bottom"/>
            <w:hideMark/>
          </w:tcPr>
          <w:p w14:paraId="0F88EFD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r>
      <w:tr w:rsidR="006A523F" w:rsidRPr="006A523F" w14:paraId="06181A24" w14:textId="77777777" w:rsidTr="006A523F">
        <w:trPr>
          <w:trHeight w:val="20"/>
        </w:trPr>
        <w:tc>
          <w:tcPr>
            <w:tcW w:w="503" w:type="pct"/>
            <w:tcBorders>
              <w:top w:val="nil"/>
              <w:left w:val="nil"/>
              <w:bottom w:val="nil"/>
              <w:right w:val="nil"/>
            </w:tcBorders>
            <w:shd w:val="clear" w:color="000000" w:fill="FFFFFF"/>
            <w:noWrap/>
            <w:vAlign w:val="center"/>
            <w:hideMark/>
          </w:tcPr>
          <w:p w14:paraId="4E48164D"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2017</w:t>
            </w:r>
          </w:p>
        </w:tc>
        <w:tc>
          <w:tcPr>
            <w:tcW w:w="470" w:type="pct"/>
            <w:tcBorders>
              <w:top w:val="nil"/>
              <w:left w:val="nil"/>
              <w:bottom w:val="nil"/>
              <w:right w:val="nil"/>
            </w:tcBorders>
            <w:shd w:val="clear" w:color="000000" w:fill="FFFFFF"/>
            <w:noWrap/>
            <w:vAlign w:val="bottom"/>
            <w:hideMark/>
          </w:tcPr>
          <w:p w14:paraId="3E8C5A78"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2017Q3</w:t>
            </w:r>
          </w:p>
        </w:tc>
        <w:tc>
          <w:tcPr>
            <w:tcW w:w="470" w:type="pct"/>
            <w:tcBorders>
              <w:top w:val="nil"/>
              <w:left w:val="nil"/>
              <w:bottom w:val="nil"/>
              <w:right w:val="nil"/>
            </w:tcBorders>
            <w:shd w:val="clear" w:color="000000" w:fill="FFFFFF"/>
            <w:noWrap/>
            <w:vAlign w:val="center"/>
            <w:hideMark/>
          </w:tcPr>
          <w:p w14:paraId="297786E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117,054</w:t>
            </w:r>
          </w:p>
        </w:tc>
        <w:tc>
          <w:tcPr>
            <w:tcW w:w="237" w:type="pct"/>
            <w:tcBorders>
              <w:top w:val="nil"/>
              <w:left w:val="nil"/>
              <w:bottom w:val="nil"/>
              <w:right w:val="nil"/>
            </w:tcBorders>
            <w:shd w:val="clear" w:color="000000" w:fill="FFFFFF"/>
            <w:noWrap/>
            <w:vAlign w:val="bottom"/>
            <w:hideMark/>
          </w:tcPr>
          <w:p w14:paraId="697F5FE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1.55%</w:t>
            </w:r>
          </w:p>
        </w:tc>
        <w:tc>
          <w:tcPr>
            <w:tcW w:w="237" w:type="pct"/>
            <w:tcBorders>
              <w:top w:val="nil"/>
              <w:left w:val="nil"/>
              <w:bottom w:val="nil"/>
              <w:right w:val="nil"/>
            </w:tcBorders>
            <w:shd w:val="clear" w:color="000000" w:fill="FFFFFF"/>
            <w:noWrap/>
            <w:vAlign w:val="bottom"/>
            <w:hideMark/>
          </w:tcPr>
          <w:p w14:paraId="568EF0C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1.57%</w:t>
            </w:r>
          </w:p>
        </w:tc>
        <w:tc>
          <w:tcPr>
            <w:tcW w:w="237" w:type="pct"/>
            <w:tcBorders>
              <w:top w:val="nil"/>
              <w:left w:val="nil"/>
              <w:bottom w:val="nil"/>
              <w:right w:val="nil"/>
            </w:tcBorders>
            <w:shd w:val="clear" w:color="000000" w:fill="FFFFFF"/>
            <w:noWrap/>
            <w:vAlign w:val="bottom"/>
            <w:hideMark/>
          </w:tcPr>
          <w:p w14:paraId="44B8675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1.60%</w:t>
            </w:r>
          </w:p>
        </w:tc>
        <w:tc>
          <w:tcPr>
            <w:tcW w:w="237" w:type="pct"/>
            <w:tcBorders>
              <w:top w:val="nil"/>
              <w:left w:val="nil"/>
              <w:bottom w:val="nil"/>
              <w:right w:val="nil"/>
            </w:tcBorders>
            <w:shd w:val="clear" w:color="000000" w:fill="FFFFFF"/>
            <w:noWrap/>
            <w:vAlign w:val="bottom"/>
            <w:hideMark/>
          </w:tcPr>
          <w:p w14:paraId="7161A5B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1.60%</w:t>
            </w:r>
          </w:p>
        </w:tc>
        <w:tc>
          <w:tcPr>
            <w:tcW w:w="237" w:type="pct"/>
            <w:tcBorders>
              <w:top w:val="nil"/>
              <w:left w:val="nil"/>
              <w:bottom w:val="nil"/>
              <w:right w:val="nil"/>
            </w:tcBorders>
            <w:shd w:val="clear" w:color="000000" w:fill="FFFFFF"/>
            <w:noWrap/>
            <w:vAlign w:val="bottom"/>
            <w:hideMark/>
          </w:tcPr>
          <w:p w14:paraId="4A20066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49A3311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149EAFE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26CFBA8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0A3416C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0B599CB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07DCFD1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43E5CCB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61EC851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49BB9F8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c>
          <w:tcPr>
            <w:tcW w:w="237" w:type="pct"/>
            <w:tcBorders>
              <w:top w:val="nil"/>
              <w:left w:val="nil"/>
              <w:bottom w:val="nil"/>
              <w:right w:val="nil"/>
            </w:tcBorders>
            <w:shd w:val="clear" w:color="000000" w:fill="FFFFFF"/>
            <w:noWrap/>
            <w:vAlign w:val="bottom"/>
            <w:hideMark/>
          </w:tcPr>
          <w:p w14:paraId="3DE49AE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1.61%</w:t>
            </w:r>
          </w:p>
        </w:tc>
      </w:tr>
      <w:tr w:rsidR="006A523F" w:rsidRPr="006A523F" w14:paraId="7E2915A2" w14:textId="77777777" w:rsidTr="006A523F">
        <w:trPr>
          <w:trHeight w:val="20"/>
        </w:trPr>
        <w:tc>
          <w:tcPr>
            <w:tcW w:w="503" w:type="pct"/>
            <w:tcBorders>
              <w:top w:val="nil"/>
              <w:left w:val="nil"/>
              <w:bottom w:val="nil"/>
              <w:right w:val="nil"/>
            </w:tcBorders>
            <w:shd w:val="clear" w:color="000000" w:fill="FFFFFF"/>
            <w:noWrap/>
            <w:vAlign w:val="center"/>
            <w:hideMark/>
          </w:tcPr>
          <w:p w14:paraId="65AF98B7"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2017</w:t>
            </w:r>
          </w:p>
        </w:tc>
        <w:tc>
          <w:tcPr>
            <w:tcW w:w="470" w:type="pct"/>
            <w:tcBorders>
              <w:top w:val="nil"/>
              <w:left w:val="nil"/>
              <w:bottom w:val="nil"/>
              <w:right w:val="nil"/>
            </w:tcBorders>
            <w:shd w:val="clear" w:color="000000" w:fill="FFFFFF"/>
            <w:noWrap/>
            <w:vAlign w:val="bottom"/>
            <w:hideMark/>
          </w:tcPr>
          <w:p w14:paraId="1C8282D1"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2017Q4</w:t>
            </w:r>
          </w:p>
        </w:tc>
        <w:tc>
          <w:tcPr>
            <w:tcW w:w="470" w:type="pct"/>
            <w:tcBorders>
              <w:top w:val="nil"/>
              <w:left w:val="nil"/>
              <w:bottom w:val="nil"/>
              <w:right w:val="nil"/>
            </w:tcBorders>
            <w:shd w:val="clear" w:color="000000" w:fill="FFFFFF"/>
            <w:noWrap/>
            <w:vAlign w:val="center"/>
            <w:hideMark/>
          </w:tcPr>
          <w:p w14:paraId="55E159B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117,270</w:t>
            </w:r>
          </w:p>
        </w:tc>
        <w:tc>
          <w:tcPr>
            <w:tcW w:w="237" w:type="pct"/>
            <w:tcBorders>
              <w:top w:val="nil"/>
              <w:left w:val="nil"/>
              <w:bottom w:val="nil"/>
              <w:right w:val="nil"/>
            </w:tcBorders>
            <w:shd w:val="clear" w:color="000000" w:fill="FFFFFF"/>
            <w:noWrap/>
            <w:vAlign w:val="bottom"/>
            <w:hideMark/>
          </w:tcPr>
          <w:p w14:paraId="413B16B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1.17%</w:t>
            </w:r>
          </w:p>
        </w:tc>
        <w:tc>
          <w:tcPr>
            <w:tcW w:w="237" w:type="pct"/>
            <w:tcBorders>
              <w:top w:val="nil"/>
              <w:left w:val="nil"/>
              <w:bottom w:val="nil"/>
              <w:right w:val="nil"/>
            </w:tcBorders>
            <w:shd w:val="clear" w:color="000000" w:fill="FFFFFF"/>
            <w:noWrap/>
            <w:vAlign w:val="bottom"/>
            <w:hideMark/>
          </w:tcPr>
          <w:p w14:paraId="12E28F5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1.17%</w:t>
            </w:r>
          </w:p>
        </w:tc>
        <w:tc>
          <w:tcPr>
            <w:tcW w:w="237" w:type="pct"/>
            <w:tcBorders>
              <w:top w:val="nil"/>
              <w:left w:val="nil"/>
              <w:bottom w:val="nil"/>
              <w:right w:val="nil"/>
            </w:tcBorders>
            <w:shd w:val="clear" w:color="000000" w:fill="FFFFFF"/>
            <w:noWrap/>
            <w:vAlign w:val="bottom"/>
            <w:hideMark/>
          </w:tcPr>
          <w:p w14:paraId="18A2E7C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3CA2CD4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4CAB078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584C5F8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04F941D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69609F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3AC9CCD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6AC41A3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002F709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36FF80B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02F9ABE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3F43658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1.19%</w:t>
            </w:r>
          </w:p>
        </w:tc>
        <w:tc>
          <w:tcPr>
            <w:tcW w:w="237" w:type="pct"/>
            <w:tcBorders>
              <w:top w:val="nil"/>
              <w:left w:val="nil"/>
              <w:bottom w:val="nil"/>
              <w:right w:val="nil"/>
            </w:tcBorders>
            <w:shd w:val="clear" w:color="000000" w:fill="FFFFFF"/>
            <w:noWrap/>
            <w:vAlign w:val="bottom"/>
            <w:hideMark/>
          </w:tcPr>
          <w:p w14:paraId="1799B10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15655027" w14:textId="77777777" w:rsidTr="006A523F">
        <w:trPr>
          <w:trHeight w:val="20"/>
        </w:trPr>
        <w:tc>
          <w:tcPr>
            <w:tcW w:w="503" w:type="pct"/>
            <w:tcBorders>
              <w:top w:val="nil"/>
              <w:left w:val="nil"/>
              <w:bottom w:val="nil"/>
              <w:right w:val="nil"/>
            </w:tcBorders>
            <w:shd w:val="clear" w:color="000000" w:fill="FFFFFF"/>
            <w:noWrap/>
            <w:vAlign w:val="center"/>
            <w:hideMark/>
          </w:tcPr>
          <w:p w14:paraId="092FDB9F"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2018</w:t>
            </w:r>
          </w:p>
        </w:tc>
        <w:tc>
          <w:tcPr>
            <w:tcW w:w="470" w:type="pct"/>
            <w:tcBorders>
              <w:top w:val="nil"/>
              <w:left w:val="nil"/>
              <w:bottom w:val="nil"/>
              <w:right w:val="nil"/>
            </w:tcBorders>
            <w:shd w:val="clear" w:color="000000" w:fill="FFFFFF"/>
            <w:noWrap/>
            <w:vAlign w:val="bottom"/>
            <w:hideMark/>
          </w:tcPr>
          <w:p w14:paraId="0C09084E"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2018Q1</w:t>
            </w:r>
          </w:p>
        </w:tc>
        <w:tc>
          <w:tcPr>
            <w:tcW w:w="470" w:type="pct"/>
            <w:tcBorders>
              <w:top w:val="nil"/>
              <w:left w:val="nil"/>
              <w:bottom w:val="nil"/>
              <w:right w:val="nil"/>
            </w:tcBorders>
            <w:shd w:val="clear" w:color="000000" w:fill="FFFFFF"/>
            <w:noWrap/>
            <w:vAlign w:val="center"/>
            <w:hideMark/>
          </w:tcPr>
          <w:p w14:paraId="51904BE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147,306</w:t>
            </w:r>
          </w:p>
        </w:tc>
        <w:tc>
          <w:tcPr>
            <w:tcW w:w="237" w:type="pct"/>
            <w:tcBorders>
              <w:top w:val="nil"/>
              <w:left w:val="nil"/>
              <w:bottom w:val="nil"/>
              <w:right w:val="nil"/>
            </w:tcBorders>
            <w:shd w:val="clear" w:color="000000" w:fill="FFFFFF"/>
            <w:noWrap/>
            <w:vAlign w:val="bottom"/>
            <w:hideMark/>
          </w:tcPr>
          <w:p w14:paraId="27BC1C1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1.03%</w:t>
            </w:r>
          </w:p>
        </w:tc>
        <w:tc>
          <w:tcPr>
            <w:tcW w:w="237" w:type="pct"/>
            <w:tcBorders>
              <w:top w:val="nil"/>
              <w:left w:val="nil"/>
              <w:bottom w:val="nil"/>
              <w:right w:val="nil"/>
            </w:tcBorders>
            <w:shd w:val="clear" w:color="000000" w:fill="FFFFFF"/>
            <w:noWrap/>
            <w:vAlign w:val="bottom"/>
            <w:hideMark/>
          </w:tcPr>
          <w:p w14:paraId="768F0D1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1.05%</w:t>
            </w:r>
          </w:p>
        </w:tc>
        <w:tc>
          <w:tcPr>
            <w:tcW w:w="237" w:type="pct"/>
            <w:tcBorders>
              <w:top w:val="nil"/>
              <w:left w:val="nil"/>
              <w:bottom w:val="nil"/>
              <w:right w:val="nil"/>
            </w:tcBorders>
            <w:shd w:val="clear" w:color="000000" w:fill="FFFFFF"/>
            <w:noWrap/>
            <w:vAlign w:val="bottom"/>
            <w:hideMark/>
          </w:tcPr>
          <w:p w14:paraId="68F586D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1.06%</w:t>
            </w:r>
          </w:p>
        </w:tc>
        <w:tc>
          <w:tcPr>
            <w:tcW w:w="237" w:type="pct"/>
            <w:tcBorders>
              <w:top w:val="nil"/>
              <w:left w:val="nil"/>
              <w:bottom w:val="nil"/>
              <w:right w:val="nil"/>
            </w:tcBorders>
            <w:shd w:val="clear" w:color="000000" w:fill="FFFFFF"/>
            <w:noWrap/>
            <w:vAlign w:val="bottom"/>
            <w:hideMark/>
          </w:tcPr>
          <w:p w14:paraId="2E43BAF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1.06%</w:t>
            </w:r>
          </w:p>
        </w:tc>
        <w:tc>
          <w:tcPr>
            <w:tcW w:w="237" w:type="pct"/>
            <w:tcBorders>
              <w:top w:val="nil"/>
              <w:left w:val="nil"/>
              <w:bottom w:val="nil"/>
              <w:right w:val="nil"/>
            </w:tcBorders>
            <w:shd w:val="clear" w:color="000000" w:fill="FFFFFF"/>
            <w:noWrap/>
            <w:vAlign w:val="bottom"/>
            <w:hideMark/>
          </w:tcPr>
          <w:p w14:paraId="7768075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6CEE999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188792A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24128F5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7712326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1023A66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42B39E4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7FCCC47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6D9AEB6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6B46330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F204E3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48F9A3CB" w14:textId="77777777" w:rsidTr="006A523F">
        <w:trPr>
          <w:trHeight w:val="20"/>
        </w:trPr>
        <w:tc>
          <w:tcPr>
            <w:tcW w:w="503" w:type="pct"/>
            <w:tcBorders>
              <w:top w:val="nil"/>
              <w:left w:val="nil"/>
              <w:bottom w:val="nil"/>
              <w:right w:val="nil"/>
            </w:tcBorders>
            <w:shd w:val="clear" w:color="000000" w:fill="FFFFFF"/>
            <w:noWrap/>
            <w:vAlign w:val="center"/>
            <w:hideMark/>
          </w:tcPr>
          <w:p w14:paraId="6AC0963F"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2018</w:t>
            </w:r>
          </w:p>
        </w:tc>
        <w:tc>
          <w:tcPr>
            <w:tcW w:w="470" w:type="pct"/>
            <w:tcBorders>
              <w:top w:val="nil"/>
              <w:left w:val="nil"/>
              <w:bottom w:val="nil"/>
              <w:right w:val="nil"/>
            </w:tcBorders>
            <w:shd w:val="clear" w:color="000000" w:fill="FFFFFF"/>
            <w:noWrap/>
            <w:vAlign w:val="bottom"/>
            <w:hideMark/>
          </w:tcPr>
          <w:p w14:paraId="7950E3EC"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2018Q2</w:t>
            </w:r>
          </w:p>
        </w:tc>
        <w:tc>
          <w:tcPr>
            <w:tcW w:w="470" w:type="pct"/>
            <w:tcBorders>
              <w:top w:val="nil"/>
              <w:left w:val="nil"/>
              <w:bottom w:val="nil"/>
              <w:right w:val="nil"/>
            </w:tcBorders>
            <w:shd w:val="clear" w:color="000000" w:fill="FFFFFF"/>
            <w:noWrap/>
            <w:vAlign w:val="center"/>
            <w:hideMark/>
          </w:tcPr>
          <w:p w14:paraId="2F44CA4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166,339</w:t>
            </w:r>
          </w:p>
        </w:tc>
        <w:tc>
          <w:tcPr>
            <w:tcW w:w="237" w:type="pct"/>
            <w:tcBorders>
              <w:top w:val="nil"/>
              <w:left w:val="nil"/>
              <w:bottom w:val="nil"/>
              <w:right w:val="nil"/>
            </w:tcBorders>
            <w:shd w:val="clear" w:color="000000" w:fill="FFFFFF"/>
            <w:noWrap/>
            <w:vAlign w:val="bottom"/>
            <w:hideMark/>
          </w:tcPr>
          <w:p w14:paraId="7D119F4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1.05%</w:t>
            </w:r>
          </w:p>
        </w:tc>
        <w:tc>
          <w:tcPr>
            <w:tcW w:w="237" w:type="pct"/>
            <w:tcBorders>
              <w:top w:val="nil"/>
              <w:left w:val="nil"/>
              <w:bottom w:val="nil"/>
              <w:right w:val="nil"/>
            </w:tcBorders>
            <w:shd w:val="clear" w:color="000000" w:fill="FFFFFF"/>
            <w:noWrap/>
            <w:vAlign w:val="bottom"/>
            <w:hideMark/>
          </w:tcPr>
          <w:p w14:paraId="281910B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1.08%</w:t>
            </w:r>
          </w:p>
        </w:tc>
        <w:tc>
          <w:tcPr>
            <w:tcW w:w="237" w:type="pct"/>
            <w:tcBorders>
              <w:top w:val="nil"/>
              <w:left w:val="nil"/>
              <w:bottom w:val="nil"/>
              <w:right w:val="nil"/>
            </w:tcBorders>
            <w:shd w:val="clear" w:color="000000" w:fill="FFFFFF"/>
            <w:noWrap/>
            <w:vAlign w:val="bottom"/>
            <w:hideMark/>
          </w:tcPr>
          <w:p w14:paraId="64A2D16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5547907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357D11D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1A2280A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38AE8A2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1AF764F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1FEA482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79DEDEE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761927F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3E20156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6FE24AC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75B111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BAAF80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4F8F1613" w14:textId="77777777" w:rsidTr="006A523F">
        <w:trPr>
          <w:trHeight w:val="20"/>
        </w:trPr>
        <w:tc>
          <w:tcPr>
            <w:tcW w:w="503" w:type="pct"/>
            <w:tcBorders>
              <w:top w:val="nil"/>
              <w:left w:val="nil"/>
              <w:bottom w:val="nil"/>
              <w:right w:val="nil"/>
            </w:tcBorders>
            <w:shd w:val="clear" w:color="000000" w:fill="FFFFFF"/>
            <w:noWrap/>
            <w:vAlign w:val="center"/>
            <w:hideMark/>
          </w:tcPr>
          <w:p w14:paraId="2C0D83A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2018</w:t>
            </w:r>
          </w:p>
        </w:tc>
        <w:tc>
          <w:tcPr>
            <w:tcW w:w="470" w:type="pct"/>
            <w:tcBorders>
              <w:top w:val="nil"/>
              <w:left w:val="nil"/>
              <w:bottom w:val="nil"/>
              <w:right w:val="nil"/>
            </w:tcBorders>
            <w:shd w:val="clear" w:color="000000" w:fill="FFFFFF"/>
            <w:noWrap/>
            <w:vAlign w:val="bottom"/>
            <w:hideMark/>
          </w:tcPr>
          <w:p w14:paraId="1D7F8C03"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2018Q3</w:t>
            </w:r>
          </w:p>
        </w:tc>
        <w:tc>
          <w:tcPr>
            <w:tcW w:w="470" w:type="pct"/>
            <w:tcBorders>
              <w:top w:val="nil"/>
              <w:left w:val="nil"/>
              <w:bottom w:val="nil"/>
              <w:right w:val="nil"/>
            </w:tcBorders>
            <w:shd w:val="clear" w:color="000000" w:fill="FFFFFF"/>
            <w:noWrap/>
            <w:vAlign w:val="center"/>
            <w:hideMark/>
          </w:tcPr>
          <w:p w14:paraId="412AFE5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180,744</w:t>
            </w:r>
          </w:p>
        </w:tc>
        <w:tc>
          <w:tcPr>
            <w:tcW w:w="237" w:type="pct"/>
            <w:tcBorders>
              <w:top w:val="nil"/>
              <w:left w:val="nil"/>
              <w:bottom w:val="nil"/>
              <w:right w:val="nil"/>
            </w:tcBorders>
            <w:shd w:val="clear" w:color="000000" w:fill="FFFFFF"/>
            <w:noWrap/>
            <w:vAlign w:val="bottom"/>
            <w:hideMark/>
          </w:tcPr>
          <w:p w14:paraId="296D4D9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1.24%</w:t>
            </w:r>
          </w:p>
        </w:tc>
        <w:tc>
          <w:tcPr>
            <w:tcW w:w="237" w:type="pct"/>
            <w:tcBorders>
              <w:top w:val="nil"/>
              <w:left w:val="nil"/>
              <w:bottom w:val="nil"/>
              <w:right w:val="nil"/>
            </w:tcBorders>
            <w:shd w:val="clear" w:color="000000" w:fill="FFFFFF"/>
            <w:noWrap/>
            <w:vAlign w:val="bottom"/>
            <w:hideMark/>
          </w:tcPr>
          <w:p w14:paraId="614673D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1.26%</w:t>
            </w:r>
          </w:p>
        </w:tc>
        <w:tc>
          <w:tcPr>
            <w:tcW w:w="237" w:type="pct"/>
            <w:tcBorders>
              <w:top w:val="nil"/>
              <w:left w:val="nil"/>
              <w:bottom w:val="nil"/>
              <w:right w:val="nil"/>
            </w:tcBorders>
            <w:shd w:val="clear" w:color="000000" w:fill="FFFFFF"/>
            <w:noWrap/>
            <w:vAlign w:val="bottom"/>
            <w:hideMark/>
          </w:tcPr>
          <w:p w14:paraId="66D7051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61EAA16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013F2E7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6FE70FC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0E544E9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5358807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05459EF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5AEF362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25FC5AC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1.27%</w:t>
            </w:r>
          </w:p>
        </w:tc>
        <w:tc>
          <w:tcPr>
            <w:tcW w:w="237" w:type="pct"/>
            <w:tcBorders>
              <w:top w:val="nil"/>
              <w:left w:val="nil"/>
              <w:bottom w:val="nil"/>
              <w:right w:val="nil"/>
            </w:tcBorders>
            <w:shd w:val="clear" w:color="000000" w:fill="FFFFFF"/>
            <w:noWrap/>
            <w:vAlign w:val="bottom"/>
            <w:hideMark/>
          </w:tcPr>
          <w:p w14:paraId="5D32F5A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708044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999F3F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231E79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326AE3B2" w14:textId="77777777" w:rsidTr="006A523F">
        <w:trPr>
          <w:trHeight w:val="20"/>
        </w:trPr>
        <w:tc>
          <w:tcPr>
            <w:tcW w:w="503" w:type="pct"/>
            <w:tcBorders>
              <w:top w:val="nil"/>
              <w:left w:val="nil"/>
              <w:bottom w:val="nil"/>
              <w:right w:val="nil"/>
            </w:tcBorders>
            <w:shd w:val="clear" w:color="000000" w:fill="FFFFFF"/>
            <w:noWrap/>
            <w:vAlign w:val="center"/>
            <w:hideMark/>
          </w:tcPr>
          <w:p w14:paraId="3F4EBEE8"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2018</w:t>
            </w:r>
          </w:p>
        </w:tc>
        <w:tc>
          <w:tcPr>
            <w:tcW w:w="470" w:type="pct"/>
            <w:tcBorders>
              <w:top w:val="nil"/>
              <w:left w:val="nil"/>
              <w:bottom w:val="nil"/>
              <w:right w:val="nil"/>
            </w:tcBorders>
            <w:shd w:val="clear" w:color="000000" w:fill="FFFFFF"/>
            <w:noWrap/>
            <w:vAlign w:val="bottom"/>
            <w:hideMark/>
          </w:tcPr>
          <w:p w14:paraId="4AFE9941"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2018Q4</w:t>
            </w:r>
          </w:p>
        </w:tc>
        <w:tc>
          <w:tcPr>
            <w:tcW w:w="470" w:type="pct"/>
            <w:tcBorders>
              <w:top w:val="nil"/>
              <w:left w:val="nil"/>
              <w:bottom w:val="nil"/>
              <w:right w:val="nil"/>
            </w:tcBorders>
            <w:shd w:val="clear" w:color="000000" w:fill="FFFFFF"/>
            <w:noWrap/>
            <w:vAlign w:val="center"/>
            <w:hideMark/>
          </w:tcPr>
          <w:p w14:paraId="244A3DB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175,500</w:t>
            </w:r>
          </w:p>
        </w:tc>
        <w:tc>
          <w:tcPr>
            <w:tcW w:w="237" w:type="pct"/>
            <w:tcBorders>
              <w:top w:val="nil"/>
              <w:left w:val="nil"/>
              <w:bottom w:val="nil"/>
              <w:right w:val="nil"/>
            </w:tcBorders>
            <w:shd w:val="clear" w:color="000000" w:fill="FFFFFF"/>
            <w:noWrap/>
            <w:vAlign w:val="bottom"/>
            <w:hideMark/>
          </w:tcPr>
          <w:p w14:paraId="4F2D521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1.07%</w:t>
            </w:r>
          </w:p>
        </w:tc>
        <w:tc>
          <w:tcPr>
            <w:tcW w:w="237" w:type="pct"/>
            <w:tcBorders>
              <w:top w:val="nil"/>
              <w:left w:val="nil"/>
              <w:bottom w:val="nil"/>
              <w:right w:val="nil"/>
            </w:tcBorders>
            <w:shd w:val="clear" w:color="000000" w:fill="FFFFFF"/>
            <w:noWrap/>
            <w:vAlign w:val="bottom"/>
            <w:hideMark/>
          </w:tcPr>
          <w:p w14:paraId="18B23AC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0886C88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1.09%</w:t>
            </w:r>
          </w:p>
        </w:tc>
        <w:tc>
          <w:tcPr>
            <w:tcW w:w="237" w:type="pct"/>
            <w:tcBorders>
              <w:top w:val="nil"/>
              <w:left w:val="nil"/>
              <w:bottom w:val="nil"/>
              <w:right w:val="nil"/>
            </w:tcBorders>
            <w:shd w:val="clear" w:color="000000" w:fill="FFFFFF"/>
            <w:noWrap/>
            <w:vAlign w:val="bottom"/>
            <w:hideMark/>
          </w:tcPr>
          <w:p w14:paraId="35C6C44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w:t>
            </w:r>
          </w:p>
        </w:tc>
        <w:tc>
          <w:tcPr>
            <w:tcW w:w="237" w:type="pct"/>
            <w:tcBorders>
              <w:top w:val="nil"/>
              <w:left w:val="nil"/>
              <w:bottom w:val="nil"/>
              <w:right w:val="nil"/>
            </w:tcBorders>
            <w:shd w:val="clear" w:color="000000" w:fill="FFFFFF"/>
            <w:noWrap/>
            <w:vAlign w:val="bottom"/>
            <w:hideMark/>
          </w:tcPr>
          <w:p w14:paraId="256468E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w:t>
            </w:r>
          </w:p>
        </w:tc>
        <w:tc>
          <w:tcPr>
            <w:tcW w:w="237" w:type="pct"/>
            <w:tcBorders>
              <w:top w:val="nil"/>
              <w:left w:val="nil"/>
              <w:bottom w:val="nil"/>
              <w:right w:val="nil"/>
            </w:tcBorders>
            <w:shd w:val="clear" w:color="000000" w:fill="FFFFFF"/>
            <w:noWrap/>
            <w:vAlign w:val="bottom"/>
            <w:hideMark/>
          </w:tcPr>
          <w:p w14:paraId="1818431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w:t>
            </w:r>
          </w:p>
        </w:tc>
        <w:tc>
          <w:tcPr>
            <w:tcW w:w="237" w:type="pct"/>
            <w:tcBorders>
              <w:top w:val="nil"/>
              <w:left w:val="nil"/>
              <w:bottom w:val="nil"/>
              <w:right w:val="nil"/>
            </w:tcBorders>
            <w:shd w:val="clear" w:color="000000" w:fill="FFFFFF"/>
            <w:noWrap/>
            <w:vAlign w:val="bottom"/>
            <w:hideMark/>
          </w:tcPr>
          <w:p w14:paraId="75D2FB3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w:t>
            </w:r>
          </w:p>
        </w:tc>
        <w:tc>
          <w:tcPr>
            <w:tcW w:w="237" w:type="pct"/>
            <w:tcBorders>
              <w:top w:val="nil"/>
              <w:left w:val="nil"/>
              <w:bottom w:val="nil"/>
              <w:right w:val="nil"/>
            </w:tcBorders>
            <w:shd w:val="clear" w:color="000000" w:fill="FFFFFF"/>
            <w:noWrap/>
            <w:vAlign w:val="bottom"/>
            <w:hideMark/>
          </w:tcPr>
          <w:p w14:paraId="39FD0EE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w:t>
            </w:r>
          </w:p>
        </w:tc>
        <w:tc>
          <w:tcPr>
            <w:tcW w:w="237" w:type="pct"/>
            <w:tcBorders>
              <w:top w:val="nil"/>
              <w:left w:val="nil"/>
              <w:bottom w:val="nil"/>
              <w:right w:val="nil"/>
            </w:tcBorders>
            <w:shd w:val="clear" w:color="000000" w:fill="FFFFFF"/>
            <w:noWrap/>
            <w:vAlign w:val="bottom"/>
            <w:hideMark/>
          </w:tcPr>
          <w:p w14:paraId="3C309EB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w:t>
            </w:r>
          </w:p>
        </w:tc>
        <w:tc>
          <w:tcPr>
            <w:tcW w:w="237" w:type="pct"/>
            <w:tcBorders>
              <w:top w:val="nil"/>
              <w:left w:val="nil"/>
              <w:bottom w:val="nil"/>
              <w:right w:val="nil"/>
            </w:tcBorders>
            <w:shd w:val="clear" w:color="000000" w:fill="FFFFFF"/>
            <w:noWrap/>
            <w:vAlign w:val="bottom"/>
            <w:hideMark/>
          </w:tcPr>
          <w:p w14:paraId="304679B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w:t>
            </w:r>
          </w:p>
        </w:tc>
        <w:tc>
          <w:tcPr>
            <w:tcW w:w="237" w:type="pct"/>
            <w:tcBorders>
              <w:top w:val="nil"/>
              <w:left w:val="nil"/>
              <w:bottom w:val="nil"/>
              <w:right w:val="nil"/>
            </w:tcBorders>
            <w:shd w:val="clear" w:color="000000" w:fill="FFFFFF"/>
            <w:noWrap/>
            <w:vAlign w:val="bottom"/>
            <w:hideMark/>
          </w:tcPr>
          <w:p w14:paraId="1AB794F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FDB299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5D664F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CECF20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90F137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14F831A3" w14:textId="77777777" w:rsidTr="006A523F">
        <w:trPr>
          <w:trHeight w:val="20"/>
        </w:trPr>
        <w:tc>
          <w:tcPr>
            <w:tcW w:w="503" w:type="pct"/>
            <w:tcBorders>
              <w:top w:val="nil"/>
              <w:left w:val="nil"/>
              <w:bottom w:val="nil"/>
              <w:right w:val="nil"/>
            </w:tcBorders>
            <w:shd w:val="clear" w:color="000000" w:fill="FFFFFF"/>
            <w:noWrap/>
            <w:vAlign w:val="center"/>
            <w:hideMark/>
          </w:tcPr>
          <w:p w14:paraId="49ADFC3B"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2019</w:t>
            </w:r>
          </w:p>
        </w:tc>
        <w:tc>
          <w:tcPr>
            <w:tcW w:w="470" w:type="pct"/>
            <w:tcBorders>
              <w:top w:val="nil"/>
              <w:left w:val="nil"/>
              <w:bottom w:val="nil"/>
              <w:right w:val="nil"/>
            </w:tcBorders>
            <w:shd w:val="clear" w:color="000000" w:fill="FFFFFF"/>
            <w:noWrap/>
            <w:vAlign w:val="bottom"/>
            <w:hideMark/>
          </w:tcPr>
          <w:p w14:paraId="32B231BC"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2019Q1</w:t>
            </w:r>
          </w:p>
        </w:tc>
        <w:tc>
          <w:tcPr>
            <w:tcW w:w="470" w:type="pct"/>
            <w:tcBorders>
              <w:top w:val="nil"/>
              <w:left w:val="nil"/>
              <w:bottom w:val="nil"/>
              <w:right w:val="nil"/>
            </w:tcBorders>
            <w:shd w:val="clear" w:color="000000" w:fill="FFFFFF"/>
            <w:noWrap/>
            <w:vAlign w:val="center"/>
            <w:hideMark/>
          </w:tcPr>
          <w:p w14:paraId="792ACC0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193,755</w:t>
            </w:r>
          </w:p>
        </w:tc>
        <w:tc>
          <w:tcPr>
            <w:tcW w:w="237" w:type="pct"/>
            <w:tcBorders>
              <w:top w:val="nil"/>
              <w:left w:val="nil"/>
              <w:bottom w:val="nil"/>
              <w:right w:val="nil"/>
            </w:tcBorders>
            <w:shd w:val="clear" w:color="000000" w:fill="FFFFFF"/>
            <w:noWrap/>
            <w:vAlign w:val="bottom"/>
            <w:hideMark/>
          </w:tcPr>
          <w:p w14:paraId="79E1A3A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0.71%</w:t>
            </w:r>
          </w:p>
        </w:tc>
        <w:tc>
          <w:tcPr>
            <w:tcW w:w="237" w:type="pct"/>
            <w:tcBorders>
              <w:top w:val="nil"/>
              <w:left w:val="nil"/>
              <w:bottom w:val="nil"/>
              <w:right w:val="nil"/>
            </w:tcBorders>
            <w:shd w:val="clear" w:color="000000" w:fill="FFFFFF"/>
            <w:noWrap/>
            <w:vAlign w:val="bottom"/>
            <w:hideMark/>
          </w:tcPr>
          <w:p w14:paraId="6050DED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0.74%</w:t>
            </w:r>
          </w:p>
        </w:tc>
        <w:tc>
          <w:tcPr>
            <w:tcW w:w="237" w:type="pct"/>
            <w:tcBorders>
              <w:top w:val="nil"/>
              <w:left w:val="nil"/>
              <w:bottom w:val="nil"/>
              <w:right w:val="nil"/>
            </w:tcBorders>
            <w:shd w:val="clear" w:color="000000" w:fill="FFFFFF"/>
            <w:noWrap/>
            <w:vAlign w:val="bottom"/>
            <w:hideMark/>
          </w:tcPr>
          <w:p w14:paraId="1980CFF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0.75%</w:t>
            </w:r>
          </w:p>
        </w:tc>
        <w:tc>
          <w:tcPr>
            <w:tcW w:w="237" w:type="pct"/>
            <w:tcBorders>
              <w:top w:val="nil"/>
              <w:left w:val="nil"/>
              <w:bottom w:val="nil"/>
              <w:right w:val="nil"/>
            </w:tcBorders>
            <w:shd w:val="clear" w:color="000000" w:fill="FFFFFF"/>
            <w:noWrap/>
            <w:vAlign w:val="bottom"/>
            <w:hideMark/>
          </w:tcPr>
          <w:p w14:paraId="7DB720F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0.75%</w:t>
            </w:r>
          </w:p>
        </w:tc>
        <w:tc>
          <w:tcPr>
            <w:tcW w:w="237" w:type="pct"/>
            <w:tcBorders>
              <w:top w:val="nil"/>
              <w:left w:val="nil"/>
              <w:bottom w:val="nil"/>
              <w:right w:val="nil"/>
            </w:tcBorders>
            <w:shd w:val="clear" w:color="000000" w:fill="FFFFFF"/>
            <w:noWrap/>
            <w:vAlign w:val="bottom"/>
            <w:hideMark/>
          </w:tcPr>
          <w:p w14:paraId="7579066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0.75%</w:t>
            </w:r>
          </w:p>
        </w:tc>
        <w:tc>
          <w:tcPr>
            <w:tcW w:w="237" w:type="pct"/>
            <w:tcBorders>
              <w:top w:val="nil"/>
              <w:left w:val="nil"/>
              <w:bottom w:val="nil"/>
              <w:right w:val="nil"/>
            </w:tcBorders>
            <w:shd w:val="clear" w:color="000000" w:fill="FFFFFF"/>
            <w:noWrap/>
            <w:vAlign w:val="bottom"/>
            <w:hideMark/>
          </w:tcPr>
          <w:p w14:paraId="3EF6EFA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0.75%</w:t>
            </w:r>
          </w:p>
        </w:tc>
        <w:tc>
          <w:tcPr>
            <w:tcW w:w="237" w:type="pct"/>
            <w:tcBorders>
              <w:top w:val="nil"/>
              <w:left w:val="nil"/>
              <w:bottom w:val="nil"/>
              <w:right w:val="nil"/>
            </w:tcBorders>
            <w:shd w:val="clear" w:color="000000" w:fill="FFFFFF"/>
            <w:noWrap/>
            <w:vAlign w:val="bottom"/>
            <w:hideMark/>
          </w:tcPr>
          <w:p w14:paraId="22541AC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0.75%</w:t>
            </w:r>
          </w:p>
        </w:tc>
        <w:tc>
          <w:tcPr>
            <w:tcW w:w="237" w:type="pct"/>
            <w:tcBorders>
              <w:top w:val="nil"/>
              <w:left w:val="nil"/>
              <w:bottom w:val="nil"/>
              <w:right w:val="nil"/>
            </w:tcBorders>
            <w:shd w:val="clear" w:color="000000" w:fill="FFFFFF"/>
            <w:noWrap/>
            <w:vAlign w:val="bottom"/>
            <w:hideMark/>
          </w:tcPr>
          <w:p w14:paraId="0F951B7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0.75%</w:t>
            </w:r>
          </w:p>
        </w:tc>
        <w:tc>
          <w:tcPr>
            <w:tcW w:w="237" w:type="pct"/>
            <w:tcBorders>
              <w:top w:val="nil"/>
              <w:left w:val="nil"/>
              <w:bottom w:val="nil"/>
              <w:right w:val="nil"/>
            </w:tcBorders>
            <w:shd w:val="clear" w:color="000000" w:fill="FFFFFF"/>
            <w:noWrap/>
            <w:vAlign w:val="bottom"/>
            <w:hideMark/>
          </w:tcPr>
          <w:p w14:paraId="664B7AC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0.75%</w:t>
            </w:r>
          </w:p>
        </w:tc>
        <w:tc>
          <w:tcPr>
            <w:tcW w:w="237" w:type="pct"/>
            <w:tcBorders>
              <w:top w:val="nil"/>
              <w:left w:val="nil"/>
              <w:bottom w:val="nil"/>
              <w:right w:val="nil"/>
            </w:tcBorders>
            <w:shd w:val="clear" w:color="000000" w:fill="FFFFFF"/>
            <w:noWrap/>
            <w:vAlign w:val="bottom"/>
            <w:hideMark/>
          </w:tcPr>
          <w:p w14:paraId="78B1CFE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8819FD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FDCF91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B4D550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0C3CDA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2B6416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09D1B6F4" w14:textId="77777777" w:rsidTr="006A523F">
        <w:trPr>
          <w:trHeight w:val="20"/>
        </w:trPr>
        <w:tc>
          <w:tcPr>
            <w:tcW w:w="503" w:type="pct"/>
            <w:tcBorders>
              <w:top w:val="nil"/>
              <w:left w:val="nil"/>
              <w:bottom w:val="nil"/>
              <w:right w:val="nil"/>
            </w:tcBorders>
            <w:shd w:val="clear" w:color="000000" w:fill="FFFFFF"/>
            <w:noWrap/>
            <w:vAlign w:val="center"/>
            <w:hideMark/>
          </w:tcPr>
          <w:p w14:paraId="1095018D"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2019</w:t>
            </w:r>
          </w:p>
        </w:tc>
        <w:tc>
          <w:tcPr>
            <w:tcW w:w="470" w:type="pct"/>
            <w:tcBorders>
              <w:top w:val="nil"/>
              <w:left w:val="nil"/>
              <w:bottom w:val="nil"/>
              <w:right w:val="nil"/>
            </w:tcBorders>
            <w:shd w:val="clear" w:color="000000" w:fill="FFFFFF"/>
            <w:noWrap/>
            <w:vAlign w:val="bottom"/>
            <w:hideMark/>
          </w:tcPr>
          <w:p w14:paraId="3F692EB4"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2019Q2</w:t>
            </w:r>
          </w:p>
        </w:tc>
        <w:tc>
          <w:tcPr>
            <w:tcW w:w="470" w:type="pct"/>
            <w:tcBorders>
              <w:top w:val="nil"/>
              <w:left w:val="nil"/>
              <w:bottom w:val="nil"/>
              <w:right w:val="nil"/>
            </w:tcBorders>
            <w:shd w:val="clear" w:color="000000" w:fill="FFFFFF"/>
            <w:noWrap/>
            <w:vAlign w:val="center"/>
            <w:hideMark/>
          </w:tcPr>
          <w:p w14:paraId="413176D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213,945</w:t>
            </w:r>
          </w:p>
        </w:tc>
        <w:tc>
          <w:tcPr>
            <w:tcW w:w="237" w:type="pct"/>
            <w:tcBorders>
              <w:top w:val="nil"/>
              <w:left w:val="nil"/>
              <w:bottom w:val="nil"/>
              <w:right w:val="nil"/>
            </w:tcBorders>
            <w:shd w:val="clear" w:color="000000" w:fill="FFFFFF"/>
            <w:noWrap/>
            <w:vAlign w:val="bottom"/>
            <w:hideMark/>
          </w:tcPr>
          <w:p w14:paraId="21AA2DC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0.87%</w:t>
            </w:r>
          </w:p>
        </w:tc>
        <w:tc>
          <w:tcPr>
            <w:tcW w:w="237" w:type="pct"/>
            <w:tcBorders>
              <w:top w:val="nil"/>
              <w:left w:val="nil"/>
              <w:bottom w:val="nil"/>
              <w:right w:val="nil"/>
            </w:tcBorders>
            <w:shd w:val="clear" w:color="000000" w:fill="FFFFFF"/>
            <w:noWrap/>
            <w:vAlign w:val="bottom"/>
            <w:hideMark/>
          </w:tcPr>
          <w:p w14:paraId="18AB83F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0.89%</w:t>
            </w:r>
          </w:p>
        </w:tc>
        <w:tc>
          <w:tcPr>
            <w:tcW w:w="237" w:type="pct"/>
            <w:tcBorders>
              <w:top w:val="nil"/>
              <w:left w:val="nil"/>
              <w:bottom w:val="nil"/>
              <w:right w:val="nil"/>
            </w:tcBorders>
            <w:shd w:val="clear" w:color="000000" w:fill="FFFFFF"/>
            <w:noWrap/>
            <w:vAlign w:val="bottom"/>
            <w:hideMark/>
          </w:tcPr>
          <w:p w14:paraId="06F3401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0.89%</w:t>
            </w:r>
          </w:p>
        </w:tc>
        <w:tc>
          <w:tcPr>
            <w:tcW w:w="237" w:type="pct"/>
            <w:tcBorders>
              <w:top w:val="nil"/>
              <w:left w:val="nil"/>
              <w:bottom w:val="nil"/>
              <w:right w:val="nil"/>
            </w:tcBorders>
            <w:shd w:val="clear" w:color="000000" w:fill="FFFFFF"/>
            <w:noWrap/>
            <w:vAlign w:val="bottom"/>
            <w:hideMark/>
          </w:tcPr>
          <w:p w14:paraId="3CEDF77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0.89%</w:t>
            </w:r>
          </w:p>
        </w:tc>
        <w:tc>
          <w:tcPr>
            <w:tcW w:w="237" w:type="pct"/>
            <w:tcBorders>
              <w:top w:val="nil"/>
              <w:left w:val="nil"/>
              <w:bottom w:val="nil"/>
              <w:right w:val="nil"/>
            </w:tcBorders>
            <w:shd w:val="clear" w:color="000000" w:fill="FFFFFF"/>
            <w:noWrap/>
            <w:vAlign w:val="bottom"/>
            <w:hideMark/>
          </w:tcPr>
          <w:p w14:paraId="103B4C8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0.89%</w:t>
            </w:r>
          </w:p>
        </w:tc>
        <w:tc>
          <w:tcPr>
            <w:tcW w:w="237" w:type="pct"/>
            <w:tcBorders>
              <w:top w:val="nil"/>
              <w:left w:val="nil"/>
              <w:bottom w:val="nil"/>
              <w:right w:val="nil"/>
            </w:tcBorders>
            <w:shd w:val="clear" w:color="000000" w:fill="FFFFFF"/>
            <w:noWrap/>
            <w:vAlign w:val="bottom"/>
            <w:hideMark/>
          </w:tcPr>
          <w:p w14:paraId="4DF4792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0.89%</w:t>
            </w:r>
          </w:p>
        </w:tc>
        <w:tc>
          <w:tcPr>
            <w:tcW w:w="237" w:type="pct"/>
            <w:tcBorders>
              <w:top w:val="nil"/>
              <w:left w:val="nil"/>
              <w:bottom w:val="nil"/>
              <w:right w:val="nil"/>
            </w:tcBorders>
            <w:shd w:val="clear" w:color="000000" w:fill="FFFFFF"/>
            <w:noWrap/>
            <w:vAlign w:val="bottom"/>
            <w:hideMark/>
          </w:tcPr>
          <w:p w14:paraId="36D9261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0.89%</w:t>
            </w:r>
          </w:p>
        </w:tc>
        <w:tc>
          <w:tcPr>
            <w:tcW w:w="237" w:type="pct"/>
            <w:tcBorders>
              <w:top w:val="nil"/>
              <w:left w:val="nil"/>
              <w:bottom w:val="nil"/>
              <w:right w:val="nil"/>
            </w:tcBorders>
            <w:shd w:val="clear" w:color="000000" w:fill="FFFFFF"/>
            <w:noWrap/>
            <w:vAlign w:val="bottom"/>
            <w:hideMark/>
          </w:tcPr>
          <w:p w14:paraId="4396EE1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0.89%</w:t>
            </w:r>
          </w:p>
        </w:tc>
        <w:tc>
          <w:tcPr>
            <w:tcW w:w="237" w:type="pct"/>
            <w:tcBorders>
              <w:top w:val="nil"/>
              <w:left w:val="nil"/>
              <w:bottom w:val="nil"/>
              <w:right w:val="nil"/>
            </w:tcBorders>
            <w:shd w:val="clear" w:color="000000" w:fill="FFFFFF"/>
            <w:noWrap/>
            <w:vAlign w:val="bottom"/>
            <w:hideMark/>
          </w:tcPr>
          <w:p w14:paraId="1037AE0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31B668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D39472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96B4B2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42FFD6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0191C2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E59E5C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0DFFF3BC" w14:textId="77777777" w:rsidTr="006A523F">
        <w:trPr>
          <w:trHeight w:val="20"/>
        </w:trPr>
        <w:tc>
          <w:tcPr>
            <w:tcW w:w="503" w:type="pct"/>
            <w:tcBorders>
              <w:top w:val="nil"/>
              <w:left w:val="nil"/>
              <w:bottom w:val="nil"/>
              <w:right w:val="nil"/>
            </w:tcBorders>
            <w:shd w:val="clear" w:color="000000" w:fill="FFFFFF"/>
            <w:noWrap/>
            <w:vAlign w:val="center"/>
            <w:hideMark/>
          </w:tcPr>
          <w:p w14:paraId="4D645B39"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2019</w:t>
            </w:r>
          </w:p>
        </w:tc>
        <w:tc>
          <w:tcPr>
            <w:tcW w:w="470" w:type="pct"/>
            <w:tcBorders>
              <w:top w:val="nil"/>
              <w:left w:val="nil"/>
              <w:bottom w:val="nil"/>
              <w:right w:val="nil"/>
            </w:tcBorders>
            <w:shd w:val="clear" w:color="000000" w:fill="FFFFFF"/>
            <w:noWrap/>
            <w:vAlign w:val="bottom"/>
            <w:hideMark/>
          </w:tcPr>
          <w:p w14:paraId="1E0C7678"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2019Q3</w:t>
            </w:r>
          </w:p>
        </w:tc>
        <w:tc>
          <w:tcPr>
            <w:tcW w:w="470" w:type="pct"/>
            <w:tcBorders>
              <w:top w:val="nil"/>
              <w:left w:val="nil"/>
              <w:bottom w:val="nil"/>
              <w:right w:val="nil"/>
            </w:tcBorders>
            <w:shd w:val="clear" w:color="000000" w:fill="FFFFFF"/>
            <w:noWrap/>
            <w:vAlign w:val="center"/>
            <w:hideMark/>
          </w:tcPr>
          <w:p w14:paraId="5F29AE7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187,739</w:t>
            </w:r>
          </w:p>
        </w:tc>
        <w:tc>
          <w:tcPr>
            <w:tcW w:w="237" w:type="pct"/>
            <w:tcBorders>
              <w:top w:val="nil"/>
              <w:left w:val="nil"/>
              <w:bottom w:val="nil"/>
              <w:right w:val="nil"/>
            </w:tcBorders>
            <w:shd w:val="clear" w:color="000000" w:fill="FFFFFF"/>
            <w:noWrap/>
            <w:vAlign w:val="bottom"/>
            <w:hideMark/>
          </w:tcPr>
          <w:p w14:paraId="5D17C38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0.90%</w:t>
            </w:r>
          </w:p>
        </w:tc>
        <w:tc>
          <w:tcPr>
            <w:tcW w:w="237" w:type="pct"/>
            <w:tcBorders>
              <w:top w:val="nil"/>
              <w:left w:val="nil"/>
              <w:bottom w:val="nil"/>
              <w:right w:val="nil"/>
            </w:tcBorders>
            <w:shd w:val="clear" w:color="000000" w:fill="FFFFFF"/>
            <w:noWrap/>
            <w:vAlign w:val="bottom"/>
            <w:hideMark/>
          </w:tcPr>
          <w:p w14:paraId="73B515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0.92%</w:t>
            </w:r>
          </w:p>
        </w:tc>
        <w:tc>
          <w:tcPr>
            <w:tcW w:w="237" w:type="pct"/>
            <w:tcBorders>
              <w:top w:val="nil"/>
              <w:left w:val="nil"/>
              <w:bottom w:val="nil"/>
              <w:right w:val="nil"/>
            </w:tcBorders>
            <w:shd w:val="clear" w:color="000000" w:fill="FFFFFF"/>
            <w:noWrap/>
            <w:vAlign w:val="bottom"/>
            <w:hideMark/>
          </w:tcPr>
          <w:p w14:paraId="04FCC76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0.93%</w:t>
            </w:r>
          </w:p>
        </w:tc>
        <w:tc>
          <w:tcPr>
            <w:tcW w:w="237" w:type="pct"/>
            <w:tcBorders>
              <w:top w:val="nil"/>
              <w:left w:val="nil"/>
              <w:bottom w:val="nil"/>
              <w:right w:val="nil"/>
            </w:tcBorders>
            <w:shd w:val="clear" w:color="000000" w:fill="FFFFFF"/>
            <w:noWrap/>
            <w:vAlign w:val="bottom"/>
            <w:hideMark/>
          </w:tcPr>
          <w:p w14:paraId="7079EF1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0.93%</w:t>
            </w:r>
          </w:p>
        </w:tc>
        <w:tc>
          <w:tcPr>
            <w:tcW w:w="237" w:type="pct"/>
            <w:tcBorders>
              <w:top w:val="nil"/>
              <w:left w:val="nil"/>
              <w:bottom w:val="nil"/>
              <w:right w:val="nil"/>
            </w:tcBorders>
            <w:shd w:val="clear" w:color="000000" w:fill="FFFFFF"/>
            <w:noWrap/>
            <w:vAlign w:val="bottom"/>
            <w:hideMark/>
          </w:tcPr>
          <w:p w14:paraId="10D716B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0.93%</w:t>
            </w:r>
          </w:p>
        </w:tc>
        <w:tc>
          <w:tcPr>
            <w:tcW w:w="237" w:type="pct"/>
            <w:tcBorders>
              <w:top w:val="nil"/>
              <w:left w:val="nil"/>
              <w:bottom w:val="nil"/>
              <w:right w:val="nil"/>
            </w:tcBorders>
            <w:shd w:val="clear" w:color="000000" w:fill="FFFFFF"/>
            <w:noWrap/>
            <w:vAlign w:val="bottom"/>
            <w:hideMark/>
          </w:tcPr>
          <w:p w14:paraId="268E07D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0.93%</w:t>
            </w:r>
          </w:p>
        </w:tc>
        <w:tc>
          <w:tcPr>
            <w:tcW w:w="237" w:type="pct"/>
            <w:tcBorders>
              <w:top w:val="nil"/>
              <w:left w:val="nil"/>
              <w:bottom w:val="nil"/>
              <w:right w:val="nil"/>
            </w:tcBorders>
            <w:shd w:val="clear" w:color="000000" w:fill="FFFFFF"/>
            <w:noWrap/>
            <w:vAlign w:val="bottom"/>
            <w:hideMark/>
          </w:tcPr>
          <w:p w14:paraId="31CEF1B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0.94%</w:t>
            </w:r>
          </w:p>
        </w:tc>
        <w:tc>
          <w:tcPr>
            <w:tcW w:w="237" w:type="pct"/>
            <w:tcBorders>
              <w:top w:val="nil"/>
              <w:left w:val="nil"/>
              <w:bottom w:val="nil"/>
              <w:right w:val="nil"/>
            </w:tcBorders>
            <w:shd w:val="clear" w:color="000000" w:fill="FFFFFF"/>
            <w:noWrap/>
            <w:vAlign w:val="bottom"/>
            <w:hideMark/>
          </w:tcPr>
          <w:p w14:paraId="6B1C891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0C448B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5267D0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096781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78AC7D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220DB0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17F21D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541F27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328A7C70" w14:textId="77777777" w:rsidTr="006A523F">
        <w:trPr>
          <w:trHeight w:val="20"/>
        </w:trPr>
        <w:tc>
          <w:tcPr>
            <w:tcW w:w="503" w:type="pct"/>
            <w:tcBorders>
              <w:top w:val="nil"/>
              <w:left w:val="nil"/>
              <w:bottom w:val="nil"/>
              <w:right w:val="nil"/>
            </w:tcBorders>
            <w:shd w:val="clear" w:color="000000" w:fill="FFFFFF"/>
            <w:noWrap/>
            <w:vAlign w:val="center"/>
            <w:hideMark/>
          </w:tcPr>
          <w:p w14:paraId="2F363CBA"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2019</w:t>
            </w:r>
          </w:p>
        </w:tc>
        <w:tc>
          <w:tcPr>
            <w:tcW w:w="470" w:type="pct"/>
            <w:tcBorders>
              <w:top w:val="nil"/>
              <w:left w:val="nil"/>
              <w:bottom w:val="nil"/>
              <w:right w:val="nil"/>
            </w:tcBorders>
            <w:shd w:val="clear" w:color="000000" w:fill="FFFFFF"/>
            <w:noWrap/>
            <w:vAlign w:val="bottom"/>
            <w:hideMark/>
          </w:tcPr>
          <w:p w14:paraId="4EC485B5"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2019Q4</w:t>
            </w:r>
          </w:p>
        </w:tc>
        <w:tc>
          <w:tcPr>
            <w:tcW w:w="470" w:type="pct"/>
            <w:tcBorders>
              <w:top w:val="nil"/>
              <w:left w:val="nil"/>
              <w:bottom w:val="nil"/>
              <w:right w:val="nil"/>
            </w:tcBorders>
            <w:shd w:val="clear" w:color="000000" w:fill="FFFFFF"/>
            <w:noWrap/>
            <w:vAlign w:val="center"/>
            <w:hideMark/>
          </w:tcPr>
          <w:p w14:paraId="644A5E4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220,949</w:t>
            </w:r>
          </w:p>
        </w:tc>
        <w:tc>
          <w:tcPr>
            <w:tcW w:w="237" w:type="pct"/>
            <w:tcBorders>
              <w:top w:val="nil"/>
              <w:left w:val="nil"/>
              <w:bottom w:val="nil"/>
              <w:right w:val="nil"/>
            </w:tcBorders>
            <w:shd w:val="clear" w:color="000000" w:fill="FFFFFF"/>
            <w:noWrap/>
            <w:vAlign w:val="bottom"/>
            <w:hideMark/>
          </w:tcPr>
          <w:p w14:paraId="141078E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0.96%</w:t>
            </w:r>
          </w:p>
        </w:tc>
        <w:tc>
          <w:tcPr>
            <w:tcW w:w="237" w:type="pct"/>
            <w:tcBorders>
              <w:top w:val="nil"/>
              <w:left w:val="nil"/>
              <w:bottom w:val="nil"/>
              <w:right w:val="nil"/>
            </w:tcBorders>
            <w:shd w:val="clear" w:color="000000" w:fill="FFFFFF"/>
            <w:noWrap/>
            <w:vAlign w:val="bottom"/>
            <w:hideMark/>
          </w:tcPr>
          <w:p w14:paraId="56FA1F7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0.99%</w:t>
            </w:r>
          </w:p>
        </w:tc>
        <w:tc>
          <w:tcPr>
            <w:tcW w:w="237" w:type="pct"/>
            <w:tcBorders>
              <w:top w:val="nil"/>
              <w:left w:val="nil"/>
              <w:bottom w:val="nil"/>
              <w:right w:val="nil"/>
            </w:tcBorders>
            <w:shd w:val="clear" w:color="000000" w:fill="FFFFFF"/>
            <w:noWrap/>
            <w:vAlign w:val="bottom"/>
            <w:hideMark/>
          </w:tcPr>
          <w:p w14:paraId="5495D5E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1.00%</w:t>
            </w:r>
          </w:p>
        </w:tc>
        <w:tc>
          <w:tcPr>
            <w:tcW w:w="237" w:type="pct"/>
            <w:tcBorders>
              <w:top w:val="nil"/>
              <w:left w:val="nil"/>
              <w:bottom w:val="nil"/>
              <w:right w:val="nil"/>
            </w:tcBorders>
            <w:shd w:val="clear" w:color="000000" w:fill="FFFFFF"/>
            <w:noWrap/>
            <w:vAlign w:val="bottom"/>
            <w:hideMark/>
          </w:tcPr>
          <w:p w14:paraId="133B9ED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1.00%</w:t>
            </w:r>
          </w:p>
        </w:tc>
        <w:tc>
          <w:tcPr>
            <w:tcW w:w="237" w:type="pct"/>
            <w:tcBorders>
              <w:top w:val="nil"/>
              <w:left w:val="nil"/>
              <w:bottom w:val="nil"/>
              <w:right w:val="nil"/>
            </w:tcBorders>
            <w:shd w:val="clear" w:color="000000" w:fill="FFFFFF"/>
            <w:noWrap/>
            <w:vAlign w:val="bottom"/>
            <w:hideMark/>
          </w:tcPr>
          <w:p w14:paraId="7149601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1.00%</w:t>
            </w:r>
          </w:p>
        </w:tc>
        <w:tc>
          <w:tcPr>
            <w:tcW w:w="237" w:type="pct"/>
            <w:tcBorders>
              <w:top w:val="nil"/>
              <w:left w:val="nil"/>
              <w:bottom w:val="nil"/>
              <w:right w:val="nil"/>
            </w:tcBorders>
            <w:shd w:val="clear" w:color="000000" w:fill="FFFFFF"/>
            <w:noWrap/>
            <w:vAlign w:val="bottom"/>
            <w:hideMark/>
          </w:tcPr>
          <w:p w14:paraId="26F939B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1.01%</w:t>
            </w:r>
          </w:p>
        </w:tc>
        <w:tc>
          <w:tcPr>
            <w:tcW w:w="237" w:type="pct"/>
            <w:tcBorders>
              <w:top w:val="nil"/>
              <w:left w:val="nil"/>
              <w:bottom w:val="nil"/>
              <w:right w:val="nil"/>
            </w:tcBorders>
            <w:shd w:val="clear" w:color="000000" w:fill="FFFFFF"/>
            <w:noWrap/>
            <w:vAlign w:val="bottom"/>
            <w:hideMark/>
          </w:tcPr>
          <w:p w14:paraId="4227DAA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DFC02D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80611E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BEA9BC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267ADC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E81E4B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82FEFE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21396A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487A32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18EDAB28" w14:textId="77777777" w:rsidTr="006A523F">
        <w:trPr>
          <w:trHeight w:val="20"/>
        </w:trPr>
        <w:tc>
          <w:tcPr>
            <w:tcW w:w="503" w:type="pct"/>
            <w:tcBorders>
              <w:top w:val="nil"/>
              <w:left w:val="nil"/>
              <w:bottom w:val="nil"/>
              <w:right w:val="nil"/>
            </w:tcBorders>
            <w:shd w:val="clear" w:color="000000" w:fill="FFFFFF"/>
            <w:noWrap/>
            <w:vAlign w:val="center"/>
            <w:hideMark/>
          </w:tcPr>
          <w:p w14:paraId="05D49ECC"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2020</w:t>
            </w:r>
          </w:p>
        </w:tc>
        <w:tc>
          <w:tcPr>
            <w:tcW w:w="470" w:type="pct"/>
            <w:tcBorders>
              <w:top w:val="nil"/>
              <w:left w:val="nil"/>
              <w:bottom w:val="nil"/>
              <w:right w:val="nil"/>
            </w:tcBorders>
            <w:shd w:val="clear" w:color="000000" w:fill="FFFFFF"/>
            <w:noWrap/>
            <w:vAlign w:val="bottom"/>
            <w:hideMark/>
          </w:tcPr>
          <w:p w14:paraId="48DC9DDF"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2020Q1</w:t>
            </w:r>
          </w:p>
        </w:tc>
        <w:tc>
          <w:tcPr>
            <w:tcW w:w="470" w:type="pct"/>
            <w:tcBorders>
              <w:top w:val="nil"/>
              <w:left w:val="nil"/>
              <w:bottom w:val="nil"/>
              <w:right w:val="nil"/>
            </w:tcBorders>
            <w:shd w:val="clear" w:color="000000" w:fill="FFFFFF"/>
            <w:noWrap/>
            <w:vAlign w:val="center"/>
            <w:hideMark/>
          </w:tcPr>
          <w:p w14:paraId="52A162D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214,367</w:t>
            </w:r>
          </w:p>
        </w:tc>
        <w:tc>
          <w:tcPr>
            <w:tcW w:w="237" w:type="pct"/>
            <w:tcBorders>
              <w:top w:val="nil"/>
              <w:left w:val="nil"/>
              <w:bottom w:val="nil"/>
              <w:right w:val="nil"/>
            </w:tcBorders>
            <w:shd w:val="clear" w:color="000000" w:fill="FFFFFF"/>
            <w:noWrap/>
            <w:vAlign w:val="bottom"/>
            <w:hideMark/>
          </w:tcPr>
          <w:p w14:paraId="145951A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0.81%</w:t>
            </w:r>
          </w:p>
        </w:tc>
        <w:tc>
          <w:tcPr>
            <w:tcW w:w="237" w:type="pct"/>
            <w:tcBorders>
              <w:top w:val="nil"/>
              <w:left w:val="nil"/>
              <w:bottom w:val="nil"/>
              <w:right w:val="nil"/>
            </w:tcBorders>
            <w:shd w:val="clear" w:color="000000" w:fill="FFFFFF"/>
            <w:noWrap/>
            <w:vAlign w:val="bottom"/>
            <w:hideMark/>
          </w:tcPr>
          <w:p w14:paraId="419E706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0.82%</w:t>
            </w:r>
          </w:p>
        </w:tc>
        <w:tc>
          <w:tcPr>
            <w:tcW w:w="237" w:type="pct"/>
            <w:tcBorders>
              <w:top w:val="nil"/>
              <w:left w:val="nil"/>
              <w:bottom w:val="nil"/>
              <w:right w:val="nil"/>
            </w:tcBorders>
            <w:shd w:val="clear" w:color="000000" w:fill="FFFFFF"/>
            <w:noWrap/>
            <w:vAlign w:val="bottom"/>
            <w:hideMark/>
          </w:tcPr>
          <w:p w14:paraId="764BC9A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0.84%</w:t>
            </w:r>
          </w:p>
        </w:tc>
        <w:tc>
          <w:tcPr>
            <w:tcW w:w="237" w:type="pct"/>
            <w:tcBorders>
              <w:top w:val="nil"/>
              <w:left w:val="nil"/>
              <w:bottom w:val="nil"/>
              <w:right w:val="nil"/>
            </w:tcBorders>
            <w:shd w:val="clear" w:color="000000" w:fill="FFFFFF"/>
            <w:noWrap/>
            <w:vAlign w:val="bottom"/>
            <w:hideMark/>
          </w:tcPr>
          <w:p w14:paraId="548322F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0.85%</w:t>
            </w:r>
          </w:p>
        </w:tc>
        <w:tc>
          <w:tcPr>
            <w:tcW w:w="237" w:type="pct"/>
            <w:tcBorders>
              <w:top w:val="nil"/>
              <w:left w:val="nil"/>
              <w:bottom w:val="nil"/>
              <w:right w:val="nil"/>
            </w:tcBorders>
            <w:shd w:val="clear" w:color="000000" w:fill="FFFFFF"/>
            <w:noWrap/>
            <w:vAlign w:val="bottom"/>
            <w:hideMark/>
          </w:tcPr>
          <w:p w14:paraId="45E24DB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0.86%</w:t>
            </w:r>
          </w:p>
        </w:tc>
        <w:tc>
          <w:tcPr>
            <w:tcW w:w="237" w:type="pct"/>
            <w:tcBorders>
              <w:top w:val="nil"/>
              <w:left w:val="nil"/>
              <w:bottom w:val="nil"/>
              <w:right w:val="nil"/>
            </w:tcBorders>
            <w:shd w:val="clear" w:color="000000" w:fill="FFFFFF"/>
            <w:noWrap/>
            <w:vAlign w:val="bottom"/>
            <w:hideMark/>
          </w:tcPr>
          <w:p w14:paraId="15CBCDA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69D62A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EDE521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201449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5B1C3E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FB452D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3DB2CF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A57F8C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BF00BB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2FD428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4ACECD75" w14:textId="77777777" w:rsidTr="006A523F">
        <w:trPr>
          <w:trHeight w:val="20"/>
        </w:trPr>
        <w:tc>
          <w:tcPr>
            <w:tcW w:w="503" w:type="pct"/>
            <w:tcBorders>
              <w:top w:val="nil"/>
              <w:left w:val="nil"/>
              <w:bottom w:val="nil"/>
              <w:right w:val="nil"/>
            </w:tcBorders>
            <w:shd w:val="clear" w:color="000000" w:fill="FFFFFF"/>
            <w:noWrap/>
            <w:vAlign w:val="center"/>
            <w:hideMark/>
          </w:tcPr>
          <w:p w14:paraId="70CBD1E7"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2020</w:t>
            </w:r>
          </w:p>
        </w:tc>
        <w:tc>
          <w:tcPr>
            <w:tcW w:w="470" w:type="pct"/>
            <w:tcBorders>
              <w:top w:val="nil"/>
              <w:left w:val="nil"/>
              <w:bottom w:val="nil"/>
              <w:right w:val="nil"/>
            </w:tcBorders>
            <w:shd w:val="clear" w:color="000000" w:fill="FFFFFF"/>
            <w:noWrap/>
            <w:vAlign w:val="bottom"/>
            <w:hideMark/>
          </w:tcPr>
          <w:p w14:paraId="564089D8"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2020Q2</w:t>
            </w:r>
          </w:p>
        </w:tc>
        <w:tc>
          <w:tcPr>
            <w:tcW w:w="470" w:type="pct"/>
            <w:tcBorders>
              <w:top w:val="nil"/>
              <w:left w:val="nil"/>
              <w:bottom w:val="nil"/>
              <w:right w:val="nil"/>
            </w:tcBorders>
            <w:shd w:val="clear" w:color="000000" w:fill="FFFFFF"/>
            <w:noWrap/>
            <w:vAlign w:val="center"/>
            <w:hideMark/>
          </w:tcPr>
          <w:p w14:paraId="04F5184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170,311</w:t>
            </w:r>
          </w:p>
        </w:tc>
        <w:tc>
          <w:tcPr>
            <w:tcW w:w="237" w:type="pct"/>
            <w:tcBorders>
              <w:top w:val="nil"/>
              <w:left w:val="nil"/>
              <w:bottom w:val="nil"/>
              <w:right w:val="nil"/>
            </w:tcBorders>
            <w:shd w:val="clear" w:color="000000" w:fill="FFFFFF"/>
            <w:noWrap/>
            <w:vAlign w:val="bottom"/>
            <w:hideMark/>
          </w:tcPr>
          <w:p w14:paraId="49B162D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0.74%</w:t>
            </w:r>
          </w:p>
        </w:tc>
        <w:tc>
          <w:tcPr>
            <w:tcW w:w="237" w:type="pct"/>
            <w:tcBorders>
              <w:top w:val="nil"/>
              <w:left w:val="nil"/>
              <w:bottom w:val="nil"/>
              <w:right w:val="nil"/>
            </w:tcBorders>
            <w:shd w:val="clear" w:color="000000" w:fill="FFFFFF"/>
            <w:noWrap/>
            <w:vAlign w:val="bottom"/>
            <w:hideMark/>
          </w:tcPr>
          <w:p w14:paraId="3528AB8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0.75%</w:t>
            </w:r>
          </w:p>
        </w:tc>
        <w:tc>
          <w:tcPr>
            <w:tcW w:w="237" w:type="pct"/>
            <w:tcBorders>
              <w:top w:val="nil"/>
              <w:left w:val="nil"/>
              <w:bottom w:val="nil"/>
              <w:right w:val="nil"/>
            </w:tcBorders>
            <w:shd w:val="clear" w:color="000000" w:fill="FFFFFF"/>
            <w:noWrap/>
            <w:vAlign w:val="bottom"/>
            <w:hideMark/>
          </w:tcPr>
          <w:p w14:paraId="7449AF2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0.76%</w:t>
            </w:r>
          </w:p>
        </w:tc>
        <w:tc>
          <w:tcPr>
            <w:tcW w:w="237" w:type="pct"/>
            <w:tcBorders>
              <w:top w:val="nil"/>
              <w:left w:val="nil"/>
              <w:bottom w:val="nil"/>
              <w:right w:val="nil"/>
            </w:tcBorders>
            <w:shd w:val="clear" w:color="000000" w:fill="FFFFFF"/>
            <w:noWrap/>
            <w:vAlign w:val="bottom"/>
            <w:hideMark/>
          </w:tcPr>
          <w:p w14:paraId="49D0C20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0.77%</w:t>
            </w:r>
          </w:p>
        </w:tc>
        <w:tc>
          <w:tcPr>
            <w:tcW w:w="237" w:type="pct"/>
            <w:tcBorders>
              <w:top w:val="nil"/>
              <w:left w:val="nil"/>
              <w:bottom w:val="nil"/>
              <w:right w:val="nil"/>
            </w:tcBorders>
            <w:shd w:val="clear" w:color="000000" w:fill="FFFFFF"/>
            <w:noWrap/>
            <w:vAlign w:val="bottom"/>
            <w:hideMark/>
          </w:tcPr>
          <w:p w14:paraId="68B0918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8CC0C6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705EC1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93F328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8824EC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A149A5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372774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95730B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0F5C13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F022CC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17D9BC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499A001D" w14:textId="77777777" w:rsidTr="006A523F">
        <w:trPr>
          <w:trHeight w:val="20"/>
        </w:trPr>
        <w:tc>
          <w:tcPr>
            <w:tcW w:w="503" w:type="pct"/>
            <w:tcBorders>
              <w:top w:val="nil"/>
              <w:left w:val="nil"/>
              <w:bottom w:val="nil"/>
              <w:right w:val="nil"/>
            </w:tcBorders>
            <w:shd w:val="clear" w:color="000000" w:fill="FFFFFF"/>
            <w:noWrap/>
            <w:vAlign w:val="center"/>
            <w:hideMark/>
          </w:tcPr>
          <w:p w14:paraId="7AACCE0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2020</w:t>
            </w:r>
          </w:p>
        </w:tc>
        <w:tc>
          <w:tcPr>
            <w:tcW w:w="470" w:type="pct"/>
            <w:tcBorders>
              <w:top w:val="nil"/>
              <w:left w:val="nil"/>
              <w:bottom w:val="nil"/>
              <w:right w:val="nil"/>
            </w:tcBorders>
            <w:shd w:val="clear" w:color="000000" w:fill="FFFFFF"/>
            <w:noWrap/>
            <w:vAlign w:val="bottom"/>
            <w:hideMark/>
          </w:tcPr>
          <w:p w14:paraId="5267F320"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2020Q3</w:t>
            </w:r>
          </w:p>
        </w:tc>
        <w:tc>
          <w:tcPr>
            <w:tcW w:w="470" w:type="pct"/>
            <w:tcBorders>
              <w:top w:val="nil"/>
              <w:left w:val="nil"/>
              <w:bottom w:val="nil"/>
              <w:right w:val="nil"/>
            </w:tcBorders>
            <w:shd w:val="clear" w:color="000000" w:fill="FFFFFF"/>
            <w:noWrap/>
            <w:vAlign w:val="center"/>
            <w:hideMark/>
          </w:tcPr>
          <w:p w14:paraId="78E6E8B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201,916</w:t>
            </w:r>
          </w:p>
        </w:tc>
        <w:tc>
          <w:tcPr>
            <w:tcW w:w="237" w:type="pct"/>
            <w:tcBorders>
              <w:top w:val="nil"/>
              <w:left w:val="nil"/>
              <w:bottom w:val="nil"/>
              <w:right w:val="nil"/>
            </w:tcBorders>
            <w:shd w:val="clear" w:color="000000" w:fill="FFFFFF"/>
            <w:noWrap/>
            <w:vAlign w:val="bottom"/>
            <w:hideMark/>
          </w:tcPr>
          <w:p w14:paraId="4D7AA95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0.83%</w:t>
            </w:r>
          </w:p>
        </w:tc>
        <w:tc>
          <w:tcPr>
            <w:tcW w:w="237" w:type="pct"/>
            <w:tcBorders>
              <w:top w:val="nil"/>
              <w:left w:val="nil"/>
              <w:bottom w:val="nil"/>
              <w:right w:val="nil"/>
            </w:tcBorders>
            <w:shd w:val="clear" w:color="000000" w:fill="FFFFFF"/>
            <w:noWrap/>
            <w:vAlign w:val="bottom"/>
            <w:hideMark/>
          </w:tcPr>
          <w:p w14:paraId="75C062C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0.86%</w:t>
            </w:r>
          </w:p>
        </w:tc>
        <w:tc>
          <w:tcPr>
            <w:tcW w:w="237" w:type="pct"/>
            <w:tcBorders>
              <w:top w:val="nil"/>
              <w:left w:val="nil"/>
              <w:bottom w:val="nil"/>
              <w:right w:val="nil"/>
            </w:tcBorders>
            <w:shd w:val="clear" w:color="000000" w:fill="FFFFFF"/>
            <w:noWrap/>
            <w:vAlign w:val="bottom"/>
            <w:hideMark/>
          </w:tcPr>
          <w:p w14:paraId="709A27C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0.87%</w:t>
            </w:r>
          </w:p>
        </w:tc>
        <w:tc>
          <w:tcPr>
            <w:tcW w:w="237" w:type="pct"/>
            <w:tcBorders>
              <w:top w:val="nil"/>
              <w:left w:val="nil"/>
              <w:bottom w:val="nil"/>
              <w:right w:val="nil"/>
            </w:tcBorders>
            <w:shd w:val="clear" w:color="000000" w:fill="FFFFFF"/>
            <w:noWrap/>
            <w:vAlign w:val="bottom"/>
            <w:hideMark/>
          </w:tcPr>
          <w:p w14:paraId="64F52C8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CBAF1A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AD5FBC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E29905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B92005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B22E03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3FF9D8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04C1DD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3217EF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711D7F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297556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2B44A7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2CAD4101" w14:textId="77777777" w:rsidTr="006A523F">
        <w:trPr>
          <w:trHeight w:val="20"/>
        </w:trPr>
        <w:tc>
          <w:tcPr>
            <w:tcW w:w="503" w:type="pct"/>
            <w:tcBorders>
              <w:top w:val="nil"/>
              <w:left w:val="nil"/>
              <w:bottom w:val="nil"/>
              <w:right w:val="nil"/>
            </w:tcBorders>
            <w:shd w:val="clear" w:color="000000" w:fill="FFFFFF"/>
            <w:noWrap/>
            <w:vAlign w:val="center"/>
            <w:hideMark/>
          </w:tcPr>
          <w:p w14:paraId="3403318D"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2020</w:t>
            </w:r>
          </w:p>
        </w:tc>
        <w:tc>
          <w:tcPr>
            <w:tcW w:w="470" w:type="pct"/>
            <w:tcBorders>
              <w:top w:val="nil"/>
              <w:left w:val="nil"/>
              <w:bottom w:val="nil"/>
              <w:right w:val="nil"/>
            </w:tcBorders>
            <w:shd w:val="clear" w:color="000000" w:fill="FFFFFF"/>
            <w:noWrap/>
            <w:vAlign w:val="bottom"/>
            <w:hideMark/>
          </w:tcPr>
          <w:p w14:paraId="7990BFF7"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2020Q4</w:t>
            </w:r>
          </w:p>
        </w:tc>
        <w:tc>
          <w:tcPr>
            <w:tcW w:w="470" w:type="pct"/>
            <w:tcBorders>
              <w:top w:val="nil"/>
              <w:left w:val="nil"/>
              <w:bottom w:val="nil"/>
              <w:right w:val="nil"/>
            </w:tcBorders>
            <w:shd w:val="clear" w:color="000000" w:fill="FFFFFF"/>
            <w:noWrap/>
            <w:vAlign w:val="center"/>
            <w:hideMark/>
          </w:tcPr>
          <w:p w14:paraId="41216D7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234,853</w:t>
            </w:r>
          </w:p>
        </w:tc>
        <w:tc>
          <w:tcPr>
            <w:tcW w:w="237" w:type="pct"/>
            <w:tcBorders>
              <w:top w:val="nil"/>
              <w:left w:val="nil"/>
              <w:bottom w:val="nil"/>
              <w:right w:val="nil"/>
            </w:tcBorders>
            <w:shd w:val="clear" w:color="000000" w:fill="FFFFFF"/>
            <w:noWrap/>
            <w:vAlign w:val="bottom"/>
            <w:hideMark/>
          </w:tcPr>
          <w:p w14:paraId="3A70C56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0.70%</w:t>
            </w:r>
          </w:p>
        </w:tc>
        <w:tc>
          <w:tcPr>
            <w:tcW w:w="237" w:type="pct"/>
            <w:tcBorders>
              <w:top w:val="nil"/>
              <w:left w:val="nil"/>
              <w:bottom w:val="nil"/>
              <w:right w:val="nil"/>
            </w:tcBorders>
            <w:shd w:val="clear" w:color="000000" w:fill="FFFFFF"/>
            <w:noWrap/>
            <w:vAlign w:val="bottom"/>
            <w:hideMark/>
          </w:tcPr>
          <w:p w14:paraId="13518DC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0.73%</w:t>
            </w:r>
          </w:p>
        </w:tc>
        <w:tc>
          <w:tcPr>
            <w:tcW w:w="237" w:type="pct"/>
            <w:tcBorders>
              <w:top w:val="nil"/>
              <w:left w:val="nil"/>
              <w:bottom w:val="nil"/>
              <w:right w:val="nil"/>
            </w:tcBorders>
            <w:shd w:val="clear" w:color="000000" w:fill="FFFFFF"/>
            <w:noWrap/>
            <w:vAlign w:val="bottom"/>
            <w:hideMark/>
          </w:tcPr>
          <w:p w14:paraId="3AB80BB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1A5525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E542FD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EBD18D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76EA4C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AB45AC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40C7BF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DFD42A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7F2947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035D7D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2CA5572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E0E228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F50753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r w:rsidR="006A523F" w:rsidRPr="006A523F" w14:paraId="501D6EEE" w14:textId="77777777" w:rsidTr="006A523F">
        <w:trPr>
          <w:trHeight w:val="20"/>
        </w:trPr>
        <w:tc>
          <w:tcPr>
            <w:tcW w:w="503" w:type="pct"/>
            <w:tcBorders>
              <w:top w:val="nil"/>
              <w:left w:val="nil"/>
              <w:bottom w:val="nil"/>
              <w:right w:val="nil"/>
            </w:tcBorders>
            <w:shd w:val="clear" w:color="000000" w:fill="FFFFFF"/>
            <w:noWrap/>
            <w:vAlign w:val="center"/>
            <w:hideMark/>
          </w:tcPr>
          <w:p w14:paraId="0DA39989"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2021</w:t>
            </w:r>
          </w:p>
        </w:tc>
        <w:tc>
          <w:tcPr>
            <w:tcW w:w="470" w:type="pct"/>
            <w:tcBorders>
              <w:top w:val="nil"/>
              <w:left w:val="nil"/>
              <w:bottom w:val="nil"/>
              <w:right w:val="nil"/>
            </w:tcBorders>
            <w:shd w:val="clear" w:color="000000" w:fill="FFFFFF"/>
            <w:noWrap/>
            <w:vAlign w:val="bottom"/>
            <w:hideMark/>
          </w:tcPr>
          <w:p w14:paraId="5845CBE6"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2021Q1</w:t>
            </w:r>
          </w:p>
        </w:tc>
        <w:tc>
          <w:tcPr>
            <w:tcW w:w="470" w:type="pct"/>
            <w:tcBorders>
              <w:top w:val="nil"/>
              <w:left w:val="nil"/>
              <w:bottom w:val="nil"/>
              <w:right w:val="nil"/>
            </w:tcBorders>
            <w:shd w:val="clear" w:color="000000" w:fill="FFFFFF"/>
            <w:noWrap/>
            <w:vAlign w:val="center"/>
            <w:hideMark/>
          </w:tcPr>
          <w:p w14:paraId="08AC1A1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167,689</w:t>
            </w:r>
          </w:p>
        </w:tc>
        <w:tc>
          <w:tcPr>
            <w:tcW w:w="237" w:type="pct"/>
            <w:tcBorders>
              <w:top w:val="nil"/>
              <w:left w:val="nil"/>
              <w:bottom w:val="nil"/>
              <w:right w:val="nil"/>
            </w:tcBorders>
            <w:shd w:val="clear" w:color="000000" w:fill="FFFFFF"/>
            <w:noWrap/>
            <w:vAlign w:val="bottom"/>
            <w:hideMark/>
          </w:tcPr>
          <w:p w14:paraId="4D7093A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0.85%</w:t>
            </w:r>
          </w:p>
        </w:tc>
        <w:tc>
          <w:tcPr>
            <w:tcW w:w="237" w:type="pct"/>
            <w:tcBorders>
              <w:top w:val="nil"/>
              <w:left w:val="nil"/>
              <w:bottom w:val="nil"/>
              <w:right w:val="nil"/>
            </w:tcBorders>
            <w:shd w:val="clear" w:color="000000" w:fill="FFFFFF"/>
            <w:noWrap/>
            <w:vAlign w:val="bottom"/>
            <w:hideMark/>
          </w:tcPr>
          <w:p w14:paraId="72DE591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70BDFB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D92DAD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05E1E55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626EFE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ECF23F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BA3EF3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B1D9A3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69B27D3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7F7A47D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11242C4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33C25F0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42C3755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37" w:type="pct"/>
            <w:tcBorders>
              <w:top w:val="nil"/>
              <w:left w:val="nil"/>
              <w:bottom w:val="nil"/>
              <w:right w:val="nil"/>
            </w:tcBorders>
            <w:shd w:val="clear" w:color="000000" w:fill="FFFFFF"/>
            <w:noWrap/>
            <w:vAlign w:val="bottom"/>
            <w:hideMark/>
          </w:tcPr>
          <w:p w14:paraId="5F796B7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r>
    </w:tbl>
    <w:p w14:paraId="5B68E1B0" w14:textId="77777777" w:rsidR="006A523F" w:rsidRDefault="006A523F" w:rsidP="00EF7333">
      <w:pPr>
        <w:pStyle w:val="Body1"/>
      </w:pPr>
    </w:p>
    <w:tbl>
      <w:tblPr>
        <w:tblW w:w="5000" w:type="pct"/>
        <w:tblCellMar>
          <w:left w:w="70" w:type="dxa"/>
          <w:right w:w="70" w:type="dxa"/>
        </w:tblCellMar>
        <w:tblLook w:val="04A0" w:firstRow="1" w:lastRow="0" w:firstColumn="1" w:lastColumn="0" w:noHBand="0" w:noVBand="1"/>
      </w:tblPr>
      <w:tblGrid>
        <w:gridCol w:w="1230"/>
        <w:gridCol w:w="1175"/>
        <w:gridCol w:w="1152"/>
        <w:gridCol w:w="581"/>
        <w:gridCol w:w="581"/>
        <w:gridCol w:w="581"/>
        <w:gridCol w:w="581"/>
        <w:gridCol w:w="581"/>
        <w:gridCol w:w="581"/>
        <w:gridCol w:w="582"/>
        <w:gridCol w:w="582"/>
        <w:gridCol w:w="582"/>
        <w:gridCol w:w="582"/>
        <w:gridCol w:w="582"/>
        <w:gridCol w:w="582"/>
        <w:gridCol w:w="582"/>
        <w:gridCol w:w="582"/>
        <w:gridCol w:w="582"/>
        <w:gridCol w:w="582"/>
        <w:gridCol w:w="582"/>
        <w:gridCol w:w="559"/>
      </w:tblGrid>
      <w:tr w:rsidR="006A523F" w:rsidRPr="006A523F" w14:paraId="13CD4C69" w14:textId="77777777" w:rsidTr="006A523F">
        <w:trPr>
          <w:trHeight w:val="20"/>
        </w:trPr>
        <w:tc>
          <w:tcPr>
            <w:tcW w:w="440" w:type="pct"/>
            <w:tcBorders>
              <w:top w:val="nil"/>
              <w:left w:val="nil"/>
              <w:bottom w:val="single" w:sz="4" w:space="0" w:color="auto"/>
              <w:right w:val="nil"/>
            </w:tcBorders>
            <w:shd w:val="clear" w:color="000000" w:fill="243782"/>
            <w:noWrap/>
            <w:vAlign w:val="center"/>
            <w:hideMark/>
          </w:tcPr>
          <w:p w14:paraId="04B82686"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As at Month ending</w:t>
            </w:r>
          </w:p>
        </w:tc>
        <w:tc>
          <w:tcPr>
            <w:tcW w:w="412" w:type="pct"/>
            <w:tcBorders>
              <w:top w:val="nil"/>
              <w:left w:val="nil"/>
              <w:bottom w:val="single" w:sz="4" w:space="0" w:color="auto"/>
              <w:right w:val="nil"/>
            </w:tcBorders>
            <w:shd w:val="clear" w:color="000000" w:fill="243782"/>
            <w:noWrap/>
            <w:vAlign w:val="center"/>
            <w:hideMark/>
          </w:tcPr>
          <w:p w14:paraId="27AA91F6"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Origination Quarter</w:t>
            </w:r>
          </w:p>
        </w:tc>
        <w:tc>
          <w:tcPr>
            <w:tcW w:w="412" w:type="pct"/>
            <w:tcBorders>
              <w:top w:val="nil"/>
              <w:left w:val="nil"/>
              <w:bottom w:val="single" w:sz="4" w:space="0" w:color="auto"/>
              <w:right w:val="nil"/>
            </w:tcBorders>
            <w:shd w:val="clear" w:color="000000" w:fill="243782"/>
            <w:noWrap/>
            <w:vAlign w:val="center"/>
            <w:hideMark/>
          </w:tcPr>
          <w:p w14:paraId="55AE5572" w14:textId="77777777" w:rsidR="006A523F" w:rsidRPr="006A523F" w:rsidRDefault="006A523F" w:rsidP="006A523F">
            <w:pPr>
              <w:spacing w:line="240" w:lineRule="auto"/>
              <w:jc w:val="right"/>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Origination in K€</w:t>
            </w:r>
          </w:p>
        </w:tc>
        <w:tc>
          <w:tcPr>
            <w:tcW w:w="208" w:type="pct"/>
            <w:tcBorders>
              <w:top w:val="nil"/>
              <w:left w:val="nil"/>
              <w:bottom w:val="single" w:sz="4" w:space="0" w:color="auto"/>
              <w:right w:val="nil"/>
            </w:tcBorders>
            <w:shd w:val="clear" w:color="000000" w:fill="243782"/>
            <w:noWrap/>
            <w:vAlign w:val="center"/>
            <w:hideMark/>
          </w:tcPr>
          <w:p w14:paraId="1C10D068"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31</w:t>
            </w:r>
          </w:p>
        </w:tc>
        <w:tc>
          <w:tcPr>
            <w:tcW w:w="208" w:type="pct"/>
            <w:tcBorders>
              <w:top w:val="nil"/>
              <w:left w:val="nil"/>
              <w:bottom w:val="single" w:sz="4" w:space="0" w:color="auto"/>
              <w:right w:val="nil"/>
            </w:tcBorders>
            <w:shd w:val="clear" w:color="000000" w:fill="243782"/>
            <w:noWrap/>
            <w:vAlign w:val="center"/>
            <w:hideMark/>
          </w:tcPr>
          <w:p w14:paraId="4C17DF07"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32</w:t>
            </w:r>
          </w:p>
        </w:tc>
        <w:tc>
          <w:tcPr>
            <w:tcW w:w="208" w:type="pct"/>
            <w:tcBorders>
              <w:top w:val="nil"/>
              <w:left w:val="nil"/>
              <w:bottom w:val="single" w:sz="4" w:space="0" w:color="auto"/>
              <w:right w:val="nil"/>
            </w:tcBorders>
            <w:shd w:val="clear" w:color="000000" w:fill="243782"/>
            <w:noWrap/>
            <w:vAlign w:val="center"/>
            <w:hideMark/>
          </w:tcPr>
          <w:p w14:paraId="4AD3E0B1"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33</w:t>
            </w:r>
          </w:p>
        </w:tc>
        <w:tc>
          <w:tcPr>
            <w:tcW w:w="208" w:type="pct"/>
            <w:tcBorders>
              <w:top w:val="nil"/>
              <w:left w:val="nil"/>
              <w:bottom w:val="single" w:sz="4" w:space="0" w:color="auto"/>
              <w:right w:val="nil"/>
            </w:tcBorders>
            <w:shd w:val="clear" w:color="000000" w:fill="243782"/>
            <w:noWrap/>
            <w:vAlign w:val="center"/>
            <w:hideMark/>
          </w:tcPr>
          <w:p w14:paraId="3D5FB547"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34</w:t>
            </w:r>
          </w:p>
        </w:tc>
        <w:tc>
          <w:tcPr>
            <w:tcW w:w="208" w:type="pct"/>
            <w:tcBorders>
              <w:top w:val="nil"/>
              <w:left w:val="nil"/>
              <w:bottom w:val="single" w:sz="4" w:space="0" w:color="auto"/>
              <w:right w:val="nil"/>
            </w:tcBorders>
            <w:shd w:val="clear" w:color="000000" w:fill="243782"/>
            <w:noWrap/>
            <w:vAlign w:val="center"/>
            <w:hideMark/>
          </w:tcPr>
          <w:p w14:paraId="1BBA2981"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35</w:t>
            </w:r>
          </w:p>
        </w:tc>
        <w:tc>
          <w:tcPr>
            <w:tcW w:w="208" w:type="pct"/>
            <w:tcBorders>
              <w:top w:val="nil"/>
              <w:left w:val="nil"/>
              <w:bottom w:val="single" w:sz="4" w:space="0" w:color="auto"/>
              <w:right w:val="nil"/>
            </w:tcBorders>
            <w:shd w:val="clear" w:color="000000" w:fill="243782"/>
            <w:noWrap/>
            <w:vAlign w:val="center"/>
            <w:hideMark/>
          </w:tcPr>
          <w:p w14:paraId="4FD702FE"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36</w:t>
            </w:r>
          </w:p>
        </w:tc>
        <w:tc>
          <w:tcPr>
            <w:tcW w:w="208" w:type="pct"/>
            <w:tcBorders>
              <w:top w:val="nil"/>
              <w:left w:val="nil"/>
              <w:bottom w:val="single" w:sz="4" w:space="0" w:color="auto"/>
              <w:right w:val="nil"/>
            </w:tcBorders>
            <w:shd w:val="clear" w:color="000000" w:fill="243782"/>
            <w:noWrap/>
            <w:vAlign w:val="center"/>
            <w:hideMark/>
          </w:tcPr>
          <w:p w14:paraId="069AAEE8"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37</w:t>
            </w:r>
          </w:p>
        </w:tc>
        <w:tc>
          <w:tcPr>
            <w:tcW w:w="208" w:type="pct"/>
            <w:tcBorders>
              <w:top w:val="nil"/>
              <w:left w:val="nil"/>
              <w:bottom w:val="single" w:sz="4" w:space="0" w:color="auto"/>
              <w:right w:val="nil"/>
            </w:tcBorders>
            <w:shd w:val="clear" w:color="000000" w:fill="243782"/>
            <w:noWrap/>
            <w:vAlign w:val="center"/>
            <w:hideMark/>
          </w:tcPr>
          <w:p w14:paraId="7734AB95"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38</w:t>
            </w:r>
          </w:p>
        </w:tc>
        <w:tc>
          <w:tcPr>
            <w:tcW w:w="208" w:type="pct"/>
            <w:tcBorders>
              <w:top w:val="nil"/>
              <w:left w:val="nil"/>
              <w:bottom w:val="single" w:sz="4" w:space="0" w:color="auto"/>
              <w:right w:val="nil"/>
            </w:tcBorders>
            <w:shd w:val="clear" w:color="000000" w:fill="243782"/>
            <w:noWrap/>
            <w:vAlign w:val="center"/>
            <w:hideMark/>
          </w:tcPr>
          <w:p w14:paraId="3AA760E6"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39</w:t>
            </w:r>
          </w:p>
        </w:tc>
        <w:tc>
          <w:tcPr>
            <w:tcW w:w="208" w:type="pct"/>
            <w:tcBorders>
              <w:top w:val="nil"/>
              <w:left w:val="nil"/>
              <w:bottom w:val="single" w:sz="4" w:space="0" w:color="auto"/>
              <w:right w:val="nil"/>
            </w:tcBorders>
            <w:shd w:val="clear" w:color="000000" w:fill="243782"/>
            <w:noWrap/>
            <w:vAlign w:val="center"/>
            <w:hideMark/>
          </w:tcPr>
          <w:p w14:paraId="423D3571"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40</w:t>
            </w:r>
          </w:p>
        </w:tc>
        <w:tc>
          <w:tcPr>
            <w:tcW w:w="208" w:type="pct"/>
            <w:tcBorders>
              <w:top w:val="nil"/>
              <w:left w:val="nil"/>
              <w:bottom w:val="single" w:sz="4" w:space="0" w:color="auto"/>
              <w:right w:val="nil"/>
            </w:tcBorders>
            <w:shd w:val="clear" w:color="000000" w:fill="243782"/>
            <w:noWrap/>
            <w:vAlign w:val="center"/>
            <w:hideMark/>
          </w:tcPr>
          <w:p w14:paraId="4137FA61"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41</w:t>
            </w:r>
          </w:p>
        </w:tc>
        <w:tc>
          <w:tcPr>
            <w:tcW w:w="208" w:type="pct"/>
            <w:tcBorders>
              <w:top w:val="nil"/>
              <w:left w:val="nil"/>
              <w:bottom w:val="single" w:sz="4" w:space="0" w:color="auto"/>
              <w:right w:val="nil"/>
            </w:tcBorders>
            <w:shd w:val="clear" w:color="000000" w:fill="243782"/>
            <w:noWrap/>
            <w:vAlign w:val="center"/>
            <w:hideMark/>
          </w:tcPr>
          <w:p w14:paraId="1B8D3C46"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42</w:t>
            </w:r>
          </w:p>
        </w:tc>
        <w:tc>
          <w:tcPr>
            <w:tcW w:w="208" w:type="pct"/>
            <w:tcBorders>
              <w:top w:val="nil"/>
              <w:left w:val="nil"/>
              <w:bottom w:val="single" w:sz="4" w:space="0" w:color="auto"/>
              <w:right w:val="nil"/>
            </w:tcBorders>
            <w:shd w:val="clear" w:color="000000" w:fill="243782"/>
            <w:noWrap/>
            <w:vAlign w:val="center"/>
            <w:hideMark/>
          </w:tcPr>
          <w:p w14:paraId="144E0586"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43</w:t>
            </w:r>
          </w:p>
        </w:tc>
        <w:tc>
          <w:tcPr>
            <w:tcW w:w="208" w:type="pct"/>
            <w:tcBorders>
              <w:top w:val="nil"/>
              <w:left w:val="nil"/>
              <w:bottom w:val="single" w:sz="4" w:space="0" w:color="auto"/>
              <w:right w:val="nil"/>
            </w:tcBorders>
            <w:shd w:val="clear" w:color="000000" w:fill="243782"/>
            <w:noWrap/>
            <w:vAlign w:val="center"/>
            <w:hideMark/>
          </w:tcPr>
          <w:p w14:paraId="1036B315"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44</w:t>
            </w:r>
          </w:p>
        </w:tc>
        <w:tc>
          <w:tcPr>
            <w:tcW w:w="208" w:type="pct"/>
            <w:tcBorders>
              <w:top w:val="nil"/>
              <w:left w:val="nil"/>
              <w:bottom w:val="single" w:sz="4" w:space="0" w:color="auto"/>
              <w:right w:val="nil"/>
            </w:tcBorders>
            <w:shd w:val="clear" w:color="000000" w:fill="243782"/>
            <w:noWrap/>
            <w:vAlign w:val="center"/>
            <w:hideMark/>
          </w:tcPr>
          <w:p w14:paraId="1D80F875"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45</w:t>
            </w:r>
          </w:p>
        </w:tc>
        <w:tc>
          <w:tcPr>
            <w:tcW w:w="208" w:type="pct"/>
            <w:tcBorders>
              <w:top w:val="nil"/>
              <w:left w:val="nil"/>
              <w:bottom w:val="single" w:sz="4" w:space="0" w:color="auto"/>
              <w:right w:val="nil"/>
            </w:tcBorders>
            <w:shd w:val="clear" w:color="000000" w:fill="243782"/>
            <w:noWrap/>
            <w:vAlign w:val="center"/>
            <w:hideMark/>
          </w:tcPr>
          <w:p w14:paraId="77C87372"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46</w:t>
            </w:r>
          </w:p>
        </w:tc>
        <w:tc>
          <w:tcPr>
            <w:tcW w:w="208" w:type="pct"/>
            <w:tcBorders>
              <w:top w:val="nil"/>
              <w:left w:val="nil"/>
              <w:bottom w:val="single" w:sz="4" w:space="0" w:color="auto"/>
              <w:right w:val="nil"/>
            </w:tcBorders>
            <w:shd w:val="clear" w:color="000000" w:fill="243782"/>
            <w:noWrap/>
            <w:vAlign w:val="center"/>
            <w:hideMark/>
          </w:tcPr>
          <w:p w14:paraId="6001DF89"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47</w:t>
            </w:r>
          </w:p>
        </w:tc>
        <w:tc>
          <w:tcPr>
            <w:tcW w:w="208" w:type="pct"/>
            <w:tcBorders>
              <w:top w:val="nil"/>
              <w:left w:val="nil"/>
              <w:bottom w:val="single" w:sz="4" w:space="0" w:color="auto"/>
              <w:right w:val="nil"/>
            </w:tcBorders>
            <w:shd w:val="clear" w:color="000000" w:fill="243782"/>
            <w:noWrap/>
            <w:vAlign w:val="center"/>
            <w:hideMark/>
          </w:tcPr>
          <w:p w14:paraId="42E9862D" w14:textId="77777777" w:rsidR="006A523F" w:rsidRPr="006A523F" w:rsidRDefault="006A523F" w:rsidP="006A523F">
            <w:pPr>
              <w:spacing w:line="240" w:lineRule="auto"/>
              <w:jc w:val="center"/>
              <w:rPr>
                <w:rFonts w:ascii="Aptos Narrow" w:hAnsi="Aptos Narrow"/>
                <w:b/>
                <w:bCs/>
                <w:color w:val="FFFFFF"/>
                <w:sz w:val="13"/>
                <w:szCs w:val="13"/>
                <w:lang w:val="de-DE" w:eastAsia="de-DE"/>
              </w:rPr>
            </w:pPr>
            <w:r w:rsidRPr="006A523F">
              <w:rPr>
                <w:rFonts w:ascii="Aptos Narrow" w:hAnsi="Aptos Narrow"/>
                <w:b/>
                <w:bCs/>
                <w:color w:val="FFFFFF"/>
                <w:sz w:val="13"/>
                <w:szCs w:val="13"/>
                <w:lang w:val="de-DE" w:eastAsia="de-DE"/>
              </w:rPr>
              <w:t>48</w:t>
            </w:r>
          </w:p>
        </w:tc>
      </w:tr>
      <w:tr w:rsidR="006A523F" w:rsidRPr="006A523F" w14:paraId="6B69398E" w14:textId="77777777" w:rsidTr="006A523F">
        <w:trPr>
          <w:trHeight w:val="20"/>
        </w:trPr>
        <w:tc>
          <w:tcPr>
            <w:tcW w:w="440" w:type="pct"/>
            <w:tcBorders>
              <w:top w:val="nil"/>
              <w:left w:val="nil"/>
              <w:bottom w:val="nil"/>
              <w:right w:val="nil"/>
            </w:tcBorders>
            <w:shd w:val="clear" w:color="000000" w:fill="FFFFFF"/>
            <w:noWrap/>
            <w:vAlign w:val="center"/>
            <w:hideMark/>
          </w:tcPr>
          <w:p w14:paraId="45F90660"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2013</w:t>
            </w:r>
          </w:p>
        </w:tc>
        <w:tc>
          <w:tcPr>
            <w:tcW w:w="412" w:type="pct"/>
            <w:tcBorders>
              <w:top w:val="nil"/>
              <w:left w:val="nil"/>
              <w:bottom w:val="nil"/>
              <w:right w:val="nil"/>
            </w:tcBorders>
            <w:shd w:val="clear" w:color="000000" w:fill="FFFFFF"/>
            <w:noWrap/>
            <w:vAlign w:val="bottom"/>
            <w:hideMark/>
          </w:tcPr>
          <w:p w14:paraId="7D766D7C"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2013Q1</w:t>
            </w:r>
          </w:p>
        </w:tc>
        <w:tc>
          <w:tcPr>
            <w:tcW w:w="412" w:type="pct"/>
            <w:tcBorders>
              <w:top w:val="nil"/>
              <w:left w:val="nil"/>
              <w:bottom w:val="nil"/>
              <w:right w:val="nil"/>
            </w:tcBorders>
            <w:shd w:val="clear" w:color="000000" w:fill="FFFFFF"/>
            <w:noWrap/>
            <w:vAlign w:val="center"/>
            <w:hideMark/>
          </w:tcPr>
          <w:p w14:paraId="43531B5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84,290</w:t>
            </w:r>
          </w:p>
        </w:tc>
        <w:tc>
          <w:tcPr>
            <w:tcW w:w="208" w:type="pct"/>
            <w:tcBorders>
              <w:top w:val="nil"/>
              <w:left w:val="nil"/>
              <w:bottom w:val="nil"/>
              <w:right w:val="nil"/>
            </w:tcBorders>
            <w:shd w:val="clear" w:color="000000" w:fill="FFFFFF"/>
            <w:noWrap/>
            <w:vAlign w:val="bottom"/>
            <w:hideMark/>
          </w:tcPr>
          <w:p w14:paraId="664DBF9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4FBBC08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70D699A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73D1202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38CBC13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7BBFA88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02B2201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0684BC9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2D4397D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1525F42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6C148F4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6BC9E98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3C10C7F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6AD44C88"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6D88FCA2"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3B50BD2D"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23763799"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2.07%</w:t>
            </w:r>
          </w:p>
        </w:tc>
        <w:tc>
          <w:tcPr>
            <w:tcW w:w="208" w:type="pct"/>
            <w:tcBorders>
              <w:top w:val="nil"/>
              <w:left w:val="nil"/>
              <w:bottom w:val="nil"/>
              <w:right w:val="nil"/>
            </w:tcBorders>
            <w:shd w:val="clear" w:color="000000" w:fill="FFFFFF"/>
            <w:noWrap/>
            <w:vAlign w:val="bottom"/>
            <w:hideMark/>
          </w:tcPr>
          <w:p w14:paraId="093FB0AB"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2.07%</w:t>
            </w:r>
          </w:p>
        </w:tc>
      </w:tr>
      <w:tr w:rsidR="006A523F" w:rsidRPr="006A523F" w14:paraId="1FBD7EED" w14:textId="77777777" w:rsidTr="006A523F">
        <w:trPr>
          <w:trHeight w:val="20"/>
        </w:trPr>
        <w:tc>
          <w:tcPr>
            <w:tcW w:w="440" w:type="pct"/>
            <w:tcBorders>
              <w:top w:val="nil"/>
              <w:left w:val="nil"/>
              <w:bottom w:val="nil"/>
              <w:right w:val="nil"/>
            </w:tcBorders>
            <w:shd w:val="clear" w:color="000000" w:fill="FFFFFF"/>
            <w:noWrap/>
            <w:vAlign w:val="center"/>
            <w:hideMark/>
          </w:tcPr>
          <w:p w14:paraId="3ED1E795"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2013</w:t>
            </w:r>
          </w:p>
        </w:tc>
        <w:tc>
          <w:tcPr>
            <w:tcW w:w="412" w:type="pct"/>
            <w:tcBorders>
              <w:top w:val="nil"/>
              <w:left w:val="nil"/>
              <w:bottom w:val="nil"/>
              <w:right w:val="nil"/>
            </w:tcBorders>
            <w:shd w:val="clear" w:color="000000" w:fill="FFFFFF"/>
            <w:noWrap/>
            <w:vAlign w:val="bottom"/>
            <w:hideMark/>
          </w:tcPr>
          <w:p w14:paraId="15AE27A8"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2013Q2</w:t>
            </w:r>
          </w:p>
        </w:tc>
        <w:tc>
          <w:tcPr>
            <w:tcW w:w="412" w:type="pct"/>
            <w:tcBorders>
              <w:top w:val="nil"/>
              <w:left w:val="nil"/>
              <w:bottom w:val="nil"/>
              <w:right w:val="nil"/>
            </w:tcBorders>
            <w:shd w:val="clear" w:color="000000" w:fill="FFFFFF"/>
            <w:noWrap/>
            <w:vAlign w:val="center"/>
            <w:hideMark/>
          </w:tcPr>
          <w:p w14:paraId="55341A6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86,396</w:t>
            </w:r>
          </w:p>
        </w:tc>
        <w:tc>
          <w:tcPr>
            <w:tcW w:w="208" w:type="pct"/>
            <w:tcBorders>
              <w:top w:val="nil"/>
              <w:left w:val="nil"/>
              <w:bottom w:val="nil"/>
              <w:right w:val="nil"/>
            </w:tcBorders>
            <w:shd w:val="clear" w:color="000000" w:fill="FFFFFF"/>
            <w:noWrap/>
            <w:vAlign w:val="bottom"/>
            <w:hideMark/>
          </w:tcPr>
          <w:p w14:paraId="4AE6522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00EAE03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4DA75D7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28BA6C4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12D8223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08A4F2E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3B06F20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148041F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176FCD3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3720961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7829D0E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7740401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76E80DF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3F6CCBEB"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4BD7D4B5"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3207F188"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75C9B6B6"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2.54%</w:t>
            </w:r>
          </w:p>
        </w:tc>
        <w:tc>
          <w:tcPr>
            <w:tcW w:w="208" w:type="pct"/>
            <w:tcBorders>
              <w:top w:val="nil"/>
              <w:left w:val="nil"/>
              <w:bottom w:val="nil"/>
              <w:right w:val="nil"/>
            </w:tcBorders>
            <w:shd w:val="clear" w:color="000000" w:fill="FFFFFF"/>
            <w:noWrap/>
            <w:vAlign w:val="bottom"/>
            <w:hideMark/>
          </w:tcPr>
          <w:p w14:paraId="567348D2"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31B9109B" w14:textId="77777777" w:rsidTr="006A523F">
        <w:trPr>
          <w:trHeight w:val="20"/>
        </w:trPr>
        <w:tc>
          <w:tcPr>
            <w:tcW w:w="440" w:type="pct"/>
            <w:tcBorders>
              <w:top w:val="nil"/>
              <w:left w:val="nil"/>
              <w:bottom w:val="nil"/>
              <w:right w:val="nil"/>
            </w:tcBorders>
            <w:shd w:val="clear" w:color="000000" w:fill="FFFFFF"/>
            <w:noWrap/>
            <w:vAlign w:val="center"/>
            <w:hideMark/>
          </w:tcPr>
          <w:p w14:paraId="43BB0D62"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2013</w:t>
            </w:r>
          </w:p>
        </w:tc>
        <w:tc>
          <w:tcPr>
            <w:tcW w:w="412" w:type="pct"/>
            <w:tcBorders>
              <w:top w:val="nil"/>
              <w:left w:val="nil"/>
              <w:bottom w:val="nil"/>
              <w:right w:val="nil"/>
            </w:tcBorders>
            <w:shd w:val="clear" w:color="000000" w:fill="FFFFFF"/>
            <w:noWrap/>
            <w:vAlign w:val="bottom"/>
            <w:hideMark/>
          </w:tcPr>
          <w:p w14:paraId="79FD46C9"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2013Q3</w:t>
            </w:r>
          </w:p>
        </w:tc>
        <w:tc>
          <w:tcPr>
            <w:tcW w:w="412" w:type="pct"/>
            <w:tcBorders>
              <w:top w:val="nil"/>
              <w:left w:val="nil"/>
              <w:bottom w:val="nil"/>
              <w:right w:val="nil"/>
            </w:tcBorders>
            <w:shd w:val="clear" w:color="000000" w:fill="FFFFFF"/>
            <w:noWrap/>
            <w:vAlign w:val="center"/>
            <w:hideMark/>
          </w:tcPr>
          <w:p w14:paraId="0491733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85,276</w:t>
            </w:r>
          </w:p>
        </w:tc>
        <w:tc>
          <w:tcPr>
            <w:tcW w:w="208" w:type="pct"/>
            <w:tcBorders>
              <w:top w:val="nil"/>
              <w:left w:val="nil"/>
              <w:bottom w:val="nil"/>
              <w:right w:val="nil"/>
            </w:tcBorders>
            <w:shd w:val="clear" w:color="000000" w:fill="FFFFFF"/>
            <w:noWrap/>
            <w:vAlign w:val="bottom"/>
            <w:hideMark/>
          </w:tcPr>
          <w:p w14:paraId="5AFE224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6274FB9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3CE3CF5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0A969C3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4EF2DE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5644AD3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23B5F5C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16A2316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674EF88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5BA1AD1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6479EE7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34BF5F3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2CB5B6F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5238518E"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559DA726"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1C225298"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2.18%</w:t>
            </w:r>
          </w:p>
        </w:tc>
        <w:tc>
          <w:tcPr>
            <w:tcW w:w="208" w:type="pct"/>
            <w:tcBorders>
              <w:top w:val="nil"/>
              <w:left w:val="nil"/>
              <w:bottom w:val="nil"/>
              <w:right w:val="nil"/>
            </w:tcBorders>
            <w:shd w:val="clear" w:color="000000" w:fill="FFFFFF"/>
            <w:noWrap/>
            <w:vAlign w:val="bottom"/>
            <w:hideMark/>
          </w:tcPr>
          <w:p w14:paraId="6BC7595F"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9BC8EA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3773E351" w14:textId="77777777" w:rsidTr="006A523F">
        <w:trPr>
          <w:trHeight w:val="20"/>
        </w:trPr>
        <w:tc>
          <w:tcPr>
            <w:tcW w:w="440" w:type="pct"/>
            <w:tcBorders>
              <w:top w:val="nil"/>
              <w:left w:val="nil"/>
              <w:bottom w:val="nil"/>
              <w:right w:val="nil"/>
            </w:tcBorders>
            <w:shd w:val="clear" w:color="000000" w:fill="FFFFFF"/>
            <w:noWrap/>
            <w:vAlign w:val="center"/>
            <w:hideMark/>
          </w:tcPr>
          <w:p w14:paraId="23BEDAC9"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2013</w:t>
            </w:r>
          </w:p>
        </w:tc>
        <w:tc>
          <w:tcPr>
            <w:tcW w:w="412" w:type="pct"/>
            <w:tcBorders>
              <w:top w:val="nil"/>
              <w:left w:val="nil"/>
              <w:bottom w:val="nil"/>
              <w:right w:val="nil"/>
            </w:tcBorders>
            <w:shd w:val="clear" w:color="000000" w:fill="FFFFFF"/>
            <w:noWrap/>
            <w:vAlign w:val="bottom"/>
            <w:hideMark/>
          </w:tcPr>
          <w:p w14:paraId="6BDC07A4"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2013Q4</w:t>
            </w:r>
          </w:p>
        </w:tc>
        <w:tc>
          <w:tcPr>
            <w:tcW w:w="412" w:type="pct"/>
            <w:tcBorders>
              <w:top w:val="nil"/>
              <w:left w:val="nil"/>
              <w:bottom w:val="nil"/>
              <w:right w:val="nil"/>
            </w:tcBorders>
            <w:shd w:val="clear" w:color="000000" w:fill="FFFFFF"/>
            <w:noWrap/>
            <w:vAlign w:val="center"/>
            <w:hideMark/>
          </w:tcPr>
          <w:p w14:paraId="731E086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88,198</w:t>
            </w:r>
          </w:p>
        </w:tc>
        <w:tc>
          <w:tcPr>
            <w:tcW w:w="208" w:type="pct"/>
            <w:tcBorders>
              <w:top w:val="nil"/>
              <w:left w:val="nil"/>
              <w:bottom w:val="nil"/>
              <w:right w:val="nil"/>
            </w:tcBorders>
            <w:shd w:val="clear" w:color="000000" w:fill="FFFFFF"/>
            <w:noWrap/>
            <w:vAlign w:val="bottom"/>
            <w:hideMark/>
          </w:tcPr>
          <w:p w14:paraId="623436F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082EB2A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028948C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67B8C68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36A57F5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061309F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23722F0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6E82373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148E255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2C3BFA3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13F9CD0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713AFA8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7EA9F25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58C309FC"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4D62F7AA"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2.03%</w:t>
            </w:r>
          </w:p>
        </w:tc>
        <w:tc>
          <w:tcPr>
            <w:tcW w:w="208" w:type="pct"/>
            <w:tcBorders>
              <w:top w:val="nil"/>
              <w:left w:val="nil"/>
              <w:bottom w:val="nil"/>
              <w:right w:val="nil"/>
            </w:tcBorders>
            <w:shd w:val="clear" w:color="000000" w:fill="FFFFFF"/>
            <w:noWrap/>
            <w:vAlign w:val="bottom"/>
            <w:hideMark/>
          </w:tcPr>
          <w:p w14:paraId="68C41CE8"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695DC8D"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E3AF91E"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266EFDE0" w14:textId="77777777" w:rsidTr="006A523F">
        <w:trPr>
          <w:trHeight w:val="20"/>
        </w:trPr>
        <w:tc>
          <w:tcPr>
            <w:tcW w:w="440" w:type="pct"/>
            <w:tcBorders>
              <w:top w:val="nil"/>
              <w:left w:val="nil"/>
              <w:bottom w:val="nil"/>
              <w:right w:val="nil"/>
            </w:tcBorders>
            <w:shd w:val="clear" w:color="000000" w:fill="FFFFFF"/>
            <w:noWrap/>
            <w:vAlign w:val="center"/>
            <w:hideMark/>
          </w:tcPr>
          <w:p w14:paraId="73E47829"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2014</w:t>
            </w:r>
          </w:p>
        </w:tc>
        <w:tc>
          <w:tcPr>
            <w:tcW w:w="412" w:type="pct"/>
            <w:tcBorders>
              <w:top w:val="nil"/>
              <w:left w:val="nil"/>
              <w:bottom w:val="nil"/>
              <w:right w:val="nil"/>
            </w:tcBorders>
            <w:shd w:val="clear" w:color="000000" w:fill="FFFFFF"/>
            <w:noWrap/>
            <w:vAlign w:val="bottom"/>
            <w:hideMark/>
          </w:tcPr>
          <w:p w14:paraId="1EE29FA7"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2014Q1</w:t>
            </w:r>
          </w:p>
        </w:tc>
        <w:tc>
          <w:tcPr>
            <w:tcW w:w="412" w:type="pct"/>
            <w:tcBorders>
              <w:top w:val="nil"/>
              <w:left w:val="nil"/>
              <w:bottom w:val="nil"/>
              <w:right w:val="nil"/>
            </w:tcBorders>
            <w:shd w:val="clear" w:color="000000" w:fill="FFFFFF"/>
            <w:noWrap/>
            <w:vAlign w:val="center"/>
            <w:hideMark/>
          </w:tcPr>
          <w:p w14:paraId="77138CB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80,654</w:t>
            </w:r>
          </w:p>
        </w:tc>
        <w:tc>
          <w:tcPr>
            <w:tcW w:w="208" w:type="pct"/>
            <w:tcBorders>
              <w:top w:val="nil"/>
              <w:left w:val="nil"/>
              <w:bottom w:val="nil"/>
              <w:right w:val="nil"/>
            </w:tcBorders>
            <w:shd w:val="clear" w:color="000000" w:fill="FFFFFF"/>
            <w:noWrap/>
            <w:vAlign w:val="bottom"/>
            <w:hideMark/>
          </w:tcPr>
          <w:p w14:paraId="440AAB3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6857295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72D97F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1CF32D7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3822F94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30C1FF9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1D774C2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04B1372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1D9DBBD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473C1DC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684FC3C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571734C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3050EE65"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2BD65755"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2.10%</w:t>
            </w:r>
          </w:p>
        </w:tc>
        <w:tc>
          <w:tcPr>
            <w:tcW w:w="208" w:type="pct"/>
            <w:tcBorders>
              <w:top w:val="nil"/>
              <w:left w:val="nil"/>
              <w:bottom w:val="nil"/>
              <w:right w:val="nil"/>
            </w:tcBorders>
            <w:shd w:val="clear" w:color="000000" w:fill="FFFFFF"/>
            <w:noWrap/>
            <w:vAlign w:val="bottom"/>
            <w:hideMark/>
          </w:tcPr>
          <w:p w14:paraId="58E12C06"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162BB58"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3B9FEA7"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16B24C9"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1556D580" w14:textId="77777777" w:rsidTr="006A523F">
        <w:trPr>
          <w:trHeight w:val="20"/>
        </w:trPr>
        <w:tc>
          <w:tcPr>
            <w:tcW w:w="440" w:type="pct"/>
            <w:tcBorders>
              <w:top w:val="nil"/>
              <w:left w:val="nil"/>
              <w:bottom w:val="nil"/>
              <w:right w:val="nil"/>
            </w:tcBorders>
            <w:shd w:val="clear" w:color="000000" w:fill="FFFFFF"/>
            <w:noWrap/>
            <w:vAlign w:val="center"/>
            <w:hideMark/>
          </w:tcPr>
          <w:p w14:paraId="0B0E3F76"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2014</w:t>
            </w:r>
          </w:p>
        </w:tc>
        <w:tc>
          <w:tcPr>
            <w:tcW w:w="412" w:type="pct"/>
            <w:tcBorders>
              <w:top w:val="nil"/>
              <w:left w:val="nil"/>
              <w:bottom w:val="nil"/>
              <w:right w:val="nil"/>
            </w:tcBorders>
            <w:shd w:val="clear" w:color="000000" w:fill="FFFFFF"/>
            <w:noWrap/>
            <w:vAlign w:val="bottom"/>
            <w:hideMark/>
          </w:tcPr>
          <w:p w14:paraId="3CA5577A"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2014Q2</w:t>
            </w:r>
          </w:p>
        </w:tc>
        <w:tc>
          <w:tcPr>
            <w:tcW w:w="412" w:type="pct"/>
            <w:tcBorders>
              <w:top w:val="nil"/>
              <w:left w:val="nil"/>
              <w:bottom w:val="nil"/>
              <w:right w:val="nil"/>
            </w:tcBorders>
            <w:shd w:val="clear" w:color="000000" w:fill="FFFFFF"/>
            <w:noWrap/>
            <w:vAlign w:val="center"/>
            <w:hideMark/>
          </w:tcPr>
          <w:p w14:paraId="2E19B35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89,300</w:t>
            </w:r>
          </w:p>
        </w:tc>
        <w:tc>
          <w:tcPr>
            <w:tcW w:w="208" w:type="pct"/>
            <w:tcBorders>
              <w:top w:val="nil"/>
              <w:left w:val="nil"/>
              <w:bottom w:val="nil"/>
              <w:right w:val="nil"/>
            </w:tcBorders>
            <w:shd w:val="clear" w:color="000000" w:fill="FFFFFF"/>
            <w:noWrap/>
            <w:vAlign w:val="bottom"/>
            <w:hideMark/>
          </w:tcPr>
          <w:p w14:paraId="2B02108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0940276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7D33EAD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4BC506D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60A3F33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0CB67D0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4FE6DBD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668CBBB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4009676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43D13FD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4D8B48B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737168F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60D5FAA4" w14:textId="77777777" w:rsidR="006A523F" w:rsidRPr="006A523F" w:rsidRDefault="006A523F" w:rsidP="006A523F">
            <w:pPr>
              <w:spacing w:line="240" w:lineRule="auto"/>
              <w:jc w:val="righ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1.93%</w:t>
            </w:r>
          </w:p>
        </w:tc>
        <w:tc>
          <w:tcPr>
            <w:tcW w:w="208" w:type="pct"/>
            <w:tcBorders>
              <w:top w:val="nil"/>
              <w:left w:val="nil"/>
              <w:bottom w:val="nil"/>
              <w:right w:val="nil"/>
            </w:tcBorders>
            <w:shd w:val="clear" w:color="000000" w:fill="FFFFFF"/>
            <w:noWrap/>
            <w:vAlign w:val="bottom"/>
            <w:hideMark/>
          </w:tcPr>
          <w:p w14:paraId="0BFD5719"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10314AE"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E3D0C56"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70F10C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802FAA8"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1A79819F" w14:textId="77777777" w:rsidTr="006A523F">
        <w:trPr>
          <w:trHeight w:val="20"/>
        </w:trPr>
        <w:tc>
          <w:tcPr>
            <w:tcW w:w="440" w:type="pct"/>
            <w:tcBorders>
              <w:top w:val="nil"/>
              <w:left w:val="nil"/>
              <w:bottom w:val="nil"/>
              <w:right w:val="nil"/>
            </w:tcBorders>
            <w:shd w:val="clear" w:color="000000" w:fill="FFFFFF"/>
            <w:noWrap/>
            <w:vAlign w:val="center"/>
            <w:hideMark/>
          </w:tcPr>
          <w:p w14:paraId="3F495A8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2014</w:t>
            </w:r>
          </w:p>
        </w:tc>
        <w:tc>
          <w:tcPr>
            <w:tcW w:w="412" w:type="pct"/>
            <w:tcBorders>
              <w:top w:val="nil"/>
              <w:left w:val="nil"/>
              <w:bottom w:val="nil"/>
              <w:right w:val="nil"/>
            </w:tcBorders>
            <w:shd w:val="clear" w:color="000000" w:fill="FFFFFF"/>
            <w:noWrap/>
            <w:vAlign w:val="bottom"/>
            <w:hideMark/>
          </w:tcPr>
          <w:p w14:paraId="7C21D9E1"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2014Q3</w:t>
            </w:r>
          </w:p>
        </w:tc>
        <w:tc>
          <w:tcPr>
            <w:tcW w:w="412" w:type="pct"/>
            <w:tcBorders>
              <w:top w:val="nil"/>
              <w:left w:val="nil"/>
              <w:bottom w:val="nil"/>
              <w:right w:val="nil"/>
            </w:tcBorders>
            <w:shd w:val="clear" w:color="000000" w:fill="FFFFFF"/>
            <w:noWrap/>
            <w:vAlign w:val="center"/>
            <w:hideMark/>
          </w:tcPr>
          <w:p w14:paraId="39B096D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76,294</w:t>
            </w:r>
          </w:p>
        </w:tc>
        <w:tc>
          <w:tcPr>
            <w:tcW w:w="208" w:type="pct"/>
            <w:tcBorders>
              <w:top w:val="nil"/>
              <w:left w:val="nil"/>
              <w:bottom w:val="nil"/>
              <w:right w:val="nil"/>
            </w:tcBorders>
            <w:shd w:val="clear" w:color="000000" w:fill="FFFFFF"/>
            <w:noWrap/>
            <w:vAlign w:val="bottom"/>
            <w:hideMark/>
          </w:tcPr>
          <w:p w14:paraId="46973A3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32A19C8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7CFF08F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5F07B35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4578C32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44E2F31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5194062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36BDEA3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2ECF92E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6C438DF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76AA4C1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7E35147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2.05%</w:t>
            </w:r>
          </w:p>
        </w:tc>
        <w:tc>
          <w:tcPr>
            <w:tcW w:w="208" w:type="pct"/>
            <w:tcBorders>
              <w:top w:val="nil"/>
              <w:left w:val="nil"/>
              <w:bottom w:val="nil"/>
              <w:right w:val="nil"/>
            </w:tcBorders>
            <w:shd w:val="clear" w:color="000000" w:fill="FFFFFF"/>
            <w:noWrap/>
            <w:vAlign w:val="bottom"/>
            <w:hideMark/>
          </w:tcPr>
          <w:p w14:paraId="555E4562"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C98B711"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9B3C152"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00C3ED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0D3354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1AF3B0E"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26C549B5" w14:textId="77777777" w:rsidTr="006A523F">
        <w:trPr>
          <w:trHeight w:val="20"/>
        </w:trPr>
        <w:tc>
          <w:tcPr>
            <w:tcW w:w="440" w:type="pct"/>
            <w:tcBorders>
              <w:top w:val="nil"/>
              <w:left w:val="nil"/>
              <w:bottom w:val="nil"/>
              <w:right w:val="nil"/>
            </w:tcBorders>
            <w:shd w:val="clear" w:color="000000" w:fill="FFFFFF"/>
            <w:noWrap/>
            <w:vAlign w:val="center"/>
            <w:hideMark/>
          </w:tcPr>
          <w:p w14:paraId="426E7C1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2014</w:t>
            </w:r>
          </w:p>
        </w:tc>
        <w:tc>
          <w:tcPr>
            <w:tcW w:w="412" w:type="pct"/>
            <w:tcBorders>
              <w:top w:val="nil"/>
              <w:left w:val="nil"/>
              <w:bottom w:val="nil"/>
              <w:right w:val="nil"/>
            </w:tcBorders>
            <w:shd w:val="clear" w:color="000000" w:fill="FFFFFF"/>
            <w:noWrap/>
            <w:vAlign w:val="bottom"/>
            <w:hideMark/>
          </w:tcPr>
          <w:p w14:paraId="239A60B5"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2014Q4</w:t>
            </w:r>
          </w:p>
        </w:tc>
        <w:tc>
          <w:tcPr>
            <w:tcW w:w="412" w:type="pct"/>
            <w:tcBorders>
              <w:top w:val="nil"/>
              <w:left w:val="nil"/>
              <w:bottom w:val="nil"/>
              <w:right w:val="nil"/>
            </w:tcBorders>
            <w:shd w:val="clear" w:color="000000" w:fill="FFFFFF"/>
            <w:noWrap/>
            <w:vAlign w:val="center"/>
            <w:hideMark/>
          </w:tcPr>
          <w:p w14:paraId="747CD2F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97,910</w:t>
            </w:r>
          </w:p>
        </w:tc>
        <w:tc>
          <w:tcPr>
            <w:tcW w:w="208" w:type="pct"/>
            <w:tcBorders>
              <w:top w:val="nil"/>
              <w:left w:val="nil"/>
              <w:bottom w:val="nil"/>
              <w:right w:val="nil"/>
            </w:tcBorders>
            <w:shd w:val="clear" w:color="000000" w:fill="FFFFFF"/>
            <w:noWrap/>
            <w:vAlign w:val="bottom"/>
            <w:hideMark/>
          </w:tcPr>
          <w:p w14:paraId="73B7794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60B436F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7CAE698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4A13C6F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73C5116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6A39792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39EAAEC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7B3F022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3B43269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1A2BD87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1F1BA81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1.72%</w:t>
            </w:r>
          </w:p>
        </w:tc>
        <w:tc>
          <w:tcPr>
            <w:tcW w:w="208" w:type="pct"/>
            <w:tcBorders>
              <w:top w:val="nil"/>
              <w:left w:val="nil"/>
              <w:bottom w:val="nil"/>
              <w:right w:val="nil"/>
            </w:tcBorders>
            <w:shd w:val="clear" w:color="000000" w:fill="FFFFFF"/>
            <w:noWrap/>
            <w:vAlign w:val="bottom"/>
            <w:hideMark/>
          </w:tcPr>
          <w:p w14:paraId="030B6A6C"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7FE6755"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5CF074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2568EF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DB6D28D"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9B82FA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A082D78"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1FCC3B20" w14:textId="77777777" w:rsidTr="006A523F">
        <w:trPr>
          <w:trHeight w:val="20"/>
        </w:trPr>
        <w:tc>
          <w:tcPr>
            <w:tcW w:w="440" w:type="pct"/>
            <w:tcBorders>
              <w:top w:val="nil"/>
              <w:left w:val="nil"/>
              <w:bottom w:val="nil"/>
              <w:right w:val="nil"/>
            </w:tcBorders>
            <w:shd w:val="clear" w:color="000000" w:fill="FFFFFF"/>
            <w:noWrap/>
            <w:vAlign w:val="center"/>
            <w:hideMark/>
          </w:tcPr>
          <w:p w14:paraId="79A97AFE"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2015</w:t>
            </w:r>
          </w:p>
        </w:tc>
        <w:tc>
          <w:tcPr>
            <w:tcW w:w="412" w:type="pct"/>
            <w:tcBorders>
              <w:top w:val="nil"/>
              <w:left w:val="nil"/>
              <w:bottom w:val="nil"/>
              <w:right w:val="nil"/>
            </w:tcBorders>
            <w:shd w:val="clear" w:color="000000" w:fill="FFFFFF"/>
            <w:noWrap/>
            <w:vAlign w:val="bottom"/>
            <w:hideMark/>
          </w:tcPr>
          <w:p w14:paraId="75E06518"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2015Q1</w:t>
            </w:r>
          </w:p>
        </w:tc>
        <w:tc>
          <w:tcPr>
            <w:tcW w:w="412" w:type="pct"/>
            <w:tcBorders>
              <w:top w:val="nil"/>
              <w:left w:val="nil"/>
              <w:bottom w:val="nil"/>
              <w:right w:val="nil"/>
            </w:tcBorders>
            <w:shd w:val="clear" w:color="000000" w:fill="FFFFFF"/>
            <w:noWrap/>
            <w:vAlign w:val="center"/>
            <w:hideMark/>
          </w:tcPr>
          <w:p w14:paraId="3C934F9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95,458</w:t>
            </w:r>
          </w:p>
        </w:tc>
        <w:tc>
          <w:tcPr>
            <w:tcW w:w="208" w:type="pct"/>
            <w:tcBorders>
              <w:top w:val="nil"/>
              <w:left w:val="nil"/>
              <w:bottom w:val="nil"/>
              <w:right w:val="nil"/>
            </w:tcBorders>
            <w:shd w:val="clear" w:color="000000" w:fill="FFFFFF"/>
            <w:noWrap/>
            <w:vAlign w:val="bottom"/>
            <w:hideMark/>
          </w:tcPr>
          <w:p w14:paraId="7A622AA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230B22B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7D4046A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25E39C5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27F23CA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130EAF1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355FAA9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32206DA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211A55E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0A5DB9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48980F7C"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C96D5FA"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19B87B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6B1BA7E"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B4C2CCB"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45F4A59"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6B43A09"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B232EEE"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1874A5CC" w14:textId="77777777" w:rsidTr="006A523F">
        <w:trPr>
          <w:trHeight w:val="20"/>
        </w:trPr>
        <w:tc>
          <w:tcPr>
            <w:tcW w:w="440" w:type="pct"/>
            <w:tcBorders>
              <w:top w:val="nil"/>
              <w:left w:val="nil"/>
              <w:bottom w:val="nil"/>
              <w:right w:val="nil"/>
            </w:tcBorders>
            <w:shd w:val="clear" w:color="000000" w:fill="FFFFFF"/>
            <w:noWrap/>
            <w:vAlign w:val="center"/>
            <w:hideMark/>
          </w:tcPr>
          <w:p w14:paraId="79050C38"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2015</w:t>
            </w:r>
          </w:p>
        </w:tc>
        <w:tc>
          <w:tcPr>
            <w:tcW w:w="412" w:type="pct"/>
            <w:tcBorders>
              <w:top w:val="nil"/>
              <w:left w:val="nil"/>
              <w:bottom w:val="nil"/>
              <w:right w:val="nil"/>
            </w:tcBorders>
            <w:shd w:val="clear" w:color="000000" w:fill="FFFFFF"/>
            <w:noWrap/>
            <w:vAlign w:val="bottom"/>
            <w:hideMark/>
          </w:tcPr>
          <w:p w14:paraId="51B2B921"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2015Q2</w:t>
            </w:r>
          </w:p>
        </w:tc>
        <w:tc>
          <w:tcPr>
            <w:tcW w:w="412" w:type="pct"/>
            <w:tcBorders>
              <w:top w:val="nil"/>
              <w:left w:val="nil"/>
              <w:bottom w:val="nil"/>
              <w:right w:val="nil"/>
            </w:tcBorders>
            <w:shd w:val="clear" w:color="000000" w:fill="FFFFFF"/>
            <w:noWrap/>
            <w:vAlign w:val="center"/>
            <w:hideMark/>
          </w:tcPr>
          <w:p w14:paraId="5074F95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112,776</w:t>
            </w:r>
          </w:p>
        </w:tc>
        <w:tc>
          <w:tcPr>
            <w:tcW w:w="208" w:type="pct"/>
            <w:tcBorders>
              <w:top w:val="nil"/>
              <w:left w:val="nil"/>
              <w:bottom w:val="nil"/>
              <w:right w:val="nil"/>
            </w:tcBorders>
            <w:shd w:val="clear" w:color="000000" w:fill="FFFFFF"/>
            <w:noWrap/>
            <w:vAlign w:val="bottom"/>
            <w:hideMark/>
          </w:tcPr>
          <w:p w14:paraId="328E239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11F95A4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26088B7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30DB26E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626F46A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61F54D8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1AAB1E7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31BD65F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49FDBCA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1.34%</w:t>
            </w:r>
          </w:p>
        </w:tc>
        <w:tc>
          <w:tcPr>
            <w:tcW w:w="208" w:type="pct"/>
            <w:tcBorders>
              <w:top w:val="nil"/>
              <w:left w:val="nil"/>
              <w:bottom w:val="nil"/>
              <w:right w:val="nil"/>
            </w:tcBorders>
            <w:shd w:val="clear" w:color="000000" w:fill="FFFFFF"/>
            <w:noWrap/>
            <w:vAlign w:val="bottom"/>
            <w:hideMark/>
          </w:tcPr>
          <w:p w14:paraId="263B192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441AA44"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62DC128"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457D5D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8B2E5A0"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2203380"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8645918"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CBAABEA"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061F159"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12B7D3D6" w14:textId="77777777" w:rsidTr="006A523F">
        <w:trPr>
          <w:trHeight w:val="20"/>
        </w:trPr>
        <w:tc>
          <w:tcPr>
            <w:tcW w:w="440" w:type="pct"/>
            <w:tcBorders>
              <w:top w:val="nil"/>
              <w:left w:val="nil"/>
              <w:bottom w:val="nil"/>
              <w:right w:val="nil"/>
            </w:tcBorders>
            <w:shd w:val="clear" w:color="000000" w:fill="FFFFFF"/>
            <w:noWrap/>
            <w:vAlign w:val="center"/>
            <w:hideMark/>
          </w:tcPr>
          <w:p w14:paraId="4E093B0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2015</w:t>
            </w:r>
          </w:p>
        </w:tc>
        <w:tc>
          <w:tcPr>
            <w:tcW w:w="412" w:type="pct"/>
            <w:tcBorders>
              <w:top w:val="nil"/>
              <w:left w:val="nil"/>
              <w:bottom w:val="nil"/>
              <w:right w:val="nil"/>
            </w:tcBorders>
            <w:shd w:val="clear" w:color="000000" w:fill="FFFFFF"/>
            <w:noWrap/>
            <w:vAlign w:val="bottom"/>
            <w:hideMark/>
          </w:tcPr>
          <w:p w14:paraId="53298288"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2015Q3</w:t>
            </w:r>
          </w:p>
        </w:tc>
        <w:tc>
          <w:tcPr>
            <w:tcW w:w="412" w:type="pct"/>
            <w:tcBorders>
              <w:top w:val="nil"/>
              <w:left w:val="nil"/>
              <w:bottom w:val="nil"/>
              <w:right w:val="nil"/>
            </w:tcBorders>
            <w:shd w:val="clear" w:color="000000" w:fill="FFFFFF"/>
            <w:noWrap/>
            <w:vAlign w:val="center"/>
            <w:hideMark/>
          </w:tcPr>
          <w:p w14:paraId="7A818E3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100,460</w:t>
            </w:r>
          </w:p>
        </w:tc>
        <w:tc>
          <w:tcPr>
            <w:tcW w:w="208" w:type="pct"/>
            <w:tcBorders>
              <w:top w:val="nil"/>
              <w:left w:val="nil"/>
              <w:bottom w:val="nil"/>
              <w:right w:val="nil"/>
            </w:tcBorders>
            <w:shd w:val="clear" w:color="000000" w:fill="FFFFFF"/>
            <w:noWrap/>
            <w:vAlign w:val="bottom"/>
            <w:hideMark/>
          </w:tcPr>
          <w:p w14:paraId="5738F87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3FA1DC0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3F81F13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770FEFE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39731C6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1014763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7C076ED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443553E0"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4CDFA3B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A99BB6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6B6BF79"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BDC5E20"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013AAF1"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D91DE08"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FFFA3C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D3A34ED"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D0D2DB5"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D9F48C6"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03BFF29A" w14:textId="77777777" w:rsidTr="006A523F">
        <w:trPr>
          <w:trHeight w:val="20"/>
        </w:trPr>
        <w:tc>
          <w:tcPr>
            <w:tcW w:w="440" w:type="pct"/>
            <w:tcBorders>
              <w:top w:val="nil"/>
              <w:left w:val="nil"/>
              <w:bottom w:val="nil"/>
              <w:right w:val="nil"/>
            </w:tcBorders>
            <w:shd w:val="clear" w:color="000000" w:fill="FFFFFF"/>
            <w:noWrap/>
            <w:vAlign w:val="center"/>
            <w:hideMark/>
          </w:tcPr>
          <w:p w14:paraId="31466E9E"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2015</w:t>
            </w:r>
          </w:p>
        </w:tc>
        <w:tc>
          <w:tcPr>
            <w:tcW w:w="412" w:type="pct"/>
            <w:tcBorders>
              <w:top w:val="nil"/>
              <w:left w:val="nil"/>
              <w:bottom w:val="nil"/>
              <w:right w:val="nil"/>
            </w:tcBorders>
            <w:shd w:val="clear" w:color="000000" w:fill="FFFFFF"/>
            <w:noWrap/>
            <w:vAlign w:val="bottom"/>
            <w:hideMark/>
          </w:tcPr>
          <w:p w14:paraId="760E6DE0"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2015Q4</w:t>
            </w:r>
          </w:p>
        </w:tc>
        <w:tc>
          <w:tcPr>
            <w:tcW w:w="412" w:type="pct"/>
            <w:tcBorders>
              <w:top w:val="nil"/>
              <w:left w:val="nil"/>
              <w:bottom w:val="nil"/>
              <w:right w:val="nil"/>
            </w:tcBorders>
            <w:shd w:val="clear" w:color="000000" w:fill="FFFFFF"/>
            <w:noWrap/>
            <w:vAlign w:val="center"/>
            <w:hideMark/>
          </w:tcPr>
          <w:p w14:paraId="229A195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100,704</w:t>
            </w:r>
          </w:p>
        </w:tc>
        <w:tc>
          <w:tcPr>
            <w:tcW w:w="208" w:type="pct"/>
            <w:tcBorders>
              <w:top w:val="nil"/>
              <w:left w:val="nil"/>
              <w:bottom w:val="nil"/>
              <w:right w:val="nil"/>
            </w:tcBorders>
            <w:shd w:val="clear" w:color="000000" w:fill="FFFFFF"/>
            <w:noWrap/>
            <w:vAlign w:val="bottom"/>
            <w:hideMark/>
          </w:tcPr>
          <w:p w14:paraId="0CCB1F4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08" w:type="pct"/>
            <w:tcBorders>
              <w:top w:val="nil"/>
              <w:left w:val="nil"/>
              <w:bottom w:val="nil"/>
              <w:right w:val="nil"/>
            </w:tcBorders>
            <w:shd w:val="clear" w:color="000000" w:fill="FFFFFF"/>
            <w:noWrap/>
            <w:vAlign w:val="bottom"/>
            <w:hideMark/>
          </w:tcPr>
          <w:p w14:paraId="677AFC1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08" w:type="pct"/>
            <w:tcBorders>
              <w:top w:val="nil"/>
              <w:left w:val="nil"/>
              <w:bottom w:val="nil"/>
              <w:right w:val="nil"/>
            </w:tcBorders>
            <w:shd w:val="clear" w:color="000000" w:fill="FFFFFF"/>
            <w:noWrap/>
            <w:vAlign w:val="bottom"/>
            <w:hideMark/>
          </w:tcPr>
          <w:p w14:paraId="74260BB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08" w:type="pct"/>
            <w:tcBorders>
              <w:top w:val="nil"/>
              <w:left w:val="nil"/>
              <w:bottom w:val="nil"/>
              <w:right w:val="nil"/>
            </w:tcBorders>
            <w:shd w:val="clear" w:color="000000" w:fill="FFFFFF"/>
            <w:noWrap/>
            <w:vAlign w:val="bottom"/>
            <w:hideMark/>
          </w:tcPr>
          <w:p w14:paraId="729D6ED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08" w:type="pct"/>
            <w:tcBorders>
              <w:top w:val="nil"/>
              <w:left w:val="nil"/>
              <w:bottom w:val="nil"/>
              <w:right w:val="nil"/>
            </w:tcBorders>
            <w:shd w:val="clear" w:color="000000" w:fill="FFFFFF"/>
            <w:noWrap/>
            <w:vAlign w:val="bottom"/>
            <w:hideMark/>
          </w:tcPr>
          <w:p w14:paraId="1CB2CB0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08" w:type="pct"/>
            <w:tcBorders>
              <w:top w:val="nil"/>
              <w:left w:val="nil"/>
              <w:bottom w:val="nil"/>
              <w:right w:val="nil"/>
            </w:tcBorders>
            <w:shd w:val="clear" w:color="000000" w:fill="FFFFFF"/>
            <w:noWrap/>
            <w:vAlign w:val="bottom"/>
            <w:hideMark/>
          </w:tcPr>
          <w:p w14:paraId="1224CFE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08" w:type="pct"/>
            <w:tcBorders>
              <w:top w:val="nil"/>
              <w:left w:val="nil"/>
              <w:bottom w:val="nil"/>
              <w:right w:val="nil"/>
            </w:tcBorders>
            <w:shd w:val="clear" w:color="000000" w:fill="FFFFFF"/>
            <w:noWrap/>
            <w:vAlign w:val="bottom"/>
            <w:hideMark/>
          </w:tcPr>
          <w:p w14:paraId="29486F0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1.37%</w:t>
            </w:r>
          </w:p>
        </w:tc>
        <w:tc>
          <w:tcPr>
            <w:tcW w:w="208" w:type="pct"/>
            <w:tcBorders>
              <w:top w:val="nil"/>
              <w:left w:val="nil"/>
              <w:bottom w:val="nil"/>
              <w:right w:val="nil"/>
            </w:tcBorders>
            <w:shd w:val="clear" w:color="000000" w:fill="FFFFFF"/>
            <w:noWrap/>
            <w:vAlign w:val="bottom"/>
            <w:hideMark/>
          </w:tcPr>
          <w:p w14:paraId="5AD8AD3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57A2E5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B506FC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7DD43FD"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E863652"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DDED9D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957856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DA50BF8"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FC8FD3C"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CA7E65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03BDDFD"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7BFF9208" w14:textId="77777777" w:rsidTr="006A523F">
        <w:trPr>
          <w:trHeight w:val="20"/>
        </w:trPr>
        <w:tc>
          <w:tcPr>
            <w:tcW w:w="440" w:type="pct"/>
            <w:tcBorders>
              <w:top w:val="nil"/>
              <w:left w:val="nil"/>
              <w:bottom w:val="nil"/>
              <w:right w:val="nil"/>
            </w:tcBorders>
            <w:shd w:val="clear" w:color="000000" w:fill="FFFFFF"/>
            <w:noWrap/>
            <w:vAlign w:val="center"/>
            <w:hideMark/>
          </w:tcPr>
          <w:p w14:paraId="75CAC08E"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2016</w:t>
            </w:r>
          </w:p>
        </w:tc>
        <w:tc>
          <w:tcPr>
            <w:tcW w:w="412" w:type="pct"/>
            <w:tcBorders>
              <w:top w:val="nil"/>
              <w:left w:val="nil"/>
              <w:bottom w:val="nil"/>
              <w:right w:val="nil"/>
            </w:tcBorders>
            <w:shd w:val="clear" w:color="000000" w:fill="FFFFFF"/>
            <w:noWrap/>
            <w:vAlign w:val="bottom"/>
            <w:hideMark/>
          </w:tcPr>
          <w:p w14:paraId="7E49F3C7"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2016Q1</w:t>
            </w:r>
          </w:p>
        </w:tc>
        <w:tc>
          <w:tcPr>
            <w:tcW w:w="412" w:type="pct"/>
            <w:tcBorders>
              <w:top w:val="nil"/>
              <w:left w:val="nil"/>
              <w:bottom w:val="nil"/>
              <w:right w:val="nil"/>
            </w:tcBorders>
            <w:shd w:val="clear" w:color="000000" w:fill="FFFFFF"/>
            <w:noWrap/>
            <w:vAlign w:val="center"/>
            <w:hideMark/>
          </w:tcPr>
          <w:p w14:paraId="761A249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72,742</w:t>
            </w:r>
          </w:p>
        </w:tc>
        <w:tc>
          <w:tcPr>
            <w:tcW w:w="208" w:type="pct"/>
            <w:tcBorders>
              <w:top w:val="nil"/>
              <w:left w:val="nil"/>
              <w:bottom w:val="nil"/>
              <w:right w:val="nil"/>
            </w:tcBorders>
            <w:shd w:val="clear" w:color="000000" w:fill="FFFFFF"/>
            <w:noWrap/>
            <w:vAlign w:val="bottom"/>
            <w:hideMark/>
          </w:tcPr>
          <w:p w14:paraId="63FA5BB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08" w:type="pct"/>
            <w:tcBorders>
              <w:top w:val="nil"/>
              <w:left w:val="nil"/>
              <w:bottom w:val="nil"/>
              <w:right w:val="nil"/>
            </w:tcBorders>
            <w:shd w:val="clear" w:color="000000" w:fill="FFFFFF"/>
            <w:noWrap/>
            <w:vAlign w:val="bottom"/>
            <w:hideMark/>
          </w:tcPr>
          <w:p w14:paraId="169E6C5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08" w:type="pct"/>
            <w:tcBorders>
              <w:top w:val="nil"/>
              <w:left w:val="nil"/>
              <w:bottom w:val="nil"/>
              <w:right w:val="nil"/>
            </w:tcBorders>
            <w:shd w:val="clear" w:color="000000" w:fill="FFFFFF"/>
            <w:noWrap/>
            <w:vAlign w:val="bottom"/>
            <w:hideMark/>
          </w:tcPr>
          <w:p w14:paraId="56AF9AD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08" w:type="pct"/>
            <w:tcBorders>
              <w:top w:val="nil"/>
              <w:left w:val="nil"/>
              <w:bottom w:val="nil"/>
              <w:right w:val="nil"/>
            </w:tcBorders>
            <w:shd w:val="clear" w:color="000000" w:fill="FFFFFF"/>
            <w:noWrap/>
            <w:vAlign w:val="bottom"/>
            <w:hideMark/>
          </w:tcPr>
          <w:p w14:paraId="29D4751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08" w:type="pct"/>
            <w:tcBorders>
              <w:top w:val="nil"/>
              <w:left w:val="nil"/>
              <w:bottom w:val="nil"/>
              <w:right w:val="nil"/>
            </w:tcBorders>
            <w:shd w:val="clear" w:color="000000" w:fill="FFFFFF"/>
            <w:noWrap/>
            <w:vAlign w:val="bottom"/>
            <w:hideMark/>
          </w:tcPr>
          <w:p w14:paraId="569CA94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08" w:type="pct"/>
            <w:tcBorders>
              <w:top w:val="nil"/>
              <w:left w:val="nil"/>
              <w:bottom w:val="nil"/>
              <w:right w:val="nil"/>
            </w:tcBorders>
            <w:shd w:val="clear" w:color="000000" w:fill="FFFFFF"/>
            <w:noWrap/>
            <w:vAlign w:val="bottom"/>
            <w:hideMark/>
          </w:tcPr>
          <w:p w14:paraId="5317E6C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1.51%</w:t>
            </w:r>
          </w:p>
        </w:tc>
        <w:tc>
          <w:tcPr>
            <w:tcW w:w="208" w:type="pct"/>
            <w:tcBorders>
              <w:top w:val="nil"/>
              <w:left w:val="nil"/>
              <w:bottom w:val="nil"/>
              <w:right w:val="nil"/>
            </w:tcBorders>
            <w:shd w:val="clear" w:color="000000" w:fill="FFFFFF"/>
            <w:noWrap/>
            <w:vAlign w:val="bottom"/>
            <w:hideMark/>
          </w:tcPr>
          <w:p w14:paraId="56FD718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3F83C7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533F8C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5DB741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F022838"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0CDC237"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0A07199"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632EE92"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AF7434F"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ADE1998"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588CBA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BF909F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446226A4" w14:textId="77777777" w:rsidTr="006A523F">
        <w:trPr>
          <w:trHeight w:val="20"/>
        </w:trPr>
        <w:tc>
          <w:tcPr>
            <w:tcW w:w="440" w:type="pct"/>
            <w:tcBorders>
              <w:top w:val="nil"/>
              <w:left w:val="nil"/>
              <w:bottom w:val="nil"/>
              <w:right w:val="nil"/>
            </w:tcBorders>
            <w:shd w:val="clear" w:color="000000" w:fill="FFFFFF"/>
            <w:noWrap/>
            <w:vAlign w:val="center"/>
            <w:hideMark/>
          </w:tcPr>
          <w:p w14:paraId="1692262F"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2016</w:t>
            </w:r>
          </w:p>
        </w:tc>
        <w:tc>
          <w:tcPr>
            <w:tcW w:w="412" w:type="pct"/>
            <w:tcBorders>
              <w:top w:val="nil"/>
              <w:left w:val="nil"/>
              <w:bottom w:val="nil"/>
              <w:right w:val="nil"/>
            </w:tcBorders>
            <w:shd w:val="clear" w:color="000000" w:fill="FFFFFF"/>
            <w:noWrap/>
            <w:vAlign w:val="bottom"/>
            <w:hideMark/>
          </w:tcPr>
          <w:p w14:paraId="7FCF947D"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2016Q2</w:t>
            </w:r>
          </w:p>
        </w:tc>
        <w:tc>
          <w:tcPr>
            <w:tcW w:w="412" w:type="pct"/>
            <w:tcBorders>
              <w:top w:val="nil"/>
              <w:left w:val="nil"/>
              <w:bottom w:val="nil"/>
              <w:right w:val="nil"/>
            </w:tcBorders>
            <w:shd w:val="clear" w:color="000000" w:fill="FFFFFF"/>
            <w:noWrap/>
            <w:vAlign w:val="center"/>
            <w:hideMark/>
          </w:tcPr>
          <w:p w14:paraId="5980812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72,935</w:t>
            </w:r>
          </w:p>
        </w:tc>
        <w:tc>
          <w:tcPr>
            <w:tcW w:w="208" w:type="pct"/>
            <w:tcBorders>
              <w:top w:val="nil"/>
              <w:left w:val="nil"/>
              <w:bottom w:val="nil"/>
              <w:right w:val="nil"/>
            </w:tcBorders>
            <w:shd w:val="clear" w:color="000000" w:fill="FFFFFF"/>
            <w:noWrap/>
            <w:vAlign w:val="bottom"/>
            <w:hideMark/>
          </w:tcPr>
          <w:p w14:paraId="31E8D8F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4CD957D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490BF5E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6AE6539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2122E26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1.63%</w:t>
            </w:r>
          </w:p>
        </w:tc>
        <w:tc>
          <w:tcPr>
            <w:tcW w:w="208" w:type="pct"/>
            <w:tcBorders>
              <w:top w:val="nil"/>
              <w:left w:val="nil"/>
              <w:bottom w:val="nil"/>
              <w:right w:val="nil"/>
            </w:tcBorders>
            <w:shd w:val="clear" w:color="000000" w:fill="FFFFFF"/>
            <w:noWrap/>
            <w:vAlign w:val="bottom"/>
            <w:hideMark/>
          </w:tcPr>
          <w:p w14:paraId="5253D1E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4A8278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201C1C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874F29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98BADA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E929460"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852E824"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FA0689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7D88B6C"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96974AA"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DAD941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716491C"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CFF9775"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56D3C062" w14:textId="77777777" w:rsidTr="006A523F">
        <w:trPr>
          <w:trHeight w:val="20"/>
        </w:trPr>
        <w:tc>
          <w:tcPr>
            <w:tcW w:w="440" w:type="pct"/>
            <w:tcBorders>
              <w:top w:val="nil"/>
              <w:left w:val="nil"/>
              <w:bottom w:val="nil"/>
              <w:right w:val="nil"/>
            </w:tcBorders>
            <w:shd w:val="clear" w:color="000000" w:fill="FFFFFF"/>
            <w:noWrap/>
            <w:vAlign w:val="center"/>
            <w:hideMark/>
          </w:tcPr>
          <w:p w14:paraId="047131D5"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September 2016</w:t>
            </w:r>
          </w:p>
        </w:tc>
        <w:tc>
          <w:tcPr>
            <w:tcW w:w="412" w:type="pct"/>
            <w:tcBorders>
              <w:top w:val="nil"/>
              <w:left w:val="nil"/>
              <w:bottom w:val="nil"/>
              <w:right w:val="nil"/>
            </w:tcBorders>
            <w:shd w:val="clear" w:color="000000" w:fill="FFFFFF"/>
            <w:noWrap/>
            <w:vAlign w:val="bottom"/>
            <w:hideMark/>
          </w:tcPr>
          <w:p w14:paraId="05915A1A"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2016Q3</w:t>
            </w:r>
          </w:p>
        </w:tc>
        <w:tc>
          <w:tcPr>
            <w:tcW w:w="412" w:type="pct"/>
            <w:tcBorders>
              <w:top w:val="nil"/>
              <w:left w:val="nil"/>
              <w:bottom w:val="nil"/>
              <w:right w:val="nil"/>
            </w:tcBorders>
            <w:shd w:val="clear" w:color="000000" w:fill="FFFFFF"/>
            <w:noWrap/>
            <w:vAlign w:val="center"/>
            <w:hideMark/>
          </w:tcPr>
          <w:p w14:paraId="343A40E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66,916</w:t>
            </w:r>
          </w:p>
        </w:tc>
        <w:tc>
          <w:tcPr>
            <w:tcW w:w="208" w:type="pct"/>
            <w:tcBorders>
              <w:top w:val="nil"/>
              <w:left w:val="nil"/>
              <w:bottom w:val="nil"/>
              <w:right w:val="nil"/>
            </w:tcBorders>
            <w:shd w:val="clear" w:color="000000" w:fill="FFFFFF"/>
            <w:noWrap/>
            <w:vAlign w:val="bottom"/>
            <w:hideMark/>
          </w:tcPr>
          <w:p w14:paraId="39D7E2B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08" w:type="pct"/>
            <w:tcBorders>
              <w:top w:val="nil"/>
              <w:left w:val="nil"/>
              <w:bottom w:val="nil"/>
              <w:right w:val="nil"/>
            </w:tcBorders>
            <w:shd w:val="clear" w:color="000000" w:fill="FFFFFF"/>
            <w:noWrap/>
            <w:vAlign w:val="bottom"/>
            <w:hideMark/>
          </w:tcPr>
          <w:p w14:paraId="2A222ED3"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08" w:type="pct"/>
            <w:tcBorders>
              <w:top w:val="nil"/>
              <w:left w:val="nil"/>
              <w:bottom w:val="nil"/>
              <w:right w:val="nil"/>
            </w:tcBorders>
            <w:shd w:val="clear" w:color="000000" w:fill="FFFFFF"/>
            <w:noWrap/>
            <w:vAlign w:val="bottom"/>
            <w:hideMark/>
          </w:tcPr>
          <w:p w14:paraId="7C6B170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08" w:type="pct"/>
            <w:tcBorders>
              <w:top w:val="nil"/>
              <w:left w:val="nil"/>
              <w:bottom w:val="nil"/>
              <w:right w:val="nil"/>
            </w:tcBorders>
            <w:shd w:val="clear" w:color="000000" w:fill="FFFFFF"/>
            <w:noWrap/>
            <w:vAlign w:val="bottom"/>
            <w:hideMark/>
          </w:tcPr>
          <w:p w14:paraId="335FB1E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1.76%</w:t>
            </w:r>
          </w:p>
        </w:tc>
        <w:tc>
          <w:tcPr>
            <w:tcW w:w="208" w:type="pct"/>
            <w:tcBorders>
              <w:top w:val="nil"/>
              <w:left w:val="nil"/>
              <w:bottom w:val="nil"/>
              <w:right w:val="nil"/>
            </w:tcBorders>
            <w:shd w:val="clear" w:color="000000" w:fill="FFFFFF"/>
            <w:noWrap/>
            <w:vAlign w:val="bottom"/>
            <w:hideMark/>
          </w:tcPr>
          <w:p w14:paraId="79399C1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226647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5E90CF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8A30A2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1C8D99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14FB5B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9FB1B1B"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14B9B52"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C9281AF"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B86222B"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3D98E6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C38195F"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F322E3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323287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2BE2874A" w14:textId="77777777" w:rsidTr="006A523F">
        <w:trPr>
          <w:trHeight w:val="20"/>
        </w:trPr>
        <w:tc>
          <w:tcPr>
            <w:tcW w:w="440" w:type="pct"/>
            <w:tcBorders>
              <w:top w:val="nil"/>
              <w:left w:val="nil"/>
              <w:bottom w:val="nil"/>
              <w:right w:val="nil"/>
            </w:tcBorders>
            <w:shd w:val="clear" w:color="000000" w:fill="FFFFFF"/>
            <w:noWrap/>
            <w:vAlign w:val="center"/>
            <w:hideMark/>
          </w:tcPr>
          <w:p w14:paraId="14884C11"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December 2016</w:t>
            </w:r>
          </w:p>
        </w:tc>
        <w:tc>
          <w:tcPr>
            <w:tcW w:w="412" w:type="pct"/>
            <w:tcBorders>
              <w:top w:val="nil"/>
              <w:left w:val="nil"/>
              <w:bottom w:val="nil"/>
              <w:right w:val="nil"/>
            </w:tcBorders>
            <w:shd w:val="clear" w:color="000000" w:fill="FFFFFF"/>
            <w:noWrap/>
            <w:vAlign w:val="bottom"/>
            <w:hideMark/>
          </w:tcPr>
          <w:p w14:paraId="4BDAE132"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2016Q4</w:t>
            </w:r>
          </w:p>
        </w:tc>
        <w:tc>
          <w:tcPr>
            <w:tcW w:w="412" w:type="pct"/>
            <w:tcBorders>
              <w:top w:val="nil"/>
              <w:left w:val="nil"/>
              <w:bottom w:val="nil"/>
              <w:right w:val="nil"/>
            </w:tcBorders>
            <w:shd w:val="clear" w:color="000000" w:fill="FFFFFF"/>
            <w:noWrap/>
            <w:vAlign w:val="center"/>
            <w:hideMark/>
          </w:tcPr>
          <w:p w14:paraId="26FE1DC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75,499</w:t>
            </w:r>
          </w:p>
        </w:tc>
        <w:tc>
          <w:tcPr>
            <w:tcW w:w="208" w:type="pct"/>
            <w:tcBorders>
              <w:top w:val="nil"/>
              <w:left w:val="nil"/>
              <w:bottom w:val="nil"/>
              <w:right w:val="nil"/>
            </w:tcBorders>
            <w:shd w:val="clear" w:color="000000" w:fill="FFFFFF"/>
            <w:noWrap/>
            <w:vAlign w:val="bottom"/>
            <w:hideMark/>
          </w:tcPr>
          <w:p w14:paraId="7DC8E9E7"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08" w:type="pct"/>
            <w:tcBorders>
              <w:top w:val="nil"/>
              <w:left w:val="nil"/>
              <w:bottom w:val="nil"/>
              <w:right w:val="nil"/>
            </w:tcBorders>
            <w:shd w:val="clear" w:color="000000" w:fill="FFFFFF"/>
            <w:noWrap/>
            <w:vAlign w:val="bottom"/>
            <w:hideMark/>
          </w:tcPr>
          <w:p w14:paraId="1FC22CD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08" w:type="pct"/>
            <w:tcBorders>
              <w:top w:val="nil"/>
              <w:left w:val="nil"/>
              <w:bottom w:val="nil"/>
              <w:right w:val="nil"/>
            </w:tcBorders>
            <w:shd w:val="clear" w:color="000000" w:fill="FFFFFF"/>
            <w:noWrap/>
            <w:vAlign w:val="bottom"/>
            <w:hideMark/>
          </w:tcPr>
          <w:p w14:paraId="7740147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1.56%</w:t>
            </w:r>
          </w:p>
        </w:tc>
        <w:tc>
          <w:tcPr>
            <w:tcW w:w="208" w:type="pct"/>
            <w:tcBorders>
              <w:top w:val="nil"/>
              <w:left w:val="nil"/>
              <w:bottom w:val="nil"/>
              <w:right w:val="nil"/>
            </w:tcBorders>
            <w:shd w:val="clear" w:color="000000" w:fill="FFFFFF"/>
            <w:noWrap/>
            <w:vAlign w:val="bottom"/>
            <w:hideMark/>
          </w:tcPr>
          <w:p w14:paraId="705F096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8F98AE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85317A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6BE9FE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A08688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F9E2109"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0663FF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DB1D86C"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AC8AFAE"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70087735"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FD213A9"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948E0FC"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BEBEBED"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4C6CEC5"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9F73614"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76B228CD" w14:textId="77777777" w:rsidTr="006A523F">
        <w:trPr>
          <w:trHeight w:val="20"/>
        </w:trPr>
        <w:tc>
          <w:tcPr>
            <w:tcW w:w="440" w:type="pct"/>
            <w:tcBorders>
              <w:top w:val="nil"/>
              <w:left w:val="nil"/>
              <w:bottom w:val="nil"/>
              <w:right w:val="nil"/>
            </w:tcBorders>
            <w:shd w:val="clear" w:color="000000" w:fill="FFFFFF"/>
            <w:noWrap/>
            <w:vAlign w:val="center"/>
            <w:hideMark/>
          </w:tcPr>
          <w:p w14:paraId="2C6CFC8C"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31 March 2017</w:t>
            </w:r>
          </w:p>
        </w:tc>
        <w:tc>
          <w:tcPr>
            <w:tcW w:w="412" w:type="pct"/>
            <w:tcBorders>
              <w:top w:val="nil"/>
              <w:left w:val="nil"/>
              <w:bottom w:val="nil"/>
              <w:right w:val="nil"/>
            </w:tcBorders>
            <w:shd w:val="clear" w:color="000000" w:fill="FFFFFF"/>
            <w:noWrap/>
            <w:vAlign w:val="bottom"/>
            <w:hideMark/>
          </w:tcPr>
          <w:p w14:paraId="6C215874"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2017Q1</w:t>
            </w:r>
          </w:p>
        </w:tc>
        <w:tc>
          <w:tcPr>
            <w:tcW w:w="412" w:type="pct"/>
            <w:tcBorders>
              <w:top w:val="nil"/>
              <w:left w:val="nil"/>
              <w:bottom w:val="nil"/>
              <w:right w:val="nil"/>
            </w:tcBorders>
            <w:shd w:val="clear" w:color="000000" w:fill="FFFFFF"/>
            <w:noWrap/>
            <w:vAlign w:val="center"/>
            <w:hideMark/>
          </w:tcPr>
          <w:p w14:paraId="564B52E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88,172</w:t>
            </w:r>
          </w:p>
        </w:tc>
        <w:tc>
          <w:tcPr>
            <w:tcW w:w="208" w:type="pct"/>
            <w:tcBorders>
              <w:top w:val="nil"/>
              <w:left w:val="nil"/>
              <w:bottom w:val="nil"/>
              <w:right w:val="nil"/>
            </w:tcBorders>
            <w:shd w:val="clear" w:color="000000" w:fill="FFFFFF"/>
            <w:noWrap/>
            <w:vAlign w:val="bottom"/>
            <w:hideMark/>
          </w:tcPr>
          <w:p w14:paraId="22B92072"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08" w:type="pct"/>
            <w:tcBorders>
              <w:top w:val="nil"/>
              <w:left w:val="nil"/>
              <w:bottom w:val="nil"/>
              <w:right w:val="nil"/>
            </w:tcBorders>
            <w:shd w:val="clear" w:color="000000" w:fill="FFFFFF"/>
            <w:noWrap/>
            <w:vAlign w:val="bottom"/>
            <w:hideMark/>
          </w:tcPr>
          <w:p w14:paraId="331E80C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1.47%</w:t>
            </w:r>
          </w:p>
        </w:tc>
        <w:tc>
          <w:tcPr>
            <w:tcW w:w="208" w:type="pct"/>
            <w:tcBorders>
              <w:top w:val="nil"/>
              <w:left w:val="nil"/>
              <w:bottom w:val="nil"/>
              <w:right w:val="nil"/>
            </w:tcBorders>
            <w:shd w:val="clear" w:color="000000" w:fill="FFFFFF"/>
            <w:noWrap/>
            <w:vAlign w:val="bottom"/>
            <w:hideMark/>
          </w:tcPr>
          <w:p w14:paraId="343FBB3F"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BFF2F0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7BB58B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9480B8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BEFDF3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C53F7C8"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C559E94"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BB1756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1F1979B"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C51EF13"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E4D769B"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CCBF5D1"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7A24723"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78FFF6D"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A46E026"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C11ECB2"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r w:rsidR="006A523F" w:rsidRPr="006A523F" w14:paraId="2D58B750" w14:textId="77777777" w:rsidTr="006A523F">
        <w:trPr>
          <w:trHeight w:val="20"/>
        </w:trPr>
        <w:tc>
          <w:tcPr>
            <w:tcW w:w="440" w:type="pct"/>
            <w:tcBorders>
              <w:top w:val="nil"/>
              <w:left w:val="nil"/>
              <w:bottom w:val="nil"/>
              <w:right w:val="nil"/>
            </w:tcBorders>
            <w:shd w:val="clear" w:color="000000" w:fill="FFFFFF"/>
            <w:noWrap/>
            <w:vAlign w:val="center"/>
            <w:hideMark/>
          </w:tcPr>
          <w:p w14:paraId="2BD42CE5"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30 June 2017</w:t>
            </w:r>
          </w:p>
        </w:tc>
        <w:tc>
          <w:tcPr>
            <w:tcW w:w="412" w:type="pct"/>
            <w:tcBorders>
              <w:top w:val="nil"/>
              <w:left w:val="nil"/>
              <w:bottom w:val="nil"/>
              <w:right w:val="nil"/>
            </w:tcBorders>
            <w:shd w:val="clear" w:color="000000" w:fill="FFFFFF"/>
            <w:noWrap/>
            <w:vAlign w:val="bottom"/>
            <w:hideMark/>
          </w:tcPr>
          <w:p w14:paraId="05CB20BE" w14:textId="77777777" w:rsidR="006A523F" w:rsidRPr="006A523F" w:rsidRDefault="006A523F" w:rsidP="006A523F">
            <w:pPr>
              <w:spacing w:line="240" w:lineRule="auto"/>
              <w:jc w:val="center"/>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2017Q2</w:t>
            </w:r>
          </w:p>
        </w:tc>
        <w:tc>
          <w:tcPr>
            <w:tcW w:w="412" w:type="pct"/>
            <w:tcBorders>
              <w:top w:val="nil"/>
              <w:left w:val="nil"/>
              <w:bottom w:val="nil"/>
              <w:right w:val="nil"/>
            </w:tcBorders>
            <w:shd w:val="clear" w:color="000000" w:fill="FFFFFF"/>
            <w:noWrap/>
            <w:vAlign w:val="center"/>
            <w:hideMark/>
          </w:tcPr>
          <w:p w14:paraId="5CB3BA7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110,718</w:t>
            </w:r>
          </w:p>
        </w:tc>
        <w:tc>
          <w:tcPr>
            <w:tcW w:w="208" w:type="pct"/>
            <w:tcBorders>
              <w:top w:val="nil"/>
              <w:left w:val="nil"/>
              <w:bottom w:val="nil"/>
              <w:right w:val="nil"/>
            </w:tcBorders>
            <w:shd w:val="clear" w:color="000000" w:fill="FFFFFF"/>
            <w:noWrap/>
            <w:vAlign w:val="bottom"/>
            <w:hideMark/>
          </w:tcPr>
          <w:p w14:paraId="76045B5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1.77%</w:t>
            </w:r>
          </w:p>
        </w:tc>
        <w:tc>
          <w:tcPr>
            <w:tcW w:w="208" w:type="pct"/>
            <w:tcBorders>
              <w:top w:val="nil"/>
              <w:left w:val="nil"/>
              <w:bottom w:val="nil"/>
              <w:right w:val="nil"/>
            </w:tcBorders>
            <w:shd w:val="clear" w:color="000000" w:fill="FFFFFF"/>
            <w:noWrap/>
            <w:vAlign w:val="bottom"/>
            <w:hideMark/>
          </w:tcPr>
          <w:p w14:paraId="2030EDBA"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01CB93D"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38FB0345"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0B94B0E"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F811B8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709A971"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8B60BA6"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AE9B09B"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228E0DC" w14:textId="77777777" w:rsidR="006A523F" w:rsidRPr="006A523F" w:rsidRDefault="006A523F" w:rsidP="006A523F">
            <w:pPr>
              <w:spacing w:line="240" w:lineRule="auto"/>
              <w:jc w:val="righ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5471464"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2E60A35" w14:textId="77777777" w:rsidR="006A523F" w:rsidRPr="006A523F" w:rsidRDefault="006A523F" w:rsidP="006A523F">
            <w:pPr>
              <w:spacing w:line="240" w:lineRule="auto"/>
              <w:jc w:val="left"/>
              <w:rPr>
                <w:rFonts w:ascii="Aptos Narrow" w:hAnsi="Aptos Narrow"/>
                <w:sz w:val="13"/>
                <w:szCs w:val="13"/>
                <w:lang w:val="de-DE" w:eastAsia="de-DE"/>
              </w:rPr>
            </w:pPr>
            <w:r w:rsidRPr="006A523F">
              <w:rPr>
                <w:rFonts w:ascii="Aptos Narrow" w:hAnsi="Aptos Narrow"/>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5E2270D6"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6A4FBCEC"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100F9B41"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41C3C735"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0EBE17BF"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c>
          <w:tcPr>
            <w:tcW w:w="208" w:type="pct"/>
            <w:tcBorders>
              <w:top w:val="nil"/>
              <w:left w:val="nil"/>
              <w:bottom w:val="nil"/>
              <w:right w:val="nil"/>
            </w:tcBorders>
            <w:shd w:val="clear" w:color="000000" w:fill="FFFFFF"/>
            <w:noWrap/>
            <w:vAlign w:val="bottom"/>
            <w:hideMark/>
          </w:tcPr>
          <w:p w14:paraId="2DA1A58C" w14:textId="77777777" w:rsidR="006A523F" w:rsidRPr="006A523F" w:rsidRDefault="006A523F" w:rsidP="006A523F">
            <w:pPr>
              <w:spacing w:line="240" w:lineRule="auto"/>
              <w:jc w:val="left"/>
              <w:rPr>
                <w:rFonts w:ascii="Aptos Narrow" w:hAnsi="Aptos Narrow"/>
                <w:color w:val="000000"/>
                <w:sz w:val="13"/>
                <w:szCs w:val="13"/>
                <w:lang w:val="de-DE" w:eastAsia="de-DE"/>
              </w:rPr>
            </w:pPr>
            <w:r w:rsidRPr="006A523F">
              <w:rPr>
                <w:rFonts w:ascii="Aptos Narrow" w:hAnsi="Aptos Narrow"/>
                <w:color w:val="000000"/>
                <w:sz w:val="13"/>
                <w:szCs w:val="13"/>
                <w:lang w:val="de-DE" w:eastAsia="de-DE"/>
              </w:rPr>
              <w:t> </w:t>
            </w:r>
          </w:p>
        </w:tc>
      </w:tr>
    </w:tbl>
    <w:p w14:paraId="17A2324F" w14:textId="77777777" w:rsidR="006A523F" w:rsidRDefault="006A523F" w:rsidP="00EF7333">
      <w:pPr>
        <w:pStyle w:val="Body1"/>
      </w:pPr>
    </w:p>
    <w:p w14:paraId="319AA115" w14:textId="77777777" w:rsidR="006A523F" w:rsidRDefault="006A523F" w:rsidP="00EF7333">
      <w:pPr>
        <w:pStyle w:val="Body1"/>
      </w:pPr>
    </w:p>
    <w:p w14:paraId="091F4401" w14:textId="77777777" w:rsidR="006A523F" w:rsidRDefault="006A523F" w:rsidP="00EF7333">
      <w:pPr>
        <w:pStyle w:val="Body1"/>
      </w:pPr>
    </w:p>
    <w:p w14:paraId="5141691D" w14:textId="37F78830" w:rsidR="006A523F" w:rsidRDefault="006A523F" w:rsidP="00EF7333">
      <w:pPr>
        <w:pStyle w:val="Body1"/>
      </w:pPr>
      <w:r>
        <w:rPr>
          <w:noProof/>
        </w:rPr>
        <w:drawing>
          <wp:inline distT="0" distB="0" distL="0" distR="0" wp14:anchorId="2E3074DA" wp14:editId="5E4978C7">
            <wp:extent cx="8892540" cy="4718050"/>
            <wp:effectExtent l="0" t="0" r="3810" b="6350"/>
            <wp:docPr id="2108339685" name="Chart 1" title="Total Portfolio">
              <a:extLst xmlns:a="http://schemas.openxmlformats.org/drawingml/2006/main">
                <a:ext uri="{FF2B5EF4-FFF2-40B4-BE49-F238E27FC236}">
                  <a16:creationId xmlns:a16="http://schemas.microsoft.com/office/drawing/2014/main" id="{DDF2C869-5372-49D6-BDB2-4AF5251C8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09B175" w14:textId="0F808A2C" w:rsidR="009F6E91" w:rsidRPr="00D427D8" w:rsidRDefault="009F6E91" w:rsidP="00EF7333">
      <w:pPr>
        <w:pStyle w:val="Body1"/>
      </w:pPr>
      <w:r w:rsidRPr="00D427D8">
        <w:br w:type="page"/>
      </w:r>
    </w:p>
    <w:p w14:paraId="79E9C226" w14:textId="77777777" w:rsidR="009F6E91" w:rsidRDefault="009F6E91" w:rsidP="00EF7333">
      <w:pPr>
        <w:pStyle w:val="Body1"/>
        <w:rPr>
          <w:rStyle w:val="BoldText"/>
        </w:rPr>
      </w:pPr>
      <w:r w:rsidRPr="00D427D8">
        <w:rPr>
          <w:rStyle w:val="BoldText"/>
        </w:rPr>
        <w:lastRenderedPageBreak/>
        <w:t>Historical Recoveries</w:t>
      </w:r>
    </w:p>
    <w:p w14:paraId="72172BD2" w14:textId="3E4BFAE8" w:rsidR="002D2278" w:rsidRPr="00D427D8" w:rsidRDefault="002D2278" w:rsidP="00EF7333">
      <w:pPr>
        <w:pStyle w:val="Body1"/>
        <w:rPr>
          <w:rStyle w:val="BoldText"/>
        </w:rPr>
      </w:pPr>
      <w:r>
        <w:rPr>
          <w:rStyle w:val="BoldText"/>
        </w:rPr>
        <w:t>Total Portfolio</w:t>
      </w:r>
    </w:p>
    <w:tbl>
      <w:tblPr>
        <w:tblW w:w="5000" w:type="pct"/>
        <w:tblCellMar>
          <w:left w:w="70" w:type="dxa"/>
          <w:right w:w="70" w:type="dxa"/>
        </w:tblCellMar>
        <w:tblLook w:val="04A0" w:firstRow="1" w:lastRow="0" w:firstColumn="1" w:lastColumn="0" w:noHBand="0" w:noVBand="1"/>
      </w:tblPr>
      <w:tblGrid>
        <w:gridCol w:w="2100"/>
        <w:gridCol w:w="1236"/>
        <w:gridCol w:w="1515"/>
        <w:gridCol w:w="572"/>
        <w:gridCol w:w="572"/>
        <w:gridCol w:w="572"/>
        <w:gridCol w:w="572"/>
        <w:gridCol w:w="572"/>
        <w:gridCol w:w="572"/>
        <w:gridCol w:w="573"/>
        <w:gridCol w:w="573"/>
        <w:gridCol w:w="573"/>
        <w:gridCol w:w="573"/>
        <w:gridCol w:w="573"/>
        <w:gridCol w:w="573"/>
        <w:gridCol w:w="573"/>
        <w:gridCol w:w="573"/>
        <w:gridCol w:w="573"/>
        <w:gridCol w:w="564"/>
      </w:tblGrid>
      <w:tr w:rsidR="002D2278" w:rsidRPr="002D2278" w14:paraId="4BBC4BBB" w14:textId="77777777" w:rsidTr="002D2278">
        <w:trPr>
          <w:trHeight w:val="20"/>
        </w:trPr>
        <w:tc>
          <w:tcPr>
            <w:tcW w:w="663" w:type="pct"/>
            <w:tcBorders>
              <w:top w:val="nil"/>
              <w:left w:val="nil"/>
              <w:bottom w:val="single" w:sz="4" w:space="0" w:color="auto"/>
              <w:right w:val="nil"/>
            </w:tcBorders>
            <w:shd w:val="clear" w:color="000000" w:fill="243782"/>
            <w:noWrap/>
            <w:vAlign w:val="center"/>
            <w:hideMark/>
          </w:tcPr>
          <w:p w14:paraId="53E33DBC"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As at Month ending</w:t>
            </w:r>
          </w:p>
        </w:tc>
        <w:tc>
          <w:tcPr>
            <w:tcW w:w="449" w:type="pct"/>
            <w:tcBorders>
              <w:top w:val="nil"/>
              <w:left w:val="nil"/>
              <w:bottom w:val="single" w:sz="4" w:space="0" w:color="auto"/>
              <w:right w:val="nil"/>
            </w:tcBorders>
            <w:shd w:val="clear" w:color="000000" w:fill="243782"/>
            <w:noWrap/>
            <w:vAlign w:val="center"/>
            <w:hideMark/>
          </w:tcPr>
          <w:p w14:paraId="4FC42E29"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Origination Quarter</w:t>
            </w:r>
          </w:p>
        </w:tc>
        <w:tc>
          <w:tcPr>
            <w:tcW w:w="499" w:type="pct"/>
            <w:tcBorders>
              <w:top w:val="nil"/>
              <w:left w:val="nil"/>
              <w:bottom w:val="single" w:sz="4" w:space="0" w:color="auto"/>
              <w:right w:val="nil"/>
            </w:tcBorders>
            <w:shd w:val="clear" w:color="000000" w:fill="243782"/>
            <w:noWrap/>
            <w:vAlign w:val="center"/>
            <w:hideMark/>
          </w:tcPr>
          <w:p w14:paraId="342BC512"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Defaulted Amount K€</w:t>
            </w:r>
          </w:p>
        </w:tc>
        <w:tc>
          <w:tcPr>
            <w:tcW w:w="212" w:type="pct"/>
            <w:tcBorders>
              <w:top w:val="nil"/>
              <w:left w:val="nil"/>
              <w:bottom w:val="single" w:sz="4" w:space="0" w:color="auto"/>
              <w:right w:val="nil"/>
            </w:tcBorders>
            <w:shd w:val="clear" w:color="000000" w:fill="243782"/>
            <w:noWrap/>
            <w:vAlign w:val="center"/>
            <w:hideMark/>
          </w:tcPr>
          <w:p w14:paraId="0E3405C7"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0</w:t>
            </w:r>
          </w:p>
        </w:tc>
        <w:tc>
          <w:tcPr>
            <w:tcW w:w="212" w:type="pct"/>
            <w:tcBorders>
              <w:top w:val="nil"/>
              <w:left w:val="nil"/>
              <w:bottom w:val="single" w:sz="4" w:space="0" w:color="auto"/>
              <w:right w:val="nil"/>
            </w:tcBorders>
            <w:shd w:val="clear" w:color="000000" w:fill="243782"/>
            <w:noWrap/>
            <w:vAlign w:val="center"/>
            <w:hideMark/>
          </w:tcPr>
          <w:p w14:paraId="7CCE6CA5"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1</w:t>
            </w:r>
          </w:p>
        </w:tc>
        <w:tc>
          <w:tcPr>
            <w:tcW w:w="212" w:type="pct"/>
            <w:tcBorders>
              <w:top w:val="nil"/>
              <w:left w:val="nil"/>
              <w:bottom w:val="single" w:sz="4" w:space="0" w:color="auto"/>
              <w:right w:val="nil"/>
            </w:tcBorders>
            <w:shd w:val="clear" w:color="000000" w:fill="243782"/>
            <w:noWrap/>
            <w:vAlign w:val="center"/>
            <w:hideMark/>
          </w:tcPr>
          <w:p w14:paraId="162AEF7A"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2</w:t>
            </w:r>
          </w:p>
        </w:tc>
        <w:tc>
          <w:tcPr>
            <w:tcW w:w="212" w:type="pct"/>
            <w:tcBorders>
              <w:top w:val="nil"/>
              <w:left w:val="nil"/>
              <w:bottom w:val="single" w:sz="4" w:space="0" w:color="auto"/>
              <w:right w:val="nil"/>
            </w:tcBorders>
            <w:shd w:val="clear" w:color="000000" w:fill="243782"/>
            <w:noWrap/>
            <w:vAlign w:val="center"/>
            <w:hideMark/>
          </w:tcPr>
          <w:p w14:paraId="0831E6C7"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w:t>
            </w:r>
          </w:p>
        </w:tc>
        <w:tc>
          <w:tcPr>
            <w:tcW w:w="212" w:type="pct"/>
            <w:tcBorders>
              <w:top w:val="nil"/>
              <w:left w:val="nil"/>
              <w:bottom w:val="single" w:sz="4" w:space="0" w:color="auto"/>
              <w:right w:val="nil"/>
            </w:tcBorders>
            <w:shd w:val="clear" w:color="000000" w:fill="243782"/>
            <w:noWrap/>
            <w:vAlign w:val="center"/>
            <w:hideMark/>
          </w:tcPr>
          <w:p w14:paraId="7D6F1065"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w:t>
            </w:r>
          </w:p>
        </w:tc>
        <w:tc>
          <w:tcPr>
            <w:tcW w:w="212" w:type="pct"/>
            <w:tcBorders>
              <w:top w:val="nil"/>
              <w:left w:val="nil"/>
              <w:bottom w:val="single" w:sz="4" w:space="0" w:color="auto"/>
              <w:right w:val="nil"/>
            </w:tcBorders>
            <w:shd w:val="clear" w:color="000000" w:fill="243782"/>
            <w:noWrap/>
            <w:vAlign w:val="center"/>
            <w:hideMark/>
          </w:tcPr>
          <w:p w14:paraId="28D4E40F"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5</w:t>
            </w:r>
          </w:p>
        </w:tc>
        <w:tc>
          <w:tcPr>
            <w:tcW w:w="212" w:type="pct"/>
            <w:tcBorders>
              <w:top w:val="nil"/>
              <w:left w:val="nil"/>
              <w:bottom w:val="single" w:sz="4" w:space="0" w:color="auto"/>
              <w:right w:val="nil"/>
            </w:tcBorders>
            <w:shd w:val="clear" w:color="000000" w:fill="243782"/>
            <w:noWrap/>
            <w:vAlign w:val="center"/>
            <w:hideMark/>
          </w:tcPr>
          <w:p w14:paraId="0A3DE68C"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6</w:t>
            </w:r>
          </w:p>
        </w:tc>
        <w:tc>
          <w:tcPr>
            <w:tcW w:w="212" w:type="pct"/>
            <w:tcBorders>
              <w:top w:val="nil"/>
              <w:left w:val="nil"/>
              <w:bottom w:val="single" w:sz="4" w:space="0" w:color="auto"/>
              <w:right w:val="nil"/>
            </w:tcBorders>
            <w:shd w:val="clear" w:color="000000" w:fill="243782"/>
            <w:noWrap/>
            <w:vAlign w:val="center"/>
            <w:hideMark/>
          </w:tcPr>
          <w:p w14:paraId="03C24D33"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7</w:t>
            </w:r>
          </w:p>
        </w:tc>
        <w:tc>
          <w:tcPr>
            <w:tcW w:w="212" w:type="pct"/>
            <w:tcBorders>
              <w:top w:val="nil"/>
              <w:left w:val="nil"/>
              <w:bottom w:val="single" w:sz="4" w:space="0" w:color="auto"/>
              <w:right w:val="nil"/>
            </w:tcBorders>
            <w:shd w:val="clear" w:color="000000" w:fill="243782"/>
            <w:noWrap/>
            <w:vAlign w:val="center"/>
            <w:hideMark/>
          </w:tcPr>
          <w:p w14:paraId="501843D1"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8</w:t>
            </w:r>
          </w:p>
        </w:tc>
        <w:tc>
          <w:tcPr>
            <w:tcW w:w="212" w:type="pct"/>
            <w:tcBorders>
              <w:top w:val="nil"/>
              <w:left w:val="nil"/>
              <w:bottom w:val="single" w:sz="4" w:space="0" w:color="auto"/>
              <w:right w:val="nil"/>
            </w:tcBorders>
            <w:shd w:val="clear" w:color="000000" w:fill="243782"/>
            <w:noWrap/>
            <w:vAlign w:val="center"/>
            <w:hideMark/>
          </w:tcPr>
          <w:p w14:paraId="4DEE7BCC"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9</w:t>
            </w:r>
          </w:p>
        </w:tc>
        <w:tc>
          <w:tcPr>
            <w:tcW w:w="212" w:type="pct"/>
            <w:tcBorders>
              <w:top w:val="nil"/>
              <w:left w:val="nil"/>
              <w:bottom w:val="single" w:sz="4" w:space="0" w:color="auto"/>
              <w:right w:val="nil"/>
            </w:tcBorders>
            <w:shd w:val="clear" w:color="000000" w:fill="243782"/>
            <w:noWrap/>
            <w:vAlign w:val="center"/>
            <w:hideMark/>
          </w:tcPr>
          <w:p w14:paraId="511016E7"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10</w:t>
            </w:r>
          </w:p>
        </w:tc>
        <w:tc>
          <w:tcPr>
            <w:tcW w:w="212" w:type="pct"/>
            <w:tcBorders>
              <w:top w:val="nil"/>
              <w:left w:val="nil"/>
              <w:bottom w:val="single" w:sz="4" w:space="0" w:color="auto"/>
              <w:right w:val="nil"/>
            </w:tcBorders>
            <w:shd w:val="clear" w:color="000000" w:fill="243782"/>
            <w:noWrap/>
            <w:vAlign w:val="center"/>
            <w:hideMark/>
          </w:tcPr>
          <w:p w14:paraId="714B74EE"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11</w:t>
            </w:r>
          </w:p>
        </w:tc>
        <w:tc>
          <w:tcPr>
            <w:tcW w:w="212" w:type="pct"/>
            <w:tcBorders>
              <w:top w:val="nil"/>
              <w:left w:val="nil"/>
              <w:bottom w:val="single" w:sz="4" w:space="0" w:color="auto"/>
              <w:right w:val="nil"/>
            </w:tcBorders>
            <w:shd w:val="clear" w:color="000000" w:fill="243782"/>
            <w:noWrap/>
            <w:vAlign w:val="center"/>
            <w:hideMark/>
          </w:tcPr>
          <w:p w14:paraId="76D1C691"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12</w:t>
            </w:r>
          </w:p>
        </w:tc>
        <w:tc>
          <w:tcPr>
            <w:tcW w:w="212" w:type="pct"/>
            <w:tcBorders>
              <w:top w:val="nil"/>
              <w:left w:val="nil"/>
              <w:bottom w:val="single" w:sz="4" w:space="0" w:color="auto"/>
              <w:right w:val="nil"/>
            </w:tcBorders>
            <w:shd w:val="clear" w:color="000000" w:fill="243782"/>
            <w:noWrap/>
            <w:vAlign w:val="center"/>
            <w:hideMark/>
          </w:tcPr>
          <w:p w14:paraId="68BBAF78"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13</w:t>
            </w:r>
          </w:p>
        </w:tc>
        <w:tc>
          <w:tcPr>
            <w:tcW w:w="212" w:type="pct"/>
            <w:tcBorders>
              <w:top w:val="nil"/>
              <w:left w:val="nil"/>
              <w:bottom w:val="single" w:sz="4" w:space="0" w:color="auto"/>
              <w:right w:val="nil"/>
            </w:tcBorders>
            <w:shd w:val="clear" w:color="000000" w:fill="243782"/>
            <w:noWrap/>
            <w:vAlign w:val="center"/>
            <w:hideMark/>
          </w:tcPr>
          <w:p w14:paraId="0347861C"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14</w:t>
            </w:r>
          </w:p>
        </w:tc>
        <w:tc>
          <w:tcPr>
            <w:tcW w:w="212" w:type="pct"/>
            <w:tcBorders>
              <w:top w:val="nil"/>
              <w:left w:val="nil"/>
              <w:bottom w:val="single" w:sz="4" w:space="0" w:color="auto"/>
              <w:right w:val="nil"/>
            </w:tcBorders>
            <w:shd w:val="clear" w:color="000000" w:fill="243782"/>
            <w:noWrap/>
            <w:vAlign w:val="center"/>
            <w:hideMark/>
          </w:tcPr>
          <w:p w14:paraId="69F088C8"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15</w:t>
            </w:r>
          </w:p>
        </w:tc>
      </w:tr>
      <w:tr w:rsidR="002D2278" w:rsidRPr="002D2278" w14:paraId="634BF893" w14:textId="77777777" w:rsidTr="002D2278">
        <w:trPr>
          <w:trHeight w:val="20"/>
        </w:trPr>
        <w:tc>
          <w:tcPr>
            <w:tcW w:w="663" w:type="pct"/>
            <w:tcBorders>
              <w:top w:val="nil"/>
              <w:left w:val="nil"/>
              <w:bottom w:val="nil"/>
              <w:right w:val="nil"/>
            </w:tcBorders>
            <w:shd w:val="clear" w:color="000000" w:fill="FFFFFF"/>
            <w:noWrap/>
            <w:vAlign w:val="center"/>
            <w:hideMark/>
          </w:tcPr>
          <w:p w14:paraId="11B22512" w14:textId="121F4108"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2013........................................</w:t>
            </w:r>
          </w:p>
        </w:tc>
        <w:tc>
          <w:tcPr>
            <w:tcW w:w="449" w:type="pct"/>
            <w:tcBorders>
              <w:top w:val="nil"/>
              <w:left w:val="nil"/>
              <w:bottom w:val="nil"/>
              <w:right w:val="nil"/>
            </w:tcBorders>
            <w:shd w:val="clear" w:color="000000" w:fill="FFFFFF"/>
            <w:noWrap/>
            <w:vAlign w:val="bottom"/>
            <w:hideMark/>
          </w:tcPr>
          <w:p w14:paraId="7A44D8B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2013Q1</w:t>
            </w:r>
          </w:p>
        </w:tc>
        <w:tc>
          <w:tcPr>
            <w:tcW w:w="499" w:type="pct"/>
            <w:tcBorders>
              <w:top w:val="nil"/>
              <w:left w:val="nil"/>
              <w:bottom w:val="nil"/>
              <w:right w:val="nil"/>
            </w:tcBorders>
            <w:shd w:val="clear" w:color="000000" w:fill="FFFFFF"/>
            <w:noWrap/>
            <w:vAlign w:val="center"/>
            <w:hideMark/>
          </w:tcPr>
          <w:p w14:paraId="3E3BA32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2,984 </w:t>
            </w:r>
          </w:p>
        </w:tc>
        <w:tc>
          <w:tcPr>
            <w:tcW w:w="212" w:type="pct"/>
            <w:tcBorders>
              <w:top w:val="nil"/>
              <w:left w:val="nil"/>
              <w:bottom w:val="nil"/>
              <w:right w:val="nil"/>
            </w:tcBorders>
            <w:shd w:val="clear" w:color="000000" w:fill="FFFFFF"/>
            <w:noWrap/>
            <w:vAlign w:val="bottom"/>
            <w:hideMark/>
          </w:tcPr>
          <w:p w14:paraId="10EED69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41.80%</w:t>
            </w:r>
          </w:p>
        </w:tc>
        <w:tc>
          <w:tcPr>
            <w:tcW w:w="212" w:type="pct"/>
            <w:tcBorders>
              <w:top w:val="nil"/>
              <w:left w:val="nil"/>
              <w:bottom w:val="nil"/>
              <w:right w:val="nil"/>
            </w:tcBorders>
            <w:shd w:val="clear" w:color="000000" w:fill="FFFFFF"/>
            <w:noWrap/>
            <w:vAlign w:val="bottom"/>
            <w:hideMark/>
          </w:tcPr>
          <w:p w14:paraId="35AAA33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52.38%</w:t>
            </w:r>
          </w:p>
        </w:tc>
        <w:tc>
          <w:tcPr>
            <w:tcW w:w="212" w:type="pct"/>
            <w:tcBorders>
              <w:top w:val="nil"/>
              <w:left w:val="nil"/>
              <w:bottom w:val="nil"/>
              <w:right w:val="nil"/>
            </w:tcBorders>
            <w:shd w:val="clear" w:color="000000" w:fill="FFFFFF"/>
            <w:noWrap/>
            <w:vAlign w:val="bottom"/>
            <w:hideMark/>
          </w:tcPr>
          <w:p w14:paraId="6E44385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53.78%</w:t>
            </w:r>
          </w:p>
        </w:tc>
        <w:tc>
          <w:tcPr>
            <w:tcW w:w="212" w:type="pct"/>
            <w:tcBorders>
              <w:top w:val="nil"/>
              <w:left w:val="nil"/>
              <w:bottom w:val="nil"/>
              <w:right w:val="nil"/>
            </w:tcBorders>
            <w:shd w:val="clear" w:color="000000" w:fill="FFFFFF"/>
            <w:noWrap/>
            <w:vAlign w:val="bottom"/>
            <w:hideMark/>
          </w:tcPr>
          <w:p w14:paraId="4A3246C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54.17%</w:t>
            </w:r>
          </w:p>
        </w:tc>
        <w:tc>
          <w:tcPr>
            <w:tcW w:w="212" w:type="pct"/>
            <w:tcBorders>
              <w:top w:val="nil"/>
              <w:left w:val="nil"/>
              <w:bottom w:val="nil"/>
              <w:right w:val="nil"/>
            </w:tcBorders>
            <w:shd w:val="clear" w:color="000000" w:fill="FFFFFF"/>
            <w:noWrap/>
            <w:vAlign w:val="bottom"/>
            <w:hideMark/>
          </w:tcPr>
          <w:p w14:paraId="05D162B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54.54%</w:t>
            </w:r>
          </w:p>
        </w:tc>
        <w:tc>
          <w:tcPr>
            <w:tcW w:w="212" w:type="pct"/>
            <w:tcBorders>
              <w:top w:val="nil"/>
              <w:left w:val="nil"/>
              <w:bottom w:val="nil"/>
              <w:right w:val="nil"/>
            </w:tcBorders>
            <w:shd w:val="clear" w:color="000000" w:fill="FFFFFF"/>
            <w:noWrap/>
            <w:vAlign w:val="bottom"/>
            <w:hideMark/>
          </w:tcPr>
          <w:p w14:paraId="4CC4989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54.78%</w:t>
            </w:r>
          </w:p>
        </w:tc>
        <w:tc>
          <w:tcPr>
            <w:tcW w:w="212" w:type="pct"/>
            <w:tcBorders>
              <w:top w:val="nil"/>
              <w:left w:val="nil"/>
              <w:bottom w:val="nil"/>
              <w:right w:val="nil"/>
            </w:tcBorders>
            <w:shd w:val="clear" w:color="000000" w:fill="FFFFFF"/>
            <w:noWrap/>
            <w:vAlign w:val="bottom"/>
            <w:hideMark/>
          </w:tcPr>
          <w:p w14:paraId="2D1F973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55.37%</w:t>
            </w:r>
          </w:p>
        </w:tc>
        <w:tc>
          <w:tcPr>
            <w:tcW w:w="212" w:type="pct"/>
            <w:tcBorders>
              <w:top w:val="nil"/>
              <w:left w:val="nil"/>
              <w:bottom w:val="nil"/>
              <w:right w:val="nil"/>
            </w:tcBorders>
            <w:shd w:val="clear" w:color="000000" w:fill="FFFFFF"/>
            <w:noWrap/>
            <w:vAlign w:val="bottom"/>
            <w:hideMark/>
          </w:tcPr>
          <w:p w14:paraId="2FF95DE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55.56%</w:t>
            </w:r>
          </w:p>
        </w:tc>
        <w:tc>
          <w:tcPr>
            <w:tcW w:w="212" w:type="pct"/>
            <w:tcBorders>
              <w:top w:val="nil"/>
              <w:left w:val="nil"/>
              <w:bottom w:val="nil"/>
              <w:right w:val="nil"/>
            </w:tcBorders>
            <w:shd w:val="clear" w:color="000000" w:fill="FFFFFF"/>
            <w:noWrap/>
            <w:vAlign w:val="bottom"/>
            <w:hideMark/>
          </w:tcPr>
          <w:p w14:paraId="0C93DB2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55.85%</w:t>
            </w:r>
          </w:p>
        </w:tc>
        <w:tc>
          <w:tcPr>
            <w:tcW w:w="212" w:type="pct"/>
            <w:tcBorders>
              <w:top w:val="nil"/>
              <w:left w:val="nil"/>
              <w:bottom w:val="nil"/>
              <w:right w:val="nil"/>
            </w:tcBorders>
            <w:shd w:val="clear" w:color="000000" w:fill="FFFFFF"/>
            <w:noWrap/>
            <w:vAlign w:val="bottom"/>
            <w:hideMark/>
          </w:tcPr>
          <w:p w14:paraId="1F4B538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56.07%</w:t>
            </w:r>
          </w:p>
        </w:tc>
        <w:tc>
          <w:tcPr>
            <w:tcW w:w="212" w:type="pct"/>
            <w:tcBorders>
              <w:top w:val="nil"/>
              <w:left w:val="nil"/>
              <w:bottom w:val="nil"/>
              <w:right w:val="nil"/>
            </w:tcBorders>
            <w:shd w:val="clear" w:color="000000" w:fill="FFFFFF"/>
            <w:noWrap/>
            <w:vAlign w:val="bottom"/>
            <w:hideMark/>
          </w:tcPr>
          <w:p w14:paraId="27CFBB7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56.42%</w:t>
            </w:r>
          </w:p>
        </w:tc>
        <w:tc>
          <w:tcPr>
            <w:tcW w:w="212" w:type="pct"/>
            <w:tcBorders>
              <w:top w:val="nil"/>
              <w:left w:val="nil"/>
              <w:bottom w:val="nil"/>
              <w:right w:val="nil"/>
            </w:tcBorders>
            <w:shd w:val="clear" w:color="000000" w:fill="FFFFFF"/>
            <w:noWrap/>
            <w:vAlign w:val="bottom"/>
            <w:hideMark/>
          </w:tcPr>
          <w:p w14:paraId="67573C7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57.01%</w:t>
            </w:r>
          </w:p>
        </w:tc>
        <w:tc>
          <w:tcPr>
            <w:tcW w:w="212" w:type="pct"/>
            <w:tcBorders>
              <w:top w:val="nil"/>
              <w:left w:val="nil"/>
              <w:bottom w:val="nil"/>
              <w:right w:val="nil"/>
            </w:tcBorders>
            <w:shd w:val="clear" w:color="000000" w:fill="FFFFFF"/>
            <w:noWrap/>
            <w:vAlign w:val="bottom"/>
            <w:hideMark/>
          </w:tcPr>
          <w:p w14:paraId="18B672B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57.36%</w:t>
            </w:r>
          </w:p>
        </w:tc>
        <w:tc>
          <w:tcPr>
            <w:tcW w:w="212" w:type="pct"/>
            <w:tcBorders>
              <w:top w:val="nil"/>
              <w:left w:val="nil"/>
              <w:bottom w:val="nil"/>
              <w:right w:val="nil"/>
            </w:tcBorders>
            <w:shd w:val="clear" w:color="000000" w:fill="FFFFFF"/>
            <w:noWrap/>
            <w:vAlign w:val="bottom"/>
            <w:hideMark/>
          </w:tcPr>
          <w:p w14:paraId="2A5BFB7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57.54%</w:t>
            </w:r>
          </w:p>
        </w:tc>
        <w:tc>
          <w:tcPr>
            <w:tcW w:w="212" w:type="pct"/>
            <w:tcBorders>
              <w:top w:val="nil"/>
              <w:left w:val="nil"/>
              <w:bottom w:val="nil"/>
              <w:right w:val="nil"/>
            </w:tcBorders>
            <w:shd w:val="clear" w:color="000000" w:fill="FFFFFF"/>
            <w:noWrap/>
            <w:vAlign w:val="bottom"/>
            <w:hideMark/>
          </w:tcPr>
          <w:p w14:paraId="25CB29C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57.70%</w:t>
            </w:r>
          </w:p>
        </w:tc>
        <w:tc>
          <w:tcPr>
            <w:tcW w:w="212" w:type="pct"/>
            <w:tcBorders>
              <w:top w:val="nil"/>
              <w:left w:val="nil"/>
              <w:bottom w:val="nil"/>
              <w:right w:val="nil"/>
            </w:tcBorders>
            <w:shd w:val="clear" w:color="000000" w:fill="FFFFFF"/>
            <w:noWrap/>
            <w:vAlign w:val="bottom"/>
            <w:hideMark/>
          </w:tcPr>
          <w:p w14:paraId="7E0D679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57.91%</w:t>
            </w:r>
          </w:p>
        </w:tc>
      </w:tr>
      <w:tr w:rsidR="002D2278" w:rsidRPr="002D2278" w14:paraId="74E235F1" w14:textId="77777777" w:rsidTr="002D2278">
        <w:trPr>
          <w:trHeight w:val="20"/>
        </w:trPr>
        <w:tc>
          <w:tcPr>
            <w:tcW w:w="663" w:type="pct"/>
            <w:tcBorders>
              <w:top w:val="nil"/>
              <w:left w:val="nil"/>
              <w:bottom w:val="nil"/>
              <w:right w:val="nil"/>
            </w:tcBorders>
            <w:shd w:val="clear" w:color="000000" w:fill="FFFFFF"/>
            <w:noWrap/>
            <w:vAlign w:val="center"/>
            <w:hideMark/>
          </w:tcPr>
          <w:p w14:paraId="748C0ED1" w14:textId="1B6C2C09"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2013..........................................</w:t>
            </w:r>
          </w:p>
        </w:tc>
        <w:tc>
          <w:tcPr>
            <w:tcW w:w="449" w:type="pct"/>
            <w:tcBorders>
              <w:top w:val="nil"/>
              <w:left w:val="nil"/>
              <w:bottom w:val="nil"/>
              <w:right w:val="nil"/>
            </w:tcBorders>
            <w:shd w:val="clear" w:color="000000" w:fill="FFFFFF"/>
            <w:noWrap/>
            <w:vAlign w:val="bottom"/>
            <w:hideMark/>
          </w:tcPr>
          <w:p w14:paraId="3C216BF3"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2013Q2</w:t>
            </w:r>
          </w:p>
        </w:tc>
        <w:tc>
          <w:tcPr>
            <w:tcW w:w="499" w:type="pct"/>
            <w:tcBorders>
              <w:top w:val="nil"/>
              <w:left w:val="nil"/>
              <w:bottom w:val="nil"/>
              <w:right w:val="nil"/>
            </w:tcBorders>
            <w:shd w:val="clear" w:color="000000" w:fill="FFFFFF"/>
            <w:noWrap/>
            <w:vAlign w:val="center"/>
            <w:hideMark/>
          </w:tcPr>
          <w:p w14:paraId="6937253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3,254 </w:t>
            </w:r>
          </w:p>
        </w:tc>
        <w:tc>
          <w:tcPr>
            <w:tcW w:w="212" w:type="pct"/>
            <w:tcBorders>
              <w:top w:val="nil"/>
              <w:left w:val="nil"/>
              <w:bottom w:val="nil"/>
              <w:right w:val="nil"/>
            </w:tcBorders>
            <w:shd w:val="clear" w:color="000000" w:fill="FFFFFF"/>
            <w:noWrap/>
            <w:vAlign w:val="bottom"/>
            <w:hideMark/>
          </w:tcPr>
          <w:p w14:paraId="039B83F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32.54%</w:t>
            </w:r>
          </w:p>
        </w:tc>
        <w:tc>
          <w:tcPr>
            <w:tcW w:w="212" w:type="pct"/>
            <w:tcBorders>
              <w:top w:val="nil"/>
              <w:left w:val="nil"/>
              <w:bottom w:val="nil"/>
              <w:right w:val="nil"/>
            </w:tcBorders>
            <w:shd w:val="clear" w:color="000000" w:fill="FFFFFF"/>
            <w:noWrap/>
            <w:vAlign w:val="bottom"/>
            <w:hideMark/>
          </w:tcPr>
          <w:p w14:paraId="0021DA5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53.17%</w:t>
            </w:r>
          </w:p>
        </w:tc>
        <w:tc>
          <w:tcPr>
            <w:tcW w:w="212" w:type="pct"/>
            <w:tcBorders>
              <w:top w:val="nil"/>
              <w:left w:val="nil"/>
              <w:bottom w:val="nil"/>
              <w:right w:val="nil"/>
            </w:tcBorders>
            <w:shd w:val="clear" w:color="000000" w:fill="FFFFFF"/>
            <w:noWrap/>
            <w:vAlign w:val="bottom"/>
            <w:hideMark/>
          </w:tcPr>
          <w:p w14:paraId="2DC320D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54.61%</w:t>
            </w:r>
          </w:p>
        </w:tc>
        <w:tc>
          <w:tcPr>
            <w:tcW w:w="212" w:type="pct"/>
            <w:tcBorders>
              <w:top w:val="nil"/>
              <w:left w:val="nil"/>
              <w:bottom w:val="nil"/>
              <w:right w:val="nil"/>
            </w:tcBorders>
            <w:shd w:val="clear" w:color="000000" w:fill="FFFFFF"/>
            <w:noWrap/>
            <w:vAlign w:val="bottom"/>
            <w:hideMark/>
          </w:tcPr>
          <w:p w14:paraId="31D09A8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55.49%</w:t>
            </w:r>
          </w:p>
        </w:tc>
        <w:tc>
          <w:tcPr>
            <w:tcW w:w="212" w:type="pct"/>
            <w:tcBorders>
              <w:top w:val="nil"/>
              <w:left w:val="nil"/>
              <w:bottom w:val="nil"/>
              <w:right w:val="nil"/>
            </w:tcBorders>
            <w:shd w:val="clear" w:color="000000" w:fill="FFFFFF"/>
            <w:noWrap/>
            <w:vAlign w:val="bottom"/>
            <w:hideMark/>
          </w:tcPr>
          <w:p w14:paraId="2AC4DF8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56.11%</w:t>
            </w:r>
          </w:p>
        </w:tc>
        <w:tc>
          <w:tcPr>
            <w:tcW w:w="212" w:type="pct"/>
            <w:tcBorders>
              <w:top w:val="nil"/>
              <w:left w:val="nil"/>
              <w:bottom w:val="nil"/>
              <w:right w:val="nil"/>
            </w:tcBorders>
            <w:shd w:val="clear" w:color="000000" w:fill="FFFFFF"/>
            <w:noWrap/>
            <w:vAlign w:val="bottom"/>
            <w:hideMark/>
          </w:tcPr>
          <w:p w14:paraId="5DC0C1A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56.76%</w:t>
            </w:r>
          </w:p>
        </w:tc>
        <w:tc>
          <w:tcPr>
            <w:tcW w:w="212" w:type="pct"/>
            <w:tcBorders>
              <w:top w:val="nil"/>
              <w:left w:val="nil"/>
              <w:bottom w:val="nil"/>
              <w:right w:val="nil"/>
            </w:tcBorders>
            <w:shd w:val="clear" w:color="000000" w:fill="FFFFFF"/>
            <w:noWrap/>
            <w:vAlign w:val="bottom"/>
            <w:hideMark/>
          </w:tcPr>
          <w:p w14:paraId="46D2A5B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57.04%</w:t>
            </w:r>
          </w:p>
        </w:tc>
        <w:tc>
          <w:tcPr>
            <w:tcW w:w="212" w:type="pct"/>
            <w:tcBorders>
              <w:top w:val="nil"/>
              <w:left w:val="nil"/>
              <w:bottom w:val="nil"/>
              <w:right w:val="nil"/>
            </w:tcBorders>
            <w:shd w:val="clear" w:color="000000" w:fill="FFFFFF"/>
            <w:noWrap/>
            <w:vAlign w:val="bottom"/>
            <w:hideMark/>
          </w:tcPr>
          <w:p w14:paraId="1A2C739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57.43%</w:t>
            </w:r>
          </w:p>
        </w:tc>
        <w:tc>
          <w:tcPr>
            <w:tcW w:w="212" w:type="pct"/>
            <w:tcBorders>
              <w:top w:val="nil"/>
              <w:left w:val="nil"/>
              <w:bottom w:val="nil"/>
              <w:right w:val="nil"/>
            </w:tcBorders>
            <w:shd w:val="clear" w:color="000000" w:fill="FFFFFF"/>
            <w:noWrap/>
            <w:vAlign w:val="bottom"/>
            <w:hideMark/>
          </w:tcPr>
          <w:p w14:paraId="365A2E7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57.94%</w:t>
            </w:r>
          </w:p>
        </w:tc>
        <w:tc>
          <w:tcPr>
            <w:tcW w:w="212" w:type="pct"/>
            <w:tcBorders>
              <w:top w:val="nil"/>
              <w:left w:val="nil"/>
              <w:bottom w:val="nil"/>
              <w:right w:val="nil"/>
            </w:tcBorders>
            <w:shd w:val="clear" w:color="000000" w:fill="FFFFFF"/>
            <w:noWrap/>
            <w:vAlign w:val="bottom"/>
            <w:hideMark/>
          </w:tcPr>
          <w:p w14:paraId="3CB6165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58.46%</w:t>
            </w:r>
          </w:p>
        </w:tc>
        <w:tc>
          <w:tcPr>
            <w:tcW w:w="212" w:type="pct"/>
            <w:tcBorders>
              <w:top w:val="nil"/>
              <w:left w:val="nil"/>
              <w:bottom w:val="nil"/>
              <w:right w:val="nil"/>
            </w:tcBorders>
            <w:shd w:val="clear" w:color="000000" w:fill="FFFFFF"/>
            <w:noWrap/>
            <w:vAlign w:val="bottom"/>
            <w:hideMark/>
          </w:tcPr>
          <w:p w14:paraId="3084433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58.77%</w:t>
            </w:r>
          </w:p>
        </w:tc>
        <w:tc>
          <w:tcPr>
            <w:tcW w:w="212" w:type="pct"/>
            <w:tcBorders>
              <w:top w:val="nil"/>
              <w:left w:val="nil"/>
              <w:bottom w:val="nil"/>
              <w:right w:val="nil"/>
            </w:tcBorders>
            <w:shd w:val="clear" w:color="000000" w:fill="FFFFFF"/>
            <w:noWrap/>
            <w:vAlign w:val="bottom"/>
            <w:hideMark/>
          </w:tcPr>
          <w:p w14:paraId="5D13DB5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59.04%</w:t>
            </w:r>
          </w:p>
        </w:tc>
        <w:tc>
          <w:tcPr>
            <w:tcW w:w="212" w:type="pct"/>
            <w:tcBorders>
              <w:top w:val="nil"/>
              <w:left w:val="nil"/>
              <w:bottom w:val="nil"/>
              <w:right w:val="nil"/>
            </w:tcBorders>
            <w:shd w:val="clear" w:color="000000" w:fill="FFFFFF"/>
            <w:noWrap/>
            <w:vAlign w:val="bottom"/>
            <w:hideMark/>
          </w:tcPr>
          <w:p w14:paraId="5DD184B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59.43%</w:t>
            </w:r>
          </w:p>
        </w:tc>
        <w:tc>
          <w:tcPr>
            <w:tcW w:w="212" w:type="pct"/>
            <w:tcBorders>
              <w:top w:val="nil"/>
              <w:left w:val="nil"/>
              <w:bottom w:val="nil"/>
              <w:right w:val="nil"/>
            </w:tcBorders>
            <w:shd w:val="clear" w:color="000000" w:fill="FFFFFF"/>
            <w:noWrap/>
            <w:vAlign w:val="bottom"/>
            <w:hideMark/>
          </w:tcPr>
          <w:p w14:paraId="49DC8B7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59.71%</w:t>
            </w:r>
          </w:p>
        </w:tc>
        <w:tc>
          <w:tcPr>
            <w:tcW w:w="212" w:type="pct"/>
            <w:tcBorders>
              <w:top w:val="nil"/>
              <w:left w:val="nil"/>
              <w:bottom w:val="nil"/>
              <w:right w:val="nil"/>
            </w:tcBorders>
            <w:shd w:val="clear" w:color="000000" w:fill="FFFFFF"/>
            <w:noWrap/>
            <w:vAlign w:val="bottom"/>
            <w:hideMark/>
          </w:tcPr>
          <w:p w14:paraId="2CDE1B4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60.00%</w:t>
            </w:r>
          </w:p>
        </w:tc>
        <w:tc>
          <w:tcPr>
            <w:tcW w:w="212" w:type="pct"/>
            <w:tcBorders>
              <w:top w:val="nil"/>
              <w:left w:val="nil"/>
              <w:bottom w:val="nil"/>
              <w:right w:val="nil"/>
            </w:tcBorders>
            <w:shd w:val="clear" w:color="000000" w:fill="FFFFFF"/>
            <w:noWrap/>
            <w:vAlign w:val="bottom"/>
            <w:hideMark/>
          </w:tcPr>
          <w:p w14:paraId="5FCA747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60.30%</w:t>
            </w:r>
          </w:p>
        </w:tc>
      </w:tr>
      <w:tr w:rsidR="002D2278" w:rsidRPr="002D2278" w14:paraId="48E3DF0B" w14:textId="77777777" w:rsidTr="002D2278">
        <w:trPr>
          <w:trHeight w:val="20"/>
        </w:trPr>
        <w:tc>
          <w:tcPr>
            <w:tcW w:w="663" w:type="pct"/>
            <w:tcBorders>
              <w:top w:val="nil"/>
              <w:left w:val="nil"/>
              <w:bottom w:val="nil"/>
              <w:right w:val="nil"/>
            </w:tcBorders>
            <w:shd w:val="clear" w:color="000000" w:fill="FFFFFF"/>
            <w:noWrap/>
            <w:vAlign w:val="center"/>
            <w:hideMark/>
          </w:tcPr>
          <w:p w14:paraId="253C5A69"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2013..............................</w:t>
            </w:r>
          </w:p>
        </w:tc>
        <w:tc>
          <w:tcPr>
            <w:tcW w:w="449" w:type="pct"/>
            <w:tcBorders>
              <w:top w:val="nil"/>
              <w:left w:val="nil"/>
              <w:bottom w:val="nil"/>
              <w:right w:val="nil"/>
            </w:tcBorders>
            <w:shd w:val="clear" w:color="000000" w:fill="FFFFFF"/>
            <w:noWrap/>
            <w:vAlign w:val="bottom"/>
            <w:hideMark/>
          </w:tcPr>
          <w:p w14:paraId="17652B5D"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2013Q3</w:t>
            </w:r>
          </w:p>
        </w:tc>
        <w:tc>
          <w:tcPr>
            <w:tcW w:w="499" w:type="pct"/>
            <w:tcBorders>
              <w:top w:val="nil"/>
              <w:left w:val="nil"/>
              <w:bottom w:val="nil"/>
              <w:right w:val="nil"/>
            </w:tcBorders>
            <w:shd w:val="clear" w:color="000000" w:fill="FFFFFF"/>
            <w:noWrap/>
            <w:vAlign w:val="center"/>
            <w:hideMark/>
          </w:tcPr>
          <w:p w14:paraId="1F3D51A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2,554 </w:t>
            </w:r>
          </w:p>
        </w:tc>
        <w:tc>
          <w:tcPr>
            <w:tcW w:w="212" w:type="pct"/>
            <w:tcBorders>
              <w:top w:val="nil"/>
              <w:left w:val="nil"/>
              <w:bottom w:val="nil"/>
              <w:right w:val="nil"/>
            </w:tcBorders>
            <w:shd w:val="clear" w:color="000000" w:fill="FFFFFF"/>
            <w:noWrap/>
            <w:vAlign w:val="bottom"/>
            <w:hideMark/>
          </w:tcPr>
          <w:p w14:paraId="0E711B8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31.11%</w:t>
            </w:r>
          </w:p>
        </w:tc>
        <w:tc>
          <w:tcPr>
            <w:tcW w:w="212" w:type="pct"/>
            <w:tcBorders>
              <w:top w:val="nil"/>
              <w:left w:val="nil"/>
              <w:bottom w:val="nil"/>
              <w:right w:val="nil"/>
            </w:tcBorders>
            <w:shd w:val="clear" w:color="000000" w:fill="FFFFFF"/>
            <w:noWrap/>
            <w:vAlign w:val="bottom"/>
            <w:hideMark/>
          </w:tcPr>
          <w:p w14:paraId="2438D61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48.36%</w:t>
            </w:r>
          </w:p>
        </w:tc>
        <w:tc>
          <w:tcPr>
            <w:tcW w:w="212" w:type="pct"/>
            <w:tcBorders>
              <w:top w:val="nil"/>
              <w:left w:val="nil"/>
              <w:bottom w:val="nil"/>
              <w:right w:val="nil"/>
            </w:tcBorders>
            <w:shd w:val="clear" w:color="000000" w:fill="FFFFFF"/>
            <w:noWrap/>
            <w:vAlign w:val="bottom"/>
            <w:hideMark/>
          </w:tcPr>
          <w:p w14:paraId="3379187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49.94%</w:t>
            </w:r>
          </w:p>
        </w:tc>
        <w:tc>
          <w:tcPr>
            <w:tcW w:w="212" w:type="pct"/>
            <w:tcBorders>
              <w:top w:val="nil"/>
              <w:left w:val="nil"/>
              <w:bottom w:val="nil"/>
              <w:right w:val="nil"/>
            </w:tcBorders>
            <w:shd w:val="clear" w:color="000000" w:fill="FFFFFF"/>
            <w:noWrap/>
            <w:vAlign w:val="bottom"/>
            <w:hideMark/>
          </w:tcPr>
          <w:p w14:paraId="47ACD30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50.77%</w:t>
            </w:r>
          </w:p>
        </w:tc>
        <w:tc>
          <w:tcPr>
            <w:tcW w:w="212" w:type="pct"/>
            <w:tcBorders>
              <w:top w:val="nil"/>
              <w:left w:val="nil"/>
              <w:bottom w:val="nil"/>
              <w:right w:val="nil"/>
            </w:tcBorders>
            <w:shd w:val="clear" w:color="000000" w:fill="FFFFFF"/>
            <w:noWrap/>
            <w:vAlign w:val="bottom"/>
            <w:hideMark/>
          </w:tcPr>
          <w:p w14:paraId="4C2914D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51.61%</w:t>
            </w:r>
          </w:p>
        </w:tc>
        <w:tc>
          <w:tcPr>
            <w:tcW w:w="212" w:type="pct"/>
            <w:tcBorders>
              <w:top w:val="nil"/>
              <w:left w:val="nil"/>
              <w:bottom w:val="nil"/>
              <w:right w:val="nil"/>
            </w:tcBorders>
            <w:shd w:val="clear" w:color="000000" w:fill="FFFFFF"/>
            <w:noWrap/>
            <w:vAlign w:val="bottom"/>
            <w:hideMark/>
          </w:tcPr>
          <w:p w14:paraId="5F11D07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52.46%</w:t>
            </w:r>
          </w:p>
        </w:tc>
        <w:tc>
          <w:tcPr>
            <w:tcW w:w="212" w:type="pct"/>
            <w:tcBorders>
              <w:top w:val="nil"/>
              <w:left w:val="nil"/>
              <w:bottom w:val="nil"/>
              <w:right w:val="nil"/>
            </w:tcBorders>
            <w:shd w:val="clear" w:color="000000" w:fill="FFFFFF"/>
            <w:noWrap/>
            <w:vAlign w:val="bottom"/>
            <w:hideMark/>
          </w:tcPr>
          <w:p w14:paraId="4976C32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53.02%</w:t>
            </w:r>
          </w:p>
        </w:tc>
        <w:tc>
          <w:tcPr>
            <w:tcW w:w="212" w:type="pct"/>
            <w:tcBorders>
              <w:top w:val="nil"/>
              <w:left w:val="nil"/>
              <w:bottom w:val="nil"/>
              <w:right w:val="nil"/>
            </w:tcBorders>
            <w:shd w:val="clear" w:color="000000" w:fill="FFFFFF"/>
            <w:noWrap/>
            <w:vAlign w:val="bottom"/>
            <w:hideMark/>
          </w:tcPr>
          <w:p w14:paraId="6C28FD1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53.39%</w:t>
            </w:r>
          </w:p>
        </w:tc>
        <w:tc>
          <w:tcPr>
            <w:tcW w:w="212" w:type="pct"/>
            <w:tcBorders>
              <w:top w:val="nil"/>
              <w:left w:val="nil"/>
              <w:bottom w:val="nil"/>
              <w:right w:val="nil"/>
            </w:tcBorders>
            <w:shd w:val="clear" w:color="000000" w:fill="FFFFFF"/>
            <w:noWrap/>
            <w:vAlign w:val="bottom"/>
            <w:hideMark/>
          </w:tcPr>
          <w:p w14:paraId="7B8334D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54.77%</w:t>
            </w:r>
          </w:p>
        </w:tc>
        <w:tc>
          <w:tcPr>
            <w:tcW w:w="212" w:type="pct"/>
            <w:tcBorders>
              <w:top w:val="nil"/>
              <w:left w:val="nil"/>
              <w:bottom w:val="nil"/>
              <w:right w:val="nil"/>
            </w:tcBorders>
            <w:shd w:val="clear" w:color="000000" w:fill="FFFFFF"/>
            <w:noWrap/>
            <w:vAlign w:val="bottom"/>
            <w:hideMark/>
          </w:tcPr>
          <w:p w14:paraId="738F57A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55.74%</w:t>
            </w:r>
          </w:p>
        </w:tc>
        <w:tc>
          <w:tcPr>
            <w:tcW w:w="212" w:type="pct"/>
            <w:tcBorders>
              <w:top w:val="nil"/>
              <w:left w:val="nil"/>
              <w:bottom w:val="nil"/>
              <w:right w:val="nil"/>
            </w:tcBorders>
            <w:shd w:val="clear" w:color="000000" w:fill="FFFFFF"/>
            <w:noWrap/>
            <w:vAlign w:val="bottom"/>
            <w:hideMark/>
          </w:tcPr>
          <w:p w14:paraId="5D226E0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55.97%</w:t>
            </w:r>
          </w:p>
        </w:tc>
        <w:tc>
          <w:tcPr>
            <w:tcW w:w="212" w:type="pct"/>
            <w:tcBorders>
              <w:top w:val="nil"/>
              <w:left w:val="nil"/>
              <w:bottom w:val="nil"/>
              <w:right w:val="nil"/>
            </w:tcBorders>
            <w:shd w:val="clear" w:color="000000" w:fill="FFFFFF"/>
            <w:noWrap/>
            <w:vAlign w:val="bottom"/>
            <w:hideMark/>
          </w:tcPr>
          <w:p w14:paraId="0CE3934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56.36%</w:t>
            </w:r>
          </w:p>
        </w:tc>
        <w:tc>
          <w:tcPr>
            <w:tcW w:w="212" w:type="pct"/>
            <w:tcBorders>
              <w:top w:val="nil"/>
              <w:left w:val="nil"/>
              <w:bottom w:val="nil"/>
              <w:right w:val="nil"/>
            </w:tcBorders>
            <w:shd w:val="clear" w:color="000000" w:fill="FFFFFF"/>
            <w:noWrap/>
            <w:vAlign w:val="bottom"/>
            <w:hideMark/>
          </w:tcPr>
          <w:p w14:paraId="1194EB8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56.69%</w:t>
            </w:r>
          </w:p>
        </w:tc>
        <w:tc>
          <w:tcPr>
            <w:tcW w:w="212" w:type="pct"/>
            <w:tcBorders>
              <w:top w:val="nil"/>
              <w:left w:val="nil"/>
              <w:bottom w:val="nil"/>
              <w:right w:val="nil"/>
            </w:tcBorders>
            <w:shd w:val="clear" w:color="000000" w:fill="FFFFFF"/>
            <w:noWrap/>
            <w:vAlign w:val="bottom"/>
            <w:hideMark/>
          </w:tcPr>
          <w:p w14:paraId="191B3A8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57.40%</w:t>
            </w:r>
          </w:p>
        </w:tc>
        <w:tc>
          <w:tcPr>
            <w:tcW w:w="212" w:type="pct"/>
            <w:tcBorders>
              <w:top w:val="nil"/>
              <w:left w:val="nil"/>
              <w:bottom w:val="nil"/>
              <w:right w:val="nil"/>
            </w:tcBorders>
            <w:shd w:val="clear" w:color="000000" w:fill="FFFFFF"/>
            <w:noWrap/>
            <w:vAlign w:val="bottom"/>
            <w:hideMark/>
          </w:tcPr>
          <w:p w14:paraId="44A1539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57.57%</w:t>
            </w:r>
          </w:p>
        </w:tc>
        <w:tc>
          <w:tcPr>
            <w:tcW w:w="212" w:type="pct"/>
            <w:tcBorders>
              <w:top w:val="nil"/>
              <w:left w:val="nil"/>
              <w:bottom w:val="nil"/>
              <w:right w:val="nil"/>
            </w:tcBorders>
            <w:shd w:val="clear" w:color="000000" w:fill="FFFFFF"/>
            <w:noWrap/>
            <w:vAlign w:val="bottom"/>
            <w:hideMark/>
          </w:tcPr>
          <w:p w14:paraId="7C11909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58.11%</w:t>
            </w:r>
          </w:p>
        </w:tc>
      </w:tr>
      <w:tr w:rsidR="002D2278" w:rsidRPr="002D2278" w14:paraId="3B44DCD9" w14:textId="77777777" w:rsidTr="002D2278">
        <w:trPr>
          <w:trHeight w:val="20"/>
        </w:trPr>
        <w:tc>
          <w:tcPr>
            <w:tcW w:w="663" w:type="pct"/>
            <w:tcBorders>
              <w:top w:val="nil"/>
              <w:left w:val="nil"/>
              <w:bottom w:val="nil"/>
              <w:right w:val="nil"/>
            </w:tcBorders>
            <w:shd w:val="clear" w:color="000000" w:fill="FFFFFF"/>
            <w:noWrap/>
            <w:vAlign w:val="center"/>
            <w:hideMark/>
          </w:tcPr>
          <w:p w14:paraId="68F09737" w14:textId="1B5B23AD"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2013...............................</w:t>
            </w:r>
          </w:p>
        </w:tc>
        <w:tc>
          <w:tcPr>
            <w:tcW w:w="449" w:type="pct"/>
            <w:tcBorders>
              <w:top w:val="nil"/>
              <w:left w:val="nil"/>
              <w:bottom w:val="nil"/>
              <w:right w:val="nil"/>
            </w:tcBorders>
            <w:shd w:val="clear" w:color="000000" w:fill="FFFFFF"/>
            <w:noWrap/>
            <w:vAlign w:val="bottom"/>
            <w:hideMark/>
          </w:tcPr>
          <w:p w14:paraId="70E5FA3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2013Q4</w:t>
            </w:r>
          </w:p>
        </w:tc>
        <w:tc>
          <w:tcPr>
            <w:tcW w:w="499" w:type="pct"/>
            <w:tcBorders>
              <w:top w:val="nil"/>
              <w:left w:val="nil"/>
              <w:bottom w:val="nil"/>
              <w:right w:val="nil"/>
            </w:tcBorders>
            <w:shd w:val="clear" w:color="000000" w:fill="FFFFFF"/>
            <w:noWrap/>
            <w:vAlign w:val="center"/>
            <w:hideMark/>
          </w:tcPr>
          <w:p w14:paraId="41BDC72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2,809 </w:t>
            </w:r>
          </w:p>
        </w:tc>
        <w:tc>
          <w:tcPr>
            <w:tcW w:w="212" w:type="pct"/>
            <w:tcBorders>
              <w:top w:val="nil"/>
              <w:left w:val="nil"/>
              <w:bottom w:val="nil"/>
              <w:right w:val="nil"/>
            </w:tcBorders>
            <w:shd w:val="clear" w:color="000000" w:fill="FFFFFF"/>
            <w:noWrap/>
            <w:vAlign w:val="bottom"/>
            <w:hideMark/>
          </w:tcPr>
          <w:p w14:paraId="288E310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29.10%</w:t>
            </w:r>
          </w:p>
        </w:tc>
        <w:tc>
          <w:tcPr>
            <w:tcW w:w="212" w:type="pct"/>
            <w:tcBorders>
              <w:top w:val="nil"/>
              <w:left w:val="nil"/>
              <w:bottom w:val="nil"/>
              <w:right w:val="nil"/>
            </w:tcBorders>
            <w:shd w:val="clear" w:color="000000" w:fill="FFFFFF"/>
            <w:noWrap/>
            <w:vAlign w:val="bottom"/>
            <w:hideMark/>
          </w:tcPr>
          <w:p w14:paraId="71FAED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46.99%</w:t>
            </w:r>
          </w:p>
        </w:tc>
        <w:tc>
          <w:tcPr>
            <w:tcW w:w="212" w:type="pct"/>
            <w:tcBorders>
              <w:top w:val="nil"/>
              <w:left w:val="nil"/>
              <w:bottom w:val="nil"/>
              <w:right w:val="nil"/>
            </w:tcBorders>
            <w:shd w:val="clear" w:color="000000" w:fill="FFFFFF"/>
            <w:noWrap/>
            <w:vAlign w:val="bottom"/>
            <w:hideMark/>
          </w:tcPr>
          <w:p w14:paraId="427BBD9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48.28%</w:t>
            </w:r>
          </w:p>
        </w:tc>
        <w:tc>
          <w:tcPr>
            <w:tcW w:w="212" w:type="pct"/>
            <w:tcBorders>
              <w:top w:val="nil"/>
              <w:left w:val="nil"/>
              <w:bottom w:val="nil"/>
              <w:right w:val="nil"/>
            </w:tcBorders>
            <w:shd w:val="clear" w:color="000000" w:fill="FFFFFF"/>
            <w:noWrap/>
            <w:vAlign w:val="bottom"/>
            <w:hideMark/>
          </w:tcPr>
          <w:p w14:paraId="2024297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50.47%</w:t>
            </w:r>
          </w:p>
        </w:tc>
        <w:tc>
          <w:tcPr>
            <w:tcW w:w="212" w:type="pct"/>
            <w:tcBorders>
              <w:top w:val="nil"/>
              <w:left w:val="nil"/>
              <w:bottom w:val="nil"/>
              <w:right w:val="nil"/>
            </w:tcBorders>
            <w:shd w:val="clear" w:color="000000" w:fill="FFFFFF"/>
            <w:noWrap/>
            <w:vAlign w:val="bottom"/>
            <w:hideMark/>
          </w:tcPr>
          <w:p w14:paraId="2656654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51.27%</w:t>
            </w:r>
          </w:p>
        </w:tc>
        <w:tc>
          <w:tcPr>
            <w:tcW w:w="212" w:type="pct"/>
            <w:tcBorders>
              <w:top w:val="nil"/>
              <w:left w:val="nil"/>
              <w:bottom w:val="nil"/>
              <w:right w:val="nil"/>
            </w:tcBorders>
            <w:shd w:val="clear" w:color="000000" w:fill="FFFFFF"/>
            <w:noWrap/>
            <w:vAlign w:val="bottom"/>
            <w:hideMark/>
          </w:tcPr>
          <w:p w14:paraId="5B7872D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52.39%</w:t>
            </w:r>
          </w:p>
        </w:tc>
        <w:tc>
          <w:tcPr>
            <w:tcW w:w="212" w:type="pct"/>
            <w:tcBorders>
              <w:top w:val="nil"/>
              <w:left w:val="nil"/>
              <w:bottom w:val="nil"/>
              <w:right w:val="nil"/>
            </w:tcBorders>
            <w:shd w:val="clear" w:color="000000" w:fill="FFFFFF"/>
            <w:noWrap/>
            <w:vAlign w:val="bottom"/>
            <w:hideMark/>
          </w:tcPr>
          <w:p w14:paraId="36D998D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53.15%</w:t>
            </w:r>
          </w:p>
        </w:tc>
        <w:tc>
          <w:tcPr>
            <w:tcW w:w="212" w:type="pct"/>
            <w:tcBorders>
              <w:top w:val="nil"/>
              <w:left w:val="nil"/>
              <w:bottom w:val="nil"/>
              <w:right w:val="nil"/>
            </w:tcBorders>
            <w:shd w:val="clear" w:color="000000" w:fill="FFFFFF"/>
            <w:noWrap/>
            <w:vAlign w:val="bottom"/>
            <w:hideMark/>
          </w:tcPr>
          <w:p w14:paraId="54C92C9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53.99%</w:t>
            </w:r>
          </w:p>
        </w:tc>
        <w:tc>
          <w:tcPr>
            <w:tcW w:w="212" w:type="pct"/>
            <w:tcBorders>
              <w:top w:val="nil"/>
              <w:left w:val="nil"/>
              <w:bottom w:val="nil"/>
              <w:right w:val="nil"/>
            </w:tcBorders>
            <w:shd w:val="clear" w:color="000000" w:fill="FFFFFF"/>
            <w:noWrap/>
            <w:vAlign w:val="bottom"/>
            <w:hideMark/>
          </w:tcPr>
          <w:p w14:paraId="44BFCD4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54.40%</w:t>
            </w:r>
          </w:p>
        </w:tc>
        <w:tc>
          <w:tcPr>
            <w:tcW w:w="212" w:type="pct"/>
            <w:tcBorders>
              <w:top w:val="nil"/>
              <w:left w:val="nil"/>
              <w:bottom w:val="nil"/>
              <w:right w:val="nil"/>
            </w:tcBorders>
            <w:shd w:val="clear" w:color="000000" w:fill="FFFFFF"/>
            <w:noWrap/>
            <w:vAlign w:val="bottom"/>
            <w:hideMark/>
          </w:tcPr>
          <w:p w14:paraId="0D3320B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54.84%</w:t>
            </w:r>
          </w:p>
        </w:tc>
        <w:tc>
          <w:tcPr>
            <w:tcW w:w="212" w:type="pct"/>
            <w:tcBorders>
              <w:top w:val="nil"/>
              <w:left w:val="nil"/>
              <w:bottom w:val="nil"/>
              <w:right w:val="nil"/>
            </w:tcBorders>
            <w:shd w:val="clear" w:color="000000" w:fill="FFFFFF"/>
            <w:noWrap/>
            <w:vAlign w:val="bottom"/>
            <w:hideMark/>
          </w:tcPr>
          <w:p w14:paraId="7D7BEDD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55.23%</w:t>
            </w:r>
          </w:p>
        </w:tc>
        <w:tc>
          <w:tcPr>
            <w:tcW w:w="212" w:type="pct"/>
            <w:tcBorders>
              <w:top w:val="nil"/>
              <w:left w:val="nil"/>
              <w:bottom w:val="nil"/>
              <w:right w:val="nil"/>
            </w:tcBorders>
            <w:shd w:val="clear" w:color="000000" w:fill="FFFFFF"/>
            <w:noWrap/>
            <w:vAlign w:val="bottom"/>
            <w:hideMark/>
          </w:tcPr>
          <w:p w14:paraId="166042A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55.53%</w:t>
            </w:r>
          </w:p>
        </w:tc>
        <w:tc>
          <w:tcPr>
            <w:tcW w:w="212" w:type="pct"/>
            <w:tcBorders>
              <w:top w:val="nil"/>
              <w:left w:val="nil"/>
              <w:bottom w:val="nil"/>
              <w:right w:val="nil"/>
            </w:tcBorders>
            <w:shd w:val="clear" w:color="000000" w:fill="FFFFFF"/>
            <w:noWrap/>
            <w:vAlign w:val="bottom"/>
            <w:hideMark/>
          </w:tcPr>
          <w:p w14:paraId="05E8AEC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56.55%</w:t>
            </w:r>
          </w:p>
        </w:tc>
        <w:tc>
          <w:tcPr>
            <w:tcW w:w="212" w:type="pct"/>
            <w:tcBorders>
              <w:top w:val="nil"/>
              <w:left w:val="nil"/>
              <w:bottom w:val="nil"/>
              <w:right w:val="nil"/>
            </w:tcBorders>
            <w:shd w:val="clear" w:color="000000" w:fill="FFFFFF"/>
            <w:noWrap/>
            <w:vAlign w:val="bottom"/>
            <w:hideMark/>
          </w:tcPr>
          <w:p w14:paraId="4A86843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56.86%</w:t>
            </w:r>
          </w:p>
        </w:tc>
        <w:tc>
          <w:tcPr>
            <w:tcW w:w="212" w:type="pct"/>
            <w:tcBorders>
              <w:top w:val="nil"/>
              <w:left w:val="nil"/>
              <w:bottom w:val="nil"/>
              <w:right w:val="nil"/>
            </w:tcBorders>
            <w:shd w:val="clear" w:color="000000" w:fill="FFFFFF"/>
            <w:noWrap/>
            <w:vAlign w:val="bottom"/>
            <w:hideMark/>
          </w:tcPr>
          <w:p w14:paraId="258A8C4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57.14%</w:t>
            </w:r>
          </w:p>
        </w:tc>
        <w:tc>
          <w:tcPr>
            <w:tcW w:w="212" w:type="pct"/>
            <w:tcBorders>
              <w:top w:val="nil"/>
              <w:left w:val="nil"/>
              <w:bottom w:val="nil"/>
              <w:right w:val="nil"/>
            </w:tcBorders>
            <w:shd w:val="clear" w:color="000000" w:fill="FFFFFF"/>
            <w:noWrap/>
            <w:vAlign w:val="bottom"/>
            <w:hideMark/>
          </w:tcPr>
          <w:p w14:paraId="4F34E51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57.37%</w:t>
            </w:r>
          </w:p>
        </w:tc>
      </w:tr>
      <w:tr w:rsidR="002D2278" w:rsidRPr="002D2278" w14:paraId="5A440FDA" w14:textId="77777777" w:rsidTr="002D2278">
        <w:trPr>
          <w:trHeight w:val="20"/>
        </w:trPr>
        <w:tc>
          <w:tcPr>
            <w:tcW w:w="663" w:type="pct"/>
            <w:tcBorders>
              <w:top w:val="nil"/>
              <w:left w:val="nil"/>
              <w:bottom w:val="nil"/>
              <w:right w:val="nil"/>
            </w:tcBorders>
            <w:shd w:val="clear" w:color="000000" w:fill="FFFFFF"/>
            <w:noWrap/>
            <w:vAlign w:val="center"/>
            <w:hideMark/>
          </w:tcPr>
          <w:p w14:paraId="5BD94D98" w14:textId="4CF84B15"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2014........................................</w:t>
            </w:r>
          </w:p>
        </w:tc>
        <w:tc>
          <w:tcPr>
            <w:tcW w:w="449" w:type="pct"/>
            <w:tcBorders>
              <w:top w:val="nil"/>
              <w:left w:val="nil"/>
              <w:bottom w:val="nil"/>
              <w:right w:val="nil"/>
            </w:tcBorders>
            <w:shd w:val="clear" w:color="000000" w:fill="FFFFFF"/>
            <w:noWrap/>
            <w:vAlign w:val="bottom"/>
            <w:hideMark/>
          </w:tcPr>
          <w:p w14:paraId="3A82951D"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2014Q1</w:t>
            </w:r>
          </w:p>
        </w:tc>
        <w:tc>
          <w:tcPr>
            <w:tcW w:w="499" w:type="pct"/>
            <w:tcBorders>
              <w:top w:val="nil"/>
              <w:left w:val="nil"/>
              <w:bottom w:val="nil"/>
              <w:right w:val="nil"/>
            </w:tcBorders>
            <w:shd w:val="clear" w:color="000000" w:fill="FFFFFF"/>
            <w:noWrap/>
            <w:vAlign w:val="center"/>
            <w:hideMark/>
          </w:tcPr>
          <w:p w14:paraId="3E9F4BA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2,575 </w:t>
            </w:r>
          </w:p>
        </w:tc>
        <w:tc>
          <w:tcPr>
            <w:tcW w:w="212" w:type="pct"/>
            <w:tcBorders>
              <w:top w:val="nil"/>
              <w:left w:val="nil"/>
              <w:bottom w:val="nil"/>
              <w:right w:val="nil"/>
            </w:tcBorders>
            <w:shd w:val="clear" w:color="000000" w:fill="FFFFFF"/>
            <w:noWrap/>
            <w:vAlign w:val="bottom"/>
            <w:hideMark/>
          </w:tcPr>
          <w:p w14:paraId="002648D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27.18%</w:t>
            </w:r>
          </w:p>
        </w:tc>
        <w:tc>
          <w:tcPr>
            <w:tcW w:w="212" w:type="pct"/>
            <w:tcBorders>
              <w:top w:val="nil"/>
              <w:left w:val="nil"/>
              <w:bottom w:val="nil"/>
              <w:right w:val="nil"/>
            </w:tcBorders>
            <w:shd w:val="clear" w:color="000000" w:fill="FFFFFF"/>
            <w:noWrap/>
            <w:vAlign w:val="bottom"/>
            <w:hideMark/>
          </w:tcPr>
          <w:p w14:paraId="57C6488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43.38%</w:t>
            </w:r>
          </w:p>
        </w:tc>
        <w:tc>
          <w:tcPr>
            <w:tcW w:w="212" w:type="pct"/>
            <w:tcBorders>
              <w:top w:val="nil"/>
              <w:left w:val="nil"/>
              <w:bottom w:val="nil"/>
              <w:right w:val="nil"/>
            </w:tcBorders>
            <w:shd w:val="clear" w:color="000000" w:fill="FFFFFF"/>
            <w:noWrap/>
            <w:vAlign w:val="bottom"/>
            <w:hideMark/>
          </w:tcPr>
          <w:p w14:paraId="6CD8979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45.14%</w:t>
            </w:r>
          </w:p>
        </w:tc>
        <w:tc>
          <w:tcPr>
            <w:tcW w:w="212" w:type="pct"/>
            <w:tcBorders>
              <w:top w:val="nil"/>
              <w:left w:val="nil"/>
              <w:bottom w:val="nil"/>
              <w:right w:val="nil"/>
            </w:tcBorders>
            <w:shd w:val="clear" w:color="000000" w:fill="FFFFFF"/>
            <w:noWrap/>
            <w:vAlign w:val="bottom"/>
            <w:hideMark/>
          </w:tcPr>
          <w:p w14:paraId="4C3C677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46.43%</w:t>
            </w:r>
          </w:p>
        </w:tc>
        <w:tc>
          <w:tcPr>
            <w:tcW w:w="212" w:type="pct"/>
            <w:tcBorders>
              <w:top w:val="nil"/>
              <w:left w:val="nil"/>
              <w:bottom w:val="nil"/>
              <w:right w:val="nil"/>
            </w:tcBorders>
            <w:shd w:val="clear" w:color="000000" w:fill="FFFFFF"/>
            <w:noWrap/>
            <w:vAlign w:val="bottom"/>
            <w:hideMark/>
          </w:tcPr>
          <w:p w14:paraId="4459A0B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47.07%</w:t>
            </w:r>
          </w:p>
        </w:tc>
        <w:tc>
          <w:tcPr>
            <w:tcW w:w="212" w:type="pct"/>
            <w:tcBorders>
              <w:top w:val="nil"/>
              <w:left w:val="nil"/>
              <w:bottom w:val="nil"/>
              <w:right w:val="nil"/>
            </w:tcBorders>
            <w:shd w:val="clear" w:color="000000" w:fill="FFFFFF"/>
            <w:noWrap/>
            <w:vAlign w:val="bottom"/>
            <w:hideMark/>
          </w:tcPr>
          <w:p w14:paraId="3D7647B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48.74%</w:t>
            </w:r>
          </w:p>
        </w:tc>
        <w:tc>
          <w:tcPr>
            <w:tcW w:w="212" w:type="pct"/>
            <w:tcBorders>
              <w:top w:val="nil"/>
              <w:left w:val="nil"/>
              <w:bottom w:val="nil"/>
              <w:right w:val="nil"/>
            </w:tcBorders>
            <w:shd w:val="clear" w:color="000000" w:fill="FFFFFF"/>
            <w:noWrap/>
            <w:vAlign w:val="bottom"/>
            <w:hideMark/>
          </w:tcPr>
          <w:p w14:paraId="7DAA382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49.72%</w:t>
            </w:r>
          </w:p>
        </w:tc>
        <w:tc>
          <w:tcPr>
            <w:tcW w:w="212" w:type="pct"/>
            <w:tcBorders>
              <w:top w:val="nil"/>
              <w:left w:val="nil"/>
              <w:bottom w:val="nil"/>
              <w:right w:val="nil"/>
            </w:tcBorders>
            <w:shd w:val="clear" w:color="000000" w:fill="FFFFFF"/>
            <w:noWrap/>
            <w:vAlign w:val="bottom"/>
            <w:hideMark/>
          </w:tcPr>
          <w:p w14:paraId="0638457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50.24%</w:t>
            </w:r>
          </w:p>
        </w:tc>
        <w:tc>
          <w:tcPr>
            <w:tcW w:w="212" w:type="pct"/>
            <w:tcBorders>
              <w:top w:val="nil"/>
              <w:left w:val="nil"/>
              <w:bottom w:val="nil"/>
              <w:right w:val="nil"/>
            </w:tcBorders>
            <w:shd w:val="clear" w:color="000000" w:fill="FFFFFF"/>
            <w:noWrap/>
            <w:vAlign w:val="bottom"/>
            <w:hideMark/>
          </w:tcPr>
          <w:p w14:paraId="37CDF39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50.66%</w:t>
            </w:r>
          </w:p>
        </w:tc>
        <w:tc>
          <w:tcPr>
            <w:tcW w:w="212" w:type="pct"/>
            <w:tcBorders>
              <w:top w:val="nil"/>
              <w:left w:val="nil"/>
              <w:bottom w:val="nil"/>
              <w:right w:val="nil"/>
            </w:tcBorders>
            <w:shd w:val="clear" w:color="000000" w:fill="FFFFFF"/>
            <w:noWrap/>
            <w:vAlign w:val="bottom"/>
            <w:hideMark/>
          </w:tcPr>
          <w:p w14:paraId="7307EB3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50.83%</w:t>
            </w:r>
          </w:p>
        </w:tc>
        <w:tc>
          <w:tcPr>
            <w:tcW w:w="212" w:type="pct"/>
            <w:tcBorders>
              <w:top w:val="nil"/>
              <w:left w:val="nil"/>
              <w:bottom w:val="nil"/>
              <w:right w:val="nil"/>
            </w:tcBorders>
            <w:shd w:val="clear" w:color="000000" w:fill="FFFFFF"/>
            <w:noWrap/>
            <w:vAlign w:val="bottom"/>
            <w:hideMark/>
          </w:tcPr>
          <w:p w14:paraId="11D839C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51.02%</w:t>
            </w:r>
          </w:p>
        </w:tc>
        <w:tc>
          <w:tcPr>
            <w:tcW w:w="212" w:type="pct"/>
            <w:tcBorders>
              <w:top w:val="nil"/>
              <w:left w:val="nil"/>
              <w:bottom w:val="nil"/>
              <w:right w:val="nil"/>
            </w:tcBorders>
            <w:shd w:val="clear" w:color="000000" w:fill="FFFFFF"/>
            <w:noWrap/>
            <w:vAlign w:val="bottom"/>
            <w:hideMark/>
          </w:tcPr>
          <w:p w14:paraId="2F2D978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51.47%</w:t>
            </w:r>
          </w:p>
        </w:tc>
        <w:tc>
          <w:tcPr>
            <w:tcW w:w="212" w:type="pct"/>
            <w:tcBorders>
              <w:top w:val="nil"/>
              <w:left w:val="nil"/>
              <w:bottom w:val="nil"/>
              <w:right w:val="nil"/>
            </w:tcBorders>
            <w:shd w:val="clear" w:color="000000" w:fill="FFFFFF"/>
            <w:noWrap/>
            <w:vAlign w:val="bottom"/>
            <w:hideMark/>
          </w:tcPr>
          <w:p w14:paraId="031B092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51.70%</w:t>
            </w:r>
          </w:p>
        </w:tc>
        <w:tc>
          <w:tcPr>
            <w:tcW w:w="212" w:type="pct"/>
            <w:tcBorders>
              <w:top w:val="nil"/>
              <w:left w:val="nil"/>
              <w:bottom w:val="nil"/>
              <w:right w:val="nil"/>
            </w:tcBorders>
            <w:shd w:val="clear" w:color="000000" w:fill="FFFFFF"/>
            <w:noWrap/>
            <w:vAlign w:val="bottom"/>
            <w:hideMark/>
          </w:tcPr>
          <w:p w14:paraId="3F3A373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51.90%</w:t>
            </w:r>
          </w:p>
        </w:tc>
        <w:tc>
          <w:tcPr>
            <w:tcW w:w="212" w:type="pct"/>
            <w:tcBorders>
              <w:top w:val="nil"/>
              <w:left w:val="nil"/>
              <w:bottom w:val="nil"/>
              <w:right w:val="nil"/>
            </w:tcBorders>
            <w:shd w:val="clear" w:color="000000" w:fill="FFFFFF"/>
            <w:noWrap/>
            <w:vAlign w:val="bottom"/>
            <w:hideMark/>
          </w:tcPr>
          <w:p w14:paraId="3764247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52.28%</w:t>
            </w:r>
          </w:p>
        </w:tc>
        <w:tc>
          <w:tcPr>
            <w:tcW w:w="212" w:type="pct"/>
            <w:tcBorders>
              <w:top w:val="nil"/>
              <w:left w:val="nil"/>
              <w:bottom w:val="nil"/>
              <w:right w:val="nil"/>
            </w:tcBorders>
            <w:shd w:val="clear" w:color="000000" w:fill="FFFFFF"/>
            <w:noWrap/>
            <w:vAlign w:val="bottom"/>
            <w:hideMark/>
          </w:tcPr>
          <w:p w14:paraId="17D8265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52.41%</w:t>
            </w:r>
          </w:p>
        </w:tc>
      </w:tr>
      <w:tr w:rsidR="002D2278" w:rsidRPr="002D2278" w14:paraId="61CF5552" w14:textId="77777777" w:rsidTr="002D2278">
        <w:trPr>
          <w:trHeight w:val="20"/>
        </w:trPr>
        <w:tc>
          <w:tcPr>
            <w:tcW w:w="663" w:type="pct"/>
            <w:tcBorders>
              <w:top w:val="nil"/>
              <w:left w:val="nil"/>
              <w:bottom w:val="nil"/>
              <w:right w:val="nil"/>
            </w:tcBorders>
            <w:shd w:val="clear" w:color="000000" w:fill="FFFFFF"/>
            <w:noWrap/>
            <w:vAlign w:val="center"/>
            <w:hideMark/>
          </w:tcPr>
          <w:p w14:paraId="00211124" w14:textId="41C62766"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2014..........................................</w:t>
            </w:r>
          </w:p>
        </w:tc>
        <w:tc>
          <w:tcPr>
            <w:tcW w:w="449" w:type="pct"/>
            <w:tcBorders>
              <w:top w:val="nil"/>
              <w:left w:val="nil"/>
              <w:bottom w:val="nil"/>
              <w:right w:val="nil"/>
            </w:tcBorders>
            <w:shd w:val="clear" w:color="000000" w:fill="FFFFFF"/>
            <w:noWrap/>
            <w:vAlign w:val="bottom"/>
            <w:hideMark/>
          </w:tcPr>
          <w:p w14:paraId="0F9B379F"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2014Q2</w:t>
            </w:r>
          </w:p>
        </w:tc>
        <w:tc>
          <w:tcPr>
            <w:tcW w:w="499" w:type="pct"/>
            <w:tcBorders>
              <w:top w:val="nil"/>
              <w:left w:val="nil"/>
              <w:bottom w:val="nil"/>
              <w:right w:val="nil"/>
            </w:tcBorders>
            <w:shd w:val="clear" w:color="000000" w:fill="FFFFFF"/>
            <w:noWrap/>
            <w:vAlign w:val="center"/>
            <w:hideMark/>
          </w:tcPr>
          <w:p w14:paraId="50B1825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2,468 </w:t>
            </w:r>
          </w:p>
        </w:tc>
        <w:tc>
          <w:tcPr>
            <w:tcW w:w="212" w:type="pct"/>
            <w:tcBorders>
              <w:top w:val="nil"/>
              <w:left w:val="nil"/>
              <w:bottom w:val="nil"/>
              <w:right w:val="nil"/>
            </w:tcBorders>
            <w:shd w:val="clear" w:color="000000" w:fill="FFFFFF"/>
            <w:noWrap/>
            <w:vAlign w:val="bottom"/>
            <w:hideMark/>
          </w:tcPr>
          <w:p w14:paraId="44E11E1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29.69%</w:t>
            </w:r>
          </w:p>
        </w:tc>
        <w:tc>
          <w:tcPr>
            <w:tcW w:w="212" w:type="pct"/>
            <w:tcBorders>
              <w:top w:val="nil"/>
              <w:left w:val="nil"/>
              <w:bottom w:val="nil"/>
              <w:right w:val="nil"/>
            </w:tcBorders>
            <w:shd w:val="clear" w:color="000000" w:fill="FFFFFF"/>
            <w:noWrap/>
            <w:vAlign w:val="bottom"/>
            <w:hideMark/>
          </w:tcPr>
          <w:p w14:paraId="0B4B70E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47.15%</w:t>
            </w:r>
          </w:p>
        </w:tc>
        <w:tc>
          <w:tcPr>
            <w:tcW w:w="212" w:type="pct"/>
            <w:tcBorders>
              <w:top w:val="nil"/>
              <w:left w:val="nil"/>
              <w:bottom w:val="nil"/>
              <w:right w:val="nil"/>
            </w:tcBorders>
            <w:shd w:val="clear" w:color="000000" w:fill="FFFFFF"/>
            <w:noWrap/>
            <w:vAlign w:val="bottom"/>
            <w:hideMark/>
          </w:tcPr>
          <w:p w14:paraId="6836477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48.92%</w:t>
            </w:r>
          </w:p>
        </w:tc>
        <w:tc>
          <w:tcPr>
            <w:tcW w:w="212" w:type="pct"/>
            <w:tcBorders>
              <w:top w:val="nil"/>
              <w:left w:val="nil"/>
              <w:bottom w:val="nil"/>
              <w:right w:val="nil"/>
            </w:tcBorders>
            <w:shd w:val="clear" w:color="000000" w:fill="FFFFFF"/>
            <w:noWrap/>
            <w:vAlign w:val="bottom"/>
            <w:hideMark/>
          </w:tcPr>
          <w:p w14:paraId="0561B23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49.43%</w:t>
            </w:r>
          </w:p>
        </w:tc>
        <w:tc>
          <w:tcPr>
            <w:tcW w:w="212" w:type="pct"/>
            <w:tcBorders>
              <w:top w:val="nil"/>
              <w:left w:val="nil"/>
              <w:bottom w:val="nil"/>
              <w:right w:val="nil"/>
            </w:tcBorders>
            <w:shd w:val="clear" w:color="000000" w:fill="FFFFFF"/>
            <w:noWrap/>
            <w:vAlign w:val="bottom"/>
            <w:hideMark/>
          </w:tcPr>
          <w:p w14:paraId="0FFEFB7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50.46%</w:t>
            </w:r>
          </w:p>
        </w:tc>
        <w:tc>
          <w:tcPr>
            <w:tcW w:w="212" w:type="pct"/>
            <w:tcBorders>
              <w:top w:val="nil"/>
              <w:left w:val="nil"/>
              <w:bottom w:val="nil"/>
              <w:right w:val="nil"/>
            </w:tcBorders>
            <w:shd w:val="clear" w:color="000000" w:fill="FFFFFF"/>
            <w:noWrap/>
            <w:vAlign w:val="bottom"/>
            <w:hideMark/>
          </w:tcPr>
          <w:p w14:paraId="4400E38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52.45%</w:t>
            </w:r>
          </w:p>
        </w:tc>
        <w:tc>
          <w:tcPr>
            <w:tcW w:w="212" w:type="pct"/>
            <w:tcBorders>
              <w:top w:val="nil"/>
              <w:left w:val="nil"/>
              <w:bottom w:val="nil"/>
              <w:right w:val="nil"/>
            </w:tcBorders>
            <w:shd w:val="clear" w:color="000000" w:fill="FFFFFF"/>
            <w:noWrap/>
            <w:vAlign w:val="bottom"/>
            <w:hideMark/>
          </w:tcPr>
          <w:p w14:paraId="7124DAA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53.42%</w:t>
            </w:r>
          </w:p>
        </w:tc>
        <w:tc>
          <w:tcPr>
            <w:tcW w:w="212" w:type="pct"/>
            <w:tcBorders>
              <w:top w:val="nil"/>
              <w:left w:val="nil"/>
              <w:bottom w:val="nil"/>
              <w:right w:val="nil"/>
            </w:tcBorders>
            <w:shd w:val="clear" w:color="000000" w:fill="FFFFFF"/>
            <w:noWrap/>
            <w:vAlign w:val="bottom"/>
            <w:hideMark/>
          </w:tcPr>
          <w:p w14:paraId="2DE600A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54.24%</w:t>
            </w:r>
          </w:p>
        </w:tc>
        <w:tc>
          <w:tcPr>
            <w:tcW w:w="212" w:type="pct"/>
            <w:tcBorders>
              <w:top w:val="nil"/>
              <w:left w:val="nil"/>
              <w:bottom w:val="nil"/>
              <w:right w:val="nil"/>
            </w:tcBorders>
            <w:shd w:val="clear" w:color="000000" w:fill="FFFFFF"/>
            <w:noWrap/>
            <w:vAlign w:val="bottom"/>
            <w:hideMark/>
          </w:tcPr>
          <w:p w14:paraId="6BB2FBF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55.94%</w:t>
            </w:r>
          </w:p>
        </w:tc>
        <w:tc>
          <w:tcPr>
            <w:tcW w:w="212" w:type="pct"/>
            <w:tcBorders>
              <w:top w:val="nil"/>
              <w:left w:val="nil"/>
              <w:bottom w:val="nil"/>
              <w:right w:val="nil"/>
            </w:tcBorders>
            <w:shd w:val="clear" w:color="000000" w:fill="FFFFFF"/>
            <w:noWrap/>
            <w:vAlign w:val="bottom"/>
            <w:hideMark/>
          </w:tcPr>
          <w:p w14:paraId="4C79775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56.80%</w:t>
            </w:r>
          </w:p>
        </w:tc>
        <w:tc>
          <w:tcPr>
            <w:tcW w:w="212" w:type="pct"/>
            <w:tcBorders>
              <w:top w:val="nil"/>
              <w:left w:val="nil"/>
              <w:bottom w:val="nil"/>
              <w:right w:val="nil"/>
            </w:tcBorders>
            <w:shd w:val="clear" w:color="000000" w:fill="FFFFFF"/>
            <w:noWrap/>
            <w:vAlign w:val="bottom"/>
            <w:hideMark/>
          </w:tcPr>
          <w:p w14:paraId="6AE436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57.69%</w:t>
            </w:r>
          </w:p>
        </w:tc>
        <w:tc>
          <w:tcPr>
            <w:tcW w:w="212" w:type="pct"/>
            <w:tcBorders>
              <w:top w:val="nil"/>
              <w:left w:val="nil"/>
              <w:bottom w:val="nil"/>
              <w:right w:val="nil"/>
            </w:tcBorders>
            <w:shd w:val="clear" w:color="000000" w:fill="FFFFFF"/>
            <w:noWrap/>
            <w:vAlign w:val="bottom"/>
            <w:hideMark/>
          </w:tcPr>
          <w:p w14:paraId="5008A3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58.29%</w:t>
            </w:r>
          </w:p>
        </w:tc>
        <w:tc>
          <w:tcPr>
            <w:tcW w:w="212" w:type="pct"/>
            <w:tcBorders>
              <w:top w:val="nil"/>
              <w:left w:val="nil"/>
              <w:bottom w:val="nil"/>
              <w:right w:val="nil"/>
            </w:tcBorders>
            <w:shd w:val="clear" w:color="000000" w:fill="FFFFFF"/>
            <w:noWrap/>
            <w:vAlign w:val="bottom"/>
            <w:hideMark/>
          </w:tcPr>
          <w:p w14:paraId="767CFB8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58.48%</w:t>
            </w:r>
          </w:p>
        </w:tc>
        <w:tc>
          <w:tcPr>
            <w:tcW w:w="212" w:type="pct"/>
            <w:tcBorders>
              <w:top w:val="nil"/>
              <w:left w:val="nil"/>
              <w:bottom w:val="nil"/>
              <w:right w:val="nil"/>
            </w:tcBorders>
            <w:shd w:val="clear" w:color="000000" w:fill="FFFFFF"/>
            <w:noWrap/>
            <w:vAlign w:val="bottom"/>
            <w:hideMark/>
          </w:tcPr>
          <w:p w14:paraId="33CAE47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58.81%</w:t>
            </w:r>
          </w:p>
        </w:tc>
        <w:tc>
          <w:tcPr>
            <w:tcW w:w="212" w:type="pct"/>
            <w:tcBorders>
              <w:top w:val="nil"/>
              <w:left w:val="nil"/>
              <w:bottom w:val="nil"/>
              <w:right w:val="nil"/>
            </w:tcBorders>
            <w:shd w:val="clear" w:color="000000" w:fill="FFFFFF"/>
            <w:noWrap/>
            <w:vAlign w:val="bottom"/>
            <w:hideMark/>
          </w:tcPr>
          <w:p w14:paraId="09AB11C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59.07%</w:t>
            </w:r>
          </w:p>
        </w:tc>
        <w:tc>
          <w:tcPr>
            <w:tcW w:w="212" w:type="pct"/>
            <w:tcBorders>
              <w:top w:val="nil"/>
              <w:left w:val="nil"/>
              <w:bottom w:val="nil"/>
              <w:right w:val="nil"/>
            </w:tcBorders>
            <w:shd w:val="clear" w:color="000000" w:fill="FFFFFF"/>
            <w:noWrap/>
            <w:vAlign w:val="bottom"/>
            <w:hideMark/>
          </w:tcPr>
          <w:p w14:paraId="02D5DEC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59.36%</w:t>
            </w:r>
          </w:p>
        </w:tc>
      </w:tr>
      <w:tr w:rsidR="002D2278" w:rsidRPr="002D2278" w14:paraId="28EDE9D4" w14:textId="77777777" w:rsidTr="002D2278">
        <w:trPr>
          <w:trHeight w:val="20"/>
        </w:trPr>
        <w:tc>
          <w:tcPr>
            <w:tcW w:w="663" w:type="pct"/>
            <w:tcBorders>
              <w:top w:val="nil"/>
              <w:left w:val="nil"/>
              <w:bottom w:val="nil"/>
              <w:right w:val="nil"/>
            </w:tcBorders>
            <w:shd w:val="clear" w:color="000000" w:fill="FFFFFF"/>
            <w:noWrap/>
            <w:vAlign w:val="center"/>
            <w:hideMark/>
          </w:tcPr>
          <w:p w14:paraId="6A09285E"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2014..............................</w:t>
            </w:r>
          </w:p>
        </w:tc>
        <w:tc>
          <w:tcPr>
            <w:tcW w:w="449" w:type="pct"/>
            <w:tcBorders>
              <w:top w:val="nil"/>
              <w:left w:val="nil"/>
              <w:bottom w:val="nil"/>
              <w:right w:val="nil"/>
            </w:tcBorders>
            <w:shd w:val="clear" w:color="000000" w:fill="FFFFFF"/>
            <w:noWrap/>
            <w:vAlign w:val="bottom"/>
            <w:hideMark/>
          </w:tcPr>
          <w:p w14:paraId="7C5E9F79"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2014Q3</w:t>
            </w:r>
          </w:p>
        </w:tc>
        <w:tc>
          <w:tcPr>
            <w:tcW w:w="499" w:type="pct"/>
            <w:tcBorders>
              <w:top w:val="nil"/>
              <w:left w:val="nil"/>
              <w:bottom w:val="nil"/>
              <w:right w:val="nil"/>
            </w:tcBorders>
            <w:shd w:val="clear" w:color="000000" w:fill="FFFFFF"/>
            <w:noWrap/>
            <w:vAlign w:val="center"/>
            <w:hideMark/>
          </w:tcPr>
          <w:p w14:paraId="5518D26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2,458 </w:t>
            </w:r>
          </w:p>
        </w:tc>
        <w:tc>
          <w:tcPr>
            <w:tcW w:w="212" w:type="pct"/>
            <w:tcBorders>
              <w:top w:val="nil"/>
              <w:left w:val="nil"/>
              <w:bottom w:val="nil"/>
              <w:right w:val="nil"/>
            </w:tcBorders>
            <w:shd w:val="clear" w:color="000000" w:fill="FFFFFF"/>
            <w:noWrap/>
            <w:vAlign w:val="bottom"/>
            <w:hideMark/>
          </w:tcPr>
          <w:p w14:paraId="344D87F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36.03%</w:t>
            </w:r>
          </w:p>
        </w:tc>
        <w:tc>
          <w:tcPr>
            <w:tcW w:w="212" w:type="pct"/>
            <w:tcBorders>
              <w:top w:val="nil"/>
              <w:left w:val="nil"/>
              <w:bottom w:val="nil"/>
              <w:right w:val="nil"/>
            </w:tcBorders>
            <w:shd w:val="clear" w:color="000000" w:fill="FFFFFF"/>
            <w:noWrap/>
            <w:vAlign w:val="bottom"/>
            <w:hideMark/>
          </w:tcPr>
          <w:p w14:paraId="1D66364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52.40%</w:t>
            </w:r>
          </w:p>
        </w:tc>
        <w:tc>
          <w:tcPr>
            <w:tcW w:w="212" w:type="pct"/>
            <w:tcBorders>
              <w:top w:val="nil"/>
              <w:left w:val="nil"/>
              <w:bottom w:val="nil"/>
              <w:right w:val="nil"/>
            </w:tcBorders>
            <w:shd w:val="clear" w:color="000000" w:fill="FFFFFF"/>
            <w:noWrap/>
            <w:vAlign w:val="bottom"/>
            <w:hideMark/>
          </w:tcPr>
          <w:p w14:paraId="753CD49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53.63%</w:t>
            </w:r>
          </w:p>
        </w:tc>
        <w:tc>
          <w:tcPr>
            <w:tcW w:w="212" w:type="pct"/>
            <w:tcBorders>
              <w:top w:val="nil"/>
              <w:left w:val="nil"/>
              <w:bottom w:val="nil"/>
              <w:right w:val="nil"/>
            </w:tcBorders>
            <w:shd w:val="clear" w:color="000000" w:fill="FFFFFF"/>
            <w:noWrap/>
            <w:vAlign w:val="bottom"/>
            <w:hideMark/>
          </w:tcPr>
          <w:p w14:paraId="39B4E22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55.31%</w:t>
            </w:r>
          </w:p>
        </w:tc>
        <w:tc>
          <w:tcPr>
            <w:tcW w:w="212" w:type="pct"/>
            <w:tcBorders>
              <w:top w:val="nil"/>
              <w:left w:val="nil"/>
              <w:bottom w:val="nil"/>
              <w:right w:val="nil"/>
            </w:tcBorders>
            <w:shd w:val="clear" w:color="000000" w:fill="FFFFFF"/>
            <w:noWrap/>
            <w:vAlign w:val="bottom"/>
            <w:hideMark/>
          </w:tcPr>
          <w:p w14:paraId="6B53B8D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56.69%</w:t>
            </w:r>
          </w:p>
        </w:tc>
        <w:tc>
          <w:tcPr>
            <w:tcW w:w="212" w:type="pct"/>
            <w:tcBorders>
              <w:top w:val="nil"/>
              <w:left w:val="nil"/>
              <w:bottom w:val="nil"/>
              <w:right w:val="nil"/>
            </w:tcBorders>
            <w:shd w:val="clear" w:color="000000" w:fill="FFFFFF"/>
            <w:noWrap/>
            <w:vAlign w:val="bottom"/>
            <w:hideMark/>
          </w:tcPr>
          <w:p w14:paraId="05E8154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57.62%</w:t>
            </w:r>
          </w:p>
        </w:tc>
        <w:tc>
          <w:tcPr>
            <w:tcW w:w="212" w:type="pct"/>
            <w:tcBorders>
              <w:top w:val="nil"/>
              <w:left w:val="nil"/>
              <w:bottom w:val="nil"/>
              <w:right w:val="nil"/>
            </w:tcBorders>
            <w:shd w:val="clear" w:color="000000" w:fill="FFFFFF"/>
            <w:noWrap/>
            <w:vAlign w:val="bottom"/>
            <w:hideMark/>
          </w:tcPr>
          <w:p w14:paraId="3385561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58.26%</w:t>
            </w:r>
          </w:p>
        </w:tc>
        <w:tc>
          <w:tcPr>
            <w:tcW w:w="212" w:type="pct"/>
            <w:tcBorders>
              <w:top w:val="nil"/>
              <w:left w:val="nil"/>
              <w:bottom w:val="nil"/>
              <w:right w:val="nil"/>
            </w:tcBorders>
            <w:shd w:val="clear" w:color="000000" w:fill="FFFFFF"/>
            <w:noWrap/>
            <w:vAlign w:val="bottom"/>
            <w:hideMark/>
          </w:tcPr>
          <w:p w14:paraId="1D441ED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58.59%</w:t>
            </w:r>
          </w:p>
        </w:tc>
        <w:tc>
          <w:tcPr>
            <w:tcW w:w="212" w:type="pct"/>
            <w:tcBorders>
              <w:top w:val="nil"/>
              <w:left w:val="nil"/>
              <w:bottom w:val="nil"/>
              <w:right w:val="nil"/>
            </w:tcBorders>
            <w:shd w:val="clear" w:color="000000" w:fill="FFFFFF"/>
            <w:noWrap/>
            <w:vAlign w:val="bottom"/>
            <w:hideMark/>
          </w:tcPr>
          <w:p w14:paraId="595F4B2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59.06%</w:t>
            </w:r>
          </w:p>
        </w:tc>
        <w:tc>
          <w:tcPr>
            <w:tcW w:w="212" w:type="pct"/>
            <w:tcBorders>
              <w:top w:val="nil"/>
              <w:left w:val="nil"/>
              <w:bottom w:val="nil"/>
              <w:right w:val="nil"/>
            </w:tcBorders>
            <w:shd w:val="clear" w:color="000000" w:fill="FFFFFF"/>
            <w:noWrap/>
            <w:vAlign w:val="bottom"/>
            <w:hideMark/>
          </w:tcPr>
          <w:p w14:paraId="37D33AD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59.32%</w:t>
            </w:r>
          </w:p>
        </w:tc>
        <w:tc>
          <w:tcPr>
            <w:tcW w:w="212" w:type="pct"/>
            <w:tcBorders>
              <w:top w:val="nil"/>
              <w:left w:val="nil"/>
              <w:bottom w:val="nil"/>
              <w:right w:val="nil"/>
            </w:tcBorders>
            <w:shd w:val="clear" w:color="000000" w:fill="FFFFFF"/>
            <w:noWrap/>
            <w:vAlign w:val="bottom"/>
            <w:hideMark/>
          </w:tcPr>
          <w:p w14:paraId="3D840C0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59.68%</w:t>
            </w:r>
          </w:p>
        </w:tc>
        <w:tc>
          <w:tcPr>
            <w:tcW w:w="212" w:type="pct"/>
            <w:tcBorders>
              <w:top w:val="nil"/>
              <w:left w:val="nil"/>
              <w:bottom w:val="nil"/>
              <w:right w:val="nil"/>
            </w:tcBorders>
            <w:shd w:val="clear" w:color="000000" w:fill="FFFFFF"/>
            <w:noWrap/>
            <w:vAlign w:val="bottom"/>
            <w:hideMark/>
          </w:tcPr>
          <w:p w14:paraId="0DCDAFC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60.20%</w:t>
            </w:r>
          </w:p>
        </w:tc>
        <w:tc>
          <w:tcPr>
            <w:tcW w:w="212" w:type="pct"/>
            <w:tcBorders>
              <w:top w:val="nil"/>
              <w:left w:val="nil"/>
              <w:bottom w:val="nil"/>
              <w:right w:val="nil"/>
            </w:tcBorders>
            <w:shd w:val="clear" w:color="000000" w:fill="FFFFFF"/>
            <w:noWrap/>
            <w:vAlign w:val="bottom"/>
            <w:hideMark/>
          </w:tcPr>
          <w:p w14:paraId="26DC185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60.56%</w:t>
            </w:r>
          </w:p>
        </w:tc>
        <w:tc>
          <w:tcPr>
            <w:tcW w:w="212" w:type="pct"/>
            <w:tcBorders>
              <w:top w:val="nil"/>
              <w:left w:val="nil"/>
              <w:bottom w:val="nil"/>
              <w:right w:val="nil"/>
            </w:tcBorders>
            <w:shd w:val="clear" w:color="000000" w:fill="FFFFFF"/>
            <w:noWrap/>
            <w:vAlign w:val="bottom"/>
            <w:hideMark/>
          </w:tcPr>
          <w:p w14:paraId="649F89C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60.99%</w:t>
            </w:r>
          </w:p>
        </w:tc>
        <w:tc>
          <w:tcPr>
            <w:tcW w:w="212" w:type="pct"/>
            <w:tcBorders>
              <w:top w:val="nil"/>
              <w:left w:val="nil"/>
              <w:bottom w:val="nil"/>
              <w:right w:val="nil"/>
            </w:tcBorders>
            <w:shd w:val="clear" w:color="000000" w:fill="FFFFFF"/>
            <w:noWrap/>
            <w:vAlign w:val="bottom"/>
            <w:hideMark/>
          </w:tcPr>
          <w:p w14:paraId="5775FA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61.28%</w:t>
            </w:r>
          </w:p>
        </w:tc>
        <w:tc>
          <w:tcPr>
            <w:tcW w:w="212" w:type="pct"/>
            <w:tcBorders>
              <w:top w:val="nil"/>
              <w:left w:val="nil"/>
              <w:bottom w:val="nil"/>
              <w:right w:val="nil"/>
            </w:tcBorders>
            <w:shd w:val="clear" w:color="000000" w:fill="FFFFFF"/>
            <w:noWrap/>
            <w:vAlign w:val="bottom"/>
            <w:hideMark/>
          </w:tcPr>
          <w:p w14:paraId="641F899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61.61%</w:t>
            </w:r>
          </w:p>
        </w:tc>
      </w:tr>
      <w:tr w:rsidR="002D2278" w:rsidRPr="002D2278" w14:paraId="16BB83C5" w14:textId="77777777" w:rsidTr="002D2278">
        <w:trPr>
          <w:trHeight w:val="20"/>
        </w:trPr>
        <w:tc>
          <w:tcPr>
            <w:tcW w:w="663" w:type="pct"/>
            <w:tcBorders>
              <w:top w:val="nil"/>
              <w:left w:val="nil"/>
              <w:bottom w:val="nil"/>
              <w:right w:val="nil"/>
            </w:tcBorders>
            <w:shd w:val="clear" w:color="000000" w:fill="FFFFFF"/>
            <w:noWrap/>
            <w:vAlign w:val="center"/>
            <w:hideMark/>
          </w:tcPr>
          <w:p w14:paraId="4A30358B" w14:textId="17C7B47A"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2014...............................</w:t>
            </w:r>
          </w:p>
        </w:tc>
        <w:tc>
          <w:tcPr>
            <w:tcW w:w="449" w:type="pct"/>
            <w:tcBorders>
              <w:top w:val="nil"/>
              <w:left w:val="nil"/>
              <w:bottom w:val="nil"/>
              <w:right w:val="nil"/>
            </w:tcBorders>
            <w:shd w:val="clear" w:color="000000" w:fill="FFFFFF"/>
            <w:noWrap/>
            <w:vAlign w:val="bottom"/>
            <w:hideMark/>
          </w:tcPr>
          <w:p w14:paraId="3682F2EF"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2014Q4</w:t>
            </w:r>
          </w:p>
        </w:tc>
        <w:tc>
          <w:tcPr>
            <w:tcW w:w="499" w:type="pct"/>
            <w:tcBorders>
              <w:top w:val="nil"/>
              <w:left w:val="nil"/>
              <w:bottom w:val="nil"/>
              <w:right w:val="nil"/>
            </w:tcBorders>
            <w:shd w:val="clear" w:color="000000" w:fill="FFFFFF"/>
            <w:noWrap/>
            <w:vAlign w:val="center"/>
            <w:hideMark/>
          </w:tcPr>
          <w:p w14:paraId="58AE81B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2,054 </w:t>
            </w:r>
          </w:p>
        </w:tc>
        <w:tc>
          <w:tcPr>
            <w:tcW w:w="212" w:type="pct"/>
            <w:tcBorders>
              <w:top w:val="nil"/>
              <w:left w:val="nil"/>
              <w:bottom w:val="nil"/>
              <w:right w:val="nil"/>
            </w:tcBorders>
            <w:shd w:val="clear" w:color="000000" w:fill="FFFFFF"/>
            <w:noWrap/>
            <w:vAlign w:val="bottom"/>
            <w:hideMark/>
          </w:tcPr>
          <w:p w14:paraId="39B2D02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30.92%</w:t>
            </w:r>
          </w:p>
        </w:tc>
        <w:tc>
          <w:tcPr>
            <w:tcW w:w="212" w:type="pct"/>
            <w:tcBorders>
              <w:top w:val="nil"/>
              <w:left w:val="nil"/>
              <w:bottom w:val="nil"/>
              <w:right w:val="nil"/>
            </w:tcBorders>
            <w:shd w:val="clear" w:color="000000" w:fill="FFFFFF"/>
            <w:noWrap/>
            <w:vAlign w:val="bottom"/>
            <w:hideMark/>
          </w:tcPr>
          <w:p w14:paraId="1BE8220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46.78%</w:t>
            </w:r>
          </w:p>
        </w:tc>
        <w:tc>
          <w:tcPr>
            <w:tcW w:w="212" w:type="pct"/>
            <w:tcBorders>
              <w:top w:val="nil"/>
              <w:left w:val="nil"/>
              <w:bottom w:val="nil"/>
              <w:right w:val="nil"/>
            </w:tcBorders>
            <w:shd w:val="clear" w:color="000000" w:fill="FFFFFF"/>
            <w:noWrap/>
            <w:vAlign w:val="bottom"/>
            <w:hideMark/>
          </w:tcPr>
          <w:p w14:paraId="336DAF9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48.34%</w:t>
            </w:r>
          </w:p>
        </w:tc>
        <w:tc>
          <w:tcPr>
            <w:tcW w:w="212" w:type="pct"/>
            <w:tcBorders>
              <w:top w:val="nil"/>
              <w:left w:val="nil"/>
              <w:bottom w:val="nil"/>
              <w:right w:val="nil"/>
            </w:tcBorders>
            <w:shd w:val="clear" w:color="000000" w:fill="FFFFFF"/>
            <w:noWrap/>
            <w:vAlign w:val="bottom"/>
            <w:hideMark/>
          </w:tcPr>
          <w:p w14:paraId="11F73B2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49.73%</w:t>
            </w:r>
          </w:p>
        </w:tc>
        <w:tc>
          <w:tcPr>
            <w:tcW w:w="212" w:type="pct"/>
            <w:tcBorders>
              <w:top w:val="nil"/>
              <w:left w:val="nil"/>
              <w:bottom w:val="nil"/>
              <w:right w:val="nil"/>
            </w:tcBorders>
            <w:shd w:val="clear" w:color="000000" w:fill="FFFFFF"/>
            <w:noWrap/>
            <w:vAlign w:val="bottom"/>
            <w:hideMark/>
          </w:tcPr>
          <w:p w14:paraId="54A44F0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51.20%</w:t>
            </w:r>
          </w:p>
        </w:tc>
        <w:tc>
          <w:tcPr>
            <w:tcW w:w="212" w:type="pct"/>
            <w:tcBorders>
              <w:top w:val="nil"/>
              <w:left w:val="nil"/>
              <w:bottom w:val="nil"/>
              <w:right w:val="nil"/>
            </w:tcBorders>
            <w:shd w:val="clear" w:color="000000" w:fill="FFFFFF"/>
            <w:noWrap/>
            <w:vAlign w:val="bottom"/>
            <w:hideMark/>
          </w:tcPr>
          <w:p w14:paraId="3E79C5C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52.19%</w:t>
            </w:r>
          </w:p>
        </w:tc>
        <w:tc>
          <w:tcPr>
            <w:tcW w:w="212" w:type="pct"/>
            <w:tcBorders>
              <w:top w:val="nil"/>
              <w:left w:val="nil"/>
              <w:bottom w:val="nil"/>
              <w:right w:val="nil"/>
            </w:tcBorders>
            <w:shd w:val="clear" w:color="000000" w:fill="FFFFFF"/>
            <w:noWrap/>
            <w:vAlign w:val="bottom"/>
            <w:hideMark/>
          </w:tcPr>
          <w:p w14:paraId="60A4EFC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53.14%</w:t>
            </w:r>
          </w:p>
        </w:tc>
        <w:tc>
          <w:tcPr>
            <w:tcW w:w="212" w:type="pct"/>
            <w:tcBorders>
              <w:top w:val="nil"/>
              <w:left w:val="nil"/>
              <w:bottom w:val="nil"/>
              <w:right w:val="nil"/>
            </w:tcBorders>
            <w:shd w:val="clear" w:color="000000" w:fill="FFFFFF"/>
            <w:noWrap/>
            <w:vAlign w:val="bottom"/>
            <w:hideMark/>
          </w:tcPr>
          <w:p w14:paraId="3290987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53.59%</w:t>
            </w:r>
          </w:p>
        </w:tc>
        <w:tc>
          <w:tcPr>
            <w:tcW w:w="212" w:type="pct"/>
            <w:tcBorders>
              <w:top w:val="nil"/>
              <w:left w:val="nil"/>
              <w:bottom w:val="nil"/>
              <w:right w:val="nil"/>
            </w:tcBorders>
            <w:shd w:val="clear" w:color="000000" w:fill="FFFFFF"/>
            <w:noWrap/>
            <w:vAlign w:val="bottom"/>
            <w:hideMark/>
          </w:tcPr>
          <w:p w14:paraId="7036C76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54.75%</w:t>
            </w:r>
          </w:p>
        </w:tc>
        <w:tc>
          <w:tcPr>
            <w:tcW w:w="212" w:type="pct"/>
            <w:tcBorders>
              <w:top w:val="nil"/>
              <w:left w:val="nil"/>
              <w:bottom w:val="nil"/>
              <w:right w:val="nil"/>
            </w:tcBorders>
            <w:shd w:val="clear" w:color="000000" w:fill="FFFFFF"/>
            <w:noWrap/>
            <w:vAlign w:val="bottom"/>
            <w:hideMark/>
          </w:tcPr>
          <w:p w14:paraId="008CAC0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55.05%</w:t>
            </w:r>
          </w:p>
        </w:tc>
        <w:tc>
          <w:tcPr>
            <w:tcW w:w="212" w:type="pct"/>
            <w:tcBorders>
              <w:top w:val="nil"/>
              <w:left w:val="nil"/>
              <w:bottom w:val="nil"/>
              <w:right w:val="nil"/>
            </w:tcBorders>
            <w:shd w:val="clear" w:color="000000" w:fill="FFFFFF"/>
            <w:noWrap/>
            <w:vAlign w:val="bottom"/>
            <w:hideMark/>
          </w:tcPr>
          <w:p w14:paraId="2FAFB0A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55.74%</w:t>
            </w:r>
          </w:p>
        </w:tc>
        <w:tc>
          <w:tcPr>
            <w:tcW w:w="212" w:type="pct"/>
            <w:tcBorders>
              <w:top w:val="nil"/>
              <w:left w:val="nil"/>
              <w:bottom w:val="nil"/>
              <w:right w:val="nil"/>
            </w:tcBorders>
            <w:shd w:val="clear" w:color="000000" w:fill="FFFFFF"/>
            <w:noWrap/>
            <w:vAlign w:val="bottom"/>
            <w:hideMark/>
          </w:tcPr>
          <w:p w14:paraId="0218CE0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56.11%</w:t>
            </w:r>
          </w:p>
        </w:tc>
        <w:tc>
          <w:tcPr>
            <w:tcW w:w="212" w:type="pct"/>
            <w:tcBorders>
              <w:top w:val="nil"/>
              <w:left w:val="nil"/>
              <w:bottom w:val="nil"/>
              <w:right w:val="nil"/>
            </w:tcBorders>
            <w:shd w:val="clear" w:color="000000" w:fill="FFFFFF"/>
            <w:noWrap/>
            <w:vAlign w:val="bottom"/>
            <w:hideMark/>
          </w:tcPr>
          <w:p w14:paraId="0CA50CA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56.46%</w:t>
            </w:r>
          </w:p>
        </w:tc>
        <w:tc>
          <w:tcPr>
            <w:tcW w:w="212" w:type="pct"/>
            <w:tcBorders>
              <w:top w:val="nil"/>
              <w:left w:val="nil"/>
              <w:bottom w:val="nil"/>
              <w:right w:val="nil"/>
            </w:tcBorders>
            <w:shd w:val="clear" w:color="000000" w:fill="FFFFFF"/>
            <w:noWrap/>
            <w:vAlign w:val="bottom"/>
            <w:hideMark/>
          </w:tcPr>
          <w:p w14:paraId="32E3D2B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56.80%</w:t>
            </w:r>
          </w:p>
        </w:tc>
        <w:tc>
          <w:tcPr>
            <w:tcW w:w="212" w:type="pct"/>
            <w:tcBorders>
              <w:top w:val="nil"/>
              <w:left w:val="nil"/>
              <w:bottom w:val="nil"/>
              <w:right w:val="nil"/>
            </w:tcBorders>
            <w:shd w:val="clear" w:color="000000" w:fill="FFFFFF"/>
            <w:noWrap/>
            <w:vAlign w:val="bottom"/>
            <w:hideMark/>
          </w:tcPr>
          <w:p w14:paraId="69171CA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57.14%</w:t>
            </w:r>
          </w:p>
        </w:tc>
        <w:tc>
          <w:tcPr>
            <w:tcW w:w="212" w:type="pct"/>
            <w:tcBorders>
              <w:top w:val="nil"/>
              <w:left w:val="nil"/>
              <w:bottom w:val="nil"/>
              <w:right w:val="nil"/>
            </w:tcBorders>
            <w:shd w:val="clear" w:color="000000" w:fill="FFFFFF"/>
            <w:noWrap/>
            <w:vAlign w:val="bottom"/>
            <w:hideMark/>
          </w:tcPr>
          <w:p w14:paraId="36B3471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57.45%</w:t>
            </w:r>
          </w:p>
        </w:tc>
      </w:tr>
      <w:tr w:rsidR="002D2278" w:rsidRPr="002D2278" w14:paraId="5564B019" w14:textId="77777777" w:rsidTr="002D2278">
        <w:trPr>
          <w:trHeight w:val="20"/>
        </w:trPr>
        <w:tc>
          <w:tcPr>
            <w:tcW w:w="663" w:type="pct"/>
            <w:tcBorders>
              <w:top w:val="nil"/>
              <w:left w:val="nil"/>
              <w:bottom w:val="nil"/>
              <w:right w:val="nil"/>
            </w:tcBorders>
            <w:shd w:val="clear" w:color="000000" w:fill="FFFFFF"/>
            <w:noWrap/>
            <w:vAlign w:val="center"/>
            <w:hideMark/>
          </w:tcPr>
          <w:p w14:paraId="32BACF72" w14:textId="03485133"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2015........................................</w:t>
            </w:r>
          </w:p>
        </w:tc>
        <w:tc>
          <w:tcPr>
            <w:tcW w:w="449" w:type="pct"/>
            <w:tcBorders>
              <w:top w:val="nil"/>
              <w:left w:val="nil"/>
              <w:bottom w:val="nil"/>
              <w:right w:val="nil"/>
            </w:tcBorders>
            <w:shd w:val="clear" w:color="000000" w:fill="FFFFFF"/>
            <w:noWrap/>
            <w:vAlign w:val="bottom"/>
            <w:hideMark/>
          </w:tcPr>
          <w:p w14:paraId="43B508B4"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2015Q1</w:t>
            </w:r>
          </w:p>
        </w:tc>
        <w:tc>
          <w:tcPr>
            <w:tcW w:w="499" w:type="pct"/>
            <w:tcBorders>
              <w:top w:val="nil"/>
              <w:left w:val="nil"/>
              <w:bottom w:val="nil"/>
              <w:right w:val="nil"/>
            </w:tcBorders>
            <w:shd w:val="clear" w:color="000000" w:fill="FFFFFF"/>
            <w:noWrap/>
            <w:vAlign w:val="center"/>
            <w:hideMark/>
          </w:tcPr>
          <w:p w14:paraId="131BB56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2,364 </w:t>
            </w:r>
          </w:p>
        </w:tc>
        <w:tc>
          <w:tcPr>
            <w:tcW w:w="212" w:type="pct"/>
            <w:tcBorders>
              <w:top w:val="nil"/>
              <w:left w:val="nil"/>
              <w:bottom w:val="nil"/>
              <w:right w:val="nil"/>
            </w:tcBorders>
            <w:shd w:val="clear" w:color="000000" w:fill="FFFFFF"/>
            <w:noWrap/>
            <w:vAlign w:val="bottom"/>
            <w:hideMark/>
          </w:tcPr>
          <w:p w14:paraId="290A623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28.70%</w:t>
            </w:r>
          </w:p>
        </w:tc>
        <w:tc>
          <w:tcPr>
            <w:tcW w:w="212" w:type="pct"/>
            <w:tcBorders>
              <w:top w:val="nil"/>
              <w:left w:val="nil"/>
              <w:bottom w:val="nil"/>
              <w:right w:val="nil"/>
            </w:tcBorders>
            <w:shd w:val="clear" w:color="000000" w:fill="FFFFFF"/>
            <w:noWrap/>
            <w:vAlign w:val="bottom"/>
            <w:hideMark/>
          </w:tcPr>
          <w:p w14:paraId="0E65D9B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48.69%</w:t>
            </w:r>
          </w:p>
        </w:tc>
        <w:tc>
          <w:tcPr>
            <w:tcW w:w="212" w:type="pct"/>
            <w:tcBorders>
              <w:top w:val="nil"/>
              <w:left w:val="nil"/>
              <w:bottom w:val="nil"/>
              <w:right w:val="nil"/>
            </w:tcBorders>
            <w:shd w:val="clear" w:color="000000" w:fill="FFFFFF"/>
            <w:noWrap/>
            <w:vAlign w:val="bottom"/>
            <w:hideMark/>
          </w:tcPr>
          <w:p w14:paraId="745E8BE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51.62%</w:t>
            </w:r>
          </w:p>
        </w:tc>
        <w:tc>
          <w:tcPr>
            <w:tcW w:w="212" w:type="pct"/>
            <w:tcBorders>
              <w:top w:val="nil"/>
              <w:left w:val="nil"/>
              <w:bottom w:val="nil"/>
              <w:right w:val="nil"/>
            </w:tcBorders>
            <w:shd w:val="clear" w:color="000000" w:fill="FFFFFF"/>
            <w:noWrap/>
            <w:vAlign w:val="bottom"/>
            <w:hideMark/>
          </w:tcPr>
          <w:p w14:paraId="6A2B481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52.96%</w:t>
            </w:r>
          </w:p>
        </w:tc>
        <w:tc>
          <w:tcPr>
            <w:tcW w:w="212" w:type="pct"/>
            <w:tcBorders>
              <w:top w:val="nil"/>
              <w:left w:val="nil"/>
              <w:bottom w:val="nil"/>
              <w:right w:val="nil"/>
            </w:tcBorders>
            <w:shd w:val="clear" w:color="000000" w:fill="FFFFFF"/>
            <w:noWrap/>
            <w:vAlign w:val="bottom"/>
            <w:hideMark/>
          </w:tcPr>
          <w:p w14:paraId="19793C0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212" w:type="pct"/>
            <w:tcBorders>
              <w:top w:val="nil"/>
              <w:left w:val="nil"/>
              <w:bottom w:val="nil"/>
              <w:right w:val="nil"/>
            </w:tcBorders>
            <w:shd w:val="clear" w:color="000000" w:fill="FFFFFF"/>
            <w:noWrap/>
            <w:vAlign w:val="bottom"/>
            <w:hideMark/>
          </w:tcPr>
          <w:p w14:paraId="5AFF94D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54.27%</w:t>
            </w:r>
          </w:p>
        </w:tc>
        <w:tc>
          <w:tcPr>
            <w:tcW w:w="212" w:type="pct"/>
            <w:tcBorders>
              <w:top w:val="nil"/>
              <w:left w:val="nil"/>
              <w:bottom w:val="nil"/>
              <w:right w:val="nil"/>
            </w:tcBorders>
            <w:shd w:val="clear" w:color="000000" w:fill="FFFFFF"/>
            <w:noWrap/>
            <w:vAlign w:val="bottom"/>
            <w:hideMark/>
          </w:tcPr>
          <w:p w14:paraId="19FD782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54.93%</w:t>
            </w:r>
          </w:p>
        </w:tc>
        <w:tc>
          <w:tcPr>
            <w:tcW w:w="212" w:type="pct"/>
            <w:tcBorders>
              <w:top w:val="nil"/>
              <w:left w:val="nil"/>
              <w:bottom w:val="nil"/>
              <w:right w:val="nil"/>
            </w:tcBorders>
            <w:shd w:val="clear" w:color="000000" w:fill="FFFFFF"/>
            <w:noWrap/>
            <w:vAlign w:val="bottom"/>
            <w:hideMark/>
          </w:tcPr>
          <w:p w14:paraId="2BF6988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55.74%</w:t>
            </w:r>
          </w:p>
        </w:tc>
        <w:tc>
          <w:tcPr>
            <w:tcW w:w="212" w:type="pct"/>
            <w:tcBorders>
              <w:top w:val="nil"/>
              <w:left w:val="nil"/>
              <w:bottom w:val="nil"/>
              <w:right w:val="nil"/>
            </w:tcBorders>
            <w:shd w:val="clear" w:color="000000" w:fill="FFFFFF"/>
            <w:noWrap/>
            <w:vAlign w:val="bottom"/>
            <w:hideMark/>
          </w:tcPr>
          <w:p w14:paraId="2E4552C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56.00%</w:t>
            </w:r>
          </w:p>
        </w:tc>
        <w:tc>
          <w:tcPr>
            <w:tcW w:w="212" w:type="pct"/>
            <w:tcBorders>
              <w:top w:val="nil"/>
              <w:left w:val="nil"/>
              <w:bottom w:val="nil"/>
              <w:right w:val="nil"/>
            </w:tcBorders>
            <w:shd w:val="clear" w:color="000000" w:fill="FFFFFF"/>
            <w:noWrap/>
            <w:vAlign w:val="bottom"/>
            <w:hideMark/>
          </w:tcPr>
          <w:p w14:paraId="34853B7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56.26%</w:t>
            </w:r>
          </w:p>
        </w:tc>
        <w:tc>
          <w:tcPr>
            <w:tcW w:w="212" w:type="pct"/>
            <w:tcBorders>
              <w:top w:val="nil"/>
              <w:left w:val="nil"/>
              <w:bottom w:val="nil"/>
              <w:right w:val="nil"/>
            </w:tcBorders>
            <w:shd w:val="clear" w:color="000000" w:fill="FFFFFF"/>
            <w:noWrap/>
            <w:vAlign w:val="bottom"/>
            <w:hideMark/>
          </w:tcPr>
          <w:p w14:paraId="76470D4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56.92%</w:t>
            </w:r>
          </w:p>
        </w:tc>
        <w:tc>
          <w:tcPr>
            <w:tcW w:w="212" w:type="pct"/>
            <w:tcBorders>
              <w:top w:val="nil"/>
              <w:left w:val="nil"/>
              <w:bottom w:val="nil"/>
              <w:right w:val="nil"/>
            </w:tcBorders>
            <w:shd w:val="clear" w:color="000000" w:fill="FFFFFF"/>
            <w:noWrap/>
            <w:vAlign w:val="bottom"/>
            <w:hideMark/>
          </w:tcPr>
          <w:p w14:paraId="1ED5872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57.29%</w:t>
            </w:r>
          </w:p>
        </w:tc>
        <w:tc>
          <w:tcPr>
            <w:tcW w:w="212" w:type="pct"/>
            <w:tcBorders>
              <w:top w:val="nil"/>
              <w:left w:val="nil"/>
              <w:bottom w:val="nil"/>
              <w:right w:val="nil"/>
            </w:tcBorders>
            <w:shd w:val="clear" w:color="000000" w:fill="FFFFFF"/>
            <w:noWrap/>
            <w:vAlign w:val="bottom"/>
            <w:hideMark/>
          </w:tcPr>
          <w:p w14:paraId="00AFCBA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57.65%</w:t>
            </w:r>
          </w:p>
        </w:tc>
        <w:tc>
          <w:tcPr>
            <w:tcW w:w="212" w:type="pct"/>
            <w:tcBorders>
              <w:top w:val="nil"/>
              <w:left w:val="nil"/>
              <w:bottom w:val="nil"/>
              <w:right w:val="nil"/>
            </w:tcBorders>
            <w:shd w:val="clear" w:color="000000" w:fill="FFFFFF"/>
            <w:noWrap/>
            <w:vAlign w:val="bottom"/>
            <w:hideMark/>
          </w:tcPr>
          <w:p w14:paraId="7324744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58.01%</w:t>
            </w:r>
          </w:p>
        </w:tc>
        <w:tc>
          <w:tcPr>
            <w:tcW w:w="212" w:type="pct"/>
            <w:tcBorders>
              <w:top w:val="nil"/>
              <w:left w:val="nil"/>
              <w:bottom w:val="nil"/>
              <w:right w:val="nil"/>
            </w:tcBorders>
            <w:shd w:val="clear" w:color="000000" w:fill="FFFFFF"/>
            <w:noWrap/>
            <w:vAlign w:val="bottom"/>
            <w:hideMark/>
          </w:tcPr>
          <w:p w14:paraId="588D7A8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58.30%</w:t>
            </w:r>
          </w:p>
        </w:tc>
        <w:tc>
          <w:tcPr>
            <w:tcW w:w="212" w:type="pct"/>
            <w:tcBorders>
              <w:top w:val="nil"/>
              <w:left w:val="nil"/>
              <w:bottom w:val="nil"/>
              <w:right w:val="nil"/>
            </w:tcBorders>
            <w:shd w:val="clear" w:color="000000" w:fill="FFFFFF"/>
            <w:noWrap/>
            <w:vAlign w:val="bottom"/>
            <w:hideMark/>
          </w:tcPr>
          <w:p w14:paraId="46A224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58.77%</w:t>
            </w:r>
          </w:p>
        </w:tc>
      </w:tr>
      <w:tr w:rsidR="002D2278" w:rsidRPr="002D2278" w14:paraId="797DDF06" w14:textId="77777777" w:rsidTr="002D2278">
        <w:trPr>
          <w:trHeight w:val="20"/>
        </w:trPr>
        <w:tc>
          <w:tcPr>
            <w:tcW w:w="663" w:type="pct"/>
            <w:tcBorders>
              <w:top w:val="nil"/>
              <w:left w:val="nil"/>
              <w:bottom w:val="nil"/>
              <w:right w:val="nil"/>
            </w:tcBorders>
            <w:shd w:val="clear" w:color="000000" w:fill="FFFFFF"/>
            <w:noWrap/>
            <w:vAlign w:val="center"/>
            <w:hideMark/>
          </w:tcPr>
          <w:p w14:paraId="12C486FA" w14:textId="2851ED32"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2015..........................................</w:t>
            </w:r>
          </w:p>
        </w:tc>
        <w:tc>
          <w:tcPr>
            <w:tcW w:w="449" w:type="pct"/>
            <w:tcBorders>
              <w:top w:val="nil"/>
              <w:left w:val="nil"/>
              <w:bottom w:val="nil"/>
              <w:right w:val="nil"/>
            </w:tcBorders>
            <w:shd w:val="clear" w:color="000000" w:fill="FFFFFF"/>
            <w:noWrap/>
            <w:vAlign w:val="bottom"/>
            <w:hideMark/>
          </w:tcPr>
          <w:p w14:paraId="187ADAC5"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2015Q2</w:t>
            </w:r>
          </w:p>
        </w:tc>
        <w:tc>
          <w:tcPr>
            <w:tcW w:w="499" w:type="pct"/>
            <w:tcBorders>
              <w:top w:val="nil"/>
              <w:left w:val="nil"/>
              <w:bottom w:val="nil"/>
              <w:right w:val="nil"/>
            </w:tcBorders>
            <w:shd w:val="clear" w:color="000000" w:fill="FFFFFF"/>
            <w:noWrap/>
            <w:vAlign w:val="center"/>
            <w:hideMark/>
          </w:tcPr>
          <w:p w14:paraId="3C27890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2,113 </w:t>
            </w:r>
          </w:p>
        </w:tc>
        <w:tc>
          <w:tcPr>
            <w:tcW w:w="212" w:type="pct"/>
            <w:tcBorders>
              <w:top w:val="nil"/>
              <w:left w:val="nil"/>
              <w:bottom w:val="nil"/>
              <w:right w:val="nil"/>
            </w:tcBorders>
            <w:shd w:val="clear" w:color="000000" w:fill="FFFFFF"/>
            <w:noWrap/>
            <w:vAlign w:val="bottom"/>
            <w:hideMark/>
          </w:tcPr>
          <w:p w14:paraId="53C022F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35.75%</w:t>
            </w:r>
          </w:p>
        </w:tc>
        <w:tc>
          <w:tcPr>
            <w:tcW w:w="212" w:type="pct"/>
            <w:tcBorders>
              <w:top w:val="nil"/>
              <w:left w:val="nil"/>
              <w:bottom w:val="nil"/>
              <w:right w:val="nil"/>
            </w:tcBorders>
            <w:shd w:val="clear" w:color="000000" w:fill="FFFFFF"/>
            <w:noWrap/>
            <w:vAlign w:val="bottom"/>
            <w:hideMark/>
          </w:tcPr>
          <w:p w14:paraId="0D092BC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50.56%</w:t>
            </w:r>
          </w:p>
        </w:tc>
        <w:tc>
          <w:tcPr>
            <w:tcW w:w="212" w:type="pct"/>
            <w:tcBorders>
              <w:top w:val="nil"/>
              <w:left w:val="nil"/>
              <w:bottom w:val="nil"/>
              <w:right w:val="nil"/>
            </w:tcBorders>
            <w:shd w:val="clear" w:color="000000" w:fill="FFFFFF"/>
            <w:noWrap/>
            <w:vAlign w:val="bottom"/>
            <w:hideMark/>
          </w:tcPr>
          <w:p w14:paraId="33E13BE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52.29%</w:t>
            </w:r>
          </w:p>
        </w:tc>
        <w:tc>
          <w:tcPr>
            <w:tcW w:w="212" w:type="pct"/>
            <w:tcBorders>
              <w:top w:val="nil"/>
              <w:left w:val="nil"/>
              <w:bottom w:val="nil"/>
              <w:right w:val="nil"/>
            </w:tcBorders>
            <w:shd w:val="clear" w:color="000000" w:fill="FFFFFF"/>
            <w:noWrap/>
            <w:vAlign w:val="bottom"/>
            <w:hideMark/>
          </w:tcPr>
          <w:p w14:paraId="62C4A34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52.76%</w:t>
            </w:r>
          </w:p>
        </w:tc>
        <w:tc>
          <w:tcPr>
            <w:tcW w:w="212" w:type="pct"/>
            <w:tcBorders>
              <w:top w:val="nil"/>
              <w:left w:val="nil"/>
              <w:bottom w:val="nil"/>
              <w:right w:val="nil"/>
            </w:tcBorders>
            <w:shd w:val="clear" w:color="000000" w:fill="FFFFFF"/>
            <w:noWrap/>
            <w:vAlign w:val="bottom"/>
            <w:hideMark/>
          </w:tcPr>
          <w:p w14:paraId="2CB8ACC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53.83%</w:t>
            </w:r>
          </w:p>
        </w:tc>
        <w:tc>
          <w:tcPr>
            <w:tcW w:w="212" w:type="pct"/>
            <w:tcBorders>
              <w:top w:val="nil"/>
              <w:left w:val="nil"/>
              <w:bottom w:val="nil"/>
              <w:right w:val="nil"/>
            </w:tcBorders>
            <w:shd w:val="clear" w:color="000000" w:fill="FFFFFF"/>
            <w:noWrap/>
            <w:vAlign w:val="bottom"/>
            <w:hideMark/>
          </w:tcPr>
          <w:p w14:paraId="43C8AA1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54.94%</w:t>
            </w:r>
          </w:p>
        </w:tc>
        <w:tc>
          <w:tcPr>
            <w:tcW w:w="212" w:type="pct"/>
            <w:tcBorders>
              <w:top w:val="nil"/>
              <w:left w:val="nil"/>
              <w:bottom w:val="nil"/>
              <w:right w:val="nil"/>
            </w:tcBorders>
            <w:shd w:val="clear" w:color="000000" w:fill="FFFFFF"/>
            <w:noWrap/>
            <w:vAlign w:val="bottom"/>
            <w:hideMark/>
          </w:tcPr>
          <w:p w14:paraId="04328B8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55.49%</w:t>
            </w:r>
          </w:p>
        </w:tc>
        <w:tc>
          <w:tcPr>
            <w:tcW w:w="212" w:type="pct"/>
            <w:tcBorders>
              <w:top w:val="nil"/>
              <w:left w:val="nil"/>
              <w:bottom w:val="nil"/>
              <w:right w:val="nil"/>
            </w:tcBorders>
            <w:shd w:val="clear" w:color="000000" w:fill="FFFFFF"/>
            <w:noWrap/>
            <w:vAlign w:val="bottom"/>
            <w:hideMark/>
          </w:tcPr>
          <w:p w14:paraId="22206D7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56.33%</w:t>
            </w:r>
          </w:p>
        </w:tc>
        <w:tc>
          <w:tcPr>
            <w:tcW w:w="212" w:type="pct"/>
            <w:tcBorders>
              <w:top w:val="nil"/>
              <w:left w:val="nil"/>
              <w:bottom w:val="nil"/>
              <w:right w:val="nil"/>
            </w:tcBorders>
            <w:shd w:val="clear" w:color="000000" w:fill="FFFFFF"/>
            <w:noWrap/>
            <w:vAlign w:val="bottom"/>
            <w:hideMark/>
          </w:tcPr>
          <w:p w14:paraId="51149F3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56.85%</w:t>
            </w:r>
          </w:p>
        </w:tc>
        <w:tc>
          <w:tcPr>
            <w:tcW w:w="212" w:type="pct"/>
            <w:tcBorders>
              <w:top w:val="nil"/>
              <w:left w:val="nil"/>
              <w:bottom w:val="nil"/>
              <w:right w:val="nil"/>
            </w:tcBorders>
            <w:shd w:val="clear" w:color="000000" w:fill="FFFFFF"/>
            <w:noWrap/>
            <w:vAlign w:val="bottom"/>
            <w:hideMark/>
          </w:tcPr>
          <w:p w14:paraId="1F2CB5C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57.56%</w:t>
            </w:r>
          </w:p>
        </w:tc>
        <w:tc>
          <w:tcPr>
            <w:tcW w:w="212" w:type="pct"/>
            <w:tcBorders>
              <w:top w:val="nil"/>
              <w:left w:val="nil"/>
              <w:bottom w:val="nil"/>
              <w:right w:val="nil"/>
            </w:tcBorders>
            <w:shd w:val="clear" w:color="000000" w:fill="FFFFFF"/>
            <w:noWrap/>
            <w:vAlign w:val="bottom"/>
            <w:hideMark/>
          </w:tcPr>
          <w:p w14:paraId="11477BD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58.38%</w:t>
            </w:r>
          </w:p>
        </w:tc>
        <w:tc>
          <w:tcPr>
            <w:tcW w:w="212" w:type="pct"/>
            <w:tcBorders>
              <w:top w:val="nil"/>
              <w:left w:val="nil"/>
              <w:bottom w:val="nil"/>
              <w:right w:val="nil"/>
            </w:tcBorders>
            <w:shd w:val="clear" w:color="000000" w:fill="FFFFFF"/>
            <w:noWrap/>
            <w:vAlign w:val="bottom"/>
            <w:hideMark/>
          </w:tcPr>
          <w:p w14:paraId="7E670FC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60.24%</w:t>
            </w:r>
          </w:p>
        </w:tc>
        <w:tc>
          <w:tcPr>
            <w:tcW w:w="212" w:type="pct"/>
            <w:tcBorders>
              <w:top w:val="nil"/>
              <w:left w:val="nil"/>
              <w:bottom w:val="nil"/>
              <w:right w:val="nil"/>
            </w:tcBorders>
            <w:shd w:val="clear" w:color="000000" w:fill="FFFFFF"/>
            <w:noWrap/>
            <w:vAlign w:val="bottom"/>
            <w:hideMark/>
          </w:tcPr>
          <w:p w14:paraId="52D4CD8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60.52%</w:t>
            </w:r>
          </w:p>
        </w:tc>
        <w:tc>
          <w:tcPr>
            <w:tcW w:w="212" w:type="pct"/>
            <w:tcBorders>
              <w:top w:val="nil"/>
              <w:left w:val="nil"/>
              <w:bottom w:val="nil"/>
              <w:right w:val="nil"/>
            </w:tcBorders>
            <w:shd w:val="clear" w:color="000000" w:fill="FFFFFF"/>
            <w:noWrap/>
            <w:vAlign w:val="bottom"/>
            <w:hideMark/>
          </w:tcPr>
          <w:p w14:paraId="48DDDA0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61.01%</w:t>
            </w:r>
          </w:p>
        </w:tc>
        <w:tc>
          <w:tcPr>
            <w:tcW w:w="212" w:type="pct"/>
            <w:tcBorders>
              <w:top w:val="nil"/>
              <w:left w:val="nil"/>
              <w:bottom w:val="nil"/>
              <w:right w:val="nil"/>
            </w:tcBorders>
            <w:shd w:val="clear" w:color="000000" w:fill="FFFFFF"/>
            <w:noWrap/>
            <w:vAlign w:val="bottom"/>
            <w:hideMark/>
          </w:tcPr>
          <w:p w14:paraId="0201656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61.14%</w:t>
            </w:r>
          </w:p>
        </w:tc>
        <w:tc>
          <w:tcPr>
            <w:tcW w:w="212" w:type="pct"/>
            <w:tcBorders>
              <w:top w:val="nil"/>
              <w:left w:val="nil"/>
              <w:bottom w:val="nil"/>
              <w:right w:val="nil"/>
            </w:tcBorders>
            <w:shd w:val="clear" w:color="000000" w:fill="FFFFFF"/>
            <w:noWrap/>
            <w:vAlign w:val="bottom"/>
            <w:hideMark/>
          </w:tcPr>
          <w:p w14:paraId="0A9B0E3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61.43%</w:t>
            </w:r>
          </w:p>
        </w:tc>
      </w:tr>
      <w:tr w:rsidR="002D2278" w:rsidRPr="002D2278" w14:paraId="00E044D7" w14:textId="77777777" w:rsidTr="002D2278">
        <w:trPr>
          <w:trHeight w:val="20"/>
        </w:trPr>
        <w:tc>
          <w:tcPr>
            <w:tcW w:w="663" w:type="pct"/>
            <w:tcBorders>
              <w:top w:val="nil"/>
              <w:left w:val="nil"/>
              <w:bottom w:val="nil"/>
              <w:right w:val="nil"/>
            </w:tcBorders>
            <w:shd w:val="clear" w:color="000000" w:fill="FFFFFF"/>
            <w:noWrap/>
            <w:vAlign w:val="center"/>
            <w:hideMark/>
          </w:tcPr>
          <w:p w14:paraId="6CE1E819"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2015..............................</w:t>
            </w:r>
          </w:p>
        </w:tc>
        <w:tc>
          <w:tcPr>
            <w:tcW w:w="449" w:type="pct"/>
            <w:tcBorders>
              <w:top w:val="nil"/>
              <w:left w:val="nil"/>
              <w:bottom w:val="nil"/>
              <w:right w:val="nil"/>
            </w:tcBorders>
            <w:shd w:val="clear" w:color="000000" w:fill="FFFFFF"/>
            <w:noWrap/>
            <w:vAlign w:val="bottom"/>
            <w:hideMark/>
          </w:tcPr>
          <w:p w14:paraId="3191EC9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2015Q3</w:t>
            </w:r>
          </w:p>
        </w:tc>
        <w:tc>
          <w:tcPr>
            <w:tcW w:w="499" w:type="pct"/>
            <w:tcBorders>
              <w:top w:val="nil"/>
              <w:left w:val="nil"/>
              <w:bottom w:val="nil"/>
              <w:right w:val="nil"/>
            </w:tcBorders>
            <w:shd w:val="clear" w:color="000000" w:fill="FFFFFF"/>
            <w:noWrap/>
            <w:vAlign w:val="center"/>
            <w:hideMark/>
          </w:tcPr>
          <w:p w14:paraId="462EFB4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2,030 </w:t>
            </w:r>
          </w:p>
        </w:tc>
        <w:tc>
          <w:tcPr>
            <w:tcW w:w="212" w:type="pct"/>
            <w:tcBorders>
              <w:top w:val="nil"/>
              <w:left w:val="nil"/>
              <w:bottom w:val="nil"/>
              <w:right w:val="nil"/>
            </w:tcBorders>
            <w:shd w:val="clear" w:color="000000" w:fill="FFFFFF"/>
            <w:noWrap/>
            <w:vAlign w:val="bottom"/>
            <w:hideMark/>
          </w:tcPr>
          <w:p w14:paraId="136BC8F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32.38%</w:t>
            </w:r>
          </w:p>
        </w:tc>
        <w:tc>
          <w:tcPr>
            <w:tcW w:w="212" w:type="pct"/>
            <w:tcBorders>
              <w:top w:val="nil"/>
              <w:left w:val="nil"/>
              <w:bottom w:val="nil"/>
              <w:right w:val="nil"/>
            </w:tcBorders>
            <w:shd w:val="clear" w:color="000000" w:fill="FFFFFF"/>
            <w:noWrap/>
            <w:vAlign w:val="bottom"/>
            <w:hideMark/>
          </w:tcPr>
          <w:p w14:paraId="290A49B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47.98%</w:t>
            </w:r>
          </w:p>
        </w:tc>
        <w:tc>
          <w:tcPr>
            <w:tcW w:w="212" w:type="pct"/>
            <w:tcBorders>
              <w:top w:val="nil"/>
              <w:left w:val="nil"/>
              <w:bottom w:val="nil"/>
              <w:right w:val="nil"/>
            </w:tcBorders>
            <w:shd w:val="clear" w:color="000000" w:fill="FFFFFF"/>
            <w:noWrap/>
            <w:vAlign w:val="bottom"/>
            <w:hideMark/>
          </w:tcPr>
          <w:p w14:paraId="0ABB712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49.10%</w:t>
            </w:r>
          </w:p>
        </w:tc>
        <w:tc>
          <w:tcPr>
            <w:tcW w:w="212" w:type="pct"/>
            <w:tcBorders>
              <w:top w:val="nil"/>
              <w:left w:val="nil"/>
              <w:bottom w:val="nil"/>
              <w:right w:val="nil"/>
            </w:tcBorders>
            <w:shd w:val="clear" w:color="000000" w:fill="FFFFFF"/>
            <w:noWrap/>
            <w:vAlign w:val="bottom"/>
            <w:hideMark/>
          </w:tcPr>
          <w:p w14:paraId="53F01C4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49.98%</w:t>
            </w:r>
          </w:p>
        </w:tc>
        <w:tc>
          <w:tcPr>
            <w:tcW w:w="212" w:type="pct"/>
            <w:tcBorders>
              <w:top w:val="nil"/>
              <w:left w:val="nil"/>
              <w:bottom w:val="nil"/>
              <w:right w:val="nil"/>
            </w:tcBorders>
            <w:shd w:val="clear" w:color="000000" w:fill="FFFFFF"/>
            <w:noWrap/>
            <w:vAlign w:val="bottom"/>
            <w:hideMark/>
          </w:tcPr>
          <w:p w14:paraId="3D791A4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50.65%</w:t>
            </w:r>
          </w:p>
        </w:tc>
        <w:tc>
          <w:tcPr>
            <w:tcW w:w="212" w:type="pct"/>
            <w:tcBorders>
              <w:top w:val="nil"/>
              <w:left w:val="nil"/>
              <w:bottom w:val="nil"/>
              <w:right w:val="nil"/>
            </w:tcBorders>
            <w:shd w:val="clear" w:color="000000" w:fill="FFFFFF"/>
            <w:noWrap/>
            <w:vAlign w:val="bottom"/>
            <w:hideMark/>
          </w:tcPr>
          <w:p w14:paraId="69F294E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51.48%</w:t>
            </w:r>
          </w:p>
        </w:tc>
        <w:tc>
          <w:tcPr>
            <w:tcW w:w="212" w:type="pct"/>
            <w:tcBorders>
              <w:top w:val="nil"/>
              <w:left w:val="nil"/>
              <w:bottom w:val="nil"/>
              <w:right w:val="nil"/>
            </w:tcBorders>
            <w:shd w:val="clear" w:color="000000" w:fill="FFFFFF"/>
            <w:noWrap/>
            <w:vAlign w:val="bottom"/>
            <w:hideMark/>
          </w:tcPr>
          <w:p w14:paraId="1A480E3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51.70%</w:t>
            </w:r>
          </w:p>
        </w:tc>
        <w:tc>
          <w:tcPr>
            <w:tcW w:w="212" w:type="pct"/>
            <w:tcBorders>
              <w:top w:val="nil"/>
              <w:left w:val="nil"/>
              <w:bottom w:val="nil"/>
              <w:right w:val="nil"/>
            </w:tcBorders>
            <w:shd w:val="clear" w:color="000000" w:fill="FFFFFF"/>
            <w:noWrap/>
            <w:vAlign w:val="bottom"/>
            <w:hideMark/>
          </w:tcPr>
          <w:p w14:paraId="5956C7D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52.46%</w:t>
            </w:r>
          </w:p>
        </w:tc>
        <w:tc>
          <w:tcPr>
            <w:tcW w:w="212" w:type="pct"/>
            <w:tcBorders>
              <w:top w:val="nil"/>
              <w:left w:val="nil"/>
              <w:bottom w:val="nil"/>
              <w:right w:val="nil"/>
            </w:tcBorders>
            <w:shd w:val="clear" w:color="000000" w:fill="FFFFFF"/>
            <w:noWrap/>
            <w:vAlign w:val="bottom"/>
            <w:hideMark/>
          </w:tcPr>
          <w:p w14:paraId="713E991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52.66%</w:t>
            </w:r>
          </w:p>
        </w:tc>
        <w:tc>
          <w:tcPr>
            <w:tcW w:w="212" w:type="pct"/>
            <w:tcBorders>
              <w:top w:val="nil"/>
              <w:left w:val="nil"/>
              <w:bottom w:val="nil"/>
              <w:right w:val="nil"/>
            </w:tcBorders>
            <w:shd w:val="clear" w:color="000000" w:fill="FFFFFF"/>
            <w:noWrap/>
            <w:vAlign w:val="bottom"/>
            <w:hideMark/>
          </w:tcPr>
          <w:p w14:paraId="0982FFF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53.37%</w:t>
            </w:r>
          </w:p>
        </w:tc>
        <w:tc>
          <w:tcPr>
            <w:tcW w:w="212" w:type="pct"/>
            <w:tcBorders>
              <w:top w:val="nil"/>
              <w:left w:val="nil"/>
              <w:bottom w:val="nil"/>
              <w:right w:val="nil"/>
            </w:tcBorders>
            <w:shd w:val="clear" w:color="000000" w:fill="FFFFFF"/>
            <w:noWrap/>
            <w:vAlign w:val="bottom"/>
            <w:hideMark/>
          </w:tcPr>
          <w:p w14:paraId="01A251A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53.80%</w:t>
            </w:r>
          </w:p>
        </w:tc>
        <w:tc>
          <w:tcPr>
            <w:tcW w:w="212" w:type="pct"/>
            <w:tcBorders>
              <w:top w:val="nil"/>
              <w:left w:val="nil"/>
              <w:bottom w:val="nil"/>
              <w:right w:val="nil"/>
            </w:tcBorders>
            <w:shd w:val="clear" w:color="000000" w:fill="FFFFFF"/>
            <w:noWrap/>
            <w:vAlign w:val="bottom"/>
            <w:hideMark/>
          </w:tcPr>
          <w:p w14:paraId="4B23C3A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54.44%</w:t>
            </w:r>
          </w:p>
        </w:tc>
        <w:tc>
          <w:tcPr>
            <w:tcW w:w="212" w:type="pct"/>
            <w:tcBorders>
              <w:top w:val="nil"/>
              <w:left w:val="nil"/>
              <w:bottom w:val="nil"/>
              <w:right w:val="nil"/>
            </w:tcBorders>
            <w:shd w:val="clear" w:color="000000" w:fill="FFFFFF"/>
            <w:noWrap/>
            <w:vAlign w:val="bottom"/>
            <w:hideMark/>
          </w:tcPr>
          <w:p w14:paraId="361659F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55.08%</w:t>
            </w:r>
          </w:p>
        </w:tc>
        <w:tc>
          <w:tcPr>
            <w:tcW w:w="212" w:type="pct"/>
            <w:tcBorders>
              <w:top w:val="nil"/>
              <w:left w:val="nil"/>
              <w:bottom w:val="nil"/>
              <w:right w:val="nil"/>
            </w:tcBorders>
            <w:shd w:val="clear" w:color="000000" w:fill="FFFFFF"/>
            <w:noWrap/>
            <w:vAlign w:val="bottom"/>
            <w:hideMark/>
          </w:tcPr>
          <w:p w14:paraId="1285BAF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55.51%</w:t>
            </w:r>
          </w:p>
        </w:tc>
        <w:tc>
          <w:tcPr>
            <w:tcW w:w="212" w:type="pct"/>
            <w:tcBorders>
              <w:top w:val="nil"/>
              <w:left w:val="nil"/>
              <w:bottom w:val="nil"/>
              <w:right w:val="nil"/>
            </w:tcBorders>
            <w:shd w:val="clear" w:color="000000" w:fill="FFFFFF"/>
            <w:noWrap/>
            <w:vAlign w:val="bottom"/>
            <w:hideMark/>
          </w:tcPr>
          <w:p w14:paraId="2F632B1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56.25%</w:t>
            </w:r>
          </w:p>
        </w:tc>
        <w:tc>
          <w:tcPr>
            <w:tcW w:w="212" w:type="pct"/>
            <w:tcBorders>
              <w:top w:val="nil"/>
              <w:left w:val="nil"/>
              <w:bottom w:val="nil"/>
              <w:right w:val="nil"/>
            </w:tcBorders>
            <w:shd w:val="clear" w:color="000000" w:fill="FFFFFF"/>
            <w:noWrap/>
            <w:vAlign w:val="bottom"/>
            <w:hideMark/>
          </w:tcPr>
          <w:p w14:paraId="0A79E20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56.67%</w:t>
            </w:r>
          </w:p>
        </w:tc>
      </w:tr>
      <w:tr w:rsidR="002D2278" w:rsidRPr="002D2278" w14:paraId="2E3C5B5E" w14:textId="77777777" w:rsidTr="002D2278">
        <w:trPr>
          <w:trHeight w:val="20"/>
        </w:trPr>
        <w:tc>
          <w:tcPr>
            <w:tcW w:w="663" w:type="pct"/>
            <w:tcBorders>
              <w:top w:val="nil"/>
              <w:left w:val="nil"/>
              <w:bottom w:val="nil"/>
              <w:right w:val="nil"/>
            </w:tcBorders>
            <w:shd w:val="clear" w:color="000000" w:fill="FFFFFF"/>
            <w:noWrap/>
            <w:vAlign w:val="center"/>
            <w:hideMark/>
          </w:tcPr>
          <w:p w14:paraId="36BDA4FA" w14:textId="7916877B"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2015...............................</w:t>
            </w:r>
          </w:p>
        </w:tc>
        <w:tc>
          <w:tcPr>
            <w:tcW w:w="449" w:type="pct"/>
            <w:tcBorders>
              <w:top w:val="nil"/>
              <w:left w:val="nil"/>
              <w:bottom w:val="nil"/>
              <w:right w:val="nil"/>
            </w:tcBorders>
            <w:shd w:val="clear" w:color="000000" w:fill="FFFFFF"/>
            <w:noWrap/>
            <w:vAlign w:val="bottom"/>
            <w:hideMark/>
          </w:tcPr>
          <w:p w14:paraId="246EDF7E"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2015Q4</w:t>
            </w:r>
          </w:p>
        </w:tc>
        <w:tc>
          <w:tcPr>
            <w:tcW w:w="499" w:type="pct"/>
            <w:tcBorders>
              <w:top w:val="nil"/>
              <w:left w:val="nil"/>
              <w:bottom w:val="nil"/>
              <w:right w:val="nil"/>
            </w:tcBorders>
            <w:shd w:val="clear" w:color="000000" w:fill="FFFFFF"/>
            <w:noWrap/>
            <w:vAlign w:val="center"/>
            <w:hideMark/>
          </w:tcPr>
          <w:p w14:paraId="4C80AD7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2,105 </w:t>
            </w:r>
          </w:p>
        </w:tc>
        <w:tc>
          <w:tcPr>
            <w:tcW w:w="212" w:type="pct"/>
            <w:tcBorders>
              <w:top w:val="nil"/>
              <w:left w:val="nil"/>
              <w:bottom w:val="nil"/>
              <w:right w:val="nil"/>
            </w:tcBorders>
            <w:shd w:val="clear" w:color="000000" w:fill="FFFFFF"/>
            <w:noWrap/>
            <w:vAlign w:val="bottom"/>
            <w:hideMark/>
          </w:tcPr>
          <w:p w14:paraId="7F8B1C5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32.17%</w:t>
            </w:r>
          </w:p>
        </w:tc>
        <w:tc>
          <w:tcPr>
            <w:tcW w:w="212" w:type="pct"/>
            <w:tcBorders>
              <w:top w:val="nil"/>
              <w:left w:val="nil"/>
              <w:bottom w:val="nil"/>
              <w:right w:val="nil"/>
            </w:tcBorders>
            <w:shd w:val="clear" w:color="000000" w:fill="FFFFFF"/>
            <w:noWrap/>
            <w:vAlign w:val="bottom"/>
            <w:hideMark/>
          </w:tcPr>
          <w:p w14:paraId="16CA662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53.93%</w:t>
            </w:r>
          </w:p>
        </w:tc>
        <w:tc>
          <w:tcPr>
            <w:tcW w:w="212" w:type="pct"/>
            <w:tcBorders>
              <w:top w:val="nil"/>
              <w:left w:val="nil"/>
              <w:bottom w:val="nil"/>
              <w:right w:val="nil"/>
            </w:tcBorders>
            <w:shd w:val="clear" w:color="000000" w:fill="FFFFFF"/>
            <w:noWrap/>
            <w:vAlign w:val="bottom"/>
            <w:hideMark/>
          </w:tcPr>
          <w:p w14:paraId="6DBEDE3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54.70%</w:t>
            </w:r>
          </w:p>
        </w:tc>
        <w:tc>
          <w:tcPr>
            <w:tcW w:w="212" w:type="pct"/>
            <w:tcBorders>
              <w:top w:val="nil"/>
              <w:left w:val="nil"/>
              <w:bottom w:val="nil"/>
              <w:right w:val="nil"/>
            </w:tcBorders>
            <w:shd w:val="clear" w:color="000000" w:fill="FFFFFF"/>
            <w:noWrap/>
            <w:vAlign w:val="bottom"/>
            <w:hideMark/>
          </w:tcPr>
          <w:p w14:paraId="4E60706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56.12%</w:t>
            </w:r>
          </w:p>
        </w:tc>
        <w:tc>
          <w:tcPr>
            <w:tcW w:w="212" w:type="pct"/>
            <w:tcBorders>
              <w:top w:val="nil"/>
              <w:left w:val="nil"/>
              <w:bottom w:val="nil"/>
              <w:right w:val="nil"/>
            </w:tcBorders>
            <w:shd w:val="clear" w:color="000000" w:fill="FFFFFF"/>
            <w:noWrap/>
            <w:vAlign w:val="bottom"/>
            <w:hideMark/>
          </w:tcPr>
          <w:p w14:paraId="64C3DEE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57.16%</w:t>
            </w:r>
          </w:p>
        </w:tc>
        <w:tc>
          <w:tcPr>
            <w:tcW w:w="212" w:type="pct"/>
            <w:tcBorders>
              <w:top w:val="nil"/>
              <w:left w:val="nil"/>
              <w:bottom w:val="nil"/>
              <w:right w:val="nil"/>
            </w:tcBorders>
            <w:shd w:val="clear" w:color="000000" w:fill="FFFFFF"/>
            <w:noWrap/>
            <w:vAlign w:val="bottom"/>
            <w:hideMark/>
          </w:tcPr>
          <w:p w14:paraId="494C11F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58.17%</w:t>
            </w:r>
          </w:p>
        </w:tc>
        <w:tc>
          <w:tcPr>
            <w:tcW w:w="212" w:type="pct"/>
            <w:tcBorders>
              <w:top w:val="nil"/>
              <w:left w:val="nil"/>
              <w:bottom w:val="nil"/>
              <w:right w:val="nil"/>
            </w:tcBorders>
            <w:shd w:val="clear" w:color="000000" w:fill="FFFFFF"/>
            <w:noWrap/>
            <w:vAlign w:val="bottom"/>
            <w:hideMark/>
          </w:tcPr>
          <w:p w14:paraId="065967A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58.88%</w:t>
            </w:r>
          </w:p>
        </w:tc>
        <w:tc>
          <w:tcPr>
            <w:tcW w:w="212" w:type="pct"/>
            <w:tcBorders>
              <w:top w:val="nil"/>
              <w:left w:val="nil"/>
              <w:bottom w:val="nil"/>
              <w:right w:val="nil"/>
            </w:tcBorders>
            <w:shd w:val="clear" w:color="000000" w:fill="FFFFFF"/>
            <w:noWrap/>
            <w:vAlign w:val="bottom"/>
            <w:hideMark/>
          </w:tcPr>
          <w:p w14:paraId="2EEB2DD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59.51%</w:t>
            </w:r>
          </w:p>
        </w:tc>
        <w:tc>
          <w:tcPr>
            <w:tcW w:w="212" w:type="pct"/>
            <w:tcBorders>
              <w:top w:val="nil"/>
              <w:left w:val="nil"/>
              <w:bottom w:val="nil"/>
              <w:right w:val="nil"/>
            </w:tcBorders>
            <w:shd w:val="clear" w:color="000000" w:fill="FFFFFF"/>
            <w:noWrap/>
            <w:vAlign w:val="bottom"/>
            <w:hideMark/>
          </w:tcPr>
          <w:p w14:paraId="0F4B65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59.90%</w:t>
            </w:r>
          </w:p>
        </w:tc>
        <w:tc>
          <w:tcPr>
            <w:tcW w:w="212" w:type="pct"/>
            <w:tcBorders>
              <w:top w:val="nil"/>
              <w:left w:val="nil"/>
              <w:bottom w:val="nil"/>
              <w:right w:val="nil"/>
            </w:tcBorders>
            <w:shd w:val="clear" w:color="000000" w:fill="FFFFFF"/>
            <w:noWrap/>
            <w:vAlign w:val="bottom"/>
            <w:hideMark/>
          </w:tcPr>
          <w:p w14:paraId="5A7667A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60.44%</w:t>
            </w:r>
          </w:p>
        </w:tc>
        <w:tc>
          <w:tcPr>
            <w:tcW w:w="212" w:type="pct"/>
            <w:tcBorders>
              <w:top w:val="nil"/>
              <w:left w:val="nil"/>
              <w:bottom w:val="nil"/>
              <w:right w:val="nil"/>
            </w:tcBorders>
            <w:shd w:val="clear" w:color="000000" w:fill="FFFFFF"/>
            <w:noWrap/>
            <w:vAlign w:val="bottom"/>
            <w:hideMark/>
          </w:tcPr>
          <w:p w14:paraId="0B72B9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61.07%</w:t>
            </w:r>
          </w:p>
        </w:tc>
        <w:tc>
          <w:tcPr>
            <w:tcW w:w="212" w:type="pct"/>
            <w:tcBorders>
              <w:top w:val="nil"/>
              <w:left w:val="nil"/>
              <w:bottom w:val="nil"/>
              <w:right w:val="nil"/>
            </w:tcBorders>
            <w:shd w:val="clear" w:color="000000" w:fill="FFFFFF"/>
            <w:noWrap/>
            <w:vAlign w:val="bottom"/>
            <w:hideMark/>
          </w:tcPr>
          <w:p w14:paraId="4B4AC79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61.65%</w:t>
            </w:r>
          </w:p>
        </w:tc>
        <w:tc>
          <w:tcPr>
            <w:tcW w:w="212" w:type="pct"/>
            <w:tcBorders>
              <w:top w:val="nil"/>
              <w:left w:val="nil"/>
              <w:bottom w:val="nil"/>
              <w:right w:val="nil"/>
            </w:tcBorders>
            <w:shd w:val="clear" w:color="000000" w:fill="FFFFFF"/>
            <w:noWrap/>
            <w:vAlign w:val="bottom"/>
            <w:hideMark/>
          </w:tcPr>
          <w:p w14:paraId="0ED6E0B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62.51%</w:t>
            </w:r>
          </w:p>
        </w:tc>
        <w:tc>
          <w:tcPr>
            <w:tcW w:w="212" w:type="pct"/>
            <w:tcBorders>
              <w:top w:val="nil"/>
              <w:left w:val="nil"/>
              <w:bottom w:val="nil"/>
              <w:right w:val="nil"/>
            </w:tcBorders>
            <w:shd w:val="clear" w:color="000000" w:fill="FFFFFF"/>
            <w:noWrap/>
            <w:vAlign w:val="bottom"/>
            <w:hideMark/>
          </w:tcPr>
          <w:p w14:paraId="64779A8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62.95%</w:t>
            </w:r>
          </w:p>
        </w:tc>
        <w:tc>
          <w:tcPr>
            <w:tcW w:w="212" w:type="pct"/>
            <w:tcBorders>
              <w:top w:val="nil"/>
              <w:left w:val="nil"/>
              <w:bottom w:val="nil"/>
              <w:right w:val="nil"/>
            </w:tcBorders>
            <w:shd w:val="clear" w:color="000000" w:fill="FFFFFF"/>
            <w:noWrap/>
            <w:vAlign w:val="bottom"/>
            <w:hideMark/>
          </w:tcPr>
          <w:p w14:paraId="5B711DC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63.20%</w:t>
            </w:r>
          </w:p>
        </w:tc>
        <w:tc>
          <w:tcPr>
            <w:tcW w:w="212" w:type="pct"/>
            <w:tcBorders>
              <w:top w:val="nil"/>
              <w:left w:val="nil"/>
              <w:bottom w:val="nil"/>
              <w:right w:val="nil"/>
            </w:tcBorders>
            <w:shd w:val="clear" w:color="000000" w:fill="FFFFFF"/>
            <w:noWrap/>
            <w:vAlign w:val="bottom"/>
            <w:hideMark/>
          </w:tcPr>
          <w:p w14:paraId="1D8FBC6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63.71%</w:t>
            </w:r>
          </w:p>
        </w:tc>
      </w:tr>
      <w:tr w:rsidR="002D2278" w:rsidRPr="002D2278" w14:paraId="109BF97E" w14:textId="77777777" w:rsidTr="002D2278">
        <w:trPr>
          <w:trHeight w:val="20"/>
        </w:trPr>
        <w:tc>
          <w:tcPr>
            <w:tcW w:w="663" w:type="pct"/>
            <w:tcBorders>
              <w:top w:val="nil"/>
              <w:left w:val="nil"/>
              <w:bottom w:val="nil"/>
              <w:right w:val="nil"/>
            </w:tcBorders>
            <w:shd w:val="clear" w:color="000000" w:fill="FFFFFF"/>
            <w:noWrap/>
            <w:vAlign w:val="center"/>
            <w:hideMark/>
          </w:tcPr>
          <w:p w14:paraId="5C8A00B6" w14:textId="5EA7F6EE"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2016........................................</w:t>
            </w:r>
          </w:p>
        </w:tc>
        <w:tc>
          <w:tcPr>
            <w:tcW w:w="449" w:type="pct"/>
            <w:tcBorders>
              <w:top w:val="nil"/>
              <w:left w:val="nil"/>
              <w:bottom w:val="nil"/>
              <w:right w:val="nil"/>
            </w:tcBorders>
            <w:shd w:val="clear" w:color="000000" w:fill="FFFFFF"/>
            <w:noWrap/>
            <w:vAlign w:val="bottom"/>
            <w:hideMark/>
          </w:tcPr>
          <w:p w14:paraId="354A1E9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2016Q1</w:t>
            </w:r>
          </w:p>
        </w:tc>
        <w:tc>
          <w:tcPr>
            <w:tcW w:w="499" w:type="pct"/>
            <w:tcBorders>
              <w:top w:val="nil"/>
              <w:left w:val="nil"/>
              <w:bottom w:val="nil"/>
              <w:right w:val="nil"/>
            </w:tcBorders>
            <w:shd w:val="clear" w:color="000000" w:fill="FFFFFF"/>
            <w:noWrap/>
            <w:vAlign w:val="center"/>
            <w:hideMark/>
          </w:tcPr>
          <w:p w14:paraId="77850E0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1,798 </w:t>
            </w:r>
          </w:p>
        </w:tc>
        <w:tc>
          <w:tcPr>
            <w:tcW w:w="212" w:type="pct"/>
            <w:tcBorders>
              <w:top w:val="nil"/>
              <w:left w:val="nil"/>
              <w:bottom w:val="nil"/>
              <w:right w:val="nil"/>
            </w:tcBorders>
            <w:shd w:val="clear" w:color="000000" w:fill="FFFFFF"/>
            <w:noWrap/>
            <w:vAlign w:val="bottom"/>
            <w:hideMark/>
          </w:tcPr>
          <w:p w14:paraId="467713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26.41%</w:t>
            </w:r>
          </w:p>
        </w:tc>
        <w:tc>
          <w:tcPr>
            <w:tcW w:w="212" w:type="pct"/>
            <w:tcBorders>
              <w:top w:val="nil"/>
              <w:left w:val="nil"/>
              <w:bottom w:val="nil"/>
              <w:right w:val="nil"/>
            </w:tcBorders>
            <w:shd w:val="clear" w:color="000000" w:fill="FFFFFF"/>
            <w:noWrap/>
            <w:vAlign w:val="bottom"/>
            <w:hideMark/>
          </w:tcPr>
          <w:p w14:paraId="61289FC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46.96%</w:t>
            </w:r>
          </w:p>
        </w:tc>
        <w:tc>
          <w:tcPr>
            <w:tcW w:w="212" w:type="pct"/>
            <w:tcBorders>
              <w:top w:val="nil"/>
              <w:left w:val="nil"/>
              <w:bottom w:val="nil"/>
              <w:right w:val="nil"/>
            </w:tcBorders>
            <w:shd w:val="clear" w:color="000000" w:fill="FFFFFF"/>
            <w:noWrap/>
            <w:vAlign w:val="bottom"/>
            <w:hideMark/>
          </w:tcPr>
          <w:p w14:paraId="6E87B3F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47.69%</w:t>
            </w:r>
          </w:p>
        </w:tc>
        <w:tc>
          <w:tcPr>
            <w:tcW w:w="212" w:type="pct"/>
            <w:tcBorders>
              <w:top w:val="nil"/>
              <w:left w:val="nil"/>
              <w:bottom w:val="nil"/>
              <w:right w:val="nil"/>
            </w:tcBorders>
            <w:shd w:val="clear" w:color="000000" w:fill="FFFFFF"/>
            <w:noWrap/>
            <w:vAlign w:val="bottom"/>
            <w:hideMark/>
          </w:tcPr>
          <w:p w14:paraId="670F2C6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48.45%</w:t>
            </w:r>
          </w:p>
        </w:tc>
        <w:tc>
          <w:tcPr>
            <w:tcW w:w="212" w:type="pct"/>
            <w:tcBorders>
              <w:top w:val="nil"/>
              <w:left w:val="nil"/>
              <w:bottom w:val="nil"/>
              <w:right w:val="nil"/>
            </w:tcBorders>
            <w:shd w:val="clear" w:color="000000" w:fill="FFFFFF"/>
            <w:noWrap/>
            <w:vAlign w:val="bottom"/>
            <w:hideMark/>
          </w:tcPr>
          <w:p w14:paraId="4C2704A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49.77%</w:t>
            </w:r>
          </w:p>
        </w:tc>
        <w:tc>
          <w:tcPr>
            <w:tcW w:w="212" w:type="pct"/>
            <w:tcBorders>
              <w:top w:val="nil"/>
              <w:left w:val="nil"/>
              <w:bottom w:val="nil"/>
              <w:right w:val="nil"/>
            </w:tcBorders>
            <w:shd w:val="clear" w:color="000000" w:fill="FFFFFF"/>
            <w:noWrap/>
            <w:vAlign w:val="bottom"/>
            <w:hideMark/>
          </w:tcPr>
          <w:p w14:paraId="0FEAF62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50.53%</w:t>
            </w:r>
          </w:p>
        </w:tc>
        <w:tc>
          <w:tcPr>
            <w:tcW w:w="212" w:type="pct"/>
            <w:tcBorders>
              <w:top w:val="nil"/>
              <w:left w:val="nil"/>
              <w:bottom w:val="nil"/>
              <w:right w:val="nil"/>
            </w:tcBorders>
            <w:shd w:val="clear" w:color="000000" w:fill="FFFFFF"/>
            <w:noWrap/>
            <w:vAlign w:val="bottom"/>
            <w:hideMark/>
          </w:tcPr>
          <w:p w14:paraId="43F119F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51.43%</w:t>
            </w:r>
          </w:p>
        </w:tc>
        <w:tc>
          <w:tcPr>
            <w:tcW w:w="212" w:type="pct"/>
            <w:tcBorders>
              <w:top w:val="nil"/>
              <w:left w:val="nil"/>
              <w:bottom w:val="nil"/>
              <w:right w:val="nil"/>
            </w:tcBorders>
            <w:shd w:val="clear" w:color="000000" w:fill="FFFFFF"/>
            <w:noWrap/>
            <w:vAlign w:val="bottom"/>
            <w:hideMark/>
          </w:tcPr>
          <w:p w14:paraId="137D171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53.49%</w:t>
            </w:r>
          </w:p>
        </w:tc>
        <w:tc>
          <w:tcPr>
            <w:tcW w:w="212" w:type="pct"/>
            <w:tcBorders>
              <w:top w:val="nil"/>
              <w:left w:val="nil"/>
              <w:bottom w:val="nil"/>
              <w:right w:val="nil"/>
            </w:tcBorders>
            <w:shd w:val="clear" w:color="000000" w:fill="FFFFFF"/>
            <w:noWrap/>
            <w:vAlign w:val="bottom"/>
            <w:hideMark/>
          </w:tcPr>
          <w:p w14:paraId="40EC378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54.21%</w:t>
            </w:r>
          </w:p>
        </w:tc>
        <w:tc>
          <w:tcPr>
            <w:tcW w:w="212" w:type="pct"/>
            <w:tcBorders>
              <w:top w:val="nil"/>
              <w:left w:val="nil"/>
              <w:bottom w:val="nil"/>
              <w:right w:val="nil"/>
            </w:tcBorders>
            <w:shd w:val="clear" w:color="000000" w:fill="FFFFFF"/>
            <w:noWrap/>
            <w:vAlign w:val="bottom"/>
            <w:hideMark/>
          </w:tcPr>
          <w:p w14:paraId="411A41C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54.45%</w:t>
            </w:r>
          </w:p>
        </w:tc>
        <w:tc>
          <w:tcPr>
            <w:tcW w:w="212" w:type="pct"/>
            <w:tcBorders>
              <w:top w:val="nil"/>
              <w:left w:val="nil"/>
              <w:bottom w:val="nil"/>
              <w:right w:val="nil"/>
            </w:tcBorders>
            <w:shd w:val="clear" w:color="000000" w:fill="FFFFFF"/>
            <w:noWrap/>
            <w:vAlign w:val="bottom"/>
            <w:hideMark/>
          </w:tcPr>
          <w:p w14:paraId="275966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54.92%</w:t>
            </w:r>
          </w:p>
        </w:tc>
        <w:tc>
          <w:tcPr>
            <w:tcW w:w="212" w:type="pct"/>
            <w:tcBorders>
              <w:top w:val="nil"/>
              <w:left w:val="nil"/>
              <w:bottom w:val="nil"/>
              <w:right w:val="nil"/>
            </w:tcBorders>
            <w:shd w:val="clear" w:color="000000" w:fill="FFFFFF"/>
            <w:noWrap/>
            <w:vAlign w:val="bottom"/>
            <w:hideMark/>
          </w:tcPr>
          <w:p w14:paraId="2BBFF61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55.38%</w:t>
            </w:r>
          </w:p>
        </w:tc>
        <w:tc>
          <w:tcPr>
            <w:tcW w:w="212" w:type="pct"/>
            <w:tcBorders>
              <w:top w:val="nil"/>
              <w:left w:val="nil"/>
              <w:bottom w:val="nil"/>
              <w:right w:val="nil"/>
            </w:tcBorders>
            <w:shd w:val="clear" w:color="000000" w:fill="FFFFFF"/>
            <w:noWrap/>
            <w:vAlign w:val="bottom"/>
            <w:hideMark/>
          </w:tcPr>
          <w:p w14:paraId="7E513D3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55.70%</w:t>
            </w:r>
          </w:p>
        </w:tc>
        <w:tc>
          <w:tcPr>
            <w:tcW w:w="212" w:type="pct"/>
            <w:tcBorders>
              <w:top w:val="nil"/>
              <w:left w:val="nil"/>
              <w:bottom w:val="nil"/>
              <w:right w:val="nil"/>
            </w:tcBorders>
            <w:shd w:val="clear" w:color="000000" w:fill="FFFFFF"/>
            <w:noWrap/>
            <w:vAlign w:val="bottom"/>
            <w:hideMark/>
          </w:tcPr>
          <w:p w14:paraId="0DA5D41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56.18%</w:t>
            </w:r>
          </w:p>
        </w:tc>
        <w:tc>
          <w:tcPr>
            <w:tcW w:w="212" w:type="pct"/>
            <w:tcBorders>
              <w:top w:val="nil"/>
              <w:left w:val="nil"/>
              <w:bottom w:val="nil"/>
              <w:right w:val="nil"/>
            </w:tcBorders>
            <w:shd w:val="clear" w:color="000000" w:fill="FFFFFF"/>
            <w:noWrap/>
            <w:vAlign w:val="bottom"/>
            <w:hideMark/>
          </w:tcPr>
          <w:p w14:paraId="2DC6A59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56.39%</w:t>
            </w:r>
          </w:p>
        </w:tc>
        <w:tc>
          <w:tcPr>
            <w:tcW w:w="212" w:type="pct"/>
            <w:tcBorders>
              <w:top w:val="nil"/>
              <w:left w:val="nil"/>
              <w:bottom w:val="nil"/>
              <w:right w:val="nil"/>
            </w:tcBorders>
            <w:shd w:val="clear" w:color="000000" w:fill="FFFFFF"/>
            <w:noWrap/>
            <w:vAlign w:val="bottom"/>
            <w:hideMark/>
          </w:tcPr>
          <w:p w14:paraId="38CC4C6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57.01%</w:t>
            </w:r>
          </w:p>
        </w:tc>
      </w:tr>
      <w:tr w:rsidR="002D2278" w:rsidRPr="002D2278" w14:paraId="171B5840" w14:textId="77777777" w:rsidTr="002D2278">
        <w:trPr>
          <w:trHeight w:val="20"/>
        </w:trPr>
        <w:tc>
          <w:tcPr>
            <w:tcW w:w="663" w:type="pct"/>
            <w:tcBorders>
              <w:top w:val="nil"/>
              <w:left w:val="nil"/>
              <w:bottom w:val="nil"/>
              <w:right w:val="nil"/>
            </w:tcBorders>
            <w:shd w:val="clear" w:color="000000" w:fill="FFFFFF"/>
            <w:noWrap/>
            <w:vAlign w:val="center"/>
            <w:hideMark/>
          </w:tcPr>
          <w:p w14:paraId="4ABF03BB" w14:textId="6A40ADE6"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2016..........................................</w:t>
            </w:r>
          </w:p>
        </w:tc>
        <w:tc>
          <w:tcPr>
            <w:tcW w:w="449" w:type="pct"/>
            <w:tcBorders>
              <w:top w:val="nil"/>
              <w:left w:val="nil"/>
              <w:bottom w:val="nil"/>
              <w:right w:val="nil"/>
            </w:tcBorders>
            <w:shd w:val="clear" w:color="000000" w:fill="FFFFFF"/>
            <w:noWrap/>
            <w:vAlign w:val="bottom"/>
            <w:hideMark/>
          </w:tcPr>
          <w:p w14:paraId="1CFEF62D"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2016Q2</w:t>
            </w:r>
          </w:p>
        </w:tc>
        <w:tc>
          <w:tcPr>
            <w:tcW w:w="499" w:type="pct"/>
            <w:tcBorders>
              <w:top w:val="nil"/>
              <w:left w:val="nil"/>
              <w:bottom w:val="nil"/>
              <w:right w:val="nil"/>
            </w:tcBorders>
            <w:shd w:val="clear" w:color="000000" w:fill="FFFFFF"/>
            <w:noWrap/>
            <w:vAlign w:val="center"/>
            <w:hideMark/>
          </w:tcPr>
          <w:p w14:paraId="7C36DCA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2,029 </w:t>
            </w:r>
          </w:p>
        </w:tc>
        <w:tc>
          <w:tcPr>
            <w:tcW w:w="212" w:type="pct"/>
            <w:tcBorders>
              <w:top w:val="nil"/>
              <w:left w:val="nil"/>
              <w:bottom w:val="nil"/>
              <w:right w:val="nil"/>
            </w:tcBorders>
            <w:shd w:val="clear" w:color="000000" w:fill="FFFFFF"/>
            <w:noWrap/>
            <w:vAlign w:val="bottom"/>
            <w:hideMark/>
          </w:tcPr>
          <w:p w14:paraId="5FBB2D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27.60%</w:t>
            </w:r>
          </w:p>
        </w:tc>
        <w:tc>
          <w:tcPr>
            <w:tcW w:w="212" w:type="pct"/>
            <w:tcBorders>
              <w:top w:val="nil"/>
              <w:left w:val="nil"/>
              <w:bottom w:val="nil"/>
              <w:right w:val="nil"/>
            </w:tcBorders>
            <w:shd w:val="clear" w:color="000000" w:fill="FFFFFF"/>
            <w:noWrap/>
            <w:vAlign w:val="bottom"/>
            <w:hideMark/>
          </w:tcPr>
          <w:p w14:paraId="2AC23BE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51.90%</w:t>
            </w:r>
          </w:p>
        </w:tc>
        <w:tc>
          <w:tcPr>
            <w:tcW w:w="212" w:type="pct"/>
            <w:tcBorders>
              <w:top w:val="nil"/>
              <w:left w:val="nil"/>
              <w:bottom w:val="nil"/>
              <w:right w:val="nil"/>
            </w:tcBorders>
            <w:shd w:val="clear" w:color="000000" w:fill="FFFFFF"/>
            <w:noWrap/>
            <w:vAlign w:val="bottom"/>
            <w:hideMark/>
          </w:tcPr>
          <w:p w14:paraId="7881954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53.73%</w:t>
            </w:r>
          </w:p>
        </w:tc>
        <w:tc>
          <w:tcPr>
            <w:tcW w:w="212" w:type="pct"/>
            <w:tcBorders>
              <w:top w:val="nil"/>
              <w:left w:val="nil"/>
              <w:bottom w:val="nil"/>
              <w:right w:val="nil"/>
            </w:tcBorders>
            <w:shd w:val="clear" w:color="000000" w:fill="FFFFFF"/>
            <w:noWrap/>
            <w:vAlign w:val="bottom"/>
            <w:hideMark/>
          </w:tcPr>
          <w:p w14:paraId="1E4824F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56.20%</w:t>
            </w:r>
          </w:p>
        </w:tc>
        <w:tc>
          <w:tcPr>
            <w:tcW w:w="212" w:type="pct"/>
            <w:tcBorders>
              <w:top w:val="nil"/>
              <w:left w:val="nil"/>
              <w:bottom w:val="nil"/>
              <w:right w:val="nil"/>
            </w:tcBorders>
            <w:shd w:val="clear" w:color="000000" w:fill="FFFFFF"/>
            <w:noWrap/>
            <w:vAlign w:val="bottom"/>
            <w:hideMark/>
          </w:tcPr>
          <w:p w14:paraId="50BE509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56.90%</w:t>
            </w:r>
          </w:p>
        </w:tc>
        <w:tc>
          <w:tcPr>
            <w:tcW w:w="212" w:type="pct"/>
            <w:tcBorders>
              <w:top w:val="nil"/>
              <w:left w:val="nil"/>
              <w:bottom w:val="nil"/>
              <w:right w:val="nil"/>
            </w:tcBorders>
            <w:shd w:val="clear" w:color="000000" w:fill="FFFFFF"/>
            <w:noWrap/>
            <w:vAlign w:val="bottom"/>
            <w:hideMark/>
          </w:tcPr>
          <w:p w14:paraId="3027D58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57.91%</w:t>
            </w:r>
          </w:p>
        </w:tc>
        <w:tc>
          <w:tcPr>
            <w:tcW w:w="212" w:type="pct"/>
            <w:tcBorders>
              <w:top w:val="nil"/>
              <w:left w:val="nil"/>
              <w:bottom w:val="nil"/>
              <w:right w:val="nil"/>
            </w:tcBorders>
            <w:shd w:val="clear" w:color="000000" w:fill="FFFFFF"/>
            <w:noWrap/>
            <w:vAlign w:val="bottom"/>
            <w:hideMark/>
          </w:tcPr>
          <w:p w14:paraId="0336855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58.35%</w:t>
            </w:r>
          </w:p>
        </w:tc>
        <w:tc>
          <w:tcPr>
            <w:tcW w:w="212" w:type="pct"/>
            <w:tcBorders>
              <w:top w:val="nil"/>
              <w:left w:val="nil"/>
              <w:bottom w:val="nil"/>
              <w:right w:val="nil"/>
            </w:tcBorders>
            <w:shd w:val="clear" w:color="000000" w:fill="FFFFFF"/>
            <w:noWrap/>
            <w:vAlign w:val="bottom"/>
            <w:hideMark/>
          </w:tcPr>
          <w:p w14:paraId="5DA70FE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58.83%</w:t>
            </w:r>
          </w:p>
        </w:tc>
        <w:tc>
          <w:tcPr>
            <w:tcW w:w="212" w:type="pct"/>
            <w:tcBorders>
              <w:top w:val="nil"/>
              <w:left w:val="nil"/>
              <w:bottom w:val="nil"/>
              <w:right w:val="nil"/>
            </w:tcBorders>
            <w:shd w:val="clear" w:color="000000" w:fill="FFFFFF"/>
            <w:noWrap/>
            <w:vAlign w:val="bottom"/>
            <w:hideMark/>
          </w:tcPr>
          <w:p w14:paraId="6D1A304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59.35%</w:t>
            </w:r>
          </w:p>
        </w:tc>
        <w:tc>
          <w:tcPr>
            <w:tcW w:w="212" w:type="pct"/>
            <w:tcBorders>
              <w:top w:val="nil"/>
              <w:left w:val="nil"/>
              <w:bottom w:val="nil"/>
              <w:right w:val="nil"/>
            </w:tcBorders>
            <w:shd w:val="clear" w:color="000000" w:fill="FFFFFF"/>
            <w:noWrap/>
            <w:vAlign w:val="bottom"/>
            <w:hideMark/>
          </w:tcPr>
          <w:p w14:paraId="20BB852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59.65%</w:t>
            </w:r>
          </w:p>
        </w:tc>
        <w:tc>
          <w:tcPr>
            <w:tcW w:w="212" w:type="pct"/>
            <w:tcBorders>
              <w:top w:val="nil"/>
              <w:left w:val="nil"/>
              <w:bottom w:val="nil"/>
              <w:right w:val="nil"/>
            </w:tcBorders>
            <w:shd w:val="clear" w:color="000000" w:fill="FFFFFF"/>
            <w:noWrap/>
            <w:vAlign w:val="bottom"/>
            <w:hideMark/>
          </w:tcPr>
          <w:p w14:paraId="54EF6C1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59.98%</w:t>
            </w:r>
          </w:p>
        </w:tc>
        <w:tc>
          <w:tcPr>
            <w:tcW w:w="212" w:type="pct"/>
            <w:tcBorders>
              <w:top w:val="nil"/>
              <w:left w:val="nil"/>
              <w:bottom w:val="nil"/>
              <w:right w:val="nil"/>
            </w:tcBorders>
            <w:shd w:val="clear" w:color="000000" w:fill="FFFFFF"/>
            <w:noWrap/>
            <w:vAlign w:val="bottom"/>
            <w:hideMark/>
          </w:tcPr>
          <w:p w14:paraId="0012F9D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60.25%</w:t>
            </w:r>
          </w:p>
        </w:tc>
        <w:tc>
          <w:tcPr>
            <w:tcW w:w="212" w:type="pct"/>
            <w:tcBorders>
              <w:top w:val="nil"/>
              <w:left w:val="nil"/>
              <w:bottom w:val="nil"/>
              <w:right w:val="nil"/>
            </w:tcBorders>
            <w:shd w:val="clear" w:color="000000" w:fill="FFFFFF"/>
            <w:noWrap/>
            <w:vAlign w:val="bottom"/>
            <w:hideMark/>
          </w:tcPr>
          <w:p w14:paraId="730853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60.55%</w:t>
            </w:r>
          </w:p>
        </w:tc>
        <w:tc>
          <w:tcPr>
            <w:tcW w:w="212" w:type="pct"/>
            <w:tcBorders>
              <w:top w:val="nil"/>
              <w:left w:val="nil"/>
              <w:bottom w:val="nil"/>
              <w:right w:val="nil"/>
            </w:tcBorders>
            <w:shd w:val="clear" w:color="000000" w:fill="FFFFFF"/>
            <w:noWrap/>
            <w:vAlign w:val="bottom"/>
            <w:hideMark/>
          </w:tcPr>
          <w:p w14:paraId="217DE24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60.78%</w:t>
            </w:r>
          </w:p>
        </w:tc>
        <w:tc>
          <w:tcPr>
            <w:tcW w:w="212" w:type="pct"/>
            <w:tcBorders>
              <w:top w:val="nil"/>
              <w:left w:val="nil"/>
              <w:bottom w:val="nil"/>
              <w:right w:val="nil"/>
            </w:tcBorders>
            <w:shd w:val="clear" w:color="000000" w:fill="FFFFFF"/>
            <w:noWrap/>
            <w:vAlign w:val="bottom"/>
            <w:hideMark/>
          </w:tcPr>
          <w:p w14:paraId="755E45F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60.93%</w:t>
            </w:r>
          </w:p>
        </w:tc>
        <w:tc>
          <w:tcPr>
            <w:tcW w:w="212" w:type="pct"/>
            <w:tcBorders>
              <w:top w:val="nil"/>
              <w:left w:val="nil"/>
              <w:bottom w:val="nil"/>
              <w:right w:val="nil"/>
            </w:tcBorders>
            <w:shd w:val="clear" w:color="000000" w:fill="FFFFFF"/>
            <w:noWrap/>
            <w:vAlign w:val="bottom"/>
            <w:hideMark/>
          </w:tcPr>
          <w:p w14:paraId="3CAEC07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61.12%</w:t>
            </w:r>
          </w:p>
        </w:tc>
      </w:tr>
      <w:tr w:rsidR="002D2278" w:rsidRPr="002D2278" w14:paraId="03D9135D" w14:textId="77777777" w:rsidTr="002D2278">
        <w:trPr>
          <w:trHeight w:val="20"/>
        </w:trPr>
        <w:tc>
          <w:tcPr>
            <w:tcW w:w="663" w:type="pct"/>
            <w:tcBorders>
              <w:top w:val="nil"/>
              <w:left w:val="nil"/>
              <w:bottom w:val="nil"/>
              <w:right w:val="nil"/>
            </w:tcBorders>
            <w:shd w:val="clear" w:color="000000" w:fill="FFFFFF"/>
            <w:noWrap/>
            <w:vAlign w:val="center"/>
            <w:hideMark/>
          </w:tcPr>
          <w:p w14:paraId="0F1544C1"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2016..............................</w:t>
            </w:r>
          </w:p>
        </w:tc>
        <w:tc>
          <w:tcPr>
            <w:tcW w:w="449" w:type="pct"/>
            <w:tcBorders>
              <w:top w:val="nil"/>
              <w:left w:val="nil"/>
              <w:bottom w:val="nil"/>
              <w:right w:val="nil"/>
            </w:tcBorders>
            <w:shd w:val="clear" w:color="000000" w:fill="FFFFFF"/>
            <w:noWrap/>
            <w:vAlign w:val="bottom"/>
            <w:hideMark/>
          </w:tcPr>
          <w:p w14:paraId="3DFB47C0"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2016Q3</w:t>
            </w:r>
          </w:p>
        </w:tc>
        <w:tc>
          <w:tcPr>
            <w:tcW w:w="499" w:type="pct"/>
            <w:tcBorders>
              <w:top w:val="nil"/>
              <w:left w:val="nil"/>
              <w:bottom w:val="nil"/>
              <w:right w:val="nil"/>
            </w:tcBorders>
            <w:shd w:val="clear" w:color="000000" w:fill="FFFFFF"/>
            <w:noWrap/>
            <w:vAlign w:val="center"/>
            <w:hideMark/>
          </w:tcPr>
          <w:p w14:paraId="6BFC6DF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1,611 </w:t>
            </w:r>
          </w:p>
        </w:tc>
        <w:tc>
          <w:tcPr>
            <w:tcW w:w="212" w:type="pct"/>
            <w:tcBorders>
              <w:top w:val="nil"/>
              <w:left w:val="nil"/>
              <w:bottom w:val="nil"/>
              <w:right w:val="nil"/>
            </w:tcBorders>
            <w:shd w:val="clear" w:color="000000" w:fill="FFFFFF"/>
            <w:noWrap/>
            <w:vAlign w:val="bottom"/>
            <w:hideMark/>
          </w:tcPr>
          <w:p w14:paraId="4E134EB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29.83%</w:t>
            </w:r>
          </w:p>
        </w:tc>
        <w:tc>
          <w:tcPr>
            <w:tcW w:w="212" w:type="pct"/>
            <w:tcBorders>
              <w:top w:val="nil"/>
              <w:left w:val="nil"/>
              <w:bottom w:val="nil"/>
              <w:right w:val="nil"/>
            </w:tcBorders>
            <w:shd w:val="clear" w:color="000000" w:fill="FFFFFF"/>
            <w:noWrap/>
            <w:vAlign w:val="bottom"/>
            <w:hideMark/>
          </w:tcPr>
          <w:p w14:paraId="55BF559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55.74%</w:t>
            </w:r>
          </w:p>
        </w:tc>
        <w:tc>
          <w:tcPr>
            <w:tcW w:w="212" w:type="pct"/>
            <w:tcBorders>
              <w:top w:val="nil"/>
              <w:left w:val="nil"/>
              <w:bottom w:val="nil"/>
              <w:right w:val="nil"/>
            </w:tcBorders>
            <w:shd w:val="clear" w:color="000000" w:fill="FFFFFF"/>
            <w:noWrap/>
            <w:vAlign w:val="bottom"/>
            <w:hideMark/>
          </w:tcPr>
          <w:p w14:paraId="2843418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59.40%</w:t>
            </w:r>
          </w:p>
        </w:tc>
        <w:tc>
          <w:tcPr>
            <w:tcW w:w="212" w:type="pct"/>
            <w:tcBorders>
              <w:top w:val="nil"/>
              <w:left w:val="nil"/>
              <w:bottom w:val="nil"/>
              <w:right w:val="nil"/>
            </w:tcBorders>
            <w:shd w:val="clear" w:color="000000" w:fill="FFFFFF"/>
            <w:noWrap/>
            <w:vAlign w:val="bottom"/>
            <w:hideMark/>
          </w:tcPr>
          <w:p w14:paraId="37365A7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60.60%</w:t>
            </w:r>
          </w:p>
        </w:tc>
        <w:tc>
          <w:tcPr>
            <w:tcW w:w="212" w:type="pct"/>
            <w:tcBorders>
              <w:top w:val="nil"/>
              <w:left w:val="nil"/>
              <w:bottom w:val="nil"/>
              <w:right w:val="nil"/>
            </w:tcBorders>
            <w:shd w:val="clear" w:color="000000" w:fill="FFFFFF"/>
            <w:noWrap/>
            <w:vAlign w:val="bottom"/>
            <w:hideMark/>
          </w:tcPr>
          <w:p w14:paraId="3B3999C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60.84%</w:t>
            </w:r>
          </w:p>
        </w:tc>
        <w:tc>
          <w:tcPr>
            <w:tcW w:w="212" w:type="pct"/>
            <w:tcBorders>
              <w:top w:val="nil"/>
              <w:left w:val="nil"/>
              <w:bottom w:val="nil"/>
              <w:right w:val="nil"/>
            </w:tcBorders>
            <w:shd w:val="clear" w:color="000000" w:fill="FFFFFF"/>
            <w:noWrap/>
            <w:vAlign w:val="bottom"/>
            <w:hideMark/>
          </w:tcPr>
          <w:p w14:paraId="2BCDBF5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61.69%</w:t>
            </w:r>
          </w:p>
        </w:tc>
        <w:tc>
          <w:tcPr>
            <w:tcW w:w="212" w:type="pct"/>
            <w:tcBorders>
              <w:top w:val="nil"/>
              <w:left w:val="nil"/>
              <w:bottom w:val="nil"/>
              <w:right w:val="nil"/>
            </w:tcBorders>
            <w:shd w:val="clear" w:color="000000" w:fill="FFFFFF"/>
            <w:noWrap/>
            <w:vAlign w:val="bottom"/>
            <w:hideMark/>
          </w:tcPr>
          <w:p w14:paraId="0F312D3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62.50%</w:t>
            </w:r>
          </w:p>
        </w:tc>
        <w:tc>
          <w:tcPr>
            <w:tcW w:w="212" w:type="pct"/>
            <w:tcBorders>
              <w:top w:val="nil"/>
              <w:left w:val="nil"/>
              <w:bottom w:val="nil"/>
              <w:right w:val="nil"/>
            </w:tcBorders>
            <w:shd w:val="clear" w:color="000000" w:fill="FFFFFF"/>
            <w:noWrap/>
            <w:vAlign w:val="bottom"/>
            <w:hideMark/>
          </w:tcPr>
          <w:p w14:paraId="6CA15A7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63.06%</w:t>
            </w:r>
          </w:p>
        </w:tc>
        <w:tc>
          <w:tcPr>
            <w:tcW w:w="212" w:type="pct"/>
            <w:tcBorders>
              <w:top w:val="nil"/>
              <w:left w:val="nil"/>
              <w:bottom w:val="nil"/>
              <w:right w:val="nil"/>
            </w:tcBorders>
            <w:shd w:val="clear" w:color="000000" w:fill="FFFFFF"/>
            <w:noWrap/>
            <w:vAlign w:val="bottom"/>
            <w:hideMark/>
          </w:tcPr>
          <w:p w14:paraId="0517A6B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63.49%</w:t>
            </w:r>
          </w:p>
        </w:tc>
        <w:tc>
          <w:tcPr>
            <w:tcW w:w="212" w:type="pct"/>
            <w:tcBorders>
              <w:top w:val="nil"/>
              <w:left w:val="nil"/>
              <w:bottom w:val="nil"/>
              <w:right w:val="nil"/>
            </w:tcBorders>
            <w:shd w:val="clear" w:color="000000" w:fill="FFFFFF"/>
            <w:noWrap/>
            <w:vAlign w:val="bottom"/>
            <w:hideMark/>
          </w:tcPr>
          <w:p w14:paraId="7763E2D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63.80%</w:t>
            </w:r>
          </w:p>
        </w:tc>
        <w:tc>
          <w:tcPr>
            <w:tcW w:w="212" w:type="pct"/>
            <w:tcBorders>
              <w:top w:val="nil"/>
              <w:left w:val="nil"/>
              <w:bottom w:val="nil"/>
              <w:right w:val="nil"/>
            </w:tcBorders>
            <w:shd w:val="clear" w:color="000000" w:fill="FFFFFF"/>
            <w:noWrap/>
            <w:vAlign w:val="bottom"/>
            <w:hideMark/>
          </w:tcPr>
          <w:p w14:paraId="4E0257E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64.24%</w:t>
            </w:r>
          </w:p>
        </w:tc>
        <w:tc>
          <w:tcPr>
            <w:tcW w:w="212" w:type="pct"/>
            <w:tcBorders>
              <w:top w:val="nil"/>
              <w:left w:val="nil"/>
              <w:bottom w:val="nil"/>
              <w:right w:val="nil"/>
            </w:tcBorders>
            <w:shd w:val="clear" w:color="000000" w:fill="FFFFFF"/>
            <w:noWrap/>
            <w:vAlign w:val="bottom"/>
            <w:hideMark/>
          </w:tcPr>
          <w:p w14:paraId="4AF408D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64.63%</w:t>
            </w:r>
          </w:p>
        </w:tc>
        <w:tc>
          <w:tcPr>
            <w:tcW w:w="212" w:type="pct"/>
            <w:tcBorders>
              <w:top w:val="nil"/>
              <w:left w:val="nil"/>
              <w:bottom w:val="nil"/>
              <w:right w:val="nil"/>
            </w:tcBorders>
            <w:shd w:val="clear" w:color="000000" w:fill="FFFFFF"/>
            <w:noWrap/>
            <w:vAlign w:val="bottom"/>
            <w:hideMark/>
          </w:tcPr>
          <w:p w14:paraId="0F03457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65.35%</w:t>
            </w:r>
          </w:p>
        </w:tc>
        <w:tc>
          <w:tcPr>
            <w:tcW w:w="212" w:type="pct"/>
            <w:tcBorders>
              <w:top w:val="nil"/>
              <w:left w:val="nil"/>
              <w:bottom w:val="nil"/>
              <w:right w:val="nil"/>
            </w:tcBorders>
            <w:shd w:val="clear" w:color="000000" w:fill="FFFFFF"/>
            <w:noWrap/>
            <w:vAlign w:val="bottom"/>
            <w:hideMark/>
          </w:tcPr>
          <w:p w14:paraId="0B8BE22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65.84%</w:t>
            </w:r>
          </w:p>
        </w:tc>
        <w:tc>
          <w:tcPr>
            <w:tcW w:w="212" w:type="pct"/>
            <w:tcBorders>
              <w:top w:val="nil"/>
              <w:left w:val="nil"/>
              <w:bottom w:val="nil"/>
              <w:right w:val="nil"/>
            </w:tcBorders>
            <w:shd w:val="clear" w:color="000000" w:fill="FFFFFF"/>
            <w:noWrap/>
            <w:vAlign w:val="bottom"/>
            <w:hideMark/>
          </w:tcPr>
          <w:p w14:paraId="106F034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66.19%</w:t>
            </w:r>
          </w:p>
        </w:tc>
        <w:tc>
          <w:tcPr>
            <w:tcW w:w="212" w:type="pct"/>
            <w:tcBorders>
              <w:top w:val="nil"/>
              <w:left w:val="nil"/>
              <w:bottom w:val="nil"/>
              <w:right w:val="nil"/>
            </w:tcBorders>
            <w:shd w:val="clear" w:color="000000" w:fill="FFFFFF"/>
            <w:noWrap/>
            <w:vAlign w:val="bottom"/>
            <w:hideMark/>
          </w:tcPr>
          <w:p w14:paraId="0DDD74D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66.37%</w:t>
            </w:r>
          </w:p>
        </w:tc>
      </w:tr>
      <w:tr w:rsidR="002D2278" w:rsidRPr="002D2278" w14:paraId="0E9E1BBA" w14:textId="77777777" w:rsidTr="002D2278">
        <w:trPr>
          <w:trHeight w:val="20"/>
        </w:trPr>
        <w:tc>
          <w:tcPr>
            <w:tcW w:w="663" w:type="pct"/>
            <w:tcBorders>
              <w:top w:val="nil"/>
              <w:left w:val="nil"/>
              <w:bottom w:val="nil"/>
              <w:right w:val="nil"/>
            </w:tcBorders>
            <w:shd w:val="clear" w:color="000000" w:fill="FFFFFF"/>
            <w:noWrap/>
            <w:vAlign w:val="center"/>
            <w:hideMark/>
          </w:tcPr>
          <w:p w14:paraId="39C8786E" w14:textId="0D3D4BBB"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2016...............................</w:t>
            </w:r>
          </w:p>
        </w:tc>
        <w:tc>
          <w:tcPr>
            <w:tcW w:w="449" w:type="pct"/>
            <w:tcBorders>
              <w:top w:val="nil"/>
              <w:left w:val="nil"/>
              <w:bottom w:val="nil"/>
              <w:right w:val="nil"/>
            </w:tcBorders>
            <w:shd w:val="clear" w:color="000000" w:fill="FFFFFF"/>
            <w:noWrap/>
            <w:vAlign w:val="bottom"/>
            <w:hideMark/>
          </w:tcPr>
          <w:p w14:paraId="5AC0DCCA"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2016Q4</w:t>
            </w:r>
          </w:p>
        </w:tc>
        <w:tc>
          <w:tcPr>
            <w:tcW w:w="499" w:type="pct"/>
            <w:tcBorders>
              <w:top w:val="nil"/>
              <w:left w:val="nil"/>
              <w:bottom w:val="nil"/>
              <w:right w:val="nil"/>
            </w:tcBorders>
            <w:shd w:val="clear" w:color="000000" w:fill="FFFFFF"/>
            <w:noWrap/>
            <w:vAlign w:val="center"/>
            <w:hideMark/>
          </w:tcPr>
          <w:p w14:paraId="33E32081"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1,520 </w:t>
            </w:r>
          </w:p>
        </w:tc>
        <w:tc>
          <w:tcPr>
            <w:tcW w:w="212" w:type="pct"/>
            <w:tcBorders>
              <w:top w:val="nil"/>
              <w:left w:val="nil"/>
              <w:bottom w:val="nil"/>
              <w:right w:val="nil"/>
            </w:tcBorders>
            <w:shd w:val="clear" w:color="000000" w:fill="FFFFFF"/>
            <w:noWrap/>
            <w:vAlign w:val="bottom"/>
            <w:hideMark/>
          </w:tcPr>
          <w:p w14:paraId="2B62B6A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30.45%</w:t>
            </w:r>
          </w:p>
        </w:tc>
        <w:tc>
          <w:tcPr>
            <w:tcW w:w="212" w:type="pct"/>
            <w:tcBorders>
              <w:top w:val="nil"/>
              <w:left w:val="nil"/>
              <w:bottom w:val="nil"/>
              <w:right w:val="nil"/>
            </w:tcBorders>
            <w:shd w:val="clear" w:color="000000" w:fill="FFFFFF"/>
            <w:noWrap/>
            <w:vAlign w:val="bottom"/>
            <w:hideMark/>
          </w:tcPr>
          <w:p w14:paraId="0505EA9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56.12%</w:t>
            </w:r>
          </w:p>
        </w:tc>
        <w:tc>
          <w:tcPr>
            <w:tcW w:w="212" w:type="pct"/>
            <w:tcBorders>
              <w:top w:val="nil"/>
              <w:left w:val="nil"/>
              <w:bottom w:val="nil"/>
              <w:right w:val="nil"/>
            </w:tcBorders>
            <w:shd w:val="clear" w:color="000000" w:fill="FFFFFF"/>
            <w:noWrap/>
            <w:vAlign w:val="bottom"/>
            <w:hideMark/>
          </w:tcPr>
          <w:p w14:paraId="4F04F54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57.44%</w:t>
            </w:r>
          </w:p>
        </w:tc>
        <w:tc>
          <w:tcPr>
            <w:tcW w:w="212" w:type="pct"/>
            <w:tcBorders>
              <w:top w:val="nil"/>
              <w:left w:val="nil"/>
              <w:bottom w:val="nil"/>
              <w:right w:val="nil"/>
            </w:tcBorders>
            <w:shd w:val="clear" w:color="000000" w:fill="FFFFFF"/>
            <w:noWrap/>
            <w:vAlign w:val="bottom"/>
            <w:hideMark/>
          </w:tcPr>
          <w:p w14:paraId="0C43540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59.00%</w:t>
            </w:r>
          </w:p>
        </w:tc>
        <w:tc>
          <w:tcPr>
            <w:tcW w:w="212" w:type="pct"/>
            <w:tcBorders>
              <w:top w:val="nil"/>
              <w:left w:val="nil"/>
              <w:bottom w:val="nil"/>
              <w:right w:val="nil"/>
            </w:tcBorders>
            <w:shd w:val="clear" w:color="000000" w:fill="FFFFFF"/>
            <w:noWrap/>
            <w:vAlign w:val="bottom"/>
            <w:hideMark/>
          </w:tcPr>
          <w:p w14:paraId="0DFB6E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60.10%</w:t>
            </w:r>
          </w:p>
        </w:tc>
        <w:tc>
          <w:tcPr>
            <w:tcW w:w="212" w:type="pct"/>
            <w:tcBorders>
              <w:top w:val="nil"/>
              <w:left w:val="nil"/>
              <w:bottom w:val="nil"/>
              <w:right w:val="nil"/>
            </w:tcBorders>
            <w:shd w:val="clear" w:color="000000" w:fill="FFFFFF"/>
            <w:noWrap/>
            <w:vAlign w:val="bottom"/>
            <w:hideMark/>
          </w:tcPr>
          <w:p w14:paraId="01BF9CA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61.00%</w:t>
            </w:r>
          </w:p>
        </w:tc>
        <w:tc>
          <w:tcPr>
            <w:tcW w:w="212" w:type="pct"/>
            <w:tcBorders>
              <w:top w:val="nil"/>
              <w:left w:val="nil"/>
              <w:bottom w:val="nil"/>
              <w:right w:val="nil"/>
            </w:tcBorders>
            <w:shd w:val="clear" w:color="000000" w:fill="FFFFFF"/>
            <w:noWrap/>
            <w:vAlign w:val="bottom"/>
            <w:hideMark/>
          </w:tcPr>
          <w:p w14:paraId="2EEA863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62.37%</w:t>
            </w:r>
          </w:p>
        </w:tc>
        <w:tc>
          <w:tcPr>
            <w:tcW w:w="212" w:type="pct"/>
            <w:tcBorders>
              <w:top w:val="nil"/>
              <w:left w:val="nil"/>
              <w:bottom w:val="nil"/>
              <w:right w:val="nil"/>
            </w:tcBorders>
            <w:shd w:val="clear" w:color="000000" w:fill="FFFFFF"/>
            <w:noWrap/>
            <w:vAlign w:val="bottom"/>
            <w:hideMark/>
          </w:tcPr>
          <w:p w14:paraId="762CD9D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63.14%</w:t>
            </w:r>
          </w:p>
        </w:tc>
        <w:tc>
          <w:tcPr>
            <w:tcW w:w="212" w:type="pct"/>
            <w:tcBorders>
              <w:top w:val="nil"/>
              <w:left w:val="nil"/>
              <w:bottom w:val="nil"/>
              <w:right w:val="nil"/>
            </w:tcBorders>
            <w:shd w:val="clear" w:color="000000" w:fill="FFFFFF"/>
            <w:noWrap/>
            <w:vAlign w:val="bottom"/>
            <w:hideMark/>
          </w:tcPr>
          <w:p w14:paraId="31AE958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63.49%</w:t>
            </w:r>
          </w:p>
        </w:tc>
        <w:tc>
          <w:tcPr>
            <w:tcW w:w="212" w:type="pct"/>
            <w:tcBorders>
              <w:top w:val="nil"/>
              <w:left w:val="nil"/>
              <w:bottom w:val="nil"/>
              <w:right w:val="nil"/>
            </w:tcBorders>
            <w:shd w:val="clear" w:color="000000" w:fill="FFFFFF"/>
            <w:noWrap/>
            <w:vAlign w:val="bottom"/>
            <w:hideMark/>
          </w:tcPr>
          <w:p w14:paraId="11AB365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64.35%</w:t>
            </w:r>
          </w:p>
        </w:tc>
        <w:tc>
          <w:tcPr>
            <w:tcW w:w="212" w:type="pct"/>
            <w:tcBorders>
              <w:top w:val="nil"/>
              <w:left w:val="nil"/>
              <w:bottom w:val="nil"/>
              <w:right w:val="nil"/>
            </w:tcBorders>
            <w:shd w:val="clear" w:color="000000" w:fill="FFFFFF"/>
            <w:noWrap/>
            <w:vAlign w:val="bottom"/>
            <w:hideMark/>
          </w:tcPr>
          <w:p w14:paraId="70502FF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64.77%</w:t>
            </w:r>
          </w:p>
        </w:tc>
        <w:tc>
          <w:tcPr>
            <w:tcW w:w="212" w:type="pct"/>
            <w:tcBorders>
              <w:top w:val="nil"/>
              <w:left w:val="nil"/>
              <w:bottom w:val="nil"/>
              <w:right w:val="nil"/>
            </w:tcBorders>
            <w:shd w:val="clear" w:color="000000" w:fill="FFFFFF"/>
            <w:noWrap/>
            <w:vAlign w:val="bottom"/>
            <w:hideMark/>
          </w:tcPr>
          <w:p w14:paraId="4F4E30A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65.00%</w:t>
            </w:r>
          </w:p>
        </w:tc>
        <w:tc>
          <w:tcPr>
            <w:tcW w:w="212" w:type="pct"/>
            <w:tcBorders>
              <w:top w:val="nil"/>
              <w:left w:val="nil"/>
              <w:bottom w:val="nil"/>
              <w:right w:val="nil"/>
            </w:tcBorders>
            <w:shd w:val="clear" w:color="000000" w:fill="FFFFFF"/>
            <w:noWrap/>
            <w:vAlign w:val="bottom"/>
            <w:hideMark/>
          </w:tcPr>
          <w:p w14:paraId="05ADBA4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65.41%</w:t>
            </w:r>
          </w:p>
        </w:tc>
        <w:tc>
          <w:tcPr>
            <w:tcW w:w="212" w:type="pct"/>
            <w:tcBorders>
              <w:top w:val="nil"/>
              <w:left w:val="nil"/>
              <w:bottom w:val="nil"/>
              <w:right w:val="nil"/>
            </w:tcBorders>
            <w:shd w:val="clear" w:color="000000" w:fill="FFFFFF"/>
            <w:noWrap/>
            <w:vAlign w:val="bottom"/>
            <w:hideMark/>
          </w:tcPr>
          <w:p w14:paraId="74D1264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65.53%</w:t>
            </w:r>
          </w:p>
        </w:tc>
        <w:tc>
          <w:tcPr>
            <w:tcW w:w="212" w:type="pct"/>
            <w:tcBorders>
              <w:top w:val="nil"/>
              <w:left w:val="nil"/>
              <w:bottom w:val="nil"/>
              <w:right w:val="nil"/>
            </w:tcBorders>
            <w:shd w:val="clear" w:color="000000" w:fill="FFFFFF"/>
            <w:noWrap/>
            <w:vAlign w:val="bottom"/>
            <w:hideMark/>
          </w:tcPr>
          <w:p w14:paraId="16B6CA9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65.71%</w:t>
            </w:r>
          </w:p>
        </w:tc>
        <w:tc>
          <w:tcPr>
            <w:tcW w:w="212" w:type="pct"/>
            <w:tcBorders>
              <w:top w:val="nil"/>
              <w:left w:val="nil"/>
              <w:bottom w:val="nil"/>
              <w:right w:val="nil"/>
            </w:tcBorders>
            <w:shd w:val="clear" w:color="000000" w:fill="FFFFFF"/>
            <w:noWrap/>
            <w:vAlign w:val="bottom"/>
            <w:hideMark/>
          </w:tcPr>
          <w:p w14:paraId="7D85BC8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65.84%</w:t>
            </w:r>
          </w:p>
        </w:tc>
      </w:tr>
      <w:tr w:rsidR="002D2278" w:rsidRPr="002D2278" w14:paraId="4641F1E4" w14:textId="77777777" w:rsidTr="002D2278">
        <w:trPr>
          <w:trHeight w:val="20"/>
        </w:trPr>
        <w:tc>
          <w:tcPr>
            <w:tcW w:w="663" w:type="pct"/>
            <w:tcBorders>
              <w:top w:val="nil"/>
              <w:left w:val="nil"/>
              <w:bottom w:val="nil"/>
              <w:right w:val="nil"/>
            </w:tcBorders>
            <w:shd w:val="clear" w:color="000000" w:fill="FFFFFF"/>
            <w:noWrap/>
            <w:vAlign w:val="center"/>
            <w:hideMark/>
          </w:tcPr>
          <w:p w14:paraId="629A6724" w14:textId="0EF5D54C"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2017........................................</w:t>
            </w:r>
          </w:p>
        </w:tc>
        <w:tc>
          <w:tcPr>
            <w:tcW w:w="449" w:type="pct"/>
            <w:tcBorders>
              <w:top w:val="nil"/>
              <w:left w:val="nil"/>
              <w:bottom w:val="nil"/>
              <w:right w:val="nil"/>
            </w:tcBorders>
            <w:shd w:val="clear" w:color="000000" w:fill="FFFFFF"/>
            <w:noWrap/>
            <w:vAlign w:val="bottom"/>
            <w:hideMark/>
          </w:tcPr>
          <w:p w14:paraId="5873AF3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2017Q1</w:t>
            </w:r>
          </w:p>
        </w:tc>
        <w:tc>
          <w:tcPr>
            <w:tcW w:w="499" w:type="pct"/>
            <w:tcBorders>
              <w:top w:val="nil"/>
              <w:left w:val="nil"/>
              <w:bottom w:val="nil"/>
              <w:right w:val="nil"/>
            </w:tcBorders>
            <w:shd w:val="clear" w:color="000000" w:fill="FFFFFF"/>
            <w:noWrap/>
            <w:vAlign w:val="center"/>
            <w:hideMark/>
          </w:tcPr>
          <w:p w14:paraId="691684DC"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1,456 </w:t>
            </w:r>
          </w:p>
        </w:tc>
        <w:tc>
          <w:tcPr>
            <w:tcW w:w="212" w:type="pct"/>
            <w:tcBorders>
              <w:top w:val="nil"/>
              <w:left w:val="nil"/>
              <w:bottom w:val="nil"/>
              <w:right w:val="nil"/>
            </w:tcBorders>
            <w:shd w:val="clear" w:color="000000" w:fill="FFFFFF"/>
            <w:noWrap/>
            <w:vAlign w:val="bottom"/>
            <w:hideMark/>
          </w:tcPr>
          <w:p w14:paraId="1FF3D3A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36.16%</w:t>
            </w:r>
          </w:p>
        </w:tc>
        <w:tc>
          <w:tcPr>
            <w:tcW w:w="212" w:type="pct"/>
            <w:tcBorders>
              <w:top w:val="nil"/>
              <w:left w:val="nil"/>
              <w:bottom w:val="nil"/>
              <w:right w:val="nil"/>
            </w:tcBorders>
            <w:shd w:val="clear" w:color="000000" w:fill="FFFFFF"/>
            <w:noWrap/>
            <w:vAlign w:val="bottom"/>
            <w:hideMark/>
          </w:tcPr>
          <w:p w14:paraId="680A639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58.40%</w:t>
            </w:r>
          </w:p>
        </w:tc>
        <w:tc>
          <w:tcPr>
            <w:tcW w:w="212" w:type="pct"/>
            <w:tcBorders>
              <w:top w:val="nil"/>
              <w:left w:val="nil"/>
              <w:bottom w:val="nil"/>
              <w:right w:val="nil"/>
            </w:tcBorders>
            <w:shd w:val="clear" w:color="000000" w:fill="FFFFFF"/>
            <w:noWrap/>
            <w:vAlign w:val="bottom"/>
            <w:hideMark/>
          </w:tcPr>
          <w:p w14:paraId="719B4FC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59.75%</w:t>
            </w:r>
          </w:p>
        </w:tc>
        <w:tc>
          <w:tcPr>
            <w:tcW w:w="212" w:type="pct"/>
            <w:tcBorders>
              <w:top w:val="nil"/>
              <w:left w:val="nil"/>
              <w:bottom w:val="nil"/>
              <w:right w:val="nil"/>
            </w:tcBorders>
            <w:shd w:val="clear" w:color="000000" w:fill="FFFFFF"/>
            <w:noWrap/>
            <w:vAlign w:val="bottom"/>
            <w:hideMark/>
          </w:tcPr>
          <w:p w14:paraId="6E4F65E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60.72%</w:t>
            </w:r>
          </w:p>
        </w:tc>
        <w:tc>
          <w:tcPr>
            <w:tcW w:w="212" w:type="pct"/>
            <w:tcBorders>
              <w:top w:val="nil"/>
              <w:left w:val="nil"/>
              <w:bottom w:val="nil"/>
              <w:right w:val="nil"/>
            </w:tcBorders>
            <w:shd w:val="clear" w:color="000000" w:fill="FFFFFF"/>
            <w:noWrap/>
            <w:vAlign w:val="bottom"/>
            <w:hideMark/>
          </w:tcPr>
          <w:p w14:paraId="7705DB3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61.68%</w:t>
            </w:r>
          </w:p>
        </w:tc>
        <w:tc>
          <w:tcPr>
            <w:tcW w:w="212" w:type="pct"/>
            <w:tcBorders>
              <w:top w:val="nil"/>
              <w:left w:val="nil"/>
              <w:bottom w:val="nil"/>
              <w:right w:val="nil"/>
            </w:tcBorders>
            <w:shd w:val="clear" w:color="000000" w:fill="FFFFFF"/>
            <w:noWrap/>
            <w:vAlign w:val="bottom"/>
            <w:hideMark/>
          </w:tcPr>
          <w:p w14:paraId="36B8782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61.92%</w:t>
            </w:r>
          </w:p>
        </w:tc>
        <w:tc>
          <w:tcPr>
            <w:tcW w:w="212" w:type="pct"/>
            <w:tcBorders>
              <w:top w:val="nil"/>
              <w:left w:val="nil"/>
              <w:bottom w:val="nil"/>
              <w:right w:val="nil"/>
            </w:tcBorders>
            <w:shd w:val="clear" w:color="000000" w:fill="FFFFFF"/>
            <w:noWrap/>
            <w:vAlign w:val="bottom"/>
            <w:hideMark/>
          </w:tcPr>
          <w:p w14:paraId="5DE6EE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62.28%</w:t>
            </w:r>
          </w:p>
        </w:tc>
        <w:tc>
          <w:tcPr>
            <w:tcW w:w="212" w:type="pct"/>
            <w:tcBorders>
              <w:top w:val="nil"/>
              <w:left w:val="nil"/>
              <w:bottom w:val="nil"/>
              <w:right w:val="nil"/>
            </w:tcBorders>
            <w:shd w:val="clear" w:color="000000" w:fill="FFFFFF"/>
            <w:noWrap/>
            <w:vAlign w:val="bottom"/>
            <w:hideMark/>
          </w:tcPr>
          <w:p w14:paraId="7F60242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62.55%</w:t>
            </w:r>
          </w:p>
        </w:tc>
        <w:tc>
          <w:tcPr>
            <w:tcW w:w="212" w:type="pct"/>
            <w:tcBorders>
              <w:top w:val="nil"/>
              <w:left w:val="nil"/>
              <w:bottom w:val="nil"/>
              <w:right w:val="nil"/>
            </w:tcBorders>
            <w:shd w:val="clear" w:color="000000" w:fill="FFFFFF"/>
            <w:noWrap/>
            <w:vAlign w:val="bottom"/>
            <w:hideMark/>
          </w:tcPr>
          <w:p w14:paraId="26574E2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62.75%</w:t>
            </w:r>
          </w:p>
        </w:tc>
        <w:tc>
          <w:tcPr>
            <w:tcW w:w="212" w:type="pct"/>
            <w:tcBorders>
              <w:top w:val="nil"/>
              <w:left w:val="nil"/>
              <w:bottom w:val="nil"/>
              <w:right w:val="nil"/>
            </w:tcBorders>
            <w:shd w:val="clear" w:color="000000" w:fill="FFFFFF"/>
            <w:noWrap/>
            <w:vAlign w:val="bottom"/>
            <w:hideMark/>
          </w:tcPr>
          <w:p w14:paraId="7E5CDB6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62.93%</w:t>
            </w:r>
          </w:p>
        </w:tc>
        <w:tc>
          <w:tcPr>
            <w:tcW w:w="212" w:type="pct"/>
            <w:tcBorders>
              <w:top w:val="nil"/>
              <w:left w:val="nil"/>
              <w:bottom w:val="nil"/>
              <w:right w:val="nil"/>
            </w:tcBorders>
            <w:shd w:val="clear" w:color="000000" w:fill="FFFFFF"/>
            <w:noWrap/>
            <w:vAlign w:val="bottom"/>
            <w:hideMark/>
          </w:tcPr>
          <w:p w14:paraId="4B598D4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63.99%</w:t>
            </w:r>
          </w:p>
        </w:tc>
        <w:tc>
          <w:tcPr>
            <w:tcW w:w="212" w:type="pct"/>
            <w:tcBorders>
              <w:top w:val="nil"/>
              <w:left w:val="nil"/>
              <w:bottom w:val="nil"/>
              <w:right w:val="nil"/>
            </w:tcBorders>
            <w:shd w:val="clear" w:color="000000" w:fill="FFFFFF"/>
            <w:noWrap/>
            <w:vAlign w:val="bottom"/>
            <w:hideMark/>
          </w:tcPr>
          <w:p w14:paraId="458CCF4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64.62%</w:t>
            </w:r>
          </w:p>
        </w:tc>
        <w:tc>
          <w:tcPr>
            <w:tcW w:w="212" w:type="pct"/>
            <w:tcBorders>
              <w:top w:val="nil"/>
              <w:left w:val="nil"/>
              <w:bottom w:val="nil"/>
              <w:right w:val="nil"/>
            </w:tcBorders>
            <w:shd w:val="clear" w:color="000000" w:fill="FFFFFF"/>
            <w:noWrap/>
            <w:vAlign w:val="bottom"/>
            <w:hideMark/>
          </w:tcPr>
          <w:p w14:paraId="45F7C5E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64.83%</w:t>
            </w:r>
          </w:p>
        </w:tc>
        <w:tc>
          <w:tcPr>
            <w:tcW w:w="212" w:type="pct"/>
            <w:tcBorders>
              <w:top w:val="nil"/>
              <w:left w:val="nil"/>
              <w:bottom w:val="nil"/>
              <w:right w:val="nil"/>
            </w:tcBorders>
            <w:shd w:val="clear" w:color="000000" w:fill="FFFFFF"/>
            <w:noWrap/>
            <w:vAlign w:val="bottom"/>
            <w:hideMark/>
          </w:tcPr>
          <w:p w14:paraId="4D6F3D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64.91%</w:t>
            </w:r>
          </w:p>
        </w:tc>
        <w:tc>
          <w:tcPr>
            <w:tcW w:w="212" w:type="pct"/>
            <w:tcBorders>
              <w:top w:val="nil"/>
              <w:left w:val="nil"/>
              <w:bottom w:val="nil"/>
              <w:right w:val="nil"/>
            </w:tcBorders>
            <w:shd w:val="clear" w:color="000000" w:fill="FFFFFF"/>
            <w:noWrap/>
            <w:vAlign w:val="bottom"/>
            <w:hideMark/>
          </w:tcPr>
          <w:p w14:paraId="3F9EEA9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65.00%</w:t>
            </w:r>
          </w:p>
        </w:tc>
        <w:tc>
          <w:tcPr>
            <w:tcW w:w="212" w:type="pct"/>
            <w:tcBorders>
              <w:top w:val="nil"/>
              <w:left w:val="nil"/>
              <w:bottom w:val="nil"/>
              <w:right w:val="nil"/>
            </w:tcBorders>
            <w:shd w:val="clear" w:color="000000" w:fill="FFFFFF"/>
            <w:noWrap/>
            <w:vAlign w:val="bottom"/>
            <w:hideMark/>
          </w:tcPr>
          <w:p w14:paraId="4E9BB37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65.10%</w:t>
            </w:r>
          </w:p>
        </w:tc>
      </w:tr>
      <w:tr w:rsidR="002D2278" w:rsidRPr="002D2278" w14:paraId="1DBEA4F9" w14:textId="77777777" w:rsidTr="002D2278">
        <w:trPr>
          <w:trHeight w:val="20"/>
        </w:trPr>
        <w:tc>
          <w:tcPr>
            <w:tcW w:w="663" w:type="pct"/>
            <w:tcBorders>
              <w:top w:val="nil"/>
              <w:left w:val="nil"/>
              <w:bottom w:val="nil"/>
              <w:right w:val="nil"/>
            </w:tcBorders>
            <w:shd w:val="clear" w:color="000000" w:fill="FFFFFF"/>
            <w:noWrap/>
            <w:vAlign w:val="center"/>
            <w:hideMark/>
          </w:tcPr>
          <w:p w14:paraId="6AE9A11A" w14:textId="4631388C"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2017..........................................</w:t>
            </w:r>
          </w:p>
        </w:tc>
        <w:tc>
          <w:tcPr>
            <w:tcW w:w="449" w:type="pct"/>
            <w:tcBorders>
              <w:top w:val="nil"/>
              <w:left w:val="nil"/>
              <w:bottom w:val="nil"/>
              <w:right w:val="nil"/>
            </w:tcBorders>
            <w:shd w:val="clear" w:color="000000" w:fill="FFFFFF"/>
            <w:noWrap/>
            <w:vAlign w:val="bottom"/>
            <w:hideMark/>
          </w:tcPr>
          <w:p w14:paraId="1FD64427"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2017Q2</w:t>
            </w:r>
          </w:p>
        </w:tc>
        <w:tc>
          <w:tcPr>
            <w:tcW w:w="499" w:type="pct"/>
            <w:tcBorders>
              <w:top w:val="nil"/>
              <w:left w:val="nil"/>
              <w:bottom w:val="nil"/>
              <w:right w:val="nil"/>
            </w:tcBorders>
            <w:shd w:val="clear" w:color="000000" w:fill="FFFFFF"/>
            <w:noWrap/>
            <w:vAlign w:val="center"/>
            <w:hideMark/>
          </w:tcPr>
          <w:p w14:paraId="7A01609C"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1,510 </w:t>
            </w:r>
          </w:p>
        </w:tc>
        <w:tc>
          <w:tcPr>
            <w:tcW w:w="212" w:type="pct"/>
            <w:tcBorders>
              <w:top w:val="nil"/>
              <w:left w:val="nil"/>
              <w:bottom w:val="nil"/>
              <w:right w:val="nil"/>
            </w:tcBorders>
            <w:shd w:val="clear" w:color="000000" w:fill="FFFFFF"/>
            <w:noWrap/>
            <w:vAlign w:val="bottom"/>
            <w:hideMark/>
          </w:tcPr>
          <w:p w14:paraId="21E435B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34.27%</w:t>
            </w:r>
          </w:p>
        </w:tc>
        <w:tc>
          <w:tcPr>
            <w:tcW w:w="212" w:type="pct"/>
            <w:tcBorders>
              <w:top w:val="nil"/>
              <w:left w:val="nil"/>
              <w:bottom w:val="nil"/>
              <w:right w:val="nil"/>
            </w:tcBorders>
            <w:shd w:val="clear" w:color="000000" w:fill="FFFFFF"/>
            <w:noWrap/>
            <w:vAlign w:val="bottom"/>
            <w:hideMark/>
          </w:tcPr>
          <w:p w14:paraId="4AED567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56.30%</w:t>
            </w:r>
          </w:p>
        </w:tc>
        <w:tc>
          <w:tcPr>
            <w:tcW w:w="212" w:type="pct"/>
            <w:tcBorders>
              <w:top w:val="nil"/>
              <w:left w:val="nil"/>
              <w:bottom w:val="nil"/>
              <w:right w:val="nil"/>
            </w:tcBorders>
            <w:shd w:val="clear" w:color="000000" w:fill="FFFFFF"/>
            <w:noWrap/>
            <w:vAlign w:val="bottom"/>
            <w:hideMark/>
          </w:tcPr>
          <w:p w14:paraId="0E1AFAC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58.21%</w:t>
            </w:r>
          </w:p>
        </w:tc>
        <w:tc>
          <w:tcPr>
            <w:tcW w:w="212" w:type="pct"/>
            <w:tcBorders>
              <w:top w:val="nil"/>
              <w:left w:val="nil"/>
              <w:bottom w:val="nil"/>
              <w:right w:val="nil"/>
            </w:tcBorders>
            <w:shd w:val="clear" w:color="000000" w:fill="FFFFFF"/>
            <w:noWrap/>
            <w:vAlign w:val="bottom"/>
            <w:hideMark/>
          </w:tcPr>
          <w:p w14:paraId="3C13A58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61.19%</w:t>
            </w:r>
          </w:p>
        </w:tc>
        <w:tc>
          <w:tcPr>
            <w:tcW w:w="212" w:type="pct"/>
            <w:tcBorders>
              <w:top w:val="nil"/>
              <w:left w:val="nil"/>
              <w:bottom w:val="nil"/>
              <w:right w:val="nil"/>
            </w:tcBorders>
            <w:shd w:val="clear" w:color="000000" w:fill="FFFFFF"/>
            <w:noWrap/>
            <w:vAlign w:val="bottom"/>
            <w:hideMark/>
          </w:tcPr>
          <w:p w14:paraId="58C2ABF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61.95%</w:t>
            </w:r>
          </w:p>
        </w:tc>
        <w:tc>
          <w:tcPr>
            <w:tcW w:w="212" w:type="pct"/>
            <w:tcBorders>
              <w:top w:val="nil"/>
              <w:left w:val="nil"/>
              <w:bottom w:val="nil"/>
              <w:right w:val="nil"/>
            </w:tcBorders>
            <w:shd w:val="clear" w:color="000000" w:fill="FFFFFF"/>
            <w:noWrap/>
            <w:vAlign w:val="bottom"/>
            <w:hideMark/>
          </w:tcPr>
          <w:p w14:paraId="3F4D420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63.16%</w:t>
            </w:r>
          </w:p>
        </w:tc>
        <w:tc>
          <w:tcPr>
            <w:tcW w:w="212" w:type="pct"/>
            <w:tcBorders>
              <w:top w:val="nil"/>
              <w:left w:val="nil"/>
              <w:bottom w:val="nil"/>
              <w:right w:val="nil"/>
            </w:tcBorders>
            <w:shd w:val="clear" w:color="000000" w:fill="FFFFFF"/>
            <w:noWrap/>
            <w:vAlign w:val="bottom"/>
            <w:hideMark/>
          </w:tcPr>
          <w:p w14:paraId="11EC0CE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63.68%</w:t>
            </w:r>
          </w:p>
        </w:tc>
        <w:tc>
          <w:tcPr>
            <w:tcW w:w="212" w:type="pct"/>
            <w:tcBorders>
              <w:top w:val="nil"/>
              <w:left w:val="nil"/>
              <w:bottom w:val="nil"/>
              <w:right w:val="nil"/>
            </w:tcBorders>
            <w:shd w:val="clear" w:color="000000" w:fill="FFFFFF"/>
            <w:noWrap/>
            <w:vAlign w:val="bottom"/>
            <w:hideMark/>
          </w:tcPr>
          <w:p w14:paraId="27B87A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63.91%</w:t>
            </w:r>
          </w:p>
        </w:tc>
        <w:tc>
          <w:tcPr>
            <w:tcW w:w="212" w:type="pct"/>
            <w:tcBorders>
              <w:top w:val="nil"/>
              <w:left w:val="nil"/>
              <w:bottom w:val="nil"/>
              <w:right w:val="nil"/>
            </w:tcBorders>
            <w:shd w:val="clear" w:color="000000" w:fill="FFFFFF"/>
            <w:noWrap/>
            <w:vAlign w:val="bottom"/>
            <w:hideMark/>
          </w:tcPr>
          <w:p w14:paraId="6B422B4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64.27%</w:t>
            </w:r>
          </w:p>
        </w:tc>
        <w:tc>
          <w:tcPr>
            <w:tcW w:w="212" w:type="pct"/>
            <w:tcBorders>
              <w:top w:val="nil"/>
              <w:left w:val="nil"/>
              <w:bottom w:val="nil"/>
              <w:right w:val="nil"/>
            </w:tcBorders>
            <w:shd w:val="clear" w:color="000000" w:fill="FFFFFF"/>
            <w:noWrap/>
            <w:vAlign w:val="bottom"/>
            <w:hideMark/>
          </w:tcPr>
          <w:p w14:paraId="6482CAC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64.61%</w:t>
            </w:r>
          </w:p>
        </w:tc>
        <w:tc>
          <w:tcPr>
            <w:tcW w:w="212" w:type="pct"/>
            <w:tcBorders>
              <w:top w:val="nil"/>
              <w:left w:val="nil"/>
              <w:bottom w:val="nil"/>
              <w:right w:val="nil"/>
            </w:tcBorders>
            <w:shd w:val="clear" w:color="000000" w:fill="FFFFFF"/>
            <w:noWrap/>
            <w:vAlign w:val="bottom"/>
            <w:hideMark/>
          </w:tcPr>
          <w:p w14:paraId="08AB51D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64.80%</w:t>
            </w:r>
          </w:p>
        </w:tc>
        <w:tc>
          <w:tcPr>
            <w:tcW w:w="212" w:type="pct"/>
            <w:tcBorders>
              <w:top w:val="nil"/>
              <w:left w:val="nil"/>
              <w:bottom w:val="nil"/>
              <w:right w:val="nil"/>
            </w:tcBorders>
            <w:shd w:val="clear" w:color="000000" w:fill="FFFFFF"/>
            <w:noWrap/>
            <w:vAlign w:val="bottom"/>
            <w:hideMark/>
          </w:tcPr>
          <w:p w14:paraId="2F6ED15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64.90%</w:t>
            </w:r>
          </w:p>
        </w:tc>
        <w:tc>
          <w:tcPr>
            <w:tcW w:w="212" w:type="pct"/>
            <w:tcBorders>
              <w:top w:val="nil"/>
              <w:left w:val="nil"/>
              <w:bottom w:val="nil"/>
              <w:right w:val="nil"/>
            </w:tcBorders>
            <w:shd w:val="clear" w:color="000000" w:fill="FFFFFF"/>
            <w:noWrap/>
            <w:vAlign w:val="bottom"/>
            <w:hideMark/>
          </w:tcPr>
          <w:p w14:paraId="4961A73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65.04%</w:t>
            </w:r>
          </w:p>
        </w:tc>
        <w:tc>
          <w:tcPr>
            <w:tcW w:w="212" w:type="pct"/>
            <w:tcBorders>
              <w:top w:val="nil"/>
              <w:left w:val="nil"/>
              <w:bottom w:val="nil"/>
              <w:right w:val="nil"/>
            </w:tcBorders>
            <w:shd w:val="clear" w:color="000000" w:fill="FFFFFF"/>
            <w:noWrap/>
            <w:vAlign w:val="bottom"/>
            <w:hideMark/>
          </w:tcPr>
          <w:p w14:paraId="42597E3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65.16%</w:t>
            </w:r>
          </w:p>
        </w:tc>
        <w:tc>
          <w:tcPr>
            <w:tcW w:w="212" w:type="pct"/>
            <w:tcBorders>
              <w:top w:val="nil"/>
              <w:left w:val="nil"/>
              <w:bottom w:val="nil"/>
              <w:right w:val="nil"/>
            </w:tcBorders>
            <w:shd w:val="clear" w:color="000000" w:fill="FFFFFF"/>
            <w:noWrap/>
            <w:vAlign w:val="bottom"/>
            <w:hideMark/>
          </w:tcPr>
          <w:p w14:paraId="7E4BE08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65.24%</w:t>
            </w:r>
          </w:p>
        </w:tc>
        <w:tc>
          <w:tcPr>
            <w:tcW w:w="212" w:type="pct"/>
            <w:tcBorders>
              <w:top w:val="nil"/>
              <w:left w:val="nil"/>
              <w:bottom w:val="nil"/>
              <w:right w:val="nil"/>
            </w:tcBorders>
            <w:shd w:val="clear" w:color="000000" w:fill="FFFFFF"/>
            <w:noWrap/>
            <w:vAlign w:val="bottom"/>
            <w:hideMark/>
          </w:tcPr>
          <w:p w14:paraId="3FF10E4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65.32%</w:t>
            </w:r>
          </w:p>
        </w:tc>
      </w:tr>
      <w:tr w:rsidR="002D2278" w:rsidRPr="002D2278" w14:paraId="3FF2EEE5" w14:textId="77777777" w:rsidTr="002D2278">
        <w:trPr>
          <w:trHeight w:val="20"/>
        </w:trPr>
        <w:tc>
          <w:tcPr>
            <w:tcW w:w="663" w:type="pct"/>
            <w:tcBorders>
              <w:top w:val="nil"/>
              <w:left w:val="nil"/>
              <w:bottom w:val="nil"/>
              <w:right w:val="nil"/>
            </w:tcBorders>
            <w:shd w:val="clear" w:color="000000" w:fill="FFFFFF"/>
            <w:noWrap/>
            <w:vAlign w:val="center"/>
            <w:hideMark/>
          </w:tcPr>
          <w:p w14:paraId="35CBA7BE"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2017..............................</w:t>
            </w:r>
          </w:p>
        </w:tc>
        <w:tc>
          <w:tcPr>
            <w:tcW w:w="449" w:type="pct"/>
            <w:tcBorders>
              <w:top w:val="nil"/>
              <w:left w:val="nil"/>
              <w:bottom w:val="nil"/>
              <w:right w:val="nil"/>
            </w:tcBorders>
            <w:shd w:val="clear" w:color="000000" w:fill="FFFFFF"/>
            <w:noWrap/>
            <w:vAlign w:val="bottom"/>
            <w:hideMark/>
          </w:tcPr>
          <w:p w14:paraId="60EF0235"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2017Q3</w:t>
            </w:r>
          </w:p>
        </w:tc>
        <w:tc>
          <w:tcPr>
            <w:tcW w:w="499" w:type="pct"/>
            <w:tcBorders>
              <w:top w:val="nil"/>
              <w:left w:val="nil"/>
              <w:bottom w:val="nil"/>
              <w:right w:val="nil"/>
            </w:tcBorders>
            <w:shd w:val="clear" w:color="000000" w:fill="FFFFFF"/>
            <w:noWrap/>
            <w:vAlign w:val="center"/>
            <w:hideMark/>
          </w:tcPr>
          <w:p w14:paraId="4C34917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1,209 </w:t>
            </w:r>
          </w:p>
        </w:tc>
        <w:tc>
          <w:tcPr>
            <w:tcW w:w="212" w:type="pct"/>
            <w:tcBorders>
              <w:top w:val="nil"/>
              <w:left w:val="nil"/>
              <w:bottom w:val="nil"/>
              <w:right w:val="nil"/>
            </w:tcBorders>
            <w:shd w:val="clear" w:color="000000" w:fill="FFFFFF"/>
            <w:noWrap/>
            <w:vAlign w:val="bottom"/>
            <w:hideMark/>
          </w:tcPr>
          <w:p w14:paraId="17BD060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28.63%</w:t>
            </w:r>
          </w:p>
        </w:tc>
        <w:tc>
          <w:tcPr>
            <w:tcW w:w="212" w:type="pct"/>
            <w:tcBorders>
              <w:top w:val="nil"/>
              <w:left w:val="nil"/>
              <w:bottom w:val="nil"/>
              <w:right w:val="nil"/>
            </w:tcBorders>
            <w:shd w:val="clear" w:color="000000" w:fill="FFFFFF"/>
            <w:noWrap/>
            <w:vAlign w:val="bottom"/>
            <w:hideMark/>
          </w:tcPr>
          <w:p w14:paraId="499E04A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56.67%</w:t>
            </w:r>
          </w:p>
        </w:tc>
        <w:tc>
          <w:tcPr>
            <w:tcW w:w="212" w:type="pct"/>
            <w:tcBorders>
              <w:top w:val="nil"/>
              <w:left w:val="nil"/>
              <w:bottom w:val="nil"/>
              <w:right w:val="nil"/>
            </w:tcBorders>
            <w:shd w:val="clear" w:color="000000" w:fill="FFFFFF"/>
            <w:noWrap/>
            <w:vAlign w:val="bottom"/>
            <w:hideMark/>
          </w:tcPr>
          <w:p w14:paraId="4E26468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60.81%</w:t>
            </w:r>
          </w:p>
        </w:tc>
        <w:tc>
          <w:tcPr>
            <w:tcW w:w="212" w:type="pct"/>
            <w:tcBorders>
              <w:top w:val="nil"/>
              <w:left w:val="nil"/>
              <w:bottom w:val="nil"/>
              <w:right w:val="nil"/>
            </w:tcBorders>
            <w:shd w:val="clear" w:color="000000" w:fill="FFFFFF"/>
            <w:noWrap/>
            <w:vAlign w:val="bottom"/>
            <w:hideMark/>
          </w:tcPr>
          <w:p w14:paraId="2D6C6F2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61.73%</w:t>
            </w:r>
          </w:p>
        </w:tc>
        <w:tc>
          <w:tcPr>
            <w:tcW w:w="212" w:type="pct"/>
            <w:tcBorders>
              <w:top w:val="nil"/>
              <w:left w:val="nil"/>
              <w:bottom w:val="nil"/>
              <w:right w:val="nil"/>
            </w:tcBorders>
            <w:shd w:val="clear" w:color="000000" w:fill="FFFFFF"/>
            <w:noWrap/>
            <w:vAlign w:val="bottom"/>
            <w:hideMark/>
          </w:tcPr>
          <w:p w14:paraId="33F1EBC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62.26%</w:t>
            </w:r>
          </w:p>
        </w:tc>
        <w:tc>
          <w:tcPr>
            <w:tcW w:w="212" w:type="pct"/>
            <w:tcBorders>
              <w:top w:val="nil"/>
              <w:left w:val="nil"/>
              <w:bottom w:val="nil"/>
              <w:right w:val="nil"/>
            </w:tcBorders>
            <w:shd w:val="clear" w:color="000000" w:fill="FFFFFF"/>
            <w:noWrap/>
            <w:vAlign w:val="bottom"/>
            <w:hideMark/>
          </w:tcPr>
          <w:p w14:paraId="62EF611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62.59%</w:t>
            </w:r>
          </w:p>
        </w:tc>
        <w:tc>
          <w:tcPr>
            <w:tcW w:w="212" w:type="pct"/>
            <w:tcBorders>
              <w:top w:val="nil"/>
              <w:left w:val="nil"/>
              <w:bottom w:val="nil"/>
              <w:right w:val="nil"/>
            </w:tcBorders>
            <w:shd w:val="clear" w:color="000000" w:fill="FFFFFF"/>
            <w:noWrap/>
            <w:vAlign w:val="bottom"/>
            <w:hideMark/>
          </w:tcPr>
          <w:p w14:paraId="146BF4B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63.30%</w:t>
            </w:r>
          </w:p>
        </w:tc>
        <w:tc>
          <w:tcPr>
            <w:tcW w:w="212" w:type="pct"/>
            <w:tcBorders>
              <w:top w:val="nil"/>
              <w:left w:val="nil"/>
              <w:bottom w:val="nil"/>
              <w:right w:val="nil"/>
            </w:tcBorders>
            <w:shd w:val="clear" w:color="000000" w:fill="FFFFFF"/>
            <w:noWrap/>
            <w:vAlign w:val="bottom"/>
            <w:hideMark/>
          </w:tcPr>
          <w:p w14:paraId="0C96D52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63.62%</w:t>
            </w:r>
          </w:p>
        </w:tc>
        <w:tc>
          <w:tcPr>
            <w:tcW w:w="212" w:type="pct"/>
            <w:tcBorders>
              <w:top w:val="nil"/>
              <w:left w:val="nil"/>
              <w:bottom w:val="nil"/>
              <w:right w:val="nil"/>
            </w:tcBorders>
            <w:shd w:val="clear" w:color="000000" w:fill="FFFFFF"/>
            <w:noWrap/>
            <w:vAlign w:val="bottom"/>
            <w:hideMark/>
          </w:tcPr>
          <w:p w14:paraId="117C5BD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64.97%</w:t>
            </w:r>
          </w:p>
        </w:tc>
        <w:tc>
          <w:tcPr>
            <w:tcW w:w="212" w:type="pct"/>
            <w:tcBorders>
              <w:top w:val="nil"/>
              <w:left w:val="nil"/>
              <w:bottom w:val="nil"/>
              <w:right w:val="nil"/>
            </w:tcBorders>
            <w:shd w:val="clear" w:color="000000" w:fill="FFFFFF"/>
            <w:noWrap/>
            <w:vAlign w:val="bottom"/>
            <w:hideMark/>
          </w:tcPr>
          <w:p w14:paraId="6ADC07B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65.44%</w:t>
            </w:r>
          </w:p>
        </w:tc>
        <w:tc>
          <w:tcPr>
            <w:tcW w:w="212" w:type="pct"/>
            <w:tcBorders>
              <w:top w:val="nil"/>
              <w:left w:val="nil"/>
              <w:bottom w:val="nil"/>
              <w:right w:val="nil"/>
            </w:tcBorders>
            <w:shd w:val="clear" w:color="000000" w:fill="FFFFFF"/>
            <w:noWrap/>
            <w:vAlign w:val="bottom"/>
            <w:hideMark/>
          </w:tcPr>
          <w:p w14:paraId="1620012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65.86%</w:t>
            </w:r>
          </w:p>
        </w:tc>
        <w:tc>
          <w:tcPr>
            <w:tcW w:w="212" w:type="pct"/>
            <w:tcBorders>
              <w:top w:val="nil"/>
              <w:left w:val="nil"/>
              <w:bottom w:val="nil"/>
              <w:right w:val="nil"/>
            </w:tcBorders>
            <w:shd w:val="clear" w:color="000000" w:fill="FFFFFF"/>
            <w:noWrap/>
            <w:vAlign w:val="bottom"/>
            <w:hideMark/>
          </w:tcPr>
          <w:p w14:paraId="64D9AFC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66.10%</w:t>
            </w:r>
          </w:p>
        </w:tc>
        <w:tc>
          <w:tcPr>
            <w:tcW w:w="212" w:type="pct"/>
            <w:tcBorders>
              <w:top w:val="nil"/>
              <w:left w:val="nil"/>
              <w:bottom w:val="nil"/>
              <w:right w:val="nil"/>
            </w:tcBorders>
            <w:shd w:val="clear" w:color="000000" w:fill="FFFFFF"/>
            <w:noWrap/>
            <w:vAlign w:val="bottom"/>
            <w:hideMark/>
          </w:tcPr>
          <w:p w14:paraId="0E3A3BD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66.40%</w:t>
            </w:r>
          </w:p>
        </w:tc>
        <w:tc>
          <w:tcPr>
            <w:tcW w:w="212" w:type="pct"/>
            <w:tcBorders>
              <w:top w:val="nil"/>
              <w:left w:val="nil"/>
              <w:bottom w:val="nil"/>
              <w:right w:val="nil"/>
            </w:tcBorders>
            <w:shd w:val="clear" w:color="000000" w:fill="FFFFFF"/>
            <w:noWrap/>
            <w:vAlign w:val="bottom"/>
            <w:hideMark/>
          </w:tcPr>
          <w:p w14:paraId="6B1778C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66.71%</w:t>
            </w:r>
          </w:p>
        </w:tc>
        <w:tc>
          <w:tcPr>
            <w:tcW w:w="212" w:type="pct"/>
            <w:tcBorders>
              <w:top w:val="nil"/>
              <w:left w:val="nil"/>
              <w:bottom w:val="nil"/>
              <w:right w:val="nil"/>
            </w:tcBorders>
            <w:shd w:val="clear" w:color="000000" w:fill="FFFFFF"/>
            <w:noWrap/>
            <w:vAlign w:val="bottom"/>
            <w:hideMark/>
          </w:tcPr>
          <w:p w14:paraId="7E8269C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66.91%</w:t>
            </w:r>
          </w:p>
        </w:tc>
        <w:tc>
          <w:tcPr>
            <w:tcW w:w="212" w:type="pct"/>
            <w:tcBorders>
              <w:top w:val="nil"/>
              <w:left w:val="nil"/>
              <w:bottom w:val="nil"/>
              <w:right w:val="nil"/>
            </w:tcBorders>
            <w:shd w:val="clear" w:color="000000" w:fill="FFFFFF"/>
            <w:noWrap/>
            <w:vAlign w:val="bottom"/>
            <w:hideMark/>
          </w:tcPr>
          <w:p w14:paraId="6C20C35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66.99%</w:t>
            </w:r>
          </w:p>
        </w:tc>
      </w:tr>
      <w:tr w:rsidR="002D2278" w:rsidRPr="002D2278" w14:paraId="2C609BA1" w14:textId="77777777" w:rsidTr="002D2278">
        <w:trPr>
          <w:trHeight w:val="20"/>
        </w:trPr>
        <w:tc>
          <w:tcPr>
            <w:tcW w:w="663" w:type="pct"/>
            <w:tcBorders>
              <w:top w:val="nil"/>
              <w:left w:val="nil"/>
              <w:bottom w:val="nil"/>
              <w:right w:val="nil"/>
            </w:tcBorders>
            <w:shd w:val="clear" w:color="000000" w:fill="FFFFFF"/>
            <w:noWrap/>
            <w:vAlign w:val="center"/>
            <w:hideMark/>
          </w:tcPr>
          <w:p w14:paraId="65C39EA1" w14:textId="2251FDFC"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2017...............................</w:t>
            </w:r>
          </w:p>
        </w:tc>
        <w:tc>
          <w:tcPr>
            <w:tcW w:w="449" w:type="pct"/>
            <w:tcBorders>
              <w:top w:val="nil"/>
              <w:left w:val="nil"/>
              <w:bottom w:val="nil"/>
              <w:right w:val="nil"/>
            </w:tcBorders>
            <w:shd w:val="clear" w:color="000000" w:fill="FFFFFF"/>
            <w:noWrap/>
            <w:vAlign w:val="bottom"/>
            <w:hideMark/>
          </w:tcPr>
          <w:p w14:paraId="1CA985B8"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2017Q4</w:t>
            </w:r>
          </w:p>
        </w:tc>
        <w:tc>
          <w:tcPr>
            <w:tcW w:w="499" w:type="pct"/>
            <w:tcBorders>
              <w:top w:val="nil"/>
              <w:left w:val="nil"/>
              <w:bottom w:val="nil"/>
              <w:right w:val="nil"/>
            </w:tcBorders>
            <w:shd w:val="clear" w:color="000000" w:fill="FFFFFF"/>
            <w:noWrap/>
            <w:vAlign w:val="center"/>
            <w:hideMark/>
          </w:tcPr>
          <w:p w14:paraId="2E7BA7A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1,401 </w:t>
            </w:r>
          </w:p>
        </w:tc>
        <w:tc>
          <w:tcPr>
            <w:tcW w:w="212" w:type="pct"/>
            <w:tcBorders>
              <w:top w:val="nil"/>
              <w:left w:val="nil"/>
              <w:bottom w:val="nil"/>
              <w:right w:val="nil"/>
            </w:tcBorders>
            <w:shd w:val="clear" w:color="000000" w:fill="FFFFFF"/>
            <w:noWrap/>
            <w:vAlign w:val="bottom"/>
            <w:hideMark/>
          </w:tcPr>
          <w:p w14:paraId="58DB9A4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36.84%</w:t>
            </w:r>
          </w:p>
        </w:tc>
        <w:tc>
          <w:tcPr>
            <w:tcW w:w="212" w:type="pct"/>
            <w:tcBorders>
              <w:top w:val="nil"/>
              <w:left w:val="nil"/>
              <w:bottom w:val="nil"/>
              <w:right w:val="nil"/>
            </w:tcBorders>
            <w:shd w:val="clear" w:color="000000" w:fill="FFFFFF"/>
            <w:noWrap/>
            <w:vAlign w:val="bottom"/>
            <w:hideMark/>
          </w:tcPr>
          <w:p w14:paraId="7BBA12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60.70%</w:t>
            </w:r>
          </w:p>
        </w:tc>
        <w:tc>
          <w:tcPr>
            <w:tcW w:w="212" w:type="pct"/>
            <w:tcBorders>
              <w:top w:val="nil"/>
              <w:left w:val="nil"/>
              <w:bottom w:val="nil"/>
              <w:right w:val="nil"/>
            </w:tcBorders>
            <w:shd w:val="clear" w:color="000000" w:fill="FFFFFF"/>
            <w:noWrap/>
            <w:vAlign w:val="bottom"/>
            <w:hideMark/>
          </w:tcPr>
          <w:p w14:paraId="2C618C6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61.45%</w:t>
            </w:r>
          </w:p>
        </w:tc>
        <w:tc>
          <w:tcPr>
            <w:tcW w:w="212" w:type="pct"/>
            <w:tcBorders>
              <w:top w:val="nil"/>
              <w:left w:val="nil"/>
              <w:bottom w:val="nil"/>
              <w:right w:val="nil"/>
            </w:tcBorders>
            <w:shd w:val="clear" w:color="000000" w:fill="FFFFFF"/>
            <w:noWrap/>
            <w:vAlign w:val="bottom"/>
            <w:hideMark/>
          </w:tcPr>
          <w:p w14:paraId="35543D3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62.17%</w:t>
            </w:r>
          </w:p>
        </w:tc>
        <w:tc>
          <w:tcPr>
            <w:tcW w:w="212" w:type="pct"/>
            <w:tcBorders>
              <w:top w:val="nil"/>
              <w:left w:val="nil"/>
              <w:bottom w:val="nil"/>
              <w:right w:val="nil"/>
            </w:tcBorders>
            <w:shd w:val="clear" w:color="000000" w:fill="FFFFFF"/>
            <w:noWrap/>
            <w:vAlign w:val="bottom"/>
            <w:hideMark/>
          </w:tcPr>
          <w:p w14:paraId="7BBDFD4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63.04%</w:t>
            </w:r>
          </w:p>
        </w:tc>
        <w:tc>
          <w:tcPr>
            <w:tcW w:w="212" w:type="pct"/>
            <w:tcBorders>
              <w:top w:val="nil"/>
              <w:left w:val="nil"/>
              <w:bottom w:val="nil"/>
              <w:right w:val="nil"/>
            </w:tcBorders>
            <w:shd w:val="clear" w:color="000000" w:fill="FFFFFF"/>
            <w:noWrap/>
            <w:vAlign w:val="bottom"/>
            <w:hideMark/>
          </w:tcPr>
          <w:p w14:paraId="42A9E4B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63.91%</w:t>
            </w:r>
          </w:p>
        </w:tc>
        <w:tc>
          <w:tcPr>
            <w:tcW w:w="212" w:type="pct"/>
            <w:tcBorders>
              <w:top w:val="nil"/>
              <w:left w:val="nil"/>
              <w:bottom w:val="nil"/>
              <w:right w:val="nil"/>
            </w:tcBorders>
            <w:shd w:val="clear" w:color="000000" w:fill="FFFFFF"/>
            <w:noWrap/>
            <w:vAlign w:val="bottom"/>
            <w:hideMark/>
          </w:tcPr>
          <w:p w14:paraId="0AB7C6D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64.25%</w:t>
            </w:r>
          </w:p>
        </w:tc>
        <w:tc>
          <w:tcPr>
            <w:tcW w:w="212" w:type="pct"/>
            <w:tcBorders>
              <w:top w:val="nil"/>
              <w:left w:val="nil"/>
              <w:bottom w:val="nil"/>
              <w:right w:val="nil"/>
            </w:tcBorders>
            <w:shd w:val="clear" w:color="000000" w:fill="FFFFFF"/>
            <w:noWrap/>
            <w:vAlign w:val="bottom"/>
            <w:hideMark/>
          </w:tcPr>
          <w:p w14:paraId="47545D8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64.94%</w:t>
            </w:r>
          </w:p>
        </w:tc>
        <w:tc>
          <w:tcPr>
            <w:tcW w:w="212" w:type="pct"/>
            <w:tcBorders>
              <w:top w:val="nil"/>
              <w:left w:val="nil"/>
              <w:bottom w:val="nil"/>
              <w:right w:val="nil"/>
            </w:tcBorders>
            <w:shd w:val="clear" w:color="000000" w:fill="FFFFFF"/>
            <w:noWrap/>
            <w:vAlign w:val="bottom"/>
            <w:hideMark/>
          </w:tcPr>
          <w:p w14:paraId="0A94F71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65.51%</w:t>
            </w:r>
          </w:p>
        </w:tc>
        <w:tc>
          <w:tcPr>
            <w:tcW w:w="212" w:type="pct"/>
            <w:tcBorders>
              <w:top w:val="nil"/>
              <w:left w:val="nil"/>
              <w:bottom w:val="nil"/>
              <w:right w:val="nil"/>
            </w:tcBorders>
            <w:shd w:val="clear" w:color="000000" w:fill="FFFFFF"/>
            <w:noWrap/>
            <w:vAlign w:val="bottom"/>
            <w:hideMark/>
          </w:tcPr>
          <w:p w14:paraId="0FD6CD5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65.69%</w:t>
            </w:r>
          </w:p>
        </w:tc>
        <w:tc>
          <w:tcPr>
            <w:tcW w:w="212" w:type="pct"/>
            <w:tcBorders>
              <w:top w:val="nil"/>
              <w:left w:val="nil"/>
              <w:bottom w:val="nil"/>
              <w:right w:val="nil"/>
            </w:tcBorders>
            <w:shd w:val="clear" w:color="000000" w:fill="FFFFFF"/>
            <w:noWrap/>
            <w:vAlign w:val="bottom"/>
            <w:hideMark/>
          </w:tcPr>
          <w:p w14:paraId="3E8F989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65.93%</w:t>
            </w:r>
          </w:p>
        </w:tc>
        <w:tc>
          <w:tcPr>
            <w:tcW w:w="212" w:type="pct"/>
            <w:tcBorders>
              <w:top w:val="nil"/>
              <w:left w:val="nil"/>
              <w:bottom w:val="nil"/>
              <w:right w:val="nil"/>
            </w:tcBorders>
            <w:shd w:val="clear" w:color="000000" w:fill="FFFFFF"/>
            <w:noWrap/>
            <w:vAlign w:val="bottom"/>
            <w:hideMark/>
          </w:tcPr>
          <w:p w14:paraId="25DD652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66.07%</w:t>
            </w:r>
          </w:p>
        </w:tc>
        <w:tc>
          <w:tcPr>
            <w:tcW w:w="212" w:type="pct"/>
            <w:tcBorders>
              <w:top w:val="nil"/>
              <w:left w:val="nil"/>
              <w:bottom w:val="nil"/>
              <w:right w:val="nil"/>
            </w:tcBorders>
            <w:shd w:val="clear" w:color="000000" w:fill="FFFFFF"/>
            <w:noWrap/>
            <w:vAlign w:val="bottom"/>
            <w:hideMark/>
          </w:tcPr>
          <w:p w14:paraId="397E0E3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66.14%</w:t>
            </w:r>
          </w:p>
        </w:tc>
        <w:tc>
          <w:tcPr>
            <w:tcW w:w="212" w:type="pct"/>
            <w:tcBorders>
              <w:top w:val="nil"/>
              <w:left w:val="nil"/>
              <w:bottom w:val="nil"/>
              <w:right w:val="nil"/>
            </w:tcBorders>
            <w:shd w:val="clear" w:color="000000" w:fill="FFFFFF"/>
            <w:noWrap/>
            <w:vAlign w:val="bottom"/>
            <w:hideMark/>
          </w:tcPr>
          <w:p w14:paraId="33F327C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66.47%</w:t>
            </w:r>
          </w:p>
        </w:tc>
        <w:tc>
          <w:tcPr>
            <w:tcW w:w="212" w:type="pct"/>
            <w:tcBorders>
              <w:top w:val="nil"/>
              <w:left w:val="nil"/>
              <w:bottom w:val="nil"/>
              <w:right w:val="nil"/>
            </w:tcBorders>
            <w:shd w:val="clear" w:color="000000" w:fill="FFFFFF"/>
            <w:noWrap/>
            <w:vAlign w:val="bottom"/>
            <w:hideMark/>
          </w:tcPr>
          <w:p w14:paraId="124A873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66.72%</w:t>
            </w:r>
          </w:p>
        </w:tc>
        <w:tc>
          <w:tcPr>
            <w:tcW w:w="212" w:type="pct"/>
            <w:tcBorders>
              <w:top w:val="nil"/>
              <w:left w:val="nil"/>
              <w:bottom w:val="nil"/>
              <w:right w:val="nil"/>
            </w:tcBorders>
            <w:shd w:val="clear" w:color="000000" w:fill="FFFFFF"/>
            <w:noWrap/>
            <w:vAlign w:val="bottom"/>
            <w:hideMark/>
          </w:tcPr>
          <w:p w14:paraId="5032151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66.85%</w:t>
            </w:r>
          </w:p>
        </w:tc>
      </w:tr>
      <w:tr w:rsidR="002D2278" w:rsidRPr="002D2278" w14:paraId="24DCFA4A" w14:textId="77777777" w:rsidTr="002D2278">
        <w:trPr>
          <w:trHeight w:val="20"/>
        </w:trPr>
        <w:tc>
          <w:tcPr>
            <w:tcW w:w="663" w:type="pct"/>
            <w:tcBorders>
              <w:top w:val="nil"/>
              <w:left w:val="nil"/>
              <w:bottom w:val="nil"/>
              <w:right w:val="nil"/>
            </w:tcBorders>
            <w:shd w:val="clear" w:color="000000" w:fill="FFFFFF"/>
            <w:noWrap/>
            <w:vAlign w:val="center"/>
            <w:hideMark/>
          </w:tcPr>
          <w:p w14:paraId="113F3BC5" w14:textId="2D0FC638"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2018........................................</w:t>
            </w:r>
          </w:p>
        </w:tc>
        <w:tc>
          <w:tcPr>
            <w:tcW w:w="449" w:type="pct"/>
            <w:tcBorders>
              <w:top w:val="nil"/>
              <w:left w:val="nil"/>
              <w:bottom w:val="nil"/>
              <w:right w:val="nil"/>
            </w:tcBorders>
            <w:shd w:val="clear" w:color="000000" w:fill="FFFFFF"/>
            <w:noWrap/>
            <w:vAlign w:val="bottom"/>
            <w:hideMark/>
          </w:tcPr>
          <w:p w14:paraId="41E4A498"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2018Q1</w:t>
            </w:r>
          </w:p>
        </w:tc>
        <w:tc>
          <w:tcPr>
            <w:tcW w:w="499" w:type="pct"/>
            <w:tcBorders>
              <w:top w:val="nil"/>
              <w:left w:val="nil"/>
              <w:bottom w:val="nil"/>
              <w:right w:val="nil"/>
            </w:tcBorders>
            <w:shd w:val="clear" w:color="000000" w:fill="FFFFFF"/>
            <w:noWrap/>
            <w:vAlign w:val="center"/>
            <w:hideMark/>
          </w:tcPr>
          <w:p w14:paraId="7B8B459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1,227 </w:t>
            </w:r>
          </w:p>
        </w:tc>
        <w:tc>
          <w:tcPr>
            <w:tcW w:w="212" w:type="pct"/>
            <w:tcBorders>
              <w:top w:val="nil"/>
              <w:left w:val="nil"/>
              <w:bottom w:val="nil"/>
              <w:right w:val="nil"/>
            </w:tcBorders>
            <w:shd w:val="clear" w:color="000000" w:fill="FFFFFF"/>
            <w:noWrap/>
            <w:vAlign w:val="bottom"/>
            <w:hideMark/>
          </w:tcPr>
          <w:p w14:paraId="28FA958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35.89%</w:t>
            </w:r>
          </w:p>
        </w:tc>
        <w:tc>
          <w:tcPr>
            <w:tcW w:w="212" w:type="pct"/>
            <w:tcBorders>
              <w:top w:val="nil"/>
              <w:left w:val="nil"/>
              <w:bottom w:val="nil"/>
              <w:right w:val="nil"/>
            </w:tcBorders>
            <w:shd w:val="clear" w:color="000000" w:fill="FFFFFF"/>
            <w:noWrap/>
            <w:vAlign w:val="bottom"/>
            <w:hideMark/>
          </w:tcPr>
          <w:p w14:paraId="3047B29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58.69%</w:t>
            </w:r>
          </w:p>
        </w:tc>
        <w:tc>
          <w:tcPr>
            <w:tcW w:w="212" w:type="pct"/>
            <w:tcBorders>
              <w:top w:val="nil"/>
              <w:left w:val="nil"/>
              <w:bottom w:val="nil"/>
              <w:right w:val="nil"/>
            </w:tcBorders>
            <w:shd w:val="clear" w:color="000000" w:fill="FFFFFF"/>
            <w:noWrap/>
            <w:vAlign w:val="bottom"/>
            <w:hideMark/>
          </w:tcPr>
          <w:p w14:paraId="499A199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61.68%</w:t>
            </w:r>
          </w:p>
        </w:tc>
        <w:tc>
          <w:tcPr>
            <w:tcW w:w="212" w:type="pct"/>
            <w:tcBorders>
              <w:top w:val="nil"/>
              <w:left w:val="nil"/>
              <w:bottom w:val="nil"/>
              <w:right w:val="nil"/>
            </w:tcBorders>
            <w:shd w:val="clear" w:color="000000" w:fill="FFFFFF"/>
            <w:noWrap/>
            <w:vAlign w:val="bottom"/>
            <w:hideMark/>
          </w:tcPr>
          <w:p w14:paraId="37D3FF6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62.26%</w:t>
            </w:r>
          </w:p>
        </w:tc>
        <w:tc>
          <w:tcPr>
            <w:tcW w:w="212" w:type="pct"/>
            <w:tcBorders>
              <w:top w:val="nil"/>
              <w:left w:val="nil"/>
              <w:bottom w:val="nil"/>
              <w:right w:val="nil"/>
            </w:tcBorders>
            <w:shd w:val="clear" w:color="000000" w:fill="FFFFFF"/>
            <w:noWrap/>
            <w:vAlign w:val="bottom"/>
            <w:hideMark/>
          </w:tcPr>
          <w:p w14:paraId="5AF92A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63.31%</w:t>
            </w:r>
          </w:p>
        </w:tc>
        <w:tc>
          <w:tcPr>
            <w:tcW w:w="212" w:type="pct"/>
            <w:tcBorders>
              <w:top w:val="nil"/>
              <w:left w:val="nil"/>
              <w:bottom w:val="nil"/>
              <w:right w:val="nil"/>
            </w:tcBorders>
            <w:shd w:val="clear" w:color="000000" w:fill="FFFFFF"/>
            <w:noWrap/>
            <w:vAlign w:val="bottom"/>
            <w:hideMark/>
          </w:tcPr>
          <w:p w14:paraId="23DD203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64.06%</w:t>
            </w:r>
          </w:p>
        </w:tc>
        <w:tc>
          <w:tcPr>
            <w:tcW w:w="212" w:type="pct"/>
            <w:tcBorders>
              <w:top w:val="nil"/>
              <w:left w:val="nil"/>
              <w:bottom w:val="nil"/>
              <w:right w:val="nil"/>
            </w:tcBorders>
            <w:shd w:val="clear" w:color="000000" w:fill="FFFFFF"/>
            <w:noWrap/>
            <w:vAlign w:val="bottom"/>
            <w:hideMark/>
          </w:tcPr>
          <w:p w14:paraId="7529B38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64.85%</w:t>
            </w:r>
          </w:p>
        </w:tc>
        <w:tc>
          <w:tcPr>
            <w:tcW w:w="212" w:type="pct"/>
            <w:tcBorders>
              <w:top w:val="nil"/>
              <w:left w:val="nil"/>
              <w:bottom w:val="nil"/>
              <w:right w:val="nil"/>
            </w:tcBorders>
            <w:shd w:val="clear" w:color="000000" w:fill="FFFFFF"/>
            <w:noWrap/>
            <w:vAlign w:val="bottom"/>
            <w:hideMark/>
          </w:tcPr>
          <w:p w14:paraId="5BD9EC5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66.06%</w:t>
            </w:r>
          </w:p>
        </w:tc>
        <w:tc>
          <w:tcPr>
            <w:tcW w:w="212" w:type="pct"/>
            <w:tcBorders>
              <w:top w:val="nil"/>
              <w:left w:val="nil"/>
              <w:bottom w:val="nil"/>
              <w:right w:val="nil"/>
            </w:tcBorders>
            <w:shd w:val="clear" w:color="000000" w:fill="FFFFFF"/>
            <w:noWrap/>
            <w:vAlign w:val="bottom"/>
            <w:hideMark/>
          </w:tcPr>
          <w:p w14:paraId="524C571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67.32%</w:t>
            </w:r>
          </w:p>
        </w:tc>
        <w:tc>
          <w:tcPr>
            <w:tcW w:w="212" w:type="pct"/>
            <w:tcBorders>
              <w:top w:val="nil"/>
              <w:left w:val="nil"/>
              <w:bottom w:val="nil"/>
              <w:right w:val="nil"/>
            </w:tcBorders>
            <w:shd w:val="clear" w:color="000000" w:fill="FFFFFF"/>
            <w:noWrap/>
            <w:vAlign w:val="bottom"/>
            <w:hideMark/>
          </w:tcPr>
          <w:p w14:paraId="55B4E70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68.45%</w:t>
            </w:r>
          </w:p>
        </w:tc>
        <w:tc>
          <w:tcPr>
            <w:tcW w:w="212" w:type="pct"/>
            <w:tcBorders>
              <w:top w:val="nil"/>
              <w:left w:val="nil"/>
              <w:bottom w:val="nil"/>
              <w:right w:val="nil"/>
            </w:tcBorders>
            <w:shd w:val="clear" w:color="000000" w:fill="FFFFFF"/>
            <w:noWrap/>
            <w:vAlign w:val="bottom"/>
            <w:hideMark/>
          </w:tcPr>
          <w:p w14:paraId="180F550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68.65%</w:t>
            </w:r>
          </w:p>
        </w:tc>
        <w:tc>
          <w:tcPr>
            <w:tcW w:w="212" w:type="pct"/>
            <w:tcBorders>
              <w:top w:val="nil"/>
              <w:left w:val="nil"/>
              <w:bottom w:val="nil"/>
              <w:right w:val="nil"/>
            </w:tcBorders>
            <w:shd w:val="clear" w:color="000000" w:fill="FFFFFF"/>
            <w:noWrap/>
            <w:vAlign w:val="bottom"/>
            <w:hideMark/>
          </w:tcPr>
          <w:p w14:paraId="1F3CC4F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68.94%</w:t>
            </w:r>
          </w:p>
        </w:tc>
        <w:tc>
          <w:tcPr>
            <w:tcW w:w="212" w:type="pct"/>
            <w:tcBorders>
              <w:top w:val="nil"/>
              <w:left w:val="nil"/>
              <w:bottom w:val="nil"/>
              <w:right w:val="nil"/>
            </w:tcBorders>
            <w:shd w:val="clear" w:color="000000" w:fill="FFFFFF"/>
            <w:noWrap/>
            <w:vAlign w:val="bottom"/>
            <w:hideMark/>
          </w:tcPr>
          <w:p w14:paraId="795CAA5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69.48%</w:t>
            </w:r>
          </w:p>
        </w:tc>
        <w:tc>
          <w:tcPr>
            <w:tcW w:w="212" w:type="pct"/>
            <w:tcBorders>
              <w:top w:val="nil"/>
              <w:left w:val="nil"/>
              <w:bottom w:val="nil"/>
              <w:right w:val="nil"/>
            </w:tcBorders>
            <w:shd w:val="clear" w:color="000000" w:fill="FFFFFF"/>
            <w:noWrap/>
            <w:vAlign w:val="bottom"/>
            <w:hideMark/>
          </w:tcPr>
          <w:p w14:paraId="72FED1E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69.89%</w:t>
            </w:r>
          </w:p>
        </w:tc>
        <w:tc>
          <w:tcPr>
            <w:tcW w:w="212" w:type="pct"/>
            <w:tcBorders>
              <w:top w:val="nil"/>
              <w:left w:val="nil"/>
              <w:bottom w:val="nil"/>
              <w:right w:val="nil"/>
            </w:tcBorders>
            <w:shd w:val="clear" w:color="000000" w:fill="FFFFFF"/>
            <w:noWrap/>
            <w:vAlign w:val="bottom"/>
            <w:hideMark/>
          </w:tcPr>
          <w:p w14:paraId="34C8252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71.46%</w:t>
            </w:r>
          </w:p>
        </w:tc>
        <w:tc>
          <w:tcPr>
            <w:tcW w:w="212" w:type="pct"/>
            <w:tcBorders>
              <w:top w:val="nil"/>
              <w:left w:val="nil"/>
              <w:bottom w:val="nil"/>
              <w:right w:val="nil"/>
            </w:tcBorders>
            <w:shd w:val="clear" w:color="000000" w:fill="FFFFFF"/>
            <w:noWrap/>
            <w:vAlign w:val="bottom"/>
            <w:hideMark/>
          </w:tcPr>
          <w:p w14:paraId="7D46EC1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71.60%</w:t>
            </w:r>
          </w:p>
        </w:tc>
      </w:tr>
      <w:tr w:rsidR="002D2278" w:rsidRPr="002D2278" w14:paraId="42BABF06" w14:textId="77777777" w:rsidTr="002D2278">
        <w:trPr>
          <w:trHeight w:val="20"/>
        </w:trPr>
        <w:tc>
          <w:tcPr>
            <w:tcW w:w="663" w:type="pct"/>
            <w:tcBorders>
              <w:top w:val="nil"/>
              <w:left w:val="nil"/>
              <w:bottom w:val="nil"/>
              <w:right w:val="nil"/>
            </w:tcBorders>
            <w:shd w:val="clear" w:color="000000" w:fill="FFFFFF"/>
            <w:noWrap/>
            <w:vAlign w:val="center"/>
            <w:hideMark/>
          </w:tcPr>
          <w:p w14:paraId="4C7AB622" w14:textId="34D5B87F"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2018..........................................</w:t>
            </w:r>
          </w:p>
        </w:tc>
        <w:tc>
          <w:tcPr>
            <w:tcW w:w="449" w:type="pct"/>
            <w:tcBorders>
              <w:top w:val="nil"/>
              <w:left w:val="nil"/>
              <w:bottom w:val="nil"/>
              <w:right w:val="nil"/>
            </w:tcBorders>
            <w:shd w:val="clear" w:color="000000" w:fill="FFFFFF"/>
            <w:noWrap/>
            <w:vAlign w:val="bottom"/>
            <w:hideMark/>
          </w:tcPr>
          <w:p w14:paraId="1AAA1A9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2018Q2</w:t>
            </w:r>
          </w:p>
        </w:tc>
        <w:tc>
          <w:tcPr>
            <w:tcW w:w="499" w:type="pct"/>
            <w:tcBorders>
              <w:top w:val="nil"/>
              <w:left w:val="nil"/>
              <w:bottom w:val="nil"/>
              <w:right w:val="nil"/>
            </w:tcBorders>
            <w:shd w:val="clear" w:color="000000" w:fill="FFFFFF"/>
            <w:noWrap/>
            <w:vAlign w:val="center"/>
            <w:hideMark/>
          </w:tcPr>
          <w:p w14:paraId="0ACB878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1,389 </w:t>
            </w:r>
          </w:p>
        </w:tc>
        <w:tc>
          <w:tcPr>
            <w:tcW w:w="212" w:type="pct"/>
            <w:tcBorders>
              <w:top w:val="nil"/>
              <w:left w:val="nil"/>
              <w:bottom w:val="nil"/>
              <w:right w:val="nil"/>
            </w:tcBorders>
            <w:shd w:val="clear" w:color="000000" w:fill="FFFFFF"/>
            <w:noWrap/>
            <w:vAlign w:val="bottom"/>
            <w:hideMark/>
          </w:tcPr>
          <w:p w14:paraId="3D19EF2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35.58%</w:t>
            </w:r>
          </w:p>
        </w:tc>
        <w:tc>
          <w:tcPr>
            <w:tcW w:w="212" w:type="pct"/>
            <w:tcBorders>
              <w:top w:val="nil"/>
              <w:left w:val="nil"/>
              <w:bottom w:val="nil"/>
              <w:right w:val="nil"/>
            </w:tcBorders>
            <w:shd w:val="clear" w:color="000000" w:fill="FFFFFF"/>
            <w:noWrap/>
            <w:vAlign w:val="bottom"/>
            <w:hideMark/>
          </w:tcPr>
          <w:p w14:paraId="26F860B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60.67%</w:t>
            </w:r>
          </w:p>
        </w:tc>
        <w:tc>
          <w:tcPr>
            <w:tcW w:w="212" w:type="pct"/>
            <w:tcBorders>
              <w:top w:val="nil"/>
              <w:left w:val="nil"/>
              <w:bottom w:val="nil"/>
              <w:right w:val="nil"/>
            </w:tcBorders>
            <w:shd w:val="clear" w:color="000000" w:fill="FFFFFF"/>
            <w:noWrap/>
            <w:vAlign w:val="bottom"/>
            <w:hideMark/>
          </w:tcPr>
          <w:p w14:paraId="21A42DF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62.74%</w:t>
            </w:r>
          </w:p>
        </w:tc>
        <w:tc>
          <w:tcPr>
            <w:tcW w:w="212" w:type="pct"/>
            <w:tcBorders>
              <w:top w:val="nil"/>
              <w:left w:val="nil"/>
              <w:bottom w:val="nil"/>
              <w:right w:val="nil"/>
            </w:tcBorders>
            <w:shd w:val="clear" w:color="000000" w:fill="FFFFFF"/>
            <w:noWrap/>
            <w:vAlign w:val="bottom"/>
            <w:hideMark/>
          </w:tcPr>
          <w:p w14:paraId="3285425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64.03%</w:t>
            </w:r>
          </w:p>
        </w:tc>
        <w:tc>
          <w:tcPr>
            <w:tcW w:w="212" w:type="pct"/>
            <w:tcBorders>
              <w:top w:val="nil"/>
              <w:left w:val="nil"/>
              <w:bottom w:val="nil"/>
              <w:right w:val="nil"/>
            </w:tcBorders>
            <w:shd w:val="clear" w:color="000000" w:fill="FFFFFF"/>
            <w:noWrap/>
            <w:vAlign w:val="bottom"/>
            <w:hideMark/>
          </w:tcPr>
          <w:p w14:paraId="3D4FC28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65.32%</w:t>
            </w:r>
          </w:p>
        </w:tc>
        <w:tc>
          <w:tcPr>
            <w:tcW w:w="212" w:type="pct"/>
            <w:tcBorders>
              <w:top w:val="nil"/>
              <w:left w:val="nil"/>
              <w:bottom w:val="nil"/>
              <w:right w:val="nil"/>
            </w:tcBorders>
            <w:shd w:val="clear" w:color="000000" w:fill="FFFFFF"/>
            <w:noWrap/>
            <w:vAlign w:val="bottom"/>
            <w:hideMark/>
          </w:tcPr>
          <w:p w14:paraId="37E584B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65.40%</w:t>
            </w:r>
          </w:p>
        </w:tc>
        <w:tc>
          <w:tcPr>
            <w:tcW w:w="212" w:type="pct"/>
            <w:tcBorders>
              <w:top w:val="nil"/>
              <w:left w:val="nil"/>
              <w:bottom w:val="nil"/>
              <w:right w:val="nil"/>
            </w:tcBorders>
            <w:shd w:val="clear" w:color="000000" w:fill="FFFFFF"/>
            <w:noWrap/>
            <w:vAlign w:val="bottom"/>
            <w:hideMark/>
          </w:tcPr>
          <w:p w14:paraId="7B22112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66.77%</w:t>
            </w:r>
          </w:p>
        </w:tc>
        <w:tc>
          <w:tcPr>
            <w:tcW w:w="212" w:type="pct"/>
            <w:tcBorders>
              <w:top w:val="nil"/>
              <w:left w:val="nil"/>
              <w:bottom w:val="nil"/>
              <w:right w:val="nil"/>
            </w:tcBorders>
            <w:shd w:val="clear" w:color="000000" w:fill="FFFFFF"/>
            <w:noWrap/>
            <w:vAlign w:val="bottom"/>
            <w:hideMark/>
          </w:tcPr>
          <w:p w14:paraId="64F85AA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66.96%</w:t>
            </w:r>
          </w:p>
        </w:tc>
        <w:tc>
          <w:tcPr>
            <w:tcW w:w="212" w:type="pct"/>
            <w:tcBorders>
              <w:top w:val="nil"/>
              <w:left w:val="nil"/>
              <w:bottom w:val="nil"/>
              <w:right w:val="nil"/>
            </w:tcBorders>
            <w:shd w:val="clear" w:color="000000" w:fill="FFFFFF"/>
            <w:noWrap/>
            <w:vAlign w:val="bottom"/>
            <w:hideMark/>
          </w:tcPr>
          <w:p w14:paraId="26BBC5D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67.41%</w:t>
            </w:r>
          </w:p>
        </w:tc>
        <w:tc>
          <w:tcPr>
            <w:tcW w:w="212" w:type="pct"/>
            <w:tcBorders>
              <w:top w:val="nil"/>
              <w:left w:val="nil"/>
              <w:bottom w:val="nil"/>
              <w:right w:val="nil"/>
            </w:tcBorders>
            <w:shd w:val="clear" w:color="000000" w:fill="FFFFFF"/>
            <w:noWrap/>
            <w:vAlign w:val="bottom"/>
            <w:hideMark/>
          </w:tcPr>
          <w:p w14:paraId="0CA2846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67.51%</w:t>
            </w:r>
          </w:p>
        </w:tc>
        <w:tc>
          <w:tcPr>
            <w:tcW w:w="212" w:type="pct"/>
            <w:tcBorders>
              <w:top w:val="nil"/>
              <w:left w:val="nil"/>
              <w:bottom w:val="nil"/>
              <w:right w:val="nil"/>
            </w:tcBorders>
            <w:shd w:val="clear" w:color="000000" w:fill="FFFFFF"/>
            <w:noWrap/>
            <w:vAlign w:val="bottom"/>
            <w:hideMark/>
          </w:tcPr>
          <w:p w14:paraId="51BE4A7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67.64%</w:t>
            </w:r>
          </w:p>
        </w:tc>
        <w:tc>
          <w:tcPr>
            <w:tcW w:w="212" w:type="pct"/>
            <w:tcBorders>
              <w:top w:val="nil"/>
              <w:left w:val="nil"/>
              <w:bottom w:val="nil"/>
              <w:right w:val="nil"/>
            </w:tcBorders>
            <w:shd w:val="clear" w:color="000000" w:fill="FFFFFF"/>
            <w:noWrap/>
            <w:vAlign w:val="bottom"/>
            <w:hideMark/>
          </w:tcPr>
          <w:p w14:paraId="0C3AC7E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68.48%</w:t>
            </w:r>
          </w:p>
        </w:tc>
        <w:tc>
          <w:tcPr>
            <w:tcW w:w="212" w:type="pct"/>
            <w:tcBorders>
              <w:top w:val="nil"/>
              <w:left w:val="nil"/>
              <w:bottom w:val="nil"/>
              <w:right w:val="nil"/>
            </w:tcBorders>
            <w:shd w:val="clear" w:color="000000" w:fill="FFFFFF"/>
            <w:noWrap/>
            <w:vAlign w:val="bottom"/>
            <w:hideMark/>
          </w:tcPr>
          <w:p w14:paraId="46132C7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68.69%</w:t>
            </w:r>
          </w:p>
        </w:tc>
        <w:tc>
          <w:tcPr>
            <w:tcW w:w="212" w:type="pct"/>
            <w:tcBorders>
              <w:top w:val="nil"/>
              <w:left w:val="nil"/>
              <w:bottom w:val="nil"/>
              <w:right w:val="nil"/>
            </w:tcBorders>
            <w:shd w:val="clear" w:color="000000" w:fill="FFFFFF"/>
            <w:noWrap/>
            <w:vAlign w:val="bottom"/>
            <w:hideMark/>
          </w:tcPr>
          <w:p w14:paraId="689D219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68.81%</w:t>
            </w:r>
          </w:p>
        </w:tc>
        <w:tc>
          <w:tcPr>
            <w:tcW w:w="212" w:type="pct"/>
            <w:tcBorders>
              <w:top w:val="nil"/>
              <w:left w:val="nil"/>
              <w:bottom w:val="nil"/>
              <w:right w:val="nil"/>
            </w:tcBorders>
            <w:shd w:val="clear" w:color="000000" w:fill="FFFFFF"/>
            <w:noWrap/>
            <w:vAlign w:val="bottom"/>
            <w:hideMark/>
          </w:tcPr>
          <w:p w14:paraId="6F1DF08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68.96%</w:t>
            </w:r>
          </w:p>
        </w:tc>
        <w:tc>
          <w:tcPr>
            <w:tcW w:w="212" w:type="pct"/>
            <w:tcBorders>
              <w:top w:val="nil"/>
              <w:left w:val="nil"/>
              <w:bottom w:val="nil"/>
              <w:right w:val="nil"/>
            </w:tcBorders>
            <w:shd w:val="clear" w:color="000000" w:fill="FFFFFF"/>
            <w:noWrap/>
            <w:vAlign w:val="bottom"/>
            <w:hideMark/>
          </w:tcPr>
          <w:p w14:paraId="6AA122A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68.98%</w:t>
            </w:r>
          </w:p>
        </w:tc>
      </w:tr>
      <w:tr w:rsidR="002D2278" w:rsidRPr="002D2278" w14:paraId="30B99244" w14:textId="77777777" w:rsidTr="002D2278">
        <w:trPr>
          <w:trHeight w:val="20"/>
        </w:trPr>
        <w:tc>
          <w:tcPr>
            <w:tcW w:w="663" w:type="pct"/>
            <w:tcBorders>
              <w:top w:val="nil"/>
              <w:left w:val="nil"/>
              <w:bottom w:val="nil"/>
              <w:right w:val="nil"/>
            </w:tcBorders>
            <w:shd w:val="clear" w:color="000000" w:fill="FFFFFF"/>
            <w:noWrap/>
            <w:vAlign w:val="center"/>
            <w:hideMark/>
          </w:tcPr>
          <w:p w14:paraId="113F3408"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2018..............................</w:t>
            </w:r>
          </w:p>
        </w:tc>
        <w:tc>
          <w:tcPr>
            <w:tcW w:w="449" w:type="pct"/>
            <w:tcBorders>
              <w:top w:val="nil"/>
              <w:left w:val="nil"/>
              <w:bottom w:val="nil"/>
              <w:right w:val="nil"/>
            </w:tcBorders>
            <w:shd w:val="clear" w:color="000000" w:fill="FFFFFF"/>
            <w:noWrap/>
            <w:vAlign w:val="bottom"/>
            <w:hideMark/>
          </w:tcPr>
          <w:p w14:paraId="40BBCB22"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2018Q3</w:t>
            </w:r>
          </w:p>
        </w:tc>
        <w:tc>
          <w:tcPr>
            <w:tcW w:w="499" w:type="pct"/>
            <w:tcBorders>
              <w:top w:val="nil"/>
              <w:left w:val="nil"/>
              <w:bottom w:val="nil"/>
              <w:right w:val="nil"/>
            </w:tcBorders>
            <w:shd w:val="clear" w:color="000000" w:fill="FFFFFF"/>
            <w:noWrap/>
            <w:vAlign w:val="center"/>
            <w:hideMark/>
          </w:tcPr>
          <w:p w14:paraId="7F6CA1F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1,651 </w:t>
            </w:r>
          </w:p>
        </w:tc>
        <w:tc>
          <w:tcPr>
            <w:tcW w:w="212" w:type="pct"/>
            <w:tcBorders>
              <w:top w:val="nil"/>
              <w:left w:val="nil"/>
              <w:bottom w:val="nil"/>
              <w:right w:val="nil"/>
            </w:tcBorders>
            <w:shd w:val="clear" w:color="000000" w:fill="FFFFFF"/>
            <w:noWrap/>
            <w:vAlign w:val="bottom"/>
            <w:hideMark/>
          </w:tcPr>
          <w:p w14:paraId="058EF0B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29.85%</w:t>
            </w:r>
          </w:p>
        </w:tc>
        <w:tc>
          <w:tcPr>
            <w:tcW w:w="212" w:type="pct"/>
            <w:tcBorders>
              <w:top w:val="nil"/>
              <w:left w:val="nil"/>
              <w:bottom w:val="nil"/>
              <w:right w:val="nil"/>
            </w:tcBorders>
            <w:shd w:val="clear" w:color="000000" w:fill="FFFFFF"/>
            <w:noWrap/>
            <w:vAlign w:val="bottom"/>
            <w:hideMark/>
          </w:tcPr>
          <w:p w14:paraId="57B5E19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56.31%</w:t>
            </w:r>
          </w:p>
        </w:tc>
        <w:tc>
          <w:tcPr>
            <w:tcW w:w="212" w:type="pct"/>
            <w:tcBorders>
              <w:top w:val="nil"/>
              <w:left w:val="nil"/>
              <w:bottom w:val="nil"/>
              <w:right w:val="nil"/>
            </w:tcBorders>
            <w:shd w:val="clear" w:color="000000" w:fill="FFFFFF"/>
            <w:noWrap/>
            <w:vAlign w:val="bottom"/>
            <w:hideMark/>
          </w:tcPr>
          <w:p w14:paraId="779D404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59.70%</w:t>
            </w:r>
          </w:p>
        </w:tc>
        <w:tc>
          <w:tcPr>
            <w:tcW w:w="212" w:type="pct"/>
            <w:tcBorders>
              <w:top w:val="nil"/>
              <w:left w:val="nil"/>
              <w:bottom w:val="nil"/>
              <w:right w:val="nil"/>
            </w:tcBorders>
            <w:shd w:val="clear" w:color="000000" w:fill="FFFFFF"/>
            <w:noWrap/>
            <w:vAlign w:val="bottom"/>
            <w:hideMark/>
          </w:tcPr>
          <w:p w14:paraId="66B750A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61.73%</w:t>
            </w:r>
          </w:p>
        </w:tc>
        <w:tc>
          <w:tcPr>
            <w:tcW w:w="212" w:type="pct"/>
            <w:tcBorders>
              <w:top w:val="nil"/>
              <w:left w:val="nil"/>
              <w:bottom w:val="nil"/>
              <w:right w:val="nil"/>
            </w:tcBorders>
            <w:shd w:val="clear" w:color="000000" w:fill="FFFFFF"/>
            <w:noWrap/>
            <w:vAlign w:val="bottom"/>
            <w:hideMark/>
          </w:tcPr>
          <w:p w14:paraId="219F3DA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62.72%</w:t>
            </w:r>
          </w:p>
        </w:tc>
        <w:tc>
          <w:tcPr>
            <w:tcW w:w="212" w:type="pct"/>
            <w:tcBorders>
              <w:top w:val="nil"/>
              <w:left w:val="nil"/>
              <w:bottom w:val="nil"/>
              <w:right w:val="nil"/>
            </w:tcBorders>
            <w:shd w:val="clear" w:color="000000" w:fill="FFFFFF"/>
            <w:noWrap/>
            <w:vAlign w:val="bottom"/>
            <w:hideMark/>
          </w:tcPr>
          <w:p w14:paraId="750C7DE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63.26%</w:t>
            </w:r>
          </w:p>
        </w:tc>
        <w:tc>
          <w:tcPr>
            <w:tcW w:w="212" w:type="pct"/>
            <w:tcBorders>
              <w:top w:val="nil"/>
              <w:left w:val="nil"/>
              <w:bottom w:val="nil"/>
              <w:right w:val="nil"/>
            </w:tcBorders>
            <w:shd w:val="clear" w:color="000000" w:fill="FFFFFF"/>
            <w:noWrap/>
            <w:vAlign w:val="bottom"/>
            <w:hideMark/>
          </w:tcPr>
          <w:p w14:paraId="7B4762D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63.74%</w:t>
            </w:r>
          </w:p>
        </w:tc>
        <w:tc>
          <w:tcPr>
            <w:tcW w:w="212" w:type="pct"/>
            <w:tcBorders>
              <w:top w:val="nil"/>
              <w:left w:val="nil"/>
              <w:bottom w:val="nil"/>
              <w:right w:val="nil"/>
            </w:tcBorders>
            <w:shd w:val="clear" w:color="000000" w:fill="FFFFFF"/>
            <w:noWrap/>
            <w:vAlign w:val="bottom"/>
            <w:hideMark/>
          </w:tcPr>
          <w:p w14:paraId="7CA763B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64.25%</w:t>
            </w:r>
          </w:p>
        </w:tc>
        <w:tc>
          <w:tcPr>
            <w:tcW w:w="212" w:type="pct"/>
            <w:tcBorders>
              <w:top w:val="nil"/>
              <w:left w:val="nil"/>
              <w:bottom w:val="nil"/>
              <w:right w:val="nil"/>
            </w:tcBorders>
            <w:shd w:val="clear" w:color="000000" w:fill="FFFFFF"/>
            <w:noWrap/>
            <w:vAlign w:val="bottom"/>
            <w:hideMark/>
          </w:tcPr>
          <w:p w14:paraId="3CA9315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64.66%</w:t>
            </w:r>
          </w:p>
        </w:tc>
        <w:tc>
          <w:tcPr>
            <w:tcW w:w="212" w:type="pct"/>
            <w:tcBorders>
              <w:top w:val="nil"/>
              <w:left w:val="nil"/>
              <w:bottom w:val="nil"/>
              <w:right w:val="nil"/>
            </w:tcBorders>
            <w:shd w:val="clear" w:color="000000" w:fill="FFFFFF"/>
            <w:noWrap/>
            <w:vAlign w:val="bottom"/>
            <w:hideMark/>
          </w:tcPr>
          <w:p w14:paraId="41D6593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65.00%</w:t>
            </w:r>
          </w:p>
        </w:tc>
        <w:tc>
          <w:tcPr>
            <w:tcW w:w="212" w:type="pct"/>
            <w:tcBorders>
              <w:top w:val="nil"/>
              <w:left w:val="nil"/>
              <w:bottom w:val="nil"/>
              <w:right w:val="nil"/>
            </w:tcBorders>
            <w:shd w:val="clear" w:color="000000" w:fill="FFFFFF"/>
            <w:noWrap/>
            <w:vAlign w:val="bottom"/>
            <w:hideMark/>
          </w:tcPr>
          <w:p w14:paraId="5729ED9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65.08%</w:t>
            </w:r>
          </w:p>
        </w:tc>
        <w:tc>
          <w:tcPr>
            <w:tcW w:w="212" w:type="pct"/>
            <w:tcBorders>
              <w:top w:val="nil"/>
              <w:left w:val="nil"/>
              <w:bottom w:val="nil"/>
              <w:right w:val="nil"/>
            </w:tcBorders>
            <w:shd w:val="clear" w:color="000000" w:fill="FFFFFF"/>
            <w:noWrap/>
            <w:vAlign w:val="bottom"/>
            <w:hideMark/>
          </w:tcPr>
          <w:p w14:paraId="7E8DC7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65.78%</w:t>
            </w:r>
          </w:p>
        </w:tc>
        <w:tc>
          <w:tcPr>
            <w:tcW w:w="212" w:type="pct"/>
            <w:tcBorders>
              <w:top w:val="nil"/>
              <w:left w:val="nil"/>
              <w:bottom w:val="nil"/>
              <w:right w:val="nil"/>
            </w:tcBorders>
            <w:shd w:val="clear" w:color="000000" w:fill="FFFFFF"/>
            <w:noWrap/>
            <w:vAlign w:val="bottom"/>
            <w:hideMark/>
          </w:tcPr>
          <w:p w14:paraId="203111C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65.93%</w:t>
            </w:r>
          </w:p>
        </w:tc>
        <w:tc>
          <w:tcPr>
            <w:tcW w:w="212" w:type="pct"/>
            <w:tcBorders>
              <w:top w:val="nil"/>
              <w:left w:val="nil"/>
              <w:bottom w:val="nil"/>
              <w:right w:val="nil"/>
            </w:tcBorders>
            <w:shd w:val="clear" w:color="000000" w:fill="FFFFFF"/>
            <w:noWrap/>
            <w:vAlign w:val="bottom"/>
            <w:hideMark/>
          </w:tcPr>
          <w:p w14:paraId="1584F84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66.00%</w:t>
            </w:r>
          </w:p>
        </w:tc>
        <w:tc>
          <w:tcPr>
            <w:tcW w:w="212" w:type="pct"/>
            <w:tcBorders>
              <w:top w:val="nil"/>
              <w:left w:val="nil"/>
              <w:bottom w:val="nil"/>
              <w:right w:val="nil"/>
            </w:tcBorders>
            <w:shd w:val="clear" w:color="000000" w:fill="FFFFFF"/>
            <w:noWrap/>
            <w:vAlign w:val="bottom"/>
            <w:hideMark/>
          </w:tcPr>
          <w:p w14:paraId="2934CF7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66.43%</w:t>
            </w:r>
          </w:p>
        </w:tc>
        <w:tc>
          <w:tcPr>
            <w:tcW w:w="212" w:type="pct"/>
            <w:tcBorders>
              <w:top w:val="nil"/>
              <w:left w:val="nil"/>
              <w:bottom w:val="nil"/>
              <w:right w:val="nil"/>
            </w:tcBorders>
            <w:shd w:val="clear" w:color="000000" w:fill="FFFFFF"/>
            <w:noWrap/>
            <w:vAlign w:val="bottom"/>
            <w:hideMark/>
          </w:tcPr>
          <w:p w14:paraId="6A072F9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66.70%</w:t>
            </w:r>
          </w:p>
        </w:tc>
      </w:tr>
      <w:tr w:rsidR="002D2278" w:rsidRPr="002D2278" w14:paraId="5BC0CDA7" w14:textId="77777777" w:rsidTr="002D2278">
        <w:trPr>
          <w:trHeight w:val="20"/>
        </w:trPr>
        <w:tc>
          <w:tcPr>
            <w:tcW w:w="663" w:type="pct"/>
            <w:tcBorders>
              <w:top w:val="nil"/>
              <w:left w:val="nil"/>
              <w:bottom w:val="nil"/>
              <w:right w:val="nil"/>
            </w:tcBorders>
            <w:shd w:val="clear" w:color="000000" w:fill="FFFFFF"/>
            <w:noWrap/>
            <w:vAlign w:val="center"/>
            <w:hideMark/>
          </w:tcPr>
          <w:p w14:paraId="5A2D0F72" w14:textId="3C659C1B"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2018...............................</w:t>
            </w:r>
          </w:p>
        </w:tc>
        <w:tc>
          <w:tcPr>
            <w:tcW w:w="449" w:type="pct"/>
            <w:tcBorders>
              <w:top w:val="nil"/>
              <w:left w:val="nil"/>
              <w:bottom w:val="nil"/>
              <w:right w:val="nil"/>
            </w:tcBorders>
            <w:shd w:val="clear" w:color="000000" w:fill="FFFFFF"/>
            <w:noWrap/>
            <w:vAlign w:val="bottom"/>
            <w:hideMark/>
          </w:tcPr>
          <w:p w14:paraId="0DB672F7"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2018Q4</w:t>
            </w:r>
          </w:p>
        </w:tc>
        <w:tc>
          <w:tcPr>
            <w:tcW w:w="499" w:type="pct"/>
            <w:tcBorders>
              <w:top w:val="nil"/>
              <w:left w:val="nil"/>
              <w:bottom w:val="nil"/>
              <w:right w:val="nil"/>
            </w:tcBorders>
            <w:shd w:val="clear" w:color="000000" w:fill="FFFFFF"/>
            <w:noWrap/>
            <w:vAlign w:val="center"/>
            <w:hideMark/>
          </w:tcPr>
          <w:p w14:paraId="2B652C7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1,377 </w:t>
            </w:r>
          </w:p>
        </w:tc>
        <w:tc>
          <w:tcPr>
            <w:tcW w:w="212" w:type="pct"/>
            <w:tcBorders>
              <w:top w:val="nil"/>
              <w:left w:val="nil"/>
              <w:bottom w:val="nil"/>
              <w:right w:val="nil"/>
            </w:tcBorders>
            <w:shd w:val="clear" w:color="000000" w:fill="FFFFFF"/>
            <w:noWrap/>
            <w:vAlign w:val="bottom"/>
            <w:hideMark/>
          </w:tcPr>
          <w:p w14:paraId="6366EC8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26.40%</w:t>
            </w:r>
          </w:p>
        </w:tc>
        <w:tc>
          <w:tcPr>
            <w:tcW w:w="212" w:type="pct"/>
            <w:tcBorders>
              <w:top w:val="nil"/>
              <w:left w:val="nil"/>
              <w:bottom w:val="nil"/>
              <w:right w:val="nil"/>
            </w:tcBorders>
            <w:shd w:val="clear" w:color="000000" w:fill="FFFFFF"/>
            <w:noWrap/>
            <w:vAlign w:val="bottom"/>
            <w:hideMark/>
          </w:tcPr>
          <w:p w14:paraId="7E8CCC1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59.69%</w:t>
            </w:r>
          </w:p>
        </w:tc>
        <w:tc>
          <w:tcPr>
            <w:tcW w:w="212" w:type="pct"/>
            <w:tcBorders>
              <w:top w:val="nil"/>
              <w:left w:val="nil"/>
              <w:bottom w:val="nil"/>
              <w:right w:val="nil"/>
            </w:tcBorders>
            <w:shd w:val="clear" w:color="000000" w:fill="FFFFFF"/>
            <w:noWrap/>
            <w:vAlign w:val="bottom"/>
            <w:hideMark/>
          </w:tcPr>
          <w:p w14:paraId="7A7E480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65.32%</w:t>
            </w:r>
          </w:p>
        </w:tc>
        <w:tc>
          <w:tcPr>
            <w:tcW w:w="212" w:type="pct"/>
            <w:tcBorders>
              <w:top w:val="nil"/>
              <w:left w:val="nil"/>
              <w:bottom w:val="nil"/>
              <w:right w:val="nil"/>
            </w:tcBorders>
            <w:shd w:val="clear" w:color="000000" w:fill="FFFFFF"/>
            <w:noWrap/>
            <w:vAlign w:val="bottom"/>
            <w:hideMark/>
          </w:tcPr>
          <w:p w14:paraId="599EEF7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67.42%</w:t>
            </w:r>
          </w:p>
        </w:tc>
        <w:tc>
          <w:tcPr>
            <w:tcW w:w="212" w:type="pct"/>
            <w:tcBorders>
              <w:top w:val="nil"/>
              <w:left w:val="nil"/>
              <w:bottom w:val="nil"/>
              <w:right w:val="nil"/>
            </w:tcBorders>
            <w:shd w:val="clear" w:color="000000" w:fill="FFFFFF"/>
            <w:noWrap/>
            <w:vAlign w:val="bottom"/>
            <w:hideMark/>
          </w:tcPr>
          <w:p w14:paraId="415592D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68.85%</w:t>
            </w:r>
          </w:p>
        </w:tc>
        <w:tc>
          <w:tcPr>
            <w:tcW w:w="212" w:type="pct"/>
            <w:tcBorders>
              <w:top w:val="nil"/>
              <w:left w:val="nil"/>
              <w:bottom w:val="nil"/>
              <w:right w:val="nil"/>
            </w:tcBorders>
            <w:shd w:val="clear" w:color="000000" w:fill="FFFFFF"/>
            <w:noWrap/>
            <w:vAlign w:val="bottom"/>
            <w:hideMark/>
          </w:tcPr>
          <w:p w14:paraId="0AEFA13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70.97%</w:t>
            </w:r>
          </w:p>
        </w:tc>
        <w:tc>
          <w:tcPr>
            <w:tcW w:w="212" w:type="pct"/>
            <w:tcBorders>
              <w:top w:val="nil"/>
              <w:left w:val="nil"/>
              <w:bottom w:val="nil"/>
              <w:right w:val="nil"/>
            </w:tcBorders>
            <w:shd w:val="clear" w:color="000000" w:fill="FFFFFF"/>
            <w:noWrap/>
            <w:vAlign w:val="bottom"/>
            <w:hideMark/>
          </w:tcPr>
          <w:p w14:paraId="26099E8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71.79%</w:t>
            </w:r>
          </w:p>
        </w:tc>
        <w:tc>
          <w:tcPr>
            <w:tcW w:w="212" w:type="pct"/>
            <w:tcBorders>
              <w:top w:val="nil"/>
              <w:left w:val="nil"/>
              <w:bottom w:val="nil"/>
              <w:right w:val="nil"/>
            </w:tcBorders>
            <w:shd w:val="clear" w:color="000000" w:fill="FFFFFF"/>
            <w:noWrap/>
            <w:vAlign w:val="bottom"/>
            <w:hideMark/>
          </w:tcPr>
          <w:p w14:paraId="5A13035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72.09%</w:t>
            </w:r>
          </w:p>
        </w:tc>
        <w:tc>
          <w:tcPr>
            <w:tcW w:w="212" w:type="pct"/>
            <w:tcBorders>
              <w:top w:val="nil"/>
              <w:left w:val="nil"/>
              <w:bottom w:val="nil"/>
              <w:right w:val="nil"/>
            </w:tcBorders>
            <w:shd w:val="clear" w:color="000000" w:fill="FFFFFF"/>
            <w:noWrap/>
            <w:vAlign w:val="bottom"/>
            <w:hideMark/>
          </w:tcPr>
          <w:p w14:paraId="2675300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72.37%</w:t>
            </w:r>
          </w:p>
        </w:tc>
        <w:tc>
          <w:tcPr>
            <w:tcW w:w="212" w:type="pct"/>
            <w:tcBorders>
              <w:top w:val="nil"/>
              <w:left w:val="nil"/>
              <w:bottom w:val="nil"/>
              <w:right w:val="nil"/>
            </w:tcBorders>
            <w:shd w:val="clear" w:color="000000" w:fill="FFFFFF"/>
            <w:noWrap/>
            <w:vAlign w:val="bottom"/>
            <w:hideMark/>
          </w:tcPr>
          <w:p w14:paraId="78C122B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72.60%</w:t>
            </w:r>
          </w:p>
        </w:tc>
        <w:tc>
          <w:tcPr>
            <w:tcW w:w="212" w:type="pct"/>
            <w:tcBorders>
              <w:top w:val="nil"/>
              <w:left w:val="nil"/>
              <w:bottom w:val="nil"/>
              <w:right w:val="nil"/>
            </w:tcBorders>
            <w:shd w:val="clear" w:color="000000" w:fill="FFFFFF"/>
            <w:noWrap/>
            <w:vAlign w:val="bottom"/>
            <w:hideMark/>
          </w:tcPr>
          <w:p w14:paraId="245D7E9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72.84%</w:t>
            </w:r>
          </w:p>
        </w:tc>
        <w:tc>
          <w:tcPr>
            <w:tcW w:w="212" w:type="pct"/>
            <w:tcBorders>
              <w:top w:val="nil"/>
              <w:left w:val="nil"/>
              <w:bottom w:val="nil"/>
              <w:right w:val="nil"/>
            </w:tcBorders>
            <w:shd w:val="clear" w:color="000000" w:fill="FFFFFF"/>
            <w:noWrap/>
            <w:vAlign w:val="bottom"/>
            <w:hideMark/>
          </w:tcPr>
          <w:p w14:paraId="31CEB5B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73.01%</w:t>
            </w:r>
          </w:p>
        </w:tc>
        <w:tc>
          <w:tcPr>
            <w:tcW w:w="212" w:type="pct"/>
            <w:tcBorders>
              <w:top w:val="nil"/>
              <w:left w:val="nil"/>
              <w:bottom w:val="nil"/>
              <w:right w:val="nil"/>
            </w:tcBorders>
            <w:shd w:val="clear" w:color="000000" w:fill="FFFFFF"/>
            <w:noWrap/>
            <w:vAlign w:val="bottom"/>
            <w:hideMark/>
          </w:tcPr>
          <w:p w14:paraId="621EB45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73.18%</w:t>
            </w:r>
          </w:p>
        </w:tc>
        <w:tc>
          <w:tcPr>
            <w:tcW w:w="212" w:type="pct"/>
            <w:tcBorders>
              <w:top w:val="nil"/>
              <w:left w:val="nil"/>
              <w:bottom w:val="nil"/>
              <w:right w:val="nil"/>
            </w:tcBorders>
            <w:shd w:val="clear" w:color="000000" w:fill="FFFFFF"/>
            <w:noWrap/>
            <w:vAlign w:val="bottom"/>
            <w:hideMark/>
          </w:tcPr>
          <w:p w14:paraId="4EF8DBD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73.85%</w:t>
            </w:r>
          </w:p>
        </w:tc>
        <w:tc>
          <w:tcPr>
            <w:tcW w:w="212" w:type="pct"/>
            <w:tcBorders>
              <w:top w:val="nil"/>
              <w:left w:val="nil"/>
              <w:bottom w:val="nil"/>
              <w:right w:val="nil"/>
            </w:tcBorders>
            <w:shd w:val="clear" w:color="000000" w:fill="FFFFFF"/>
            <w:noWrap/>
            <w:vAlign w:val="bottom"/>
            <w:hideMark/>
          </w:tcPr>
          <w:p w14:paraId="3C16EBC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74.75%</w:t>
            </w:r>
          </w:p>
        </w:tc>
        <w:tc>
          <w:tcPr>
            <w:tcW w:w="212" w:type="pct"/>
            <w:tcBorders>
              <w:top w:val="nil"/>
              <w:left w:val="nil"/>
              <w:bottom w:val="nil"/>
              <w:right w:val="nil"/>
            </w:tcBorders>
            <w:shd w:val="clear" w:color="000000" w:fill="FFFFFF"/>
            <w:noWrap/>
            <w:vAlign w:val="bottom"/>
            <w:hideMark/>
          </w:tcPr>
          <w:p w14:paraId="5660D46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75.22%</w:t>
            </w:r>
          </w:p>
        </w:tc>
      </w:tr>
      <w:tr w:rsidR="002D2278" w:rsidRPr="002D2278" w14:paraId="61F4C8D6" w14:textId="77777777" w:rsidTr="002D2278">
        <w:trPr>
          <w:trHeight w:val="20"/>
        </w:trPr>
        <w:tc>
          <w:tcPr>
            <w:tcW w:w="663" w:type="pct"/>
            <w:tcBorders>
              <w:top w:val="nil"/>
              <w:left w:val="nil"/>
              <w:bottom w:val="nil"/>
              <w:right w:val="nil"/>
            </w:tcBorders>
            <w:shd w:val="clear" w:color="000000" w:fill="FFFFFF"/>
            <w:noWrap/>
            <w:vAlign w:val="center"/>
            <w:hideMark/>
          </w:tcPr>
          <w:p w14:paraId="0E9E6AE5" w14:textId="580EAA13"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2019........................................</w:t>
            </w:r>
          </w:p>
        </w:tc>
        <w:tc>
          <w:tcPr>
            <w:tcW w:w="449" w:type="pct"/>
            <w:tcBorders>
              <w:top w:val="nil"/>
              <w:left w:val="nil"/>
              <w:bottom w:val="nil"/>
              <w:right w:val="nil"/>
            </w:tcBorders>
            <w:shd w:val="clear" w:color="000000" w:fill="FFFFFF"/>
            <w:noWrap/>
            <w:vAlign w:val="bottom"/>
            <w:hideMark/>
          </w:tcPr>
          <w:p w14:paraId="6E7783E4"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2019Q1</w:t>
            </w:r>
          </w:p>
        </w:tc>
        <w:tc>
          <w:tcPr>
            <w:tcW w:w="499" w:type="pct"/>
            <w:tcBorders>
              <w:top w:val="nil"/>
              <w:left w:val="nil"/>
              <w:bottom w:val="nil"/>
              <w:right w:val="nil"/>
            </w:tcBorders>
            <w:shd w:val="clear" w:color="000000" w:fill="FFFFFF"/>
            <w:noWrap/>
            <w:vAlign w:val="center"/>
            <w:hideMark/>
          </w:tcPr>
          <w:p w14:paraId="7A0BC49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1,921 </w:t>
            </w:r>
          </w:p>
        </w:tc>
        <w:tc>
          <w:tcPr>
            <w:tcW w:w="212" w:type="pct"/>
            <w:tcBorders>
              <w:top w:val="nil"/>
              <w:left w:val="nil"/>
              <w:bottom w:val="nil"/>
              <w:right w:val="nil"/>
            </w:tcBorders>
            <w:shd w:val="clear" w:color="000000" w:fill="FFFFFF"/>
            <w:noWrap/>
            <w:vAlign w:val="bottom"/>
            <w:hideMark/>
          </w:tcPr>
          <w:p w14:paraId="30813A4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28.44%</w:t>
            </w:r>
          </w:p>
        </w:tc>
        <w:tc>
          <w:tcPr>
            <w:tcW w:w="212" w:type="pct"/>
            <w:tcBorders>
              <w:top w:val="nil"/>
              <w:left w:val="nil"/>
              <w:bottom w:val="nil"/>
              <w:right w:val="nil"/>
            </w:tcBorders>
            <w:shd w:val="clear" w:color="000000" w:fill="FFFFFF"/>
            <w:noWrap/>
            <w:vAlign w:val="bottom"/>
            <w:hideMark/>
          </w:tcPr>
          <w:p w14:paraId="68A4BD6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54.57%</w:t>
            </w:r>
          </w:p>
        </w:tc>
        <w:tc>
          <w:tcPr>
            <w:tcW w:w="212" w:type="pct"/>
            <w:tcBorders>
              <w:top w:val="nil"/>
              <w:left w:val="nil"/>
              <w:bottom w:val="nil"/>
              <w:right w:val="nil"/>
            </w:tcBorders>
            <w:shd w:val="clear" w:color="000000" w:fill="FFFFFF"/>
            <w:noWrap/>
            <w:vAlign w:val="bottom"/>
            <w:hideMark/>
          </w:tcPr>
          <w:p w14:paraId="1302366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58.07%</w:t>
            </w:r>
          </w:p>
        </w:tc>
        <w:tc>
          <w:tcPr>
            <w:tcW w:w="212" w:type="pct"/>
            <w:tcBorders>
              <w:top w:val="nil"/>
              <w:left w:val="nil"/>
              <w:bottom w:val="nil"/>
              <w:right w:val="nil"/>
            </w:tcBorders>
            <w:shd w:val="clear" w:color="000000" w:fill="FFFFFF"/>
            <w:noWrap/>
            <w:vAlign w:val="bottom"/>
            <w:hideMark/>
          </w:tcPr>
          <w:p w14:paraId="56EE43D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61.02%</w:t>
            </w:r>
          </w:p>
        </w:tc>
        <w:tc>
          <w:tcPr>
            <w:tcW w:w="212" w:type="pct"/>
            <w:tcBorders>
              <w:top w:val="nil"/>
              <w:left w:val="nil"/>
              <w:bottom w:val="nil"/>
              <w:right w:val="nil"/>
            </w:tcBorders>
            <w:shd w:val="clear" w:color="000000" w:fill="FFFFFF"/>
            <w:noWrap/>
            <w:vAlign w:val="bottom"/>
            <w:hideMark/>
          </w:tcPr>
          <w:p w14:paraId="0DAE80C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62.51%</w:t>
            </w:r>
          </w:p>
        </w:tc>
        <w:tc>
          <w:tcPr>
            <w:tcW w:w="212" w:type="pct"/>
            <w:tcBorders>
              <w:top w:val="nil"/>
              <w:left w:val="nil"/>
              <w:bottom w:val="nil"/>
              <w:right w:val="nil"/>
            </w:tcBorders>
            <w:shd w:val="clear" w:color="000000" w:fill="FFFFFF"/>
            <w:noWrap/>
            <w:vAlign w:val="bottom"/>
            <w:hideMark/>
          </w:tcPr>
          <w:p w14:paraId="7A901A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63.74%</w:t>
            </w:r>
          </w:p>
        </w:tc>
        <w:tc>
          <w:tcPr>
            <w:tcW w:w="212" w:type="pct"/>
            <w:tcBorders>
              <w:top w:val="nil"/>
              <w:left w:val="nil"/>
              <w:bottom w:val="nil"/>
              <w:right w:val="nil"/>
            </w:tcBorders>
            <w:shd w:val="clear" w:color="000000" w:fill="FFFFFF"/>
            <w:noWrap/>
            <w:vAlign w:val="bottom"/>
            <w:hideMark/>
          </w:tcPr>
          <w:p w14:paraId="05578A8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66.00%</w:t>
            </w:r>
          </w:p>
        </w:tc>
        <w:tc>
          <w:tcPr>
            <w:tcW w:w="212" w:type="pct"/>
            <w:tcBorders>
              <w:top w:val="nil"/>
              <w:left w:val="nil"/>
              <w:bottom w:val="nil"/>
              <w:right w:val="nil"/>
            </w:tcBorders>
            <w:shd w:val="clear" w:color="000000" w:fill="FFFFFF"/>
            <w:noWrap/>
            <w:vAlign w:val="bottom"/>
            <w:hideMark/>
          </w:tcPr>
          <w:p w14:paraId="0A697DA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66.75%</w:t>
            </w:r>
          </w:p>
        </w:tc>
        <w:tc>
          <w:tcPr>
            <w:tcW w:w="212" w:type="pct"/>
            <w:tcBorders>
              <w:top w:val="nil"/>
              <w:left w:val="nil"/>
              <w:bottom w:val="nil"/>
              <w:right w:val="nil"/>
            </w:tcBorders>
            <w:shd w:val="clear" w:color="000000" w:fill="FFFFFF"/>
            <w:noWrap/>
            <w:vAlign w:val="bottom"/>
            <w:hideMark/>
          </w:tcPr>
          <w:p w14:paraId="0C068D7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67.53%</w:t>
            </w:r>
          </w:p>
        </w:tc>
        <w:tc>
          <w:tcPr>
            <w:tcW w:w="212" w:type="pct"/>
            <w:tcBorders>
              <w:top w:val="nil"/>
              <w:left w:val="nil"/>
              <w:bottom w:val="nil"/>
              <w:right w:val="nil"/>
            </w:tcBorders>
            <w:shd w:val="clear" w:color="000000" w:fill="FFFFFF"/>
            <w:noWrap/>
            <w:vAlign w:val="bottom"/>
            <w:hideMark/>
          </w:tcPr>
          <w:p w14:paraId="726DFC9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67.94%</w:t>
            </w:r>
          </w:p>
        </w:tc>
        <w:tc>
          <w:tcPr>
            <w:tcW w:w="212" w:type="pct"/>
            <w:tcBorders>
              <w:top w:val="nil"/>
              <w:left w:val="nil"/>
              <w:bottom w:val="nil"/>
              <w:right w:val="nil"/>
            </w:tcBorders>
            <w:shd w:val="clear" w:color="000000" w:fill="FFFFFF"/>
            <w:noWrap/>
            <w:vAlign w:val="bottom"/>
            <w:hideMark/>
          </w:tcPr>
          <w:p w14:paraId="008068C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68.62%</w:t>
            </w:r>
          </w:p>
        </w:tc>
        <w:tc>
          <w:tcPr>
            <w:tcW w:w="212" w:type="pct"/>
            <w:tcBorders>
              <w:top w:val="nil"/>
              <w:left w:val="nil"/>
              <w:bottom w:val="nil"/>
              <w:right w:val="nil"/>
            </w:tcBorders>
            <w:shd w:val="clear" w:color="000000" w:fill="FFFFFF"/>
            <w:noWrap/>
            <w:vAlign w:val="bottom"/>
            <w:hideMark/>
          </w:tcPr>
          <w:p w14:paraId="5940630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69.15%</w:t>
            </w:r>
          </w:p>
        </w:tc>
        <w:tc>
          <w:tcPr>
            <w:tcW w:w="212" w:type="pct"/>
            <w:tcBorders>
              <w:top w:val="nil"/>
              <w:left w:val="nil"/>
              <w:bottom w:val="nil"/>
              <w:right w:val="nil"/>
            </w:tcBorders>
            <w:shd w:val="clear" w:color="000000" w:fill="FFFFFF"/>
            <w:noWrap/>
            <w:vAlign w:val="bottom"/>
            <w:hideMark/>
          </w:tcPr>
          <w:p w14:paraId="1624AB8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69.53%</w:t>
            </w:r>
          </w:p>
        </w:tc>
        <w:tc>
          <w:tcPr>
            <w:tcW w:w="212" w:type="pct"/>
            <w:tcBorders>
              <w:top w:val="nil"/>
              <w:left w:val="nil"/>
              <w:bottom w:val="nil"/>
              <w:right w:val="nil"/>
            </w:tcBorders>
            <w:shd w:val="clear" w:color="000000" w:fill="FFFFFF"/>
            <w:noWrap/>
            <w:vAlign w:val="bottom"/>
            <w:hideMark/>
          </w:tcPr>
          <w:p w14:paraId="17D491F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70.29%</w:t>
            </w:r>
          </w:p>
        </w:tc>
        <w:tc>
          <w:tcPr>
            <w:tcW w:w="212" w:type="pct"/>
            <w:tcBorders>
              <w:top w:val="nil"/>
              <w:left w:val="nil"/>
              <w:bottom w:val="nil"/>
              <w:right w:val="nil"/>
            </w:tcBorders>
            <w:shd w:val="clear" w:color="000000" w:fill="FFFFFF"/>
            <w:noWrap/>
            <w:vAlign w:val="bottom"/>
            <w:hideMark/>
          </w:tcPr>
          <w:p w14:paraId="50F06E3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70.62%</w:t>
            </w:r>
          </w:p>
        </w:tc>
        <w:tc>
          <w:tcPr>
            <w:tcW w:w="212" w:type="pct"/>
            <w:tcBorders>
              <w:top w:val="nil"/>
              <w:left w:val="nil"/>
              <w:bottom w:val="nil"/>
              <w:right w:val="nil"/>
            </w:tcBorders>
            <w:shd w:val="clear" w:color="000000" w:fill="FFFFFF"/>
            <w:noWrap/>
            <w:vAlign w:val="bottom"/>
            <w:hideMark/>
          </w:tcPr>
          <w:p w14:paraId="32C2459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70.76%</w:t>
            </w:r>
          </w:p>
        </w:tc>
      </w:tr>
      <w:tr w:rsidR="002D2278" w:rsidRPr="002D2278" w14:paraId="2F8748F4" w14:textId="77777777" w:rsidTr="002D2278">
        <w:trPr>
          <w:trHeight w:val="20"/>
        </w:trPr>
        <w:tc>
          <w:tcPr>
            <w:tcW w:w="663" w:type="pct"/>
            <w:tcBorders>
              <w:top w:val="nil"/>
              <w:left w:val="nil"/>
              <w:bottom w:val="nil"/>
              <w:right w:val="nil"/>
            </w:tcBorders>
            <w:shd w:val="clear" w:color="000000" w:fill="FFFFFF"/>
            <w:noWrap/>
            <w:vAlign w:val="center"/>
            <w:hideMark/>
          </w:tcPr>
          <w:p w14:paraId="06C993CF" w14:textId="3C684DCA"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2019..........................................</w:t>
            </w:r>
          </w:p>
        </w:tc>
        <w:tc>
          <w:tcPr>
            <w:tcW w:w="449" w:type="pct"/>
            <w:tcBorders>
              <w:top w:val="nil"/>
              <w:left w:val="nil"/>
              <w:bottom w:val="nil"/>
              <w:right w:val="nil"/>
            </w:tcBorders>
            <w:shd w:val="clear" w:color="000000" w:fill="FFFFFF"/>
            <w:noWrap/>
            <w:vAlign w:val="bottom"/>
            <w:hideMark/>
          </w:tcPr>
          <w:p w14:paraId="7E382C69"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2019Q2</w:t>
            </w:r>
          </w:p>
        </w:tc>
        <w:tc>
          <w:tcPr>
            <w:tcW w:w="499" w:type="pct"/>
            <w:tcBorders>
              <w:top w:val="nil"/>
              <w:left w:val="nil"/>
              <w:bottom w:val="nil"/>
              <w:right w:val="nil"/>
            </w:tcBorders>
            <w:shd w:val="clear" w:color="000000" w:fill="FFFFFF"/>
            <w:noWrap/>
            <w:vAlign w:val="center"/>
            <w:hideMark/>
          </w:tcPr>
          <w:p w14:paraId="4C0CAB8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1,429 </w:t>
            </w:r>
          </w:p>
        </w:tc>
        <w:tc>
          <w:tcPr>
            <w:tcW w:w="212" w:type="pct"/>
            <w:tcBorders>
              <w:top w:val="nil"/>
              <w:left w:val="nil"/>
              <w:bottom w:val="nil"/>
              <w:right w:val="nil"/>
            </w:tcBorders>
            <w:shd w:val="clear" w:color="000000" w:fill="FFFFFF"/>
            <w:noWrap/>
            <w:vAlign w:val="bottom"/>
            <w:hideMark/>
          </w:tcPr>
          <w:p w14:paraId="1D1D761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32.21%</w:t>
            </w:r>
          </w:p>
        </w:tc>
        <w:tc>
          <w:tcPr>
            <w:tcW w:w="212" w:type="pct"/>
            <w:tcBorders>
              <w:top w:val="nil"/>
              <w:left w:val="nil"/>
              <w:bottom w:val="nil"/>
              <w:right w:val="nil"/>
            </w:tcBorders>
            <w:shd w:val="clear" w:color="000000" w:fill="FFFFFF"/>
            <w:noWrap/>
            <w:vAlign w:val="bottom"/>
            <w:hideMark/>
          </w:tcPr>
          <w:p w14:paraId="0E49447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61.58%</w:t>
            </w:r>
          </w:p>
        </w:tc>
        <w:tc>
          <w:tcPr>
            <w:tcW w:w="212" w:type="pct"/>
            <w:tcBorders>
              <w:top w:val="nil"/>
              <w:left w:val="nil"/>
              <w:bottom w:val="nil"/>
              <w:right w:val="nil"/>
            </w:tcBorders>
            <w:shd w:val="clear" w:color="000000" w:fill="FFFFFF"/>
            <w:noWrap/>
            <w:vAlign w:val="bottom"/>
            <w:hideMark/>
          </w:tcPr>
          <w:p w14:paraId="2BD3CAA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64.22%</w:t>
            </w:r>
          </w:p>
        </w:tc>
        <w:tc>
          <w:tcPr>
            <w:tcW w:w="212" w:type="pct"/>
            <w:tcBorders>
              <w:top w:val="nil"/>
              <w:left w:val="nil"/>
              <w:bottom w:val="nil"/>
              <w:right w:val="nil"/>
            </w:tcBorders>
            <w:shd w:val="clear" w:color="000000" w:fill="FFFFFF"/>
            <w:noWrap/>
            <w:vAlign w:val="bottom"/>
            <w:hideMark/>
          </w:tcPr>
          <w:p w14:paraId="7712C24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66.03%</w:t>
            </w:r>
          </w:p>
        </w:tc>
        <w:tc>
          <w:tcPr>
            <w:tcW w:w="212" w:type="pct"/>
            <w:tcBorders>
              <w:top w:val="nil"/>
              <w:left w:val="nil"/>
              <w:bottom w:val="nil"/>
              <w:right w:val="nil"/>
            </w:tcBorders>
            <w:shd w:val="clear" w:color="000000" w:fill="FFFFFF"/>
            <w:noWrap/>
            <w:vAlign w:val="bottom"/>
            <w:hideMark/>
          </w:tcPr>
          <w:p w14:paraId="25B34A6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67.20%</w:t>
            </w:r>
          </w:p>
        </w:tc>
        <w:tc>
          <w:tcPr>
            <w:tcW w:w="212" w:type="pct"/>
            <w:tcBorders>
              <w:top w:val="nil"/>
              <w:left w:val="nil"/>
              <w:bottom w:val="nil"/>
              <w:right w:val="nil"/>
            </w:tcBorders>
            <w:shd w:val="clear" w:color="000000" w:fill="FFFFFF"/>
            <w:noWrap/>
            <w:vAlign w:val="bottom"/>
            <w:hideMark/>
          </w:tcPr>
          <w:p w14:paraId="6A39FE9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67.54%</w:t>
            </w:r>
          </w:p>
        </w:tc>
        <w:tc>
          <w:tcPr>
            <w:tcW w:w="212" w:type="pct"/>
            <w:tcBorders>
              <w:top w:val="nil"/>
              <w:left w:val="nil"/>
              <w:bottom w:val="nil"/>
              <w:right w:val="nil"/>
            </w:tcBorders>
            <w:shd w:val="clear" w:color="000000" w:fill="FFFFFF"/>
            <w:noWrap/>
            <w:vAlign w:val="bottom"/>
            <w:hideMark/>
          </w:tcPr>
          <w:p w14:paraId="4DE921B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69.06%</w:t>
            </w:r>
          </w:p>
        </w:tc>
        <w:tc>
          <w:tcPr>
            <w:tcW w:w="212" w:type="pct"/>
            <w:tcBorders>
              <w:top w:val="nil"/>
              <w:left w:val="nil"/>
              <w:bottom w:val="nil"/>
              <w:right w:val="nil"/>
            </w:tcBorders>
            <w:shd w:val="clear" w:color="000000" w:fill="FFFFFF"/>
            <w:noWrap/>
            <w:vAlign w:val="bottom"/>
            <w:hideMark/>
          </w:tcPr>
          <w:p w14:paraId="03BFB6D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69.69%</w:t>
            </w:r>
          </w:p>
        </w:tc>
        <w:tc>
          <w:tcPr>
            <w:tcW w:w="212" w:type="pct"/>
            <w:tcBorders>
              <w:top w:val="nil"/>
              <w:left w:val="nil"/>
              <w:bottom w:val="nil"/>
              <w:right w:val="nil"/>
            </w:tcBorders>
            <w:shd w:val="clear" w:color="000000" w:fill="FFFFFF"/>
            <w:noWrap/>
            <w:vAlign w:val="bottom"/>
            <w:hideMark/>
          </w:tcPr>
          <w:p w14:paraId="6CD6EB0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69.93%</w:t>
            </w:r>
          </w:p>
        </w:tc>
        <w:tc>
          <w:tcPr>
            <w:tcW w:w="212" w:type="pct"/>
            <w:tcBorders>
              <w:top w:val="nil"/>
              <w:left w:val="nil"/>
              <w:bottom w:val="nil"/>
              <w:right w:val="nil"/>
            </w:tcBorders>
            <w:shd w:val="clear" w:color="000000" w:fill="FFFFFF"/>
            <w:noWrap/>
            <w:vAlign w:val="bottom"/>
            <w:hideMark/>
          </w:tcPr>
          <w:p w14:paraId="0C03C5A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70.18%</w:t>
            </w:r>
          </w:p>
        </w:tc>
        <w:tc>
          <w:tcPr>
            <w:tcW w:w="212" w:type="pct"/>
            <w:tcBorders>
              <w:top w:val="nil"/>
              <w:left w:val="nil"/>
              <w:bottom w:val="nil"/>
              <w:right w:val="nil"/>
            </w:tcBorders>
            <w:shd w:val="clear" w:color="000000" w:fill="FFFFFF"/>
            <w:noWrap/>
            <w:vAlign w:val="bottom"/>
            <w:hideMark/>
          </w:tcPr>
          <w:p w14:paraId="07C2B4F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70.73%</w:t>
            </w:r>
          </w:p>
        </w:tc>
        <w:tc>
          <w:tcPr>
            <w:tcW w:w="212" w:type="pct"/>
            <w:tcBorders>
              <w:top w:val="nil"/>
              <w:left w:val="nil"/>
              <w:bottom w:val="nil"/>
              <w:right w:val="nil"/>
            </w:tcBorders>
            <w:shd w:val="clear" w:color="000000" w:fill="FFFFFF"/>
            <w:noWrap/>
            <w:vAlign w:val="bottom"/>
            <w:hideMark/>
          </w:tcPr>
          <w:p w14:paraId="53A4658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71.40%</w:t>
            </w:r>
          </w:p>
        </w:tc>
        <w:tc>
          <w:tcPr>
            <w:tcW w:w="212" w:type="pct"/>
            <w:tcBorders>
              <w:top w:val="nil"/>
              <w:left w:val="nil"/>
              <w:bottom w:val="nil"/>
              <w:right w:val="nil"/>
            </w:tcBorders>
            <w:shd w:val="clear" w:color="000000" w:fill="FFFFFF"/>
            <w:noWrap/>
            <w:vAlign w:val="bottom"/>
            <w:hideMark/>
          </w:tcPr>
          <w:p w14:paraId="64D6EB8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71.78%</w:t>
            </w:r>
          </w:p>
        </w:tc>
        <w:tc>
          <w:tcPr>
            <w:tcW w:w="212" w:type="pct"/>
            <w:tcBorders>
              <w:top w:val="nil"/>
              <w:left w:val="nil"/>
              <w:bottom w:val="nil"/>
              <w:right w:val="nil"/>
            </w:tcBorders>
            <w:shd w:val="clear" w:color="000000" w:fill="FFFFFF"/>
            <w:noWrap/>
            <w:vAlign w:val="bottom"/>
            <w:hideMark/>
          </w:tcPr>
          <w:p w14:paraId="2416F9A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72.04%</w:t>
            </w:r>
          </w:p>
        </w:tc>
        <w:tc>
          <w:tcPr>
            <w:tcW w:w="212" w:type="pct"/>
            <w:tcBorders>
              <w:top w:val="nil"/>
              <w:left w:val="nil"/>
              <w:bottom w:val="nil"/>
              <w:right w:val="nil"/>
            </w:tcBorders>
            <w:shd w:val="clear" w:color="000000" w:fill="FFFFFF"/>
            <w:noWrap/>
            <w:vAlign w:val="bottom"/>
            <w:hideMark/>
          </w:tcPr>
          <w:p w14:paraId="20736FE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72.58%</w:t>
            </w:r>
          </w:p>
        </w:tc>
        <w:tc>
          <w:tcPr>
            <w:tcW w:w="212" w:type="pct"/>
            <w:tcBorders>
              <w:top w:val="nil"/>
              <w:left w:val="nil"/>
              <w:bottom w:val="nil"/>
              <w:right w:val="nil"/>
            </w:tcBorders>
            <w:shd w:val="clear" w:color="000000" w:fill="FFFFFF"/>
            <w:noWrap/>
            <w:vAlign w:val="bottom"/>
            <w:hideMark/>
          </w:tcPr>
          <w:p w14:paraId="0799BA2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72.58%</w:t>
            </w:r>
          </w:p>
        </w:tc>
      </w:tr>
      <w:tr w:rsidR="002D2278" w:rsidRPr="002D2278" w14:paraId="0428ECE5" w14:textId="77777777" w:rsidTr="002D2278">
        <w:trPr>
          <w:trHeight w:val="20"/>
        </w:trPr>
        <w:tc>
          <w:tcPr>
            <w:tcW w:w="663" w:type="pct"/>
            <w:tcBorders>
              <w:top w:val="nil"/>
              <w:left w:val="nil"/>
              <w:bottom w:val="nil"/>
              <w:right w:val="nil"/>
            </w:tcBorders>
            <w:shd w:val="clear" w:color="000000" w:fill="FFFFFF"/>
            <w:noWrap/>
            <w:vAlign w:val="center"/>
            <w:hideMark/>
          </w:tcPr>
          <w:p w14:paraId="740689DC"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2019..............................</w:t>
            </w:r>
          </w:p>
        </w:tc>
        <w:tc>
          <w:tcPr>
            <w:tcW w:w="449" w:type="pct"/>
            <w:tcBorders>
              <w:top w:val="nil"/>
              <w:left w:val="nil"/>
              <w:bottom w:val="nil"/>
              <w:right w:val="nil"/>
            </w:tcBorders>
            <w:shd w:val="clear" w:color="000000" w:fill="FFFFFF"/>
            <w:noWrap/>
            <w:vAlign w:val="bottom"/>
            <w:hideMark/>
          </w:tcPr>
          <w:p w14:paraId="39E3B93B"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2019Q3</w:t>
            </w:r>
          </w:p>
        </w:tc>
        <w:tc>
          <w:tcPr>
            <w:tcW w:w="499" w:type="pct"/>
            <w:tcBorders>
              <w:top w:val="nil"/>
              <w:left w:val="nil"/>
              <w:bottom w:val="nil"/>
              <w:right w:val="nil"/>
            </w:tcBorders>
            <w:shd w:val="clear" w:color="000000" w:fill="FFFFFF"/>
            <w:noWrap/>
            <w:vAlign w:val="center"/>
            <w:hideMark/>
          </w:tcPr>
          <w:p w14:paraId="7045CD1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1,913 </w:t>
            </w:r>
          </w:p>
        </w:tc>
        <w:tc>
          <w:tcPr>
            <w:tcW w:w="212" w:type="pct"/>
            <w:tcBorders>
              <w:top w:val="nil"/>
              <w:left w:val="nil"/>
              <w:bottom w:val="nil"/>
              <w:right w:val="nil"/>
            </w:tcBorders>
            <w:shd w:val="clear" w:color="000000" w:fill="FFFFFF"/>
            <w:noWrap/>
            <w:vAlign w:val="bottom"/>
            <w:hideMark/>
          </w:tcPr>
          <w:p w14:paraId="40DA088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41.41%</w:t>
            </w:r>
          </w:p>
        </w:tc>
        <w:tc>
          <w:tcPr>
            <w:tcW w:w="212" w:type="pct"/>
            <w:tcBorders>
              <w:top w:val="nil"/>
              <w:left w:val="nil"/>
              <w:bottom w:val="nil"/>
              <w:right w:val="nil"/>
            </w:tcBorders>
            <w:shd w:val="clear" w:color="000000" w:fill="FFFFFF"/>
            <w:noWrap/>
            <w:vAlign w:val="bottom"/>
            <w:hideMark/>
          </w:tcPr>
          <w:p w14:paraId="07870CB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64.69%</w:t>
            </w:r>
          </w:p>
        </w:tc>
        <w:tc>
          <w:tcPr>
            <w:tcW w:w="212" w:type="pct"/>
            <w:tcBorders>
              <w:top w:val="nil"/>
              <w:left w:val="nil"/>
              <w:bottom w:val="nil"/>
              <w:right w:val="nil"/>
            </w:tcBorders>
            <w:shd w:val="clear" w:color="000000" w:fill="FFFFFF"/>
            <w:noWrap/>
            <w:vAlign w:val="bottom"/>
            <w:hideMark/>
          </w:tcPr>
          <w:p w14:paraId="62FFE69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67.93%</w:t>
            </w:r>
          </w:p>
        </w:tc>
        <w:tc>
          <w:tcPr>
            <w:tcW w:w="212" w:type="pct"/>
            <w:tcBorders>
              <w:top w:val="nil"/>
              <w:left w:val="nil"/>
              <w:bottom w:val="nil"/>
              <w:right w:val="nil"/>
            </w:tcBorders>
            <w:shd w:val="clear" w:color="000000" w:fill="FFFFFF"/>
            <w:noWrap/>
            <w:vAlign w:val="bottom"/>
            <w:hideMark/>
          </w:tcPr>
          <w:p w14:paraId="0E3D9FA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68.72%</w:t>
            </w:r>
          </w:p>
        </w:tc>
        <w:tc>
          <w:tcPr>
            <w:tcW w:w="212" w:type="pct"/>
            <w:tcBorders>
              <w:top w:val="nil"/>
              <w:left w:val="nil"/>
              <w:bottom w:val="nil"/>
              <w:right w:val="nil"/>
            </w:tcBorders>
            <w:shd w:val="clear" w:color="000000" w:fill="FFFFFF"/>
            <w:noWrap/>
            <w:vAlign w:val="bottom"/>
            <w:hideMark/>
          </w:tcPr>
          <w:p w14:paraId="6D225BA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69.54%</w:t>
            </w:r>
          </w:p>
        </w:tc>
        <w:tc>
          <w:tcPr>
            <w:tcW w:w="212" w:type="pct"/>
            <w:tcBorders>
              <w:top w:val="nil"/>
              <w:left w:val="nil"/>
              <w:bottom w:val="nil"/>
              <w:right w:val="nil"/>
            </w:tcBorders>
            <w:shd w:val="clear" w:color="000000" w:fill="FFFFFF"/>
            <w:noWrap/>
            <w:vAlign w:val="bottom"/>
            <w:hideMark/>
          </w:tcPr>
          <w:p w14:paraId="5A22DFE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71.14%</w:t>
            </w:r>
          </w:p>
        </w:tc>
        <w:tc>
          <w:tcPr>
            <w:tcW w:w="212" w:type="pct"/>
            <w:tcBorders>
              <w:top w:val="nil"/>
              <w:left w:val="nil"/>
              <w:bottom w:val="nil"/>
              <w:right w:val="nil"/>
            </w:tcBorders>
            <w:shd w:val="clear" w:color="000000" w:fill="FFFFFF"/>
            <w:noWrap/>
            <w:vAlign w:val="bottom"/>
            <w:hideMark/>
          </w:tcPr>
          <w:p w14:paraId="06F53AE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71.70%</w:t>
            </w:r>
          </w:p>
        </w:tc>
        <w:tc>
          <w:tcPr>
            <w:tcW w:w="212" w:type="pct"/>
            <w:tcBorders>
              <w:top w:val="nil"/>
              <w:left w:val="nil"/>
              <w:bottom w:val="nil"/>
              <w:right w:val="nil"/>
            </w:tcBorders>
            <w:shd w:val="clear" w:color="000000" w:fill="FFFFFF"/>
            <w:noWrap/>
            <w:vAlign w:val="bottom"/>
            <w:hideMark/>
          </w:tcPr>
          <w:p w14:paraId="08E06A9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72.02%</w:t>
            </w:r>
          </w:p>
        </w:tc>
        <w:tc>
          <w:tcPr>
            <w:tcW w:w="212" w:type="pct"/>
            <w:tcBorders>
              <w:top w:val="nil"/>
              <w:left w:val="nil"/>
              <w:bottom w:val="nil"/>
              <w:right w:val="nil"/>
            </w:tcBorders>
            <w:shd w:val="clear" w:color="000000" w:fill="FFFFFF"/>
            <w:noWrap/>
            <w:vAlign w:val="bottom"/>
            <w:hideMark/>
          </w:tcPr>
          <w:p w14:paraId="2464B8D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72.55%</w:t>
            </w:r>
          </w:p>
        </w:tc>
        <w:tc>
          <w:tcPr>
            <w:tcW w:w="212" w:type="pct"/>
            <w:tcBorders>
              <w:top w:val="nil"/>
              <w:left w:val="nil"/>
              <w:bottom w:val="nil"/>
              <w:right w:val="nil"/>
            </w:tcBorders>
            <w:shd w:val="clear" w:color="000000" w:fill="FFFFFF"/>
            <w:noWrap/>
            <w:vAlign w:val="bottom"/>
            <w:hideMark/>
          </w:tcPr>
          <w:p w14:paraId="4714794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72.92%</w:t>
            </w:r>
          </w:p>
        </w:tc>
        <w:tc>
          <w:tcPr>
            <w:tcW w:w="212" w:type="pct"/>
            <w:tcBorders>
              <w:top w:val="nil"/>
              <w:left w:val="nil"/>
              <w:bottom w:val="nil"/>
              <w:right w:val="nil"/>
            </w:tcBorders>
            <w:shd w:val="clear" w:color="000000" w:fill="FFFFFF"/>
            <w:noWrap/>
            <w:vAlign w:val="bottom"/>
            <w:hideMark/>
          </w:tcPr>
          <w:p w14:paraId="777DA32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73.46%</w:t>
            </w:r>
          </w:p>
        </w:tc>
        <w:tc>
          <w:tcPr>
            <w:tcW w:w="212" w:type="pct"/>
            <w:tcBorders>
              <w:top w:val="nil"/>
              <w:left w:val="nil"/>
              <w:bottom w:val="nil"/>
              <w:right w:val="nil"/>
            </w:tcBorders>
            <w:shd w:val="clear" w:color="000000" w:fill="FFFFFF"/>
            <w:noWrap/>
            <w:vAlign w:val="bottom"/>
            <w:hideMark/>
          </w:tcPr>
          <w:p w14:paraId="29EA2EB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73.62%</w:t>
            </w:r>
          </w:p>
        </w:tc>
        <w:tc>
          <w:tcPr>
            <w:tcW w:w="212" w:type="pct"/>
            <w:tcBorders>
              <w:top w:val="nil"/>
              <w:left w:val="nil"/>
              <w:bottom w:val="nil"/>
              <w:right w:val="nil"/>
            </w:tcBorders>
            <w:shd w:val="clear" w:color="000000" w:fill="FFFFFF"/>
            <w:noWrap/>
            <w:vAlign w:val="bottom"/>
            <w:hideMark/>
          </w:tcPr>
          <w:p w14:paraId="180F315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76.35%</w:t>
            </w:r>
          </w:p>
        </w:tc>
        <w:tc>
          <w:tcPr>
            <w:tcW w:w="212" w:type="pct"/>
            <w:tcBorders>
              <w:top w:val="nil"/>
              <w:left w:val="nil"/>
              <w:bottom w:val="nil"/>
              <w:right w:val="nil"/>
            </w:tcBorders>
            <w:shd w:val="clear" w:color="000000" w:fill="FFFFFF"/>
            <w:noWrap/>
            <w:vAlign w:val="bottom"/>
            <w:hideMark/>
          </w:tcPr>
          <w:p w14:paraId="19E5CBE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76.44%</w:t>
            </w:r>
          </w:p>
        </w:tc>
        <w:tc>
          <w:tcPr>
            <w:tcW w:w="212" w:type="pct"/>
            <w:tcBorders>
              <w:top w:val="nil"/>
              <w:left w:val="nil"/>
              <w:bottom w:val="nil"/>
              <w:right w:val="nil"/>
            </w:tcBorders>
            <w:shd w:val="clear" w:color="000000" w:fill="FFFFFF"/>
            <w:noWrap/>
            <w:vAlign w:val="bottom"/>
            <w:hideMark/>
          </w:tcPr>
          <w:p w14:paraId="1FCC0DD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76.44%</w:t>
            </w:r>
          </w:p>
        </w:tc>
        <w:tc>
          <w:tcPr>
            <w:tcW w:w="212" w:type="pct"/>
            <w:tcBorders>
              <w:top w:val="nil"/>
              <w:left w:val="nil"/>
              <w:bottom w:val="nil"/>
              <w:right w:val="nil"/>
            </w:tcBorders>
            <w:shd w:val="clear" w:color="000000" w:fill="FFFFFF"/>
            <w:noWrap/>
            <w:vAlign w:val="bottom"/>
            <w:hideMark/>
          </w:tcPr>
          <w:p w14:paraId="723C08C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76.48%</w:t>
            </w:r>
          </w:p>
        </w:tc>
      </w:tr>
      <w:tr w:rsidR="002D2278" w:rsidRPr="002D2278" w14:paraId="369618C0" w14:textId="77777777" w:rsidTr="002D2278">
        <w:trPr>
          <w:trHeight w:val="20"/>
        </w:trPr>
        <w:tc>
          <w:tcPr>
            <w:tcW w:w="663" w:type="pct"/>
            <w:tcBorders>
              <w:top w:val="nil"/>
              <w:left w:val="nil"/>
              <w:bottom w:val="nil"/>
              <w:right w:val="nil"/>
            </w:tcBorders>
            <w:shd w:val="clear" w:color="000000" w:fill="FFFFFF"/>
            <w:noWrap/>
            <w:vAlign w:val="center"/>
            <w:hideMark/>
          </w:tcPr>
          <w:p w14:paraId="3114CEC1" w14:textId="428B8965"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2019...............................</w:t>
            </w:r>
          </w:p>
        </w:tc>
        <w:tc>
          <w:tcPr>
            <w:tcW w:w="449" w:type="pct"/>
            <w:tcBorders>
              <w:top w:val="nil"/>
              <w:left w:val="nil"/>
              <w:bottom w:val="nil"/>
              <w:right w:val="nil"/>
            </w:tcBorders>
            <w:shd w:val="clear" w:color="000000" w:fill="FFFFFF"/>
            <w:noWrap/>
            <w:vAlign w:val="bottom"/>
            <w:hideMark/>
          </w:tcPr>
          <w:p w14:paraId="064C997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2019Q4</w:t>
            </w:r>
          </w:p>
        </w:tc>
        <w:tc>
          <w:tcPr>
            <w:tcW w:w="499" w:type="pct"/>
            <w:tcBorders>
              <w:top w:val="nil"/>
              <w:left w:val="nil"/>
              <w:bottom w:val="nil"/>
              <w:right w:val="nil"/>
            </w:tcBorders>
            <w:shd w:val="clear" w:color="000000" w:fill="FFFFFF"/>
            <w:noWrap/>
            <w:vAlign w:val="center"/>
            <w:hideMark/>
          </w:tcPr>
          <w:p w14:paraId="43A8D59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1,628 </w:t>
            </w:r>
          </w:p>
        </w:tc>
        <w:tc>
          <w:tcPr>
            <w:tcW w:w="212" w:type="pct"/>
            <w:tcBorders>
              <w:top w:val="nil"/>
              <w:left w:val="nil"/>
              <w:bottom w:val="nil"/>
              <w:right w:val="nil"/>
            </w:tcBorders>
            <w:shd w:val="clear" w:color="000000" w:fill="FFFFFF"/>
            <w:noWrap/>
            <w:vAlign w:val="bottom"/>
            <w:hideMark/>
          </w:tcPr>
          <w:p w14:paraId="3F167D0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28.17%</w:t>
            </w:r>
          </w:p>
        </w:tc>
        <w:tc>
          <w:tcPr>
            <w:tcW w:w="212" w:type="pct"/>
            <w:tcBorders>
              <w:top w:val="nil"/>
              <w:left w:val="nil"/>
              <w:bottom w:val="nil"/>
              <w:right w:val="nil"/>
            </w:tcBorders>
            <w:shd w:val="clear" w:color="000000" w:fill="FFFFFF"/>
            <w:noWrap/>
            <w:vAlign w:val="bottom"/>
            <w:hideMark/>
          </w:tcPr>
          <w:p w14:paraId="5CC890A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61.44%</w:t>
            </w:r>
          </w:p>
        </w:tc>
        <w:tc>
          <w:tcPr>
            <w:tcW w:w="212" w:type="pct"/>
            <w:tcBorders>
              <w:top w:val="nil"/>
              <w:left w:val="nil"/>
              <w:bottom w:val="nil"/>
              <w:right w:val="nil"/>
            </w:tcBorders>
            <w:shd w:val="clear" w:color="000000" w:fill="FFFFFF"/>
            <w:noWrap/>
            <w:vAlign w:val="bottom"/>
            <w:hideMark/>
          </w:tcPr>
          <w:p w14:paraId="156309B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62.07%</w:t>
            </w:r>
          </w:p>
        </w:tc>
        <w:tc>
          <w:tcPr>
            <w:tcW w:w="212" w:type="pct"/>
            <w:tcBorders>
              <w:top w:val="nil"/>
              <w:left w:val="nil"/>
              <w:bottom w:val="nil"/>
              <w:right w:val="nil"/>
            </w:tcBorders>
            <w:shd w:val="clear" w:color="000000" w:fill="FFFFFF"/>
            <w:noWrap/>
            <w:vAlign w:val="bottom"/>
            <w:hideMark/>
          </w:tcPr>
          <w:p w14:paraId="1378E5F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63.29%</w:t>
            </w:r>
          </w:p>
        </w:tc>
        <w:tc>
          <w:tcPr>
            <w:tcW w:w="212" w:type="pct"/>
            <w:tcBorders>
              <w:top w:val="nil"/>
              <w:left w:val="nil"/>
              <w:bottom w:val="nil"/>
              <w:right w:val="nil"/>
            </w:tcBorders>
            <w:shd w:val="clear" w:color="000000" w:fill="FFFFFF"/>
            <w:noWrap/>
            <w:vAlign w:val="bottom"/>
            <w:hideMark/>
          </w:tcPr>
          <w:p w14:paraId="201BBDF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64.48%</w:t>
            </w:r>
          </w:p>
        </w:tc>
        <w:tc>
          <w:tcPr>
            <w:tcW w:w="212" w:type="pct"/>
            <w:tcBorders>
              <w:top w:val="nil"/>
              <w:left w:val="nil"/>
              <w:bottom w:val="nil"/>
              <w:right w:val="nil"/>
            </w:tcBorders>
            <w:shd w:val="clear" w:color="000000" w:fill="FFFFFF"/>
            <w:noWrap/>
            <w:vAlign w:val="bottom"/>
            <w:hideMark/>
          </w:tcPr>
          <w:p w14:paraId="6353F9F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65.31%</w:t>
            </w:r>
          </w:p>
        </w:tc>
        <w:tc>
          <w:tcPr>
            <w:tcW w:w="212" w:type="pct"/>
            <w:tcBorders>
              <w:top w:val="nil"/>
              <w:left w:val="nil"/>
              <w:bottom w:val="nil"/>
              <w:right w:val="nil"/>
            </w:tcBorders>
            <w:shd w:val="clear" w:color="000000" w:fill="FFFFFF"/>
            <w:noWrap/>
            <w:vAlign w:val="bottom"/>
            <w:hideMark/>
          </w:tcPr>
          <w:p w14:paraId="27A919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66.18%</w:t>
            </w:r>
          </w:p>
        </w:tc>
        <w:tc>
          <w:tcPr>
            <w:tcW w:w="212" w:type="pct"/>
            <w:tcBorders>
              <w:top w:val="nil"/>
              <w:left w:val="nil"/>
              <w:bottom w:val="nil"/>
              <w:right w:val="nil"/>
            </w:tcBorders>
            <w:shd w:val="clear" w:color="000000" w:fill="FFFFFF"/>
            <w:noWrap/>
            <w:vAlign w:val="bottom"/>
            <w:hideMark/>
          </w:tcPr>
          <w:p w14:paraId="1D45FF2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67.79%</w:t>
            </w:r>
          </w:p>
        </w:tc>
        <w:tc>
          <w:tcPr>
            <w:tcW w:w="212" w:type="pct"/>
            <w:tcBorders>
              <w:top w:val="nil"/>
              <w:left w:val="nil"/>
              <w:bottom w:val="nil"/>
              <w:right w:val="nil"/>
            </w:tcBorders>
            <w:shd w:val="clear" w:color="000000" w:fill="FFFFFF"/>
            <w:noWrap/>
            <w:vAlign w:val="bottom"/>
            <w:hideMark/>
          </w:tcPr>
          <w:p w14:paraId="215964B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68.45%</w:t>
            </w:r>
          </w:p>
        </w:tc>
        <w:tc>
          <w:tcPr>
            <w:tcW w:w="212" w:type="pct"/>
            <w:tcBorders>
              <w:top w:val="nil"/>
              <w:left w:val="nil"/>
              <w:bottom w:val="nil"/>
              <w:right w:val="nil"/>
            </w:tcBorders>
            <w:shd w:val="clear" w:color="000000" w:fill="FFFFFF"/>
            <w:noWrap/>
            <w:vAlign w:val="bottom"/>
            <w:hideMark/>
          </w:tcPr>
          <w:p w14:paraId="7D797E2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68.95%</w:t>
            </w:r>
          </w:p>
        </w:tc>
        <w:tc>
          <w:tcPr>
            <w:tcW w:w="212" w:type="pct"/>
            <w:tcBorders>
              <w:top w:val="nil"/>
              <w:left w:val="nil"/>
              <w:bottom w:val="nil"/>
              <w:right w:val="nil"/>
            </w:tcBorders>
            <w:shd w:val="clear" w:color="000000" w:fill="FFFFFF"/>
            <w:noWrap/>
            <w:vAlign w:val="bottom"/>
            <w:hideMark/>
          </w:tcPr>
          <w:p w14:paraId="38E93E1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69.05%</w:t>
            </w:r>
          </w:p>
        </w:tc>
        <w:tc>
          <w:tcPr>
            <w:tcW w:w="212" w:type="pct"/>
            <w:tcBorders>
              <w:top w:val="nil"/>
              <w:left w:val="nil"/>
              <w:bottom w:val="nil"/>
              <w:right w:val="nil"/>
            </w:tcBorders>
            <w:shd w:val="clear" w:color="000000" w:fill="FFFFFF"/>
            <w:noWrap/>
            <w:vAlign w:val="bottom"/>
            <w:hideMark/>
          </w:tcPr>
          <w:p w14:paraId="66FFBA8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69.78%</w:t>
            </w:r>
          </w:p>
        </w:tc>
        <w:tc>
          <w:tcPr>
            <w:tcW w:w="212" w:type="pct"/>
            <w:tcBorders>
              <w:top w:val="nil"/>
              <w:left w:val="nil"/>
              <w:bottom w:val="nil"/>
              <w:right w:val="nil"/>
            </w:tcBorders>
            <w:shd w:val="clear" w:color="000000" w:fill="FFFFFF"/>
            <w:noWrap/>
            <w:vAlign w:val="bottom"/>
            <w:hideMark/>
          </w:tcPr>
          <w:p w14:paraId="7BA342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69.82%</w:t>
            </w:r>
          </w:p>
        </w:tc>
        <w:tc>
          <w:tcPr>
            <w:tcW w:w="212" w:type="pct"/>
            <w:tcBorders>
              <w:top w:val="nil"/>
              <w:left w:val="nil"/>
              <w:bottom w:val="nil"/>
              <w:right w:val="nil"/>
            </w:tcBorders>
            <w:shd w:val="clear" w:color="000000" w:fill="FFFFFF"/>
            <w:noWrap/>
            <w:vAlign w:val="bottom"/>
            <w:hideMark/>
          </w:tcPr>
          <w:p w14:paraId="4142CAA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69.82%</w:t>
            </w:r>
          </w:p>
        </w:tc>
        <w:tc>
          <w:tcPr>
            <w:tcW w:w="212" w:type="pct"/>
            <w:tcBorders>
              <w:top w:val="nil"/>
              <w:left w:val="nil"/>
              <w:bottom w:val="nil"/>
              <w:right w:val="nil"/>
            </w:tcBorders>
            <w:shd w:val="clear" w:color="000000" w:fill="FFFFFF"/>
            <w:noWrap/>
            <w:vAlign w:val="bottom"/>
            <w:hideMark/>
          </w:tcPr>
          <w:p w14:paraId="3A66669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69.82%</w:t>
            </w:r>
          </w:p>
        </w:tc>
        <w:tc>
          <w:tcPr>
            <w:tcW w:w="212" w:type="pct"/>
            <w:tcBorders>
              <w:top w:val="nil"/>
              <w:left w:val="nil"/>
              <w:bottom w:val="nil"/>
              <w:right w:val="nil"/>
            </w:tcBorders>
            <w:shd w:val="clear" w:color="000000" w:fill="FFFFFF"/>
            <w:noWrap/>
            <w:vAlign w:val="bottom"/>
            <w:hideMark/>
          </w:tcPr>
          <w:p w14:paraId="057A0EC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70.00%</w:t>
            </w:r>
          </w:p>
        </w:tc>
      </w:tr>
      <w:tr w:rsidR="002D2278" w:rsidRPr="002D2278" w14:paraId="2D90B3BE" w14:textId="77777777" w:rsidTr="002D2278">
        <w:trPr>
          <w:trHeight w:val="20"/>
        </w:trPr>
        <w:tc>
          <w:tcPr>
            <w:tcW w:w="663" w:type="pct"/>
            <w:tcBorders>
              <w:top w:val="nil"/>
              <w:left w:val="nil"/>
              <w:bottom w:val="nil"/>
              <w:right w:val="nil"/>
            </w:tcBorders>
            <w:shd w:val="clear" w:color="000000" w:fill="FFFFFF"/>
            <w:noWrap/>
            <w:vAlign w:val="center"/>
            <w:hideMark/>
          </w:tcPr>
          <w:p w14:paraId="37404E86" w14:textId="1381D55A"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2020........................................</w:t>
            </w:r>
          </w:p>
        </w:tc>
        <w:tc>
          <w:tcPr>
            <w:tcW w:w="449" w:type="pct"/>
            <w:tcBorders>
              <w:top w:val="nil"/>
              <w:left w:val="nil"/>
              <w:bottom w:val="nil"/>
              <w:right w:val="nil"/>
            </w:tcBorders>
            <w:shd w:val="clear" w:color="000000" w:fill="FFFFFF"/>
            <w:noWrap/>
            <w:vAlign w:val="bottom"/>
            <w:hideMark/>
          </w:tcPr>
          <w:p w14:paraId="39113D2D"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2020Q1</w:t>
            </w:r>
          </w:p>
        </w:tc>
        <w:tc>
          <w:tcPr>
            <w:tcW w:w="499" w:type="pct"/>
            <w:tcBorders>
              <w:top w:val="nil"/>
              <w:left w:val="nil"/>
              <w:bottom w:val="nil"/>
              <w:right w:val="nil"/>
            </w:tcBorders>
            <w:shd w:val="clear" w:color="000000" w:fill="FFFFFF"/>
            <w:noWrap/>
            <w:vAlign w:val="center"/>
            <w:hideMark/>
          </w:tcPr>
          <w:p w14:paraId="6564C0A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1,724 </w:t>
            </w:r>
          </w:p>
        </w:tc>
        <w:tc>
          <w:tcPr>
            <w:tcW w:w="212" w:type="pct"/>
            <w:tcBorders>
              <w:top w:val="nil"/>
              <w:left w:val="nil"/>
              <w:bottom w:val="nil"/>
              <w:right w:val="nil"/>
            </w:tcBorders>
            <w:shd w:val="clear" w:color="000000" w:fill="FFFFFF"/>
            <w:noWrap/>
            <w:vAlign w:val="bottom"/>
            <w:hideMark/>
          </w:tcPr>
          <w:p w14:paraId="6540010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32.22%</w:t>
            </w:r>
          </w:p>
        </w:tc>
        <w:tc>
          <w:tcPr>
            <w:tcW w:w="212" w:type="pct"/>
            <w:tcBorders>
              <w:top w:val="nil"/>
              <w:left w:val="nil"/>
              <w:bottom w:val="nil"/>
              <w:right w:val="nil"/>
            </w:tcBorders>
            <w:shd w:val="clear" w:color="000000" w:fill="FFFFFF"/>
            <w:noWrap/>
            <w:vAlign w:val="bottom"/>
            <w:hideMark/>
          </w:tcPr>
          <w:p w14:paraId="6373C65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61.28%</w:t>
            </w:r>
          </w:p>
        </w:tc>
        <w:tc>
          <w:tcPr>
            <w:tcW w:w="212" w:type="pct"/>
            <w:tcBorders>
              <w:top w:val="nil"/>
              <w:left w:val="nil"/>
              <w:bottom w:val="nil"/>
              <w:right w:val="nil"/>
            </w:tcBorders>
            <w:shd w:val="clear" w:color="000000" w:fill="FFFFFF"/>
            <w:noWrap/>
            <w:vAlign w:val="bottom"/>
            <w:hideMark/>
          </w:tcPr>
          <w:p w14:paraId="6B8C501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64.23%</w:t>
            </w:r>
          </w:p>
        </w:tc>
        <w:tc>
          <w:tcPr>
            <w:tcW w:w="212" w:type="pct"/>
            <w:tcBorders>
              <w:top w:val="nil"/>
              <w:left w:val="nil"/>
              <w:bottom w:val="nil"/>
              <w:right w:val="nil"/>
            </w:tcBorders>
            <w:shd w:val="clear" w:color="000000" w:fill="FFFFFF"/>
            <w:noWrap/>
            <w:vAlign w:val="bottom"/>
            <w:hideMark/>
          </w:tcPr>
          <w:p w14:paraId="00EA734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65.01%</w:t>
            </w:r>
          </w:p>
        </w:tc>
        <w:tc>
          <w:tcPr>
            <w:tcW w:w="212" w:type="pct"/>
            <w:tcBorders>
              <w:top w:val="nil"/>
              <w:left w:val="nil"/>
              <w:bottom w:val="nil"/>
              <w:right w:val="nil"/>
            </w:tcBorders>
            <w:shd w:val="clear" w:color="000000" w:fill="FFFFFF"/>
            <w:noWrap/>
            <w:vAlign w:val="bottom"/>
            <w:hideMark/>
          </w:tcPr>
          <w:p w14:paraId="3D563A1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65.57%</w:t>
            </w:r>
          </w:p>
        </w:tc>
        <w:tc>
          <w:tcPr>
            <w:tcW w:w="212" w:type="pct"/>
            <w:tcBorders>
              <w:top w:val="nil"/>
              <w:left w:val="nil"/>
              <w:bottom w:val="nil"/>
              <w:right w:val="nil"/>
            </w:tcBorders>
            <w:shd w:val="clear" w:color="000000" w:fill="FFFFFF"/>
            <w:noWrap/>
            <w:vAlign w:val="bottom"/>
            <w:hideMark/>
          </w:tcPr>
          <w:p w14:paraId="2FFFA4D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67.28%</w:t>
            </w:r>
          </w:p>
        </w:tc>
        <w:tc>
          <w:tcPr>
            <w:tcW w:w="212" w:type="pct"/>
            <w:tcBorders>
              <w:top w:val="nil"/>
              <w:left w:val="nil"/>
              <w:bottom w:val="nil"/>
              <w:right w:val="nil"/>
            </w:tcBorders>
            <w:shd w:val="clear" w:color="000000" w:fill="FFFFFF"/>
            <w:noWrap/>
            <w:vAlign w:val="bottom"/>
            <w:hideMark/>
          </w:tcPr>
          <w:p w14:paraId="7D64275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67.64%</w:t>
            </w:r>
          </w:p>
        </w:tc>
        <w:tc>
          <w:tcPr>
            <w:tcW w:w="212" w:type="pct"/>
            <w:tcBorders>
              <w:top w:val="nil"/>
              <w:left w:val="nil"/>
              <w:bottom w:val="nil"/>
              <w:right w:val="nil"/>
            </w:tcBorders>
            <w:shd w:val="clear" w:color="000000" w:fill="FFFFFF"/>
            <w:noWrap/>
            <w:vAlign w:val="bottom"/>
            <w:hideMark/>
          </w:tcPr>
          <w:p w14:paraId="0646473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68.20%</w:t>
            </w:r>
          </w:p>
        </w:tc>
        <w:tc>
          <w:tcPr>
            <w:tcW w:w="212" w:type="pct"/>
            <w:tcBorders>
              <w:top w:val="nil"/>
              <w:left w:val="nil"/>
              <w:bottom w:val="nil"/>
              <w:right w:val="nil"/>
            </w:tcBorders>
            <w:shd w:val="clear" w:color="000000" w:fill="FFFFFF"/>
            <w:noWrap/>
            <w:vAlign w:val="bottom"/>
            <w:hideMark/>
          </w:tcPr>
          <w:p w14:paraId="5127DB2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69.21%</w:t>
            </w:r>
          </w:p>
        </w:tc>
        <w:tc>
          <w:tcPr>
            <w:tcW w:w="212" w:type="pct"/>
            <w:tcBorders>
              <w:top w:val="nil"/>
              <w:left w:val="nil"/>
              <w:bottom w:val="nil"/>
              <w:right w:val="nil"/>
            </w:tcBorders>
            <w:shd w:val="clear" w:color="000000" w:fill="FFFFFF"/>
            <w:noWrap/>
            <w:vAlign w:val="bottom"/>
            <w:hideMark/>
          </w:tcPr>
          <w:p w14:paraId="010E776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69.74%</w:t>
            </w:r>
          </w:p>
        </w:tc>
        <w:tc>
          <w:tcPr>
            <w:tcW w:w="212" w:type="pct"/>
            <w:tcBorders>
              <w:top w:val="nil"/>
              <w:left w:val="nil"/>
              <w:bottom w:val="nil"/>
              <w:right w:val="nil"/>
            </w:tcBorders>
            <w:shd w:val="clear" w:color="000000" w:fill="FFFFFF"/>
            <w:noWrap/>
            <w:vAlign w:val="bottom"/>
            <w:hideMark/>
          </w:tcPr>
          <w:p w14:paraId="230677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69.94%</w:t>
            </w:r>
          </w:p>
        </w:tc>
        <w:tc>
          <w:tcPr>
            <w:tcW w:w="212" w:type="pct"/>
            <w:tcBorders>
              <w:top w:val="nil"/>
              <w:left w:val="nil"/>
              <w:bottom w:val="nil"/>
              <w:right w:val="nil"/>
            </w:tcBorders>
            <w:shd w:val="clear" w:color="000000" w:fill="FFFFFF"/>
            <w:noWrap/>
            <w:vAlign w:val="bottom"/>
            <w:hideMark/>
          </w:tcPr>
          <w:p w14:paraId="4A1FF9A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70.07%</w:t>
            </w:r>
          </w:p>
        </w:tc>
        <w:tc>
          <w:tcPr>
            <w:tcW w:w="212" w:type="pct"/>
            <w:tcBorders>
              <w:top w:val="nil"/>
              <w:left w:val="nil"/>
              <w:bottom w:val="nil"/>
              <w:right w:val="nil"/>
            </w:tcBorders>
            <w:shd w:val="clear" w:color="000000" w:fill="FFFFFF"/>
            <w:noWrap/>
            <w:vAlign w:val="bottom"/>
            <w:hideMark/>
          </w:tcPr>
          <w:p w14:paraId="47BA0A7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70.13%</w:t>
            </w:r>
          </w:p>
        </w:tc>
        <w:tc>
          <w:tcPr>
            <w:tcW w:w="212" w:type="pct"/>
            <w:tcBorders>
              <w:top w:val="nil"/>
              <w:left w:val="nil"/>
              <w:bottom w:val="nil"/>
              <w:right w:val="nil"/>
            </w:tcBorders>
            <w:shd w:val="clear" w:color="000000" w:fill="FFFFFF"/>
            <w:noWrap/>
            <w:vAlign w:val="bottom"/>
            <w:hideMark/>
          </w:tcPr>
          <w:p w14:paraId="473185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70.23%</w:t>
            </w:r>
          </w:p>
        </w:tc>
        <w:tc>
          <w:tcPr>
            <w:tcW w:w="212" w:type="pct"/>
            <w:tcBorders>
              <w:top w:val="nil"/>
              <w:left w:val="nil"/>
              <w:bottom w:val="nil"/>
              <w:right w:val="nil"/>
            </w:tcBorders>
            <w:shd w:val="clear" w:color="000000" w:fill="FFFFFF"/>
            <w:noWrap/>
            <w:vAlign w:val="bottom"/>
            <w:hideMark/>
          </w:tcPr>
          <w:p w14:paraId="51DD3CC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70.28%</w:t>
            </w:r>
          </w:p>
        </w:tc>
        <w:tc>
          <w:tcPr>
            <w:tcW w:w="212" w:type="pct"/>
            <w:tcBorders>
              <w:top w:val="nil"/>
              <w:left w:val="nil"/>
              <w:bottom w:val="nil"/>
              <w:right w:val="nil"/>
            </w:tcBorders>
            <w:shd w:val="clear" w:color="000000" w:fill="FFFFFF"/>
            <w:noWrap/>
            <w:vAlign w:val="bottom"/>
            <w:hideMark/>
          </w:tcPr>
          <w:p w14:paraId="2F716DD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70.32%</w:t>
            </w:r>
          </w:p>
        </w:tc>
      </w:tr>
      <w:tr w:rsidR="002D2278" w:rsidRPr="002D2278" w14:paraId="6BFB6998" w14:textId="77777777" w:rsidTr="002D2278">
        <w:trPr>
          <w:trHeight w:val="20"/>
        </w:trPr>
        <w:tc>
          <w:tcPr>
            <w:tcW w:w="663" w:type="pct"/>
            <w:tcBorders>
              <w:top w:val="nil"/>
              <w:left w:val="nil"/>
              <w:bottom w:val="nil"/>
              <w:right w:val="nil"/>
            </w:tcBorders>
            <w:shd w:val="clear" w:color="000000" w:fill="FFFFFF"/>
            <w:noWrap/>
            <w:vAlign w:val="center"/>
            <w:hideMark/>
          </w:tcPr>
          <w:p w14:paraId="234C4E8D" w14:textId="3F59B3EF"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2020..........................................</w:t>
            </w:r>
          </w:p>
        </w:tc>
        <w:tc>
          <w:tcPr>
            <w:tcW w:w="449" w:type="pct"/>
            <w:tcBorders>
              <w:top w:val="nil"/>
              <w:left w:val="nil"/>
              <w:bottom w:val="nil"/>
              <w:right w:val="nil"/>
            </w:tcBorders>
            <w:shd w:val="clear" w:color="000000" w:fill="FFFFFF"/>
            <w:noWrap/>
            <w:vAlign w:val="bottom"/>
            <w:hideMark/>
          </w:tcPr>
          <w:p w14:paraId="416E387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2020Q2</w:t>
            </w:r>
          </w:p>
        </w:tc>
        <w:tc>
          <w:tcPr>
            <w:tcW w:w="499" w:type="pct"/>
            <w:tcBorders>
              <w:top w:val="nil"/>
              <w:left w:val="nil"/>
              <w:bottom w:val="nil"/>
              <w:right w:val="nil"/>
            </w:tcBorders>
            <w:shd w:val="clear" w:color="000000" w:fill="FFFFFF"/>
            <w:noWrap/>
            <w:vAlign w:val="center"/>
            <w:hideMark/>
          </w:tcPr>
          <w:p w14:paraId="3C79CEE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1,727 </w:t>
            </w:r>
          </w:p>
        </w:tc>
        <w:tc>
          <w:tcPr>
            <w:tcW w:w="212" w:type="pct"/>
            <w:tcBorders>
              <w:top w:val="nil"/>
              <w:left w:val="nil"/>
              <w:bottom w:val="nil"/>
              <w:right w:val="nil"/>
            </w:tcBorders>
            <w:shd w:val="clear" w:color="000000" w:fill="FFFFFF"/>
            <w:noWrap/>
            <w:vAlign w:val="bottom"/>
            <w:hideMark/>
          </w:tcPr>
          <w:p w14:paraId="2803564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30.27%</w:t>
            </w:r>
          </w:p>
        </w:tc>
        <w:tc>
          <w:tcPr>
            <w:tcW w:w="212" w:type="pct"/>
            <w:tcBorders>
              <w:top w:val="nil"/>
              <w:left w:val="nil"/>
              <w:bottom w:val="nil"/>
              <w:right w:val="nil"/>
            </w:tcBorders>
            <w:shd w:val="clear" w:color="000000" w:fill="FFFFFF"/>
            <w:noWrap/>
            <w:vAlign w:val="bottom"/>
            <w:hideMark/>
          </w:tcPr>
          <w:p w14:paraId="23128E6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68.91%</w:t>
            </w:r>
          </w:p>
        </w:tc>
        <w:tc>
          <w:tcPr>
            <w:tcW w:w="212" w:type="pct"/>
            <w:tcBorders>
              <w:top w:val="nil"/>
              <w:left w:val="nil"/>
              <w:bottom w:val="nil"/>
              <w:right w:val="nil"/>
            </w:tcBorders>
            <w:shd w:val="clear" w:color="000000" w:fill="FFFFFF"/>
            <w:noWrap/>
            <w:vAlign w:val="bottom"/>
            <w:hideMark/>
          </w:tcPr>
          <w:p w14:paraId="19EDFBB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70.46%</w:t>
            </w:r>
          </w:p>
        </w:tc>
        <w:tc>
          <w:tcPr>
            <w:tcW w:w="212" w:type="pct"/>
            <w:tcBorders>
              <w:top w:val="nil"/>
              <w:left w:val="nil"/>
              <w:bottom w:val="nil"/>
              <w:right w:val="nil"/>
            </w:tcBorders>
            <w:shd w:val="clear" w:color="000000" w:fill="FFFFFF"/>
            <w:noWrap/>
            <w:vAlign w:val="bottom"/>
            <w:hideMark/>
          </w:tcPr>
          <w:p w14:paraId="59DF078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70.89%</w:t>
            </w:r>
          </w:p>
        </w:tc>
        <w:tc>
          <w:tcPr>
            <w:tcW w:w="212" w:type="pct"/>
            <w:tcBorders>
              <w:top w:val="nil"/>
              <w:left w:val="nil"/>
              <w:bottom w:val="nil"/>
              <w:right w:val="nil"/>
            </w:tcBorders>
            <w:shd w:val="clear" w:color="000000" w:fill="FFFFFF"/>
            <w:noWrap/>
            <w:vAlign w:val="bottom"/>
            <w:hideMark/>
          </w:tcPr>
          <w:p w14:paraId="5C2FC02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72.28%</w:t>
            </w:r>
          </w:p>
        </w:tc>
        <w:tc>
          <w:tcPr>
            <w:tcW w:w="212" w:type="pct"/>
            <w:tcBorders>
              <w:top w:val="nil"/>
              <w:left w:val="nil"/>
              <w:bottom w:val="nil"/>
              <w:right w:val="nil"/>
            </w:tcBorders>
            <w:shd w:val="clear" w:color="000000" w:fill="FFFFFF"/>
            <w:noWrap/>
            <w:vAlign w:val="bottom"/>
            <w:hideMark/>
          </w:tcPr>
          <w:p w14:paraId="2EEB34F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72.63%</w:t>
            </w:r>
          </w:p>
        </w:tc>
        <w:tc>
          <w:tcPr>
            <w:tcW w:w="212" w:type="pct"/>
            <w:tcBorders>
              <w:top w:val="nil"/>
              <w:left w:val="nil"/>
              <w:bottom w:val="nil"/>
              <w:right w:val="nil"/>
            </w:tcBorders>
            <w:shd w:val="clear" w:color="000000" w:fill="FFFFFF"/>
            <w:noWrap/>
            <w:vAlign w:val="bottom"/>
            <w:hideMark/>
          </w:tcPr>
          <w:p w14:paraId="105AD1C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72.98%</w:t>
            </w:r>
          </w:p>
        </w:tc>
        <w:tc>
          <w:tcPr>
            <w:tcW w:w="212" w:type="pct"/>
            <w:tcBorders>
              <w:top w:val="nil"/>
              <w:left w:val="nil"/>
              <w:bottom w:val="nil"/>
              <w:right w:val="nil"/>
            </w:tcBorders>
            <w:shd w:val="clear" w:color="000000" w:fill="FFFFFF"/>
            <w:noWrap/>
            <w:vAlign w:val="bottom"/>
            <w:hideMark/>
          </w:tcPr>
          <w:p w14:paraId="072F6D8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73.53%</w:t>
            </w:r>
          </w:p>
        </w:tc>
        <w:tc>
          <w:tcPr>
            <w:tcW w:w="212" w:type="pct"/>
            <w:tcBorders>
              <w:top w:val="nil"/>
              <w:left w:val="nil"/>
              <w:bottom w:val="nil"/>
              <w:right w:val="nil"/>
            </w:tcBorders>
            <w:shd w:val="clear" w:color="000000" w:fill="FFFFFF"/>
            <w:noWrap/>
            <w:vAlign w:val="bottom"/>
            <w:hideMark/>
          </w:tcPr>
          <w:p w14:paraId="418AB06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74.29%</w:t>
            </w:r>
          </w:p>
        </w:tc>
        <w:tc>
          <w:tcPr>
            <w:tcW w:w="212" w:type="pct"/>
            <w:tcBorders>
              <w:top w:val="nil"/>
              <w:left w:val="nil"/>
              <w:bottom w:val="nil"/>
              <w:right w:val="nil"/>
            </w:tcBorders>
            <w:shd w:val="clear" w:color="000000" w:fill="FFFFFF"/>
            <w:noWrap/>
            <w:vAlign w:val="bottom"/>
            <w:hideMark/>
          </w:tcPr>
          <w:p w14:paraId="009D8A9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74.46%</w:t>
            </w:r>
          </w:p>
        </w:tc>
        <w:tc>
          <w:tcPr>
            <w:tcW w:w="212" w:type="pct"/>
            <w:tcBorders>
              <w:top w:val="nil"/>
              <w:left w:val="nil"/>
              <w:bottom w:val="nil"/>
              <w:right w:val="nil"/>
            </w:tcBorders>
            <w:shd w:val="clear" w:color="000000" w:fill="FFFFFF"/>
            <w:noWrap/>
            <w:vAlign w:val="bottom"/>
            <w:hideMark/>
          </w:tcPr>
          <w:p w14:paraId="36DAF81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74.64%</w:t>
            </w:r>
          </w:p>
        </w:tc>
        <w:tc>
          <w:tcPr>
            <w:tcW w:w="212" w:type="pct"/>
            <w:tcBorders>
              <w:top w:val="nil"/>
              <w:left w:val="nil"/>
              <w:bottom w:val="nil"/>
              <w:right w:val="nil"/>
            </w:tcBorders>
            <w:shd w:val="clear" w:color="000000" w:fill="FFFFFF"/>
            <w:noWrap/>
            <w:vAlign w:val="bottom"/>
            <w:hideMark/>
          </w:tcPr>
          <w:p w14:paraId="096D0C9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74.73%</w:t>
            </w:r>
          </w:p>
        </w:tc>
        <w:tc>
          <w:tcPr>
            <w:tcW w:w="212" w:type="pct"/>
            <w:tcBorders>
              <w:top w:val="nil"/>
              <w:left w:val="nil"/>
              <w:bottom w:val="nil"/>
              <w:right w:val="nil"/>
            </w:tcBorders>
            <w:shd w:val="clear" w:color="000000" w:fill="FFFFFF"/>
            <w:noWrap/>
            <w:vAlign w:val="bottom"/>
            <w:hideMark/>
          </w:tcPr>
          <w:p w14:paraId="3787ACB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74.87%</w:t>
            </w:r>
          </w:p>
        </w:tc>
        <w:tc>
          <w:tcPr>
            <w:tcW w:w="212" w:type="pct"/>
            <w:tcBorders>
              <w:top w:val="nil"/>
              <w:left w:val="nil"/>
              <w:bottom w:val="nil"/>
              <w:right w:val="nil"/>
            </w:tcBorders>
            <w:shd w:val="clear" w:color="000000" w:fill="FFFFFF"/>
            <w:noWrap/>
            <w:vAlign w:val="bottom"/>
            <w:hideMark/>
          </w:tcPr>
          <w:p w14:paraId="6AF95EA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74.98%</w:t>
            </w:r>
          </w:p>
        </w:tc>
        <w:tc>
          <w:tcPr>
            <w:tcW w:w="212" w:type="pct"/>
            <w:tcBorders>
              <w:top w:val="nil"/>
              <w:left w:val="nil"/>
              <w:bottom w:val="nil"/>
              <w:right w:val="nil"/>
            </w:tcBorders>
            <w:shd w:val="clear" w:color="000000" w:fill="FFFFFF"/>
            <w:noWrap/>
            <w:vAlign w:val="bottom"/>
            <w:hideMark/>
          </w:tcPr>
          <w:p w14:paraId="7BB1817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75.14%</w:t>
            </w:r>
          </w:p>
        </w:tc>
        <w:tc>
          <w:tcPr>
            <w:tcW w:w="212" w:type="pct"/>
            <w:tcBorders>
              <w:top w:val="nil"/>
              <w:left w:val="nil"/>
              <w:bottom w:val="nil"/>
              <w:right w:val="nil"/>
            </w:tcBorders>
            <w:shd w:val="clear" w:color="000000" w:fill="FFFFFF"/>
            <w:noWrap/>
            <w:vAlign w:val="bottom"/>
            <w:hideMark/>
          </w:tcPr>
          <w:p w14:paraId="63C086A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75.27%</w:t>
            </w:r>
          </w:p>
        </w:tc>
      </w:tr>
      <w:tr w:rsidR="002D2278" w:rsidRPr="002D2278" w14:paraId="60584CCC" w14:textId="77777777" w:rsidTr="002D2278">
        <w:trPr>
          <w:trHeight w:val="20"/>
        </w:trPr>
        <w:tc>
          <w:tcPr>
            <w:tcW w:w="663" w:type="pct"/>
            <w:tcBorders>
              <w:top w:val="nil"/>
              <w:left w:val="nil"/>
              <w:bottom w:val="nil"/>
              <w:right w:val="nil"/>
            </w:tcBorders>
            <w:shd w:val="clear" w:color="000000" w:fill="FFFFFF"/>
            <w:noWrap/>
            <w:vAlign w:val="center"/>
            <w:hideMark/>
          </w:tcPr>
          <w:p w14:paraId="270EE8C0"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2020..............................</w:t>
            </w:r>
          </w:p>
        </w:tc>
        <w:tc>
          <w:tcPr>
            <w:tcW w:w="449" w:type="pct"/>
            <w:tcBorders>
              <w:top w:val="nil"/>
              <w:left w:val="nil"/>
              <w:bottom w:val="nil"/>
              <w:right w:val="nil"/>
            </w:tcBorders>
            <w:shd w:val="clear" w:color="000000" w:fill="FFFFFF"/>
            <w:noWrap/>
            <w:vAlign w:val="bottom"/>
            <w:hideMark/>
          </w:tcPr>
          <w:p w14:paraId="0203E366"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2020Q3</w:t>
            </w:r>
          </w:p>
        </w:tc>
        <w:tc>
          <w:tcPr>
            <w:tcW w:w="499" w:type="pct"/>
            <w:tcBorders>
              <w:top w:val="nil"/>
              <w:left w:val="nil"/>
              <w:bottom w:val="nil"/>
              <w:right w:val="nil"/>
            </w:tcBorders>
            <w:shd w:val="clear" w:color="000000" w:fill="FFFFFF"/>
            <w:noWrap/>
            <w:vAlign w:val="center"/>
            <w:hideMark/>
          </w:tcPr>
          <w:p w14:paraId="6A3764C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1,877 </w:t>
            </w:r>
          </w:p>
        </w:tc>
        <w:tc>
          <w:tcPr>
            <w:tcW w:w="212" w:type="pct"/>
            <w:tcBorders>
              <w:top w:val="nil"/>
              <w:left w:val="nil"/>
              <w:bottom w:val="nil"/>
              <w:right w:val="nil"/>
            </w:tcBorders>
            <w:shd w:val="clear" w:color="000000" w:fill="FFFFFF"/>
            <w:noWrap/>
            <w:vAlign w:val="bottom"/>
            <w:hideMark/>
          </w:tcPr>
          <w:p w14:paraId="6A21B38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38.57%</w:t>
            </w:r>
          </w:p>
        </w:tc>
        <w:tc>
          <w:tcPr>
            <w:tcW w:w="212" w:type="pct"/>
            <w:tcBorders>
              <w:top w:val="nil"/>
              <w:left w:val="nil"/>
              <w:bottom w:val="nil"/>
              <w:right w:val="nil"/>
            </w:tcBorders>
            <w:shd w:val="clear" w:color="000000" w:fill="FFFFFF"/>
            <w:noWrap/>
            <w:vAlign w:val="bottom"/>
            <w:hideMark/>
          </w:tcPr>
          <w:p w14:paraId="29F2453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67.17%</w:t>
            </w:r>
          </w:p>
        </w:tc>
        <w:tc>
          <w:tcPr>
            <w:tcW w:w="212" w:type="pct"/>
            <w:tcBorders>
              <w:top w:val="nil"/>
              <w:left w:val="nil"/>
              <w:bottom w:val="nil"/>
              <w:right w:val="nil"/>
            </w:tcBorders>
            <w:shd w:val="clear" w:color="000000" w:fill="FFFFFF"/>
            <w:noWrap/>
            <w:vAlign w:val="bottom"/>
            <w:hideMark/>
          </w:tcPr>
          <w:p w14:paraId="4E557D9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73.29%</w:t>
            </w:r>
          </w:p>
        </w:tc>
        <w:tc>
          <w:tcPr>
            <w:tcW w:w="212" w:type="pct"/>
            <w:tcBorders>
              <w:top w:val="nil"/>
              <w:left w:val="nil"/>
              <w:bottom w:val="nil"/>
              <w:right w:val="nil"/>
            </w:tcBorders>
            <w:shd w:val="clear" w:color="000000" w:fill="FFFFFF"/>
            <w:noWrap/>
            <w:vAlign w:val="bottom"/>
            <w:hideMark/>
          </w:tcPr>
          <w:p w14:paraId="40C0997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76.19%</w:t>
            </w:r>
          </w:p>
        </w:tc>
        <w:tc>
          <w:tcPr>
            <w:tcW w:w="212" w:type="pct"/>
            <w:tcBorders>
              <w:top w:val="nil"/>
              <w:left w:val="nil"/>
              <w:bottom w:val="nil"/>
              <w:right w:val="nil"/>
            </w:tcBorders>
            <w:shd w:val="clear" w:color="000000" w:fill="FFFFFF"/>
            <w:noWrap/>
            <w:vAlign w:val="bottom"/>
            <w:hideMark/>
          </w:tcPr>
          <w:p w14:paraId="37CC7B9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76.84%</w:t>
            </w:r>
          </w:p>
        </w:tc>
        <w:tc>
          <w:tcPr>
            <w:tcW w:w="212" w:type="pct"/>
            <w:tcBorders>
              <w:top w:val="nil"/>
              <w:left w:val="nil"/>
              <w:bottom w:val="nil"/>
              <w:right w:val="nil"/>
            </w:tcBorders>
            <w:shd w:val="clear" w:color="000000" w:fill="FFFFFF"/>
            <w:noWrap/>
            <w:vAlign w:val="bottom"/>
            <w:hideMark/>
          </w:tcPr>
          <w:p w14:paraId="3AAE386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77.15%</w:t>
            </w:r>
          </w:p>
        </w:tc>
        <w:tc>
          <w:tcPr>
            <w:tcW w:w="212" w:type="pct"/>
            <w:tcBorders>
              <w:top w:val="nil"/>
              <w:left w:val="nil"/>
              <w:bottom w:val="nil"/>
              <w:right w:val="nil"/>
            </w:tcBorders>
            <w:shd w:val="clear" w:color="000000" w:fill="FFFFFF"/>
            <w:noWrap/>
            <w:vAlign w:val="bottom"/>
            <w:hideMark/>
          </w:tcPr>
          <w:p w14:paraId="48B5C9F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77.55%</w:t>
            </w:r>
          </w:p>
        </w:tc>
        <w:tc>
          <w:tcPr>
            <w:tcW w:w="212" w:type="pct"/>
            <w:tcBorders>
              <w:top w:val="nil"/>
              <w:left w:val="nil"/>
              <w:bottom w:val="nil"/>
              <w:right w:val="nil"/>
            </w:tcBorders>
            <w:shd w:val="clear" w:color="000000" w:fill="FFFFFF"/>
            <w:noWrap/>
            <w:vAlign w:val="bottom"/>
            <w:hideMark/>
          </w:tcPr>
          <w:p w14:paraId="0112C6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78.29%</w:t>
            </w:r>
          </w:p>
        </w:tc>
        <w:tc>
          <w:tcPr>
            <w:tcW w:w="212" w:type="pct"/>
            <w:tcBorders>
              <w:top w:val="nil"/>
              <w:left w:val="nil"/>
              <w:bottom w:val="nil"/>
              <w:right w:val="nil"/>
            </w:tcBorders>
            <w:shd w:val="clear" w:color="000000" w:fill="FFFFFF"/>
            <w:noWrap/>
            <w:vAlign w:val="bottom"/>
            <w:hideMark/>
          </w:tcPr>
          <w:p w14:paraId="484A83D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78.46%</w:t>
            </w:r>
          </w:p>
        </w:tc>
        <w:tc>
          <w:tcPr>
            <w:tcW w:w="212" w:type="pct"/>
            <w:tcBorders>
              <w:top w:val="nil"/>
              <w:left w:val="nil"/>
              <w:bottom w:val="nil"/>
              <w:right w:val="nil"/>
            </w:tcBorders>
            <w:shd w:val="clear" w:color="000000" w:fill="FFFFFF"/>
            <w:noWrap/>
            <w:vAlign w:val="bottom"/>
            <w:hideMark/>
          </w:tcPr>
          <w:p w14:paraId="6DAFDB5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79.83%</w:t>
            </w:r>
          </w:p>
        </w:tc>
        <w:tc>
          <w:tcPr>
            <w:tcW w:w="212" w:type="pct"/>
            <w:tcBorders>
              <w:top w:val="nil"/>
              <w:left w:val="nil"/>
              <w:bottom w:val="nil"/>
              <w:right w:val="nil"/>
            </w:tcBorders>
            <w:shd w:val="clear" w:color="000000" w:fill="FFFFFF"/>
            <w:noWrap/>
            <w:vAlign w:val="bottom"/>
            <w:hideMark/>
          </w:tcPr>
          <w:p w14:paraId="0E7E8BE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80.06%</w:t>
            </w:r>
          </w:p>
        </w:tc>
        <w:tc>
          <w:tcPr>
            <w:tcW w:w="212" w:type="pct"/>
            <w:tcBorders>
              <w:top w:val="nil"/>
              <w:left w:val="nil"/>
              <w:bottom w:val="nil"/>
              <w:right w:val="nil"/>
            </w:tcBorders>
            <w:shd w:val="clear" w:color="000000" w:fill="FFFFFF"/>
            <w:noWrap/>
            <w:vAlign w:val="bottom"/>
            <w:hideMark/>
          </w:tcPr>
          <w:p w14:paraId="27CAA53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80.49%</w:t>
            </w:r>
          </w:p>
        </w:tc>
        <w:tc>
          <w:tcPr>
            <w:tcW w:w="212" w:type="pct"/>
            <w:tcBorders>
              <w:top w:val="nil"/>
              <w:left w:val="nil"/>
              <w:bottom w:val="nil"/>
              <w:right w:val="nil"/>
            </w:tcBorders>
            <w:shd w:val="clear" w:color="000000" w:fill="FFFFFF"/>
            <w:noWrap/>
            <w:vAlign w:val="bottom"/>
            <w:hideMark/>
          </w:tcPr>
          <w:p w14:paraId="2430151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80.84%</w:t>
            </w:r>
          </w:p>
        </w:tc>
        <w:tc>
          <w:tcPr>
            <w:tcW w:w="212" w:type="pct"/>
            <w:tcBorders>
              <w:top w:val="nil"/>
              <w:left w:val="nil"/>
              <w:bottom w:val="nil"/>
              <w:right w:val="nil"/>
            </w:tcBorders>
            <w:shd w:val="clear" w:color="000000" w:fill="FFFFFF"/>
            <w:noWrap/>
            <w:vAlign w:val="bottom"/>
            <w:hideMark/>
          </w:tcPr>
          <w:p w14:paraId="63A576A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81.26%</w:t>
            </w:r>
          </w:p>
        </w:tc>
        <w:tc>
          <w:tcPr>
            <w:tcW w:w="212" w:type="pct"/>
            <w:tcBorders>
              <w:top w:val="nil"/>
              <w:left w:val="nil"/>
              <w:bottom w:val="nil"/>
              <w:right w:val="nil"/>
            </w:tcBorders>
            <w:shd w:val="clear" w:color="000000" w:fill="FFFFFF"/>
            <w:noWrap/>
            <w:vAlign w:val="bottom"/>
            <w:hideMark/>
          </w:tcPr>
          <w:p w14:paraId="5DC5F56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81.40%</w:t>
            </w:r>
          </w:p>
        </w:tc>
        <w:tc>
          <w:tcPr>
            <w:tcW w:w="212" w:type="pct"/>
            <w:tcBorders>
              <w:top w:val="nil"/>
              <w:left w:val="nil"/>
              <w:bottom w:val="nil"/>
              <w:right w:val="nil"/>
            </w:tcBorders>
            <w:shd w:val="clear" w:color="000000" w:fill="FFFFFF"/>
            <w:noWrap/>
            <w:vAlign w:val="bottom"/>
            <w:hideMark/>
          </w:tcPr>
          <w:p w14:paraId="0E65541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81.48%</w:t>
            </w:r>
          </w:p>
        </w:tc>
      </w:tr>
      <w:tr w:rsidR="002D2278" w:rsidRPr="002D2278" w14:paraId="70201BC2" w14:textId="77777777" w:rsidTr="002D2278">
        <w:trPr>
          <w:trHeight w:val="20"/>
        </w:trPr>
        <w:tc>
          <w:tcPr>
            <w:tcW w:w="663" w:type="pct"/>
            <w:tcBorders>
              <w:top w:val="nil"/>
              <w:left w:val="nil"/>
              <w:bottom w:val="nil"/>
              <w:right w:val="nil"/>
            </w:tcBorders>
            <w:shd w:val="clear" w:color="000000" w:fill="FFFFFF"/>
            <w:noWrap/>
            <w:vAlign w:val="center"/>
            <w:hideMark/>
          </w:tcPr>
          <w:p w14:paraId="368728C5" w14:textId="17AF0156"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2020...............................</w:t>
            </w:r>
          </w:p>
        </w:tc>
        <w:tc>
          <w:tcPr>
            <w:tcW w:w="449" w:type="pct"/>
            <w:tcBorders>
              <w:top w:val="nil"/>
              <w:left w:val="nil"/>
              <w:bottom w:val="nil"/>
              <w:right w:val="nil"/>
            </w:tcBorders>
            <w:shd w:val="clear" w:color="000000" w:fill="FFFFFF"/>
            <w:noWrap/>
            <w:vAlign w:val="bottom"/>
            <w:hideMark/>
          </w:tcPr>
          <w:p w14:paraId="7A33CE4D"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2020Q4</w:t>
            </w:r>
          </w:p>
        </w:tc>
        <w:tc>
          <w:tcPr>
            <w:tcW w:w="499" w:type="pct"/>
            <w:tcBorders>
              <w:top w:val="nil"/>
              <w:left w:val="nil"/>
              <w:bottom w:val="nil"/>
              <w:right w:val="nil"/>
            </w:tcBorders>
            <w:shd w:val="clear" w:color="000000" w:fill="FFFFFF"/>
            <w:noWrap/>
            <w:vAlign w:val="center"/>
            <w:hideMark/>
          </w:tcPr>
          <w:p w14:paraId="307E5DC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1,449 </w:t>
            </w:r>
          </w:p>
        </w:tc>
        <w:tc>
          <w:tcPr>
            <w:tcW w:w="212" w:type="pct"/>
            <w:tcBorders>
              <w:top w:val="nil"/>
              <w:left w:val="nil"/>
              <w:bottom w:val="nil"/>
              <w:right w:val="nil"/>
            </w:tcBorders>
            <w:shd w:val="clear" w:color="000000" w:fill="FFFFFF"/>
            <w:noWrap/>
            <w:vAlign w:val="bottom"/>
            <w:hideMark/>
          </w:tcPr>
          <w:p w14:paraId="7AE0743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47.20%</w:t>
            </w:r>
          </w:p>
        </w:tc>
        <w:tc>
          <w:tcPr>
            <w:tcW w:w="212" w:type="pct"/>
            <w:tcBorders>
              <w:top w:val="nil"/>
              <w:left w:val="nil"/>
              <w:bottom w:val="nil"/>
              <w:right w:val="nil"/>
            </w:tcBorders>
            <w:shd w:val="clear" w:color="000000" w:fill="FFFFFF"/>
            <w:noWrap/>
            <w:vAlign w:val="bottom"/>
            <w:hideMark/>
          </w:tcPr>
          <w:p w14:paraId="0FD7EC9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73.87%</w:t>
            </w:r>
          </w:p>
        </w:tc>
        <w:tc>
          <w:tcPr>
            <w:tcW w:w="212" w:type="pct"/>
            <w:tcBorders>
              <w:top w:val="nil"/>
              <w:left w:val="nil"/>
              <w:bottom w:val="nil"/>
              <w:right w:val="nil"/>
            </w:tcBorders>
            <w:shd w:val="clear" w:color="000000" w:fill="FFFFFF"/>
            <w:noWrap/>
            <w:vAlign w:val="bottom"/>
            <w:hideMark/>
          </w:tcPr>
          <w:p w14:paraId="699BA80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76.00%</w:t>
            </w:r>
          </w:p>
        </w:tc>
        <w:tc>
          <w:tcPr>
            <w:tcW w:w="212" w:type="pct"/>
            <w:tcBorders>
              <w:top w:val="nil"/>
              <w:left w:val="nil"/>
              <w:bottom w:val="nil"/>
              <w:right w:val="nil"/>
            </w:tcBorders>
            <w:shd w:val="clear" w:color="000000" w:fill="FFFFFF"/>
            <w:noWrap/>
            <w:vAlign w:val="bottom"/>
            <w:hideMark/>
          </w:tcPr>
          <w:p w14:paraId="138A129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78.40%</w:t>
            </w:r>
          </w:p>
        </w:tc>
        <w:tc>
          <w:tcPr>
            <w:tcW w:w="212" w:type="pct"/>
            <w:tcBorders>
              <w:top w:val="nil"/>
              <w:left w:val="nil"/>
              <w:bottom w:val="nil"/>
              <w:right w:val="nil"/>
            </w:tcBorders>
            <w:shd w:val="clear" w:color="000000" w:fill="FFFFFF"/>
            <w:noWrap/>
            <w:vAlign w:val="bottom"/>
            <w:hideMark/>
          </w:tcPr>
          <w:p w14:paraId="32F758C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79.14%</w:t>
            </w:r>
          </w:p>
        </w:tc>
        <w:tc>
          <w:tcPr>
            <w:tcW w:w="212" w:type="pct"/>
            <w:tcBorders>
              <w:top w:val="nil"/>
              <w:left w:val="nil"/>
              <w:bottom w:val="nil"/>
              <w:right w:val="nil"/>
            </w:tcBorders>
            <w:shd w:val="clear" w:color="000000" w:fill="FFFFFF"/>
            <w:noWrap/>
            <w:vAlign w:val="bottom"/>
            <w:hideMark/>
          </w:tcPr>
          <w:p w14:paraId="5616DB0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79.57%</w:t>
            </w:r>
          </w:p>
        </w:tc>
        <w:tc>
          <w:tcPr>
            <w:tcW w:w="212" w:type="pct"/>
            <w:tcBorders>
              <w:top w:val="nil"/>
              <w:left w:val="nil"/>
              <w:bottom w:val="nil"/>
              <w:right w:val="nil"/>
            </w:tcBorders>
            <w:shd w:val="clear" w:color="000000" w:fill="FFFFFF"/>
            <w:noWrap/>
            <w:vAlign w:val="bottom"/>
            <w:hideMark/>
          </w:tcPr>
          <w:p w14:paraId="45DCC57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80.16%</w:t>
            </w:r>
          </w:p>
        </w:tc>
        <w:tc>
          <w:tcPr>
            <w:tcW w:w="212" w:type="pct"/>
            <w:tcBorders>
              <w:top w:val="nil"/>
              <w:left w:val="nil"/>
              <w:bottom w:val="nil"/>
              <w:right w:val="nil"/>
            </w:tcBorders>
            <w:shd w:val="clear" w:color="000000" w:fill="FFFFFF"/>
            <w:noWrap/>
            <w:vAlign w:val="bottom"/>
            <w:hideMark/>
          </w:tcPr>
          <w:p w14:paraId="418FB1E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80.82%</w:t>
            </w:r>
          </w:p>
        </w:tc>
        <w:tc>
          <w:tcPr>
            <w:tcW w:w="212" w:type="pct"/>
            <w:tcBorders>
              <w:top w:val="nil"/>
              <w:left w:val="nil"/>
              <w:bottom w:val="nil"/>
              <w:right w:val="nil"/>
            </w:tcBorders>
            <w:shd w:val="clear" w:color="000000" w:fill="FFFFFF"/>
            <w:noWrap/>
            <w:vAlign w:val="bottom"/>
            <w:hideMark/>
          </w:tcPr>
          <w:p w14:paraId="40A9D98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82.03%</w:t>
            </w:r>
          </w:p>
        </w:tc>
        <w:tc>
          <w:tcPr>
            <w:tcW w:w="212" w:type="pct"/>
            <w:tcBorders>
              <w:top w:val="nil"/>
              <w:left w:val="nil"/>
              <w:bottom w:val="nil"/>
              <w:right w:val="nil"/>
            </w:tcBorders>
            <w:shd w:val="clear" w:color="000000" w:fill="FFFFFF"/>
            <w:noWrap/>
            <w:vAlign w:val="bottom"/>
            <w:hideMark/>
          </w:tcPr>
          <w:p w14:paraId="4F0B7A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82.84%</w:t>
            </w:r>
          </w:p>
        </w:tc>
        <w:tc>
          <w:tcPr>
            <w:tcW w:w="212" w:type="pct"/>
            <w:tcBorders>
              <w:top w:val="nil"/>
              <w:left w:val="nil"/>
              <w:bottom w:val="nil"/>
              <w:right w:val="nil"/>
            </w:tcBorders>
            <w:shd w:val="clear" w:color="000000" w:fill="FFFFFF"/>
            <w:noWrap/>
            <w:vAlign w:val="bottom"/>
            <w:hideMark/>
          </w:tcPr>
          <w:p w14:paraId="06643B4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83.48%</w:t>
            </w:r>
          </w:p>
        </w:tc>
        <w:tc>
          <w:tcPr>
            <w:tcW w:w="212" w:type="pct"/>
            <w:tcBorders>
              <w:top w:val="nil"/>
              <w:left w:val="nil"/>
              <w:bottom w:val="nil"/>
              <w:right w:val="nil"/>
            </w:tcBorders>
            <w:shd w:val="clear" w:color="000000" w:fill="FFFFFF"/>
            <w:noWrap/>
            <w:vAlign w:val="bottom"/>
            <w:hideMark/>
          </w:tcPr>
          <w:p w14:paraId="4E43F06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83.74%</w:t>
            </w:r>
          </w:p>
        </w:tc>
        <w:tc>
          <w:tcPr>
            <w:tcW w:w="212" w:type="pct"/>
            <w:tcBorders>
              <w:top w:val="nil"/>
              <w:left w:val="nil"/>
              <w:bottom w:val="nil"/>
              <w:right w:val="nil"/>
            </w:tcBorders>
            <w:shd w:val="clear" w:color="000000" w:fill="FFFFFF"/>
            <w:noWrap/>
            <w:vAlign w:val="bottom"/>
            <w:hideMark/>
          </w:tcPr>
          <w:p w14:paraId="1F6AB42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84.13%</w:t>
            </w:r>
          </w:p>
        </w:tc>
        <w:tc>
          <w:tcPr>
            <w:tcW w:w="212" w:type="pct"/>
            <w:tcBorders>
              <w:top w:val="nil"/>
              <w:left w:val="nil"/>
              <w:bottom w:val="nil"/>
              <w:right w:val="nil"/>
            </w:tcBorders>
            <w:shd w:val="clear" w:color="000000" w:fill="FFFFFF"/>
            <w:noWrap/>
            <w:vAlign w:val="bottom"/>
            <w:hideMark/>
          </w:tcPr>
          <w:p w14:paraId="5B8E04F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84.26%</w:t>
            </w:r>
          </w:p>
        </w:tc>
        <w:tc>
          <w:tcPr>
            <w:tcW w:w="212" w:type="pct"/>
            <w:tcBorders>
              <w:top w:val="nil"/>
              <w:left w:val="nil"/>
              <w:bottom w:val="nil"/>
              <w:right w:val="nil"/>
            </w:tcBorders>
            <w:shd w:val="clear" w:color="000000" w:fill="FFFFFF"/>
            <w:noWrap/>
            <w:vAlign w:val="bottom"/>
            <w:hideMark/>
          </w:tcPr>
          <w:p w14:paraId="726299C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84.35%</w:t>
            </w:r>
          </w:p>
        </w:tc>
        <w:tc>
          <w:tcPr>
            <w:tcW w:w="212" w:type="pct"/>
            <w:tcBorders>
              <w:top w:val="nil"/>
              <w:left w:val="nil"/>
              <w:bottom w:val="nil"/>
              <w:right w:val="nil"/>
            </w:tcBorders>
            <w:shd w:val="clear" w:color="000000" w:fill="FFFFFF"/>
            <w:noWrap/>
            <w:vAlign w:val="bottom"/>
            <w:hideMark/>
          </w:tcPr>
          <w:p w14:paraId="4BB1694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84.42%</w:t>
            </w:r>
          </w:p>
        </w:tc>
      </w:tr>
      <w:tr w:rsidR="002D2278" w:rsidRPr="002D2278" w14:paraId="5EC76959" w14:textId="77777777" w:rsidTr="002D2278">
        <w:trPr>
          <w:trHeight w:val="20"/>
        </w:trPr>
        <w:tc>
          <w:tcPr>
            <w:tcW w:w="663" w:type="pct"/>
            <w:tcBorders>
              <w:top w:val="nil"/>
              <w:left w:val="nil"/>
              <w:bottom w:val="nil"/>
              <w:right w:val="nil"/>
            </w:tcBorders>
            <w:shd w:val="clear" w:color="000000" w:fill="FFFFFF"/>
            <w:noWrap/>
            <w:vAlign w:val="center"/>
            <w:hideMark/>
          </w:tcPr>
          <w:p w14:paraId="1AD5DB50" w14:textId="6C865B0D"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2021........................................</w:t>
            </w:r>
          </w:p>
        </w:tc>
        <w:tc>
          <w:tcPr>
            <w:tcW w:w="449" w:type="pct"/>
            <w:tcBorders>
              <w:top w:val="nil"/>
              <w:left w:val="nil"/>
              <w:bottom w:val="nil"/>
              <w:right w:val="nil"/>
            </w:tcBorders>
            <w:shd w:val="clear" w:color="000000" w:fill="FFFFFF"/>
            <w:noWrap/>
            <w:vAlign w:val="bottom"/>
            <w:hideMark/>
          </w:tcPr>
          <w:p w14:paraId="194B4D07"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2021Q1</w:t>
            </w:r>
          </w:p>
        </w:tc>
        <w:tc>
          <w:tcPr>
            <w:tcW w:w="499" w:type="pct"/>
            <w:tcBorders>
              <w:top w:val="nil"/>
              <w:left w:val="nil"/>
              <w:bottom w:val="nil"/>
              <w:right w:val="nil"/>
            </w:tcBorders>
            <w:shd w:val="clear" w:color="000000" w:fill="FFFFFF"/>
            <w:noWrap/>
            <w:vAlign w:val="center"/>
            <w:hideMark/>
          </w:tcPr>
          <w:p w14:paraId="78D6CB8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1,811 </w:t>
            </w:r>
          </w:p>
        </w:tc>
        <w:tc>
          <w:tcPr>
            <w:tcW w:w="212" w:type="pct"/>
            <w:tcBorders>
              <w:top w:val="nil"/>
              <w:left w:val="nil"/>
              <w:bottom w:val="nil"/>
              <w:right w:val="nil"/>
            </w:tcBorders>
            <w:shd w:val="clear" w:color="000000" w:fill="FFFFFF"/>
            <w:noWrap/>
            <w:vAlign w:val="bottom"/>
            <w:hideMark/>
          </w:tcPr>
          <w:p w14:paraId="634AC68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37.01%</w:t>
            </w:r>
          </w:p>
        </w:tc>
        <w:tc>
          <w:tcPr>
            <w:tcW w:w="212" w:type="pct"/>
            <w:tcBorders>
              <w:top w:val="nil"/>
              <w:left w:val="nil"/>
              <w:bottom w:val="nil"/>
              <w:right w:val="nil"/>
            </w:tcBorders>
            <w:shd w:val="clear" w:color="000000" w:fill="FFFFFF"/>
            <w:noWrap/>
            <w:vAlign w:val="bottom"/>
            <w:hideMark/>
          </w:tcPr>
          <w:p w14:paraId="46AFADD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69.94%</w:t>
            </w:r>
          </w:p>
        </w:tc>
        <w:tc>
          <w:tcPr>
            <w:tcW w:w="212" w:type="pct"/>
            <w:tcBorders>
              <w:top w:val="nil"/>
              <w:left w:val="nil"/>
              <w:bottom w:val="nil"/>
              <w:right w:val="nil"/>
            </w:tcBorders>
            <w:shd w:val="clear" w:color="000000" w:fill="FFFFFF"/>
            <w:noWrap/>
            <w:vAlign w:val="bottom"/>
            <w:hideMark/>
          </w:tcPr>
          <w:p w14:paraId="5CAE02A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71.88%</w:t>
            </w:r>
          </w:p>
        </w:tc>
        <w:tc>
          <w:tcPr>
            <w:tcW w:w="212" w:type="pct"/>
            <w:tcBorders>
              <w:top w:val="nil"/>
              <w:left w:val="nil"/>
              <w:bottom w:val="nil"/>
              <w:right w:val="nil"/>
            </w:tcBorders>
            <w:shd w:val="clear" w:color="000000" w:fill="FFFFFF"/>
            <w:noWrap/>
            <w:vAlign w:val="bottom"/>
            <w:hideMark/>
          </w:tcPr>
          <w:p w14:paraId="1AA894D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73.09%</w:t>
            </w:r>
          </w:p>
        </w:tc>
        <w:tc>
          <w:tcPr>
            <w:tcW w:w="212" w:type="pct"/>
            <w:tcBorders>
              <w:top w:val="nil"/>
              <w:left w:val="nil"/>
              <w:bottom w:val="nil"/>
              <w:right w:val="nil"/>
            </w:tcBorders>
            <w:shd w:val="clear" w:color="000000" w:fill="FFFFFF"/>
            <w:noWrap/>
            <w:vAlign w:val="bottom"/>
            <w:hideMark/>
          </w:tcPr>
          <w:p w14:paraId="5061C8B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73.80%</w:t>
            </w:r>
          </w:p>
        </w:tc>
        <w:tc>
          <w:tcPr>
            <w:tcW w:w="212" w:type="pct"/>
            <w:tcBorders>
              <w:top w:val="nil"/>
              <w:left w:val="nil"/>
              <w:bottom w:val="nil"/>
              <w:right w:val="nil"/>
            </w:tcBorders>
            <w:shd w:val="clear" w:color="000000" w:fill="FFFFFF"/>
            <w:noWrap/>
            <w:vAlign w:val="bottom"/>
            <w:hideMark/>
          </w:tcPr>
          <w:p w14:paraId="525E674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74.75%</w:t>
            </w:r>
          </w:p>
        </w:tc>
        <w:tc>
          <w:tcPr>
            <w:tcW w:w="212" w:type="pct"/>
            <w:tcBorders>
              <w:top w:val="nil"/>
              <w:left w:val="nil"/>
              <w:bottom w:val="nil"/>
              <w:right w:val="nil"/>
            </w:tcBorders>
            <w:shd w:val="clear" w:color="000000" w:fill="FFFFFF"/>
            <w:noWrap/>
            <w:vAlign w:val="bottom"/>
            <w:hideMark/>
          </w:tcPr>
          <w:p w14:paraId="0AAC00B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75.12%</w:t>
            </w:r>
          </w:p>
        </w:tc>
        <w:tc>
          <w:tcPr>
            <w:tcW w:w="212" w:type="pct"/>
            <w:tcBorders>
              <w:top w:val="nil"/>
              <w:left w:val="nil"/>
              <w:bottom w:val="nil"/>
              <w:right w:val="nil"/>
            </w:tcBorders>
            <w:shd w:val="clear" w:color="000000" w:fill="FFFFFF"/>
            <w:noWrap/>
            <w:vAlign w:val="bottom"/>
            <w:hideMark/>
          </w:tcPr>
          <w:p w14:paraId="03A4D0C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75.65%</w:t>
            </w:r>
          </w:p>
        </w:tc>
        <w:tc>
          <w:tcPr>
            <w:tcW w:w="212" w:type="pct"/>
            <w:tcBorders>
              <w:top w:val="nil"/>
              <w:left w:val="nil"/>
              <w:bottom w:val="nil"/>
              <w:right w:val="nil"/>
            </w:tcBorders>
            <w:shd w:val="clear" w:color="000000" w:fill="FFFFFF"/>
            <w:noWrap/>
            <w:vAlign w:val="bottom"/>
            <w:hideMark/>
          </w:tcPr>
          <w:p w14:paraId="64EA9A7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76.27%</w:t>
            </w:r>
          </w:p>
        </w:tc>
        <w:tc>
          <w:tcPr>
            <w:tcW w:w="212" w:type="pct"/>
            <w:tcBorders>
              <w:top w:val="nil"/>
              <w:left w:val="nil"/>
              <w:bottom w:val="nil"/>
              <w:right w:val="nil"/>
            </w:tcBorders>
            <w:shd w:val="clear" w:color="000000" w:fill="FFFFFF"/>
            <w:noWrap/>
            <w:vAlign w:val="bottom"/>
            <w:hideMark/>
          </w:tcPr>
          <w:p w14:paraId="1734B33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76.34%</w:t>
            </w:r>
          </w:p>
        </w:tc>
        <w:tc>
          <w:tcPr>
            <w:tcW w:w="212" w:type="pct"/>
            <w:tcBorders>
              <w:top w:val="nil"/>
              <w:left w:val="nil"/>
              <w:bottom w:val="nil"/>
              <w:right w:val="nil"/>
            </w:tcBorders>
            <w:shd w:val="clear" w:color="000000" w:fill="FFFFFF"/>
            <w:noWrap/>
            <w:vAlign w:val="bottom"/>
            <w:hideMark/>
          </w:tcPr>
          <w:p w14:paraId="5BCBA1E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76.64%</w:t>
            </w:r>
          </w:p>
        </w:tc>
        <w:tc>
          <w:tcPr>
            <w:tcW w:w="212" w:type="pct"/>
            <w:tcBorders>
              <w:top w:val="nil"/>
              <w:left w:val="nil"/>
              <w:bottom w:val="nil"/>
              <w:right w:val="nil"/>
            </w:tcBorders>
            <w:shd w:val="clear" w:color="000000" w:fill="FFFFFF"/>
            <w:noWrap/>
            <w:vAlign w:val="bottom"/>
            <w:hideMark/>
          </w:tcPr>
          <w:p w14:paraId="2E0F678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76.74%</w:t>
            </w:r>
          </w:p>
        </w:tc>
        <w:tc>
          <w:tcPr>
            <w:tcW w:w="212" w:type="pct"/>
            <w:tcBorders>
              <w:top w:val="nil"/>
              <w:left w:val="nil"/>
              <w:bottom w:val="nil"/>
              <w:right w:val="nil"/>
            </w:tcBorders>
            <w:shd w:val="clear" w:color="000000" w:fill="FFFFFF"/>
            <w:noWrap/>
            <w:vAlign w:val="bottom"/>
            <w:hideMark/>
          </w:tcPr>
          <w:p w14:paraId="2004420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76.82%</w:t>
            </w:r>
          </w:p>
        </w:tc>
        <w:tc>
          <w:tcPr>
            <w:tcW w:w="212" w:type="pct"/>
            <w:tcBorders>
              <w:top w:val="nil"/>
              <w:left w:val="nil"/>
              <w:bottom w:val="nil"/>
              <w:right w:val="nil"/>
            </w:tcBorders>
            <w:shd w:val="clear" w:color="000000" w:fill="FFFFFF"/>
            <w:noWrap/>
            <w:vAlign w:val="bottom"/>
            <w:hideMark/>
          </w:tcPr>
          <w:p w14:paraId="5E65A3B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77.06%</w:t>
            </w:r>
          </w:p>
        </w:tc>
        <w:tc>
          <w:tcPr>
            <w:tcW w:w="212" w:type="pct"/>
            <w:tcBorders>
              <w:top w:val="nil"/>
              <w:left w:val="nil"/>
              <w:bottom w:val="nil"/>
              <w:right w:val="nil"/>
            </w:tcBorders>
            <w:shd w:val="clear" w:color="000000" w:fill="FFFFFF"/>
            <w:noWrap/>
            <w:vAlign w:val="bottom"/>
            <w:hideMark/>
          </w:tcPr>
          <w:p w14:paraId="7C458A0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77.15%</w:t>
            </w:r>
          </w:p>
        </w:tc>
        <w:tc>
          <w:tcPr>
            <w:tcW w:w="212" w:type="pct"/>
            <w:tcBorders>
              <w:top w:val="nil"/>
              <w:left w:val="nil"/>
              <w:bottom w:val="nil"/>
              <w:right w:val="nil"/>
            </w:tcBorders>
            <w:shd w:val="clear" w:color="000000" w:fill="FFFFFF"/>
            <w:noWrap/>
            <w:vAlign w:val="bottom"/>
            <w:hideMark/>
          </w:tcPr>
          <w:p w14:paraId="12CD086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77.25%</w:t>
            </w:r>
          </w:p>
        </w:tc>
      </w:tr>
      <w:tr w:rsidR="002D2278" w:rsidRPr="002D2278" w14:paraId="1F32B0D0" w14:textId="77777777" w:rsidTr="002D2278">
        <w:trPr>
          <w:trHeight w:val="20"/>
        </w:trPr>
        <w:tc>
          <w:tcPr>
            <w:tcW w:w="663" w:type="pct"/>
            <w:tcBorders>
              <w:top w:val="nil"/>
              <w:left w:val="nil"/>
              <w:bottom w:val="nil"/>
              <w:right w:val="nil"/>
            </w:tcBorders>
            <w:shd w:val="clear" w:color="000000" w:fill="FFFFFF"/>
            <w:noWrap/>
            <w:vAlign w:val="center"/>
            <w:hideMark/>
          </w:tcPr>
          <w:p w14:paraId="23215BB1" w14:textId="39C9CB3D"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2021..........................................</w:t>
            </w:r>
          </w:p>
        </w:tc>
        <w:tc>
          <w:tcPr>
            <w:tcW w:w="449" w:type="pct"/>
            <w:tcBorders>
              <w:top w:val="nil"/>
              <w:left w:val="nil"/>
              <w:bottom w:val="nil"/>
              <w:right w:val="nil"/>
            </w:tcBorders>
            <w:shd w:val="clear" w:color="000000" w:fill="FFFFFF"/>
            <w:noWrap/>
            <w:vAlign w:val="bottom"/>
            <w:hideMark/>
          </w:tcPr>
          <w:p w14:paraId="51C75F67"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2021Q2</w:t>
            </w:r>
          </w:p>
        </w:tc>
        <w:tc>
          <w:tcPr>
            <w:tcW w:w="499" w:type="pct"/>
            <w:tcBorders>
              <w:top w:val="nil"/>
              <w:left w:val="nil"/>
              <w:bottom w:val="nil"/>
              <w:right w:val="nil"/>
            </w:tcBorders>
            <w:shd w:val="clear" w:color="000000" w:fill="FFFFFF"/>
            <w:noWrap/>
            <w:vAlign w:val="center"/>
            <w:hideMark/>
          </w:tcPr>
          <w:p w14:paraId="68A3E4E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1,378 </w:t>
            </w:r>
          </w:p>
        </w:tc>
        <w:tc>
          <w:tcPr>
            <w:tcW w:w="212" w:type="pct"/>
            <w:tcBorders>
              <w:top w:val="nil"/>
              <w:left w:val="nil"/>
              <w:bottom w:val="nil"/>
              <w:right w:val="nil"/>
            </w:tcBorders>
            <w:shd w:val="clear" w:color="000000" w:fill="FFFFFF"/>
            <w:noWrap/>
            <w:vAlign w:val="bottom"/>
            <w:hideMark/>
          </w:tcPr>
          <w:p w14:paraId="7291871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44.27%</w:t>
            </w:r>
          </w:p>
        </w:tc>
        <w:tc>
          <w:tcPr>
            <w:tcW w:w="212" w:type="pct"/>
            <w:tcBorders>
              <w:top w:val="nil"/>
              <w:left w:val="nil"/>
              <w:bottom w:val="nil"/>
              <w:right w:val="nil"/>
            </w:tcBorders>
            <w:shd w:val="clear" w:color="000000" w:fill="FFFFFF"/>
            <w:noWrap/>
            <w:vAlign w:val="bottom"/>
            <w:hideMark/>
          </w:tcPr>
          <w:p w14:paraId="53F8BCB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72.84%</w:t>
            </w:r>
          </w:p>
        </w:tc>
        <w:tc>
          <w:tcPr>
            <w:tcW w:w="212" w:type="pct"/>
            <w:tcBorders>
              <w:top w:val="nil"/>
              <w:left w:val="nil"/>
              <w:bottom w:val="nil"/>
              <w:right w:val="nil"/>
            </w:tcBorders>
            <w:shd w:val="clear" w:color="000000" w:fill="FFFFFF"/>
            <w:noWrap/>
            <w:vAlign w:val="bottom"/>
            <w:hideMark/>
          </w:tcPr>
          <w:p w14:paraId="086CDBC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74.90%</w:t>
            </w:r>
          </w:p>
        </w:tc>
        <w:tc>
          <w:tcPr>
            <w:tcW w:w="212" w:type="pct"/>
            <w:tcBorders>
              <w:top w:val="nil"/>
              <w:left w:val="nil"/>
              <w:bottom w:val="nil"/>
              <w:right w:val="nil"/>
            </w:tcBorders>
            <w:shd w:val="clear" w:color="000000" w:fill="FFFFFF"/>
            <w:noWrap/>
            <w:vAlign w:val="bottom"/>
            <w:hideMark/>
          </w:tcPr>
          <w:p w14:paraId="533726B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75.70%</w:t>
            </w:r>
          </w:p>
        </w:tc>
        <w:tc>
          <w:tcPr>
            <w:tcW w:w="212" w:type="pct"/>
            <w:tcBorders>
              <w:top w:val="nil"/>
              <w:left w:val="nil"/>
              <w:bottom w:val="nil"/>
              <w:right w:val="nil"/>
            </w:tcBorders>
            <w:shd w:val="clear" w:color="000000" w:fill="FFFFFF"/>
            <w:noWrap/>
            <w:vAlign w:val="bottom"/>
            <w:hideMark/>
          </w:tcPr>
          <w:p w14:paraId="05D5561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76.71%</w:t>
            </w:r>
          </w:p>
        </w:tc>
        <w:tc>
          <w:tcPr>
            <w:tcW w:w="212" w:type="pct"/>
            <w:tcBorders>
              <w:top w:val="nil"/>
              <w:left w:val="nil"/>
              <w:bottom w:val="nil"/>
              <w:right w:val="nil"/>
            </w:tcBorders>
            <w:shd w:val="clear" w:color="000000" w:fill="FFFFFF"/>
            <w:noWrap/>
            <w:vAlign w:val="bottom"/>
            <w:hideMark/>
          </w:tcPr>
          <w:p w14:paraId="64552DE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78.45%</w:t>
            </w:r>
          </w:p>
        </w:tc>
        <w:tc>
          <w:tcPr>
            <w:tcW w:w="212" w:type="pct"/>
            <w:tcBorders>
              <w:top w:val="nil"/>
              <w:left w:val="nil"/>
              <w:bottom w:val="nil"/>
              <w:right w:val="nil"/>
            </w:tcBorders>
            <w:shd w:val="clear" w:color="000000" w:fill="FFFFFF"/>
            <w:noWrap/>
            <w:vAlign w:val="bottom"/>
            <w:hideMark/>
          </w:tcPr>
          <w:p w14:paraId="32CF374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79.51%</w:t>
            </w:r>
          </w:p>
        </w:tc>
        <w:tc>
          <w:tcPr>
            <w:tcW w:w="212" w:type="pct"/>
            <w:tcBorders>
              <w:top w:val="nil"/>
              <w:left w:val="nil"/>
              <w:bottom w:val="nil"/>
              <w:right w:val="nil"/>
            </w:tcBorders>
            <w:shd w:val="clear" w:color="000000" w:fill="FFFFFF"/>
            <w:noWrap/>
            <w:vAlign w:val="bottom"/>
            <w:hideMark/>
          </w:tcPr>
          <w:p w14:paraId="5287C33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79.79%</w:t>
            </w:r>
          </w:p>
        </w:tc>
        <w:tc>
          <w:tcPr>
            <w:tcW w:w="212" w:type="pct"/>
            <w:tcBorders>
              <w:top w:val="nil"/>
              <w:left w:val="nil"/>
              <w:bottom w:val="nil"/>
              <w:right w:val="nil"/>
            </w:tcBorders>
            <w:shd w:val="clear" w:color="000000" w:fill="FFFFFF"/>
            <w:noWrap/>
            <w:vAlign w:val="bottom"/>
            <w:hideMark/>
          </w:tcPr>
          <w:p w14:paraId="3D59899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80.07%</w:t>
            </w:r>
          </w:p>
        </w:tc>
        <w:tc>
          <w:tcPr>
            <w:tcW w:w="212" w:type="pct"/>
            <w:tcBorders>
              <w:top w:val="nil"/>
              <w:left w:val="nil"/>
              <w:bottom w:val="nil"/>
              <w:right w:val="nil"/>
            </w:tcBorders>
            <w:shd w:val="clear" w:color="000000" w:fill="FFFFFF"/>
            <w:noWrap/>
            <w:vAlign w:val="bottom"/>
            <w:hideMark/>
          </w:tcPr>
          <w:p w14:paraId="2F0174C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80.40%</w:t>
            </w:r>
          </w:p>
        </w:tc>
        <w:tc>
          <w:tcPr>
            <w:tcW w:w="212" w:type="pct"/>
            <w:tcBorders>
              <w:top w:val="nil"/>
              <w:left w:val="nil"/>
              <w:bottom w:val="nil"/>
              <w:right w:val="nil"/>
            </w:tcBorders>
            <w:shd w:val="clear" w:color="000000" w:fill="FFFFFF"/>
            <w:noWrap/>
            <w:vAlign w:val="bottom"/>
            <w:hideMark/>
          </w:tcPr>
          <w:p w14:paraId="65E9ABD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80.60%</w:t>
            </w:r>
          </w:p>
        </w:tc>
        <w:tc>
          <w:tcPr>
            <w:tcW w:w="212" w:type="pct"/>
            <w:tcBorders>
              <w:top w:val="nil"/>
              <w:left w:val="nil"/>
              <w:bottom w:val="nil"/>
              <w:right w:val="nil"/>
            </w:tcBorders>
            <w:shd w:val="clear" w:color="000000" w:fill="FFFFFF"/>
            <w:noWrap/>
            <w:vAlign w:val="bottom"/>
            <w:hideMark/>
          </w:tcPr>
          <w:p w14:paraId="5073389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80.70%</w:t>
            </w:r>
          </w:p>
        </w:tc>
        <w:tc>
          <w:tcPr>
            <w:tcW w:w="212" w:type="pct"/>
            <w:tcBorders>
              <w:top w:val="nil"/>
              <w:left w:val="nil"/>
              <w:bottom w:val="nil"/>
              <w:right w:val="nil"/>
            </w:tcBorders>
            <w:shd w:val="clear" w:color="000000" w:fill="FFFFFF"/>
            <w:noWrap/>
            <w:vAlign w:val="bottom"/>
            <w:hideMark/>
          </w:tcPr>
          <w:p w14:paraId="6F4FDE7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80.79%</w:t>
            </w:r>
          </w:p>
        </w:tc>
        <w:tc>
          <w:tcPr>
            <w:tcW w:w="212" w:type="pct"/>
            <w:tcBorders>
              <w:top w:val="nil"/>
              <w:left w:val="nil"/>
              <w:bottom w:val="nil"/>
              <w:right w:val="nil"/>
            </w:tcBorders>
            <w:shd w:val="clear" w:color="000000" w:fill="FFFFFF"/>
            <w:noWrap/>
            <w:vAlign w:val="bottom"/>
            <w:hideMark/>
          </w:tcPr>
          <w:p w14:paraId="66173A2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80.85%</w:t>
            </w:r>
          </w:p>
        </w:tc>
        <w:tc>
          <w:tcPr>
            <w:tcW w:w="212" w:type="pct"/>
            <w:tcBorders>
              <w:top w:val="nil"/>
              <w:left w:val="nil"/>
              <w:bottom w:val="nil"/>
              <w:right w:val="nil"/>
            </w:tcBorders>
            <w:shd w:val="clear" w:color="000000" w:fill="FFFFFF"/>
            <w:noWrap/>
            <w:vAlign w:val="bottom"/>
            <w:hideMark/>
          </w:tcPr>
          <w:p w14:paraId="241DB9D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80.93%</w:t>
            </w:r>
          </w:p>
        </w:tc>
        <w:tc>
          <w:tcPr>
            <w:tcW w:w="212" w:type="pct"/>
            <w:tcBorders>
              <w:top w:val="nil"/>
              <w:left w:val="nil"/>
              <w:bottom w:val="nil"/>
              <w:right w:val="nil"/>
            </w:tcBorders>
            <w:shd w:val="clear" w:color="000000" w:fill="FFFFFF"/>
            <w:noWrap/>
            <w:vAlign w:val="bottom"/>
            <w:hideMark/>
          </w:tcPr>
          <w:p w14:paraId="23701DC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81.40%</w:t>
            </w:r>
          </w:p>
        </w:tc>
      </w:tr>
      <w:tr w:rsidR="002D2278" w:rsidRPr="002D2278" w14:paraId="13AEC71A" w14:textId="77777777" w:rsidTr="002D2278">
        <w:trPr>
          <w:trHeight w:val="20"/>
        </w:trPr>
        <w:tc>
          <w:tcPr>
            <w:tcW w:w="663" w:type="pct"/>
            <w:tcBorders>
              <w:top w:val="nil"/>
              <w:left w:val="nil"/>
              <w:bottom w:val="nil"/>
              <w:right w:val="nil"/>
            </w:tcBorders>
            <w:shd w:val="clear" w:color="000000" w:fill="FFFFFF"/>
            <w:noWrap/>
            <w:vAlign w:val="center"/>
            <w:hideMark/>
          </w:tcPr>
          <w:p w14:paraId="76B5CF69"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2021..............................</w:t>
            </w:r>
          </w:p>
        </w:tc>
        <w:tc>
          <w:tcPr>
            <w:tcW w:w="449" w:type="pct"/>
            <w:tcBorders>
              <w:top w:val="nil"/>
              <w:left w:val="nil"/>
              <w:bottom w:val="nil"/>
              <w:right w:val="nil"/>
            </w:tcBorders>
            <w:shd w:val="clear" w:color="000000" w:fill="FFFFFF"/>
            <w:noWrap/>
            <w:vAlign w:val="bottom"/>
            <w:hideMark/>
          </w:tcPr>
          <w:p w14:paraId="37E2E3A9"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2021Q3</w:t>
            </w:r>
          </w:p>
        </w:tc>
        <w:tc>
          <w:tcPr>
            <w:tcW w:w="499" w:type="pct"/>
            <w:tcBorders>
              <w:top w:val="nil"/>
              <w:left w:val="nil"/>
              <w:bottom w:val="nil"/>
              <w:right w:val="nil"/>
            </w:tcBorders>
            <w:shd w:val="clear" w:color="000000" w:fill="FFFFFF"/>
            <w:noWrap/>
            <w:vAlign w:val="center"/>
            <w:hideMark/>
          </w:tcPr>
          <w:p w14:paraId="16448F4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1,389 </w:t>
            </w:r>
          </w:p>
        </w:tc>
        <w:tc>
          <w:tcPr>
            <w:tcW w:w="212" w:type="pct"/>
            <w:tcBorders>
              <w:top w:val="nil"/>
              <w:left w:val="nil"/>
              <w:bottom w:val="nil"/>
              <w:right w:val="nil"/>
            </w:tcBorders>
            <w:shd w:val="clear" w:color="000000" w:fill="FFFFFF"/>
            <w:noWrap/>
            <w:vAlign w:val="bottom"/>
            <w:hideMark/>
          </w:tcPr>
          <w:p w14:paraId="5F3887A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37.78%</w:t>
            </w:r>
          </w:p>
        </w:tc>
        <w:tc>
          <w:tcPr>
            <w:tcW w:w="212" w:type="pct"/>
            <w:tcBorders>
              <w:top w:val="nil"/>
              <w:left w:val="nil"/>
              <w:bottom w:val="nil"/>
              <w:right w:val="nil"/>
            </w:tcBorders>
            <w:shd w:val="clear" w:color="000000" w:fill="FFFFFF"/>
            <w:noWrap/>
            <w:vAlign w:val="bottom"/>
            <w:hideMark/>
          </w:tcPr>
          <w:p w14:paraId="16B9FA9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65.08%</w:t>
            </w:r>
          </w:p>
        </w:tc>
        <w:tc>
          <w:tcPr>
            <w:tcW w:w="212" w:type="pct"/>
            <w:tcBorders>
              <w:top w:val="nil"/>
              <w:left w:val="nil"/>
              <w:bottom w:val="nil"/>
              <w:right w:val="nil"/>
            </w:tcBorders>
            <w:shd w:val="clear" w:color="000000" w:fill="FFFFFF"/>
            <w:noWrap/>
            <w:vAlign w:val="bottom"/>
            <w:hideMark/>
          </w:tcPr>
          <w:p w14:paraId="77CF97F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72.20%</w:t>
            </w:r>
          </w:p>
        </w:tc>
        <w:tc>
          <w:tcPr>
            <w:tcW w:w="212" w:type="pct"/>
            <w:tcBorders>
              <w:top w:val="nil"/>
              <w:left w:val="nil"/>
              <w:bottom w:val="nil"/>
              <w:right w:val="nil"/>
            </w:tcBorders>
            <w:shd w:val="clear" w:color="000000" w:fill="FFFFFF"/>
            <w:noWrap/>
            <w:vAlign w:val="bottom"/>
            <w:hideMark/>
          </w:tcPr>
          <w:p w14:paraId="7206F85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74.22%</w:t>
            </w:r>
          </w:p>
        </w:tc>
        <w:tc>
          <w:tcPr>
            <w:tcW w:w="212" w:type="pct"/>
            <w:tcBorders>
              <w:top w:val="nil"/>
              <w:left w:val="nil"/>
              <w:bottom w:val="nil"/>
              <w:right w:val="nil"/>
            </w:tcBorders>
            <w:shd w:val="clear" w:color="000000" w:fill="FFFFFF"/>
            <w:noWrap/>
            <w:vAlign w:val="bottom"/>
            <w:hideMark/>
          </w:tcPr>
          <w:p w14:paraId="1072E2D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75.31%</w:t>
            </w:r>
          </w:p>
        </w:tc>
        <w:tc>
          <w:tcPr>
            <w:tcW w:w="212" w:type="pct"/>
            <w:tcBorders>
              <w:top w:val="nil"/>
              <w:left w:val="nil"/>
              <w:bottom w:val="nil"/>
              <w:right w:val="nil"/>
            </w:tcBorders>
            <w:shd w:val="clear" w:color="000000" w:fill="FFFFFF"/>
            <w:noWrap/>
            <w:vAlign w:val="bottom"/>
            <w:hideMark/>
          </w:tcPr>
          <w:p w14:paraId="227486C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75.77%</w:t>
            </w:r>
          </w:p>
        </w:tc>
        <w:tc>
          <w:tcPr>
            <w:tcW w:w="212" w:type="pct"/>
            <w:tcBorders>
              <w:top w:val="nil"/>
              <w:left w:val="nil"/>
              <w:bottom w:val="nil"/>
              <w:right w:val="nil"/>
            </w:tcBorders>
            <w:shd w:val="clear" w:color="000000" w:fill="FFFFFF"/>
            <w:noWrap/>
            <w:vAlign w:val="bottom"/>
            <w:hideMark/>
          </w:tcPr>
          <w:p w14:paraId="6B64519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78.40%</w:t>
            </w:r>
          </w:p>
        </w:tc>
        <w:tc>
          <w:tcPr>
            <w:tcW w:w="212" w:type="pct"/>
            <w:tcBorders>
              <w:top w:val="nil"/>
              <w:left w:val="nil"/>
              <w:bottom w:val="nil"/>
              <w:right w:val="nil"/>
            </w:tcBorders>
            <w:shd w:val="clear" w:color="000000" w:fill="FFFFFF"/>
            <w:noWrap/>
            <w:vAlign w:val="bottom"/>
            <w:hideMark/>
          </w:tcPr>
          <w:p w14:paraId="029C10D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78.87%</w:t>
            </w:r>
          </w:p>
        </w:tc>
        <w:tc>
          <w:tcPr>
            <w:tcW w:w="212" w:type="pct"/>
            <w:tcBorders>
              <w:top w:val="nil"/>
              <w:left w:val="nil"/>
              <w:bottom w:val="nil"/>
              <w:right w:val="nil"/>
            </w:tcBorders>
            <w:shd w:val="clear" w:color="000000" w:fill="FFFFFF"/>
            <w:noWrap/>
            <w:vAlign w:val="bottom"/>
            <w:hideMark/>
          </w:tcPr>
          <w:p w14:paraId="383FA88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79.13%</w:t>
            </w:r>
          </w:p>
        </w:tc>
        <w:tc>
          <w:tcPr>
            <w:tcW w:w="212" w:type="pct"/>
            <w:tcBorders>
              <w:top w:val="nil"/>
              <w:left w:val="nil"/>
              <w:bottom w:val="nil"/>
              <w:right w:val="nil"/>
            </w:tcBorders>
            <w:shd w:val="clear" w:color="000000" w:fill="FFFFFF"/>
            <w:noWrap/>
            <w:vAlign w:val="bottom"/>
            <w:hideMark/>
          </w:tcPr>
          <w:p w14:paraId="7D303BD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79.35%</w:t>
            </w:r>
          </w:p>
        </w:tc>
        <w:tc>
          <w:tcPr>
            <w:tcW w:w="212" w:type="pct"/>
            <w:tcBorders>
              <w:top w:val="nil"/>
              <w:left w:val="nil"/>
              <w:bottom w:val="nil"/>
              <w:right w:val="nil"/>
            </w:tcBorders>
            <w:shd w:val="clear" w:color="000000" w:fill="FFFFFF"/>
            <w:noWrap/>
            <w:vAlign w:val="bottom"/>
            <w:hideMark/>
          </w:tcPr>
          <w:p w14:paraId="3E75D72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80.05%</w:t>
            </w:r>
          </w:p>
        </w:tc>
        <w:tc>
          <w:tcPr>
            <w:tcW w:w="212" w:type="pct"/>
            <w:tcBorders>
              <w:top w:val="nil"/>
              <w:left w:val="nil"/>
              <w:bottom w:val="nil"/>
              <w:right w:val="nil"/>
            </w:tcBorders>
            <w:shd w:val="clear" w:color="000000" w:fill="FFFFFF"/>
            <w:noWrap/>
            <w:vAlign w:val="bottom"/>
            <w:hideMark/>
          </w:tcPr>
          <w:p w14:paraId="49CB671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80.62%</w:t>
            </w:r>
          </w:p>
        </w:tc>
        <w:tc>
          <w:tcPr>
            <w:tcW w:w="212" w:type="pct"/>
            <w:tcBorders>
              <w:top w:val="nil"/>
              <w:left w:val="nil"/>
              <w:bottom w:val="nil"/>
              <w:right w:val="nil"/>
            </w:tcBorders>
            <w:shd w:val="clear" w:color="000000" w:fill="FFFFFF"/>
            <w:noWrap/>
            <w:vAlign w:val="bottom"/>
            <w:hideMark/>
          </w:tcPr>
          <w:p w14:paraId="1B3F474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80.75%</w:t>
            </w:r>
          </w:p>
        </w:tc>
        <w:tc>
          <w:tcPr>
            <w:tcW w:w="212" w:type="pct"/>
            <w:tcBorders>
              <w:top w:val="nil"/>
              <w:left w:val="nil"/>
              <w:bottom w:val="nil"/>
              <w:right w:val="nil"/>
            </w:tcBorders>
            <w:shd w:val="clear" w:color="000000" w:fill="FFFFFF"/>
            <w:noWrap/>
            <w:vAlign w:val="bottom"/>
            <w:hideMark/>
          </w:tcPr>
          <w:p w14:paraId="659E722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80.92%</w:t>
            </w:r>
          </w:p>
        </w:tc>
        <w:tc>
          <w:tcPr>
            <w:tcW w:w="212" w:type="pct"/>
            <w:tcBorders>
              <w:top w:val="nil"/>
              <w:left w:val="nil"/>
              <w:bottom w:val="nil"/>
              <w:right w:val="nil"/>
            </w:tcBorders>
            <w:shd w:val="clear" w:color="000000" w:fill="FFFFFF"/>
            <w:noWrap/>
            <w:vAlign w:val="bottom"/>
            <w:hideMark/>
          </w:tcPr>
          <w:p w14:paraId="0A8DB8E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81.02%</w:t>
            </w:r>
          </w:p>
        </w:tc>
        <w:tc>
          <w:tcPr>
            <w:tcW w:w="212" w:type="pct"/>
            <w:tcBorders>
              <w:top w:val="nil"/>
              <w:left w:val="nil"/>
              <w:bottom w:val="nil"/>
              <w:right w:val="nil"/>
            </w:tcBorders>
            <w:shd w:val="clear" w:color="000000" w:fill="FFFFFF"/>
            <w:noWrap/>
            <w:vAlign w:val="bottom"/>
            <w:hideMark/>
          </w:tcPr>
          <w:p w14:paraId="79FA557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3594CFF4" w14:textId="77777777" w:rsidTr="002D2278">
        <w:trPr>
          <w:trHeight w:val="20"/>
        </w:trPr>
        <w:tc>
          <w:tcPr>
            <w:tcW w:w="663" w:type="pct"/>
            <w:tcBorders>
              <w:top w:val="nil"/>
              <w:left w:val="nil"/>
              <w:bottom w:val="nil"/>
              <w:right w:val="nil"/>
            </w:tcBorders>
            <w:shd w:val="clear" w:color="000000" w:fill="FFFFFF"/>
            <w:noWrap/>
            <w:vAlign w:val="center"/>
            <w:hideMark/>
          </w:tcPr>
          <w:p w14:paraId="3318DB88" w14:textId="4F20FA5F"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2021...............................</w:t>
            </w:r>
          </w:p>
        </w:tc>
        <w:tc>
          <w:tcPr>
            <w:tcW w:w="449" w:type="pct"/>
            <w:tcBorders>
              <w:top w:val="nil"/>
              <w:left w:val="nil"/>
              <w:bottom w:val="nil"/>
              <w:right w:val="nil"/>
            </w:tcBorders>
            <w:shd w:val="clear" w:color="000000" w:fill="FFFFFF"/>
            <w:noWrap/>
            <w:vAlign w:val="bottom"/>
            <w:hideMark/>
          </w:tcPr>
          <w:p w14:paraId="5BAAB4E4"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2021Q4</w:t>
            </w:r>
          </w:p>
        </w:tc>
        <w:tc>
          <w:tcPr>
            <w:tcW w:w="499" w:type="pct"/>
            <w:tcBorders>
              <w:top w:val="nil"/>
              <w:left w:val="nil"/>
              <w:bottom w:val="nil"/>
              <w:right w:val="nil"/>
            </w:tcBorders>
            <w:shd w:val="clear" w:color="000000" w:fill="FFFFFF"/>
            <w:noWrap/>
            <w:vAlign w:val="center"/>
            <w:hideMark/>
          </w:tcPr>
          <w:p w14:paraId="3EEA696B"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1,716 </w:t>
            </w:r>
          </w:p>
        </w:tc>
        <w:tc>
          <w:tcPr>
            <w:tcW w:w="212" w:type="pct"/>
            <w:tcBorders>
              <w:top w:val="nil"/>
              <w:left w:val="nil"/>
              <w:bottom w:val="nil"/>
              <w:right w:val="nil"/>
            </w:tcBorders>
            <w:shd w:val="clear" w:color="000000" w:fill="FFFFFF"/>
            <w:noWrap/>
            <w:vAlign w:val="bottom"/>
            <w:hideMark/>
          </w:tcPr>
          <w:p w14:paraId="41DAF88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36.81%</w:t>
            </w:r>
          </w:p>
        </w:tc>
        <w:tc>
          <w:tcPr>
            <w:tcW w:w="212" w:type="pct"/>
            <w:tcBorders>
              <w:top w:val="nil"/>
              <w:left w:val="nil"/>
              <w:bottom w:val="nil"/>
              <w:right w:val="nil"/>
            </w:tcBorders>
            <w:shd w:val="clear" w:color="000000" w:fill="FFFFFF"/>
            <w:noWrap/>
            <w:vAlign w:val="bottom"/>
            <w:hideMark/>
          </w:tcPr>
          <w:p w14:paraId="087C1D0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68.41%</w:t>
            </w:r>
          </w:p>
        </w:tc>
        <w:tc>
          <w:tcPr>
            <w:tcW w:w="212" w:type="pct"/>
            <w:tcBorders>
              <w:top w:val="nil"/>
              <w:left w:val="nil"/>
              <w:bottom w:val="nil"/>
              <w:right w:val="nil"/>
            </w:tcBorders>
            <w:shd w:val="clear" w:color="000000" w:fill="FFFFFF"/>
            <w:noWrap/>
            <w:vAlign w:val="bottom"/>
            <w:hideMark/>
          </w:tcPr>
          <w:p w14:paraId="1C7300F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71.20%</w:t>
            </w:r>
          </w:p>
        </w:tc>
        <w:tc>
          <w:tcPr>
            <w:tcW w:w="212" w:type="pct"/>
            <w:tcBorders>
              <w:top w:val="nil"/>
              <w:left w:val="nil"/>
              <w:bottom w:val="nil"/>
              <w:right w:val="nil"/>
            </w:tcBorders>
            <w:shd w:val="clear" w:color="000000" w:fill="FFFFFF"/>
            <w:noWrap/>
            <w:vAlign w:val="bottom"/>
            <w:hideMark/>
          </w:tcPr>
          <w:p w14:paraId="02F8F8F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75.69%</w:t>
            </w:r>
          </w:p>
        </w:tc>
        <w:tc>
          <w:tcPr>
            <w:tcW w:w="212" w:type="pct"/>
            <w:tcBorders>
              <w:top w:val="nil"/>
              <w:left w:val="nil"/>
              <w:bottom w:val="nil"/>
              <w:right w:val="nil"/>
            </w:tcBorders>
            <w:shd w:val="clear" w:color="000000" w:fill="FFFFFF"/>
            <w:noWrap/>
            <w:vAlign w:val="bottom"/>
            <w:hideMark/>
          </w:tcPr>
          <w:p w14:paraId="24750C6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76.54%</w:t>
            </w:r>
          </w:p>
        </w:tc>
        <w:tc>
          <w:tcPr>
            <w:tcW w:w="212" w:type="pct"/>
            <w:tcBorders>
              <w:top w:val="nil"/>
              <w:left w:val="nil"/>
              <w:bottom w:val="nil"/>
              <w:right w:val="nil"/>
            </w:tcBorders>
            <w:shd w:val="clear" w:color="000000" w:fill="FFFFFF"/>
            <w:noWrap/>
            <w:vAlign w:val="bottom"/>
            <w:hideMark/>
          </w:tcPr>
          <w:p w14:paraId="3968B27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81.11%</w:t>
            </w:r>
          </w:p>
        </w:tc>
        <w:tc>
          <w:tcPr>
            <w:tcW w:w="212" w:type="pct"/>
            <w:tcBorders>
              <w:top w:val="nil"/>
              <w:left w:val="nil"/>
              <w:bottom w:val="nil"/>
              <w:right w:val="nil"/>
            </w:tcBorders>
            <w:shd w:val="clear" w:color="000000" w:fill="FFFFFF"/>
            <w:noWrap/>
            <w:vAlign w:val="bottom"/>
            <w:hideMark/>
          </w:tcPr>
          <w:p w14:paraId="009460A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81.93%</w:t>
            </w:r>
          </w:p>
        </w:tc>
        <w:tc>
          <w:tcPr>
            <w:tcW w:w="212" w:type="pct"/>
            <w:tcBorders>
              <w:top w:val="nil"/>
              <w:left w:val="nil"/>
              <w:bottom w:val="nil"/>
              <w:right w:val="nil"/>
            </w:tcBorders>
            <w:shd w:val="clear" w:color="000000" w:fill="FFFFFF"/>
            <w:noWrap/>
            <w:vAlign w:val="bottom"/>
            <w:hideMark/>
          </w:tcPr>
          <w:p w14:paraId="574D523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84.24%</w:t>
            </w:r>
          </w:p>
        </w:tc>
        <w:tc>
          <w:tcPr>
            <w:tcW w:w="212" w:type="pct"/>
            <w:tcBorders>
              <w:top w:val="nil"/>
              <w:left w:val="nil"/>
              <w:bottom w:val="nil"/>
              <w:right w:val="nil"/>
            </w:tcBorders>
            <w:shd w:val="clear" w:color="000000" w:fill="FFFFFF"/>
            <w:noWrap/>
            <w:vAlign w:val="bottom"/>
            <w:hideMark/>
          </w:tcPr>
          <w:p w14:paraId="4C58F15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84.83%</w:t>
            </w:r>
          </w:p>
        </w:tc>
        <w:tc>
          <w:tcPr>
            <w:tcW w:w="212" w:type="pct"/>
            <w:tcBorders>
              <w:top w:val="nil"/>
              <w:left w:val="nil"/>
              <w:bottom w:val="nil"/>
              <w:right w:val="nil"/>
            </w:tcBorders>
            <w:shd w:val="clear" w:color="000000" w:fill="FFFFFF"/>
            <w:noWrap/>
            <w:vAlign w:val="bottom"/>
            <w:hideMark/>
          </w:tcPr>
          <w:p w14:paraId="0B303DC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85.61%</w:t>
            </w:r>
          </w:p>
        </w:tc>
        <w:tc>
          <w:tcPr>
            <w:tcW w:w="212" w:type="pct"/>
            <w:tcBorders>
              <w:top w:val="nil"/>
              <w:left w:val="nil"/>
              <w:bottom w:val="nil"/>
              <w:right w:val="nil"/>
            </w:tcBorders>
            <w:shd w:val="clear" w:color="000000" w:fill="FFFFFF"/>
            <w:noWrap/>
            <w:vAlign w:val="bottom"/>
            <w:hideMark/>
          </w:tcPr>
          <w:p w14:paraId="54BDB4B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85.66%</w:t>
            </w:r>
          </w:p>
        </w:tc>
        <w:tc>
          <w:tcPr>
            <w:tcW w:w="212" w:type="pct"/>
            <w:tcBorders>
              <w:top w:val="nil"/>
              <w:left w:val="nil"/>
              <w:bottom w:val="nil"/>
              <w:right w:val="nil"/>
            </w:tcBorders>
            <w:shd w:val="clear" w:color="000000" w:fill="FFFFFF"/>
            <w:noWrap/>
            <w:vAlign w:val="bottom"/>
            <w:hideMark/>
          </w:tcPr>
          <w:p w14:paraId="0CCB5CC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85.72%</w:t>
            </w:r>
          </w:p>
        </w:tc>
        <w:tc>
          <w:tcPr>
            <w:tcW w:w="212" w:type="pct"/>
            <w:tcBorders>
              <w:top w:val="nil"/>
              <w:left w:val="nil"/>
              <w:bottom w:val="nil"/>
              <w:right w:val="nil"/>
            </w:tcBorders>
            <w:shd w:val="clear" w:color="000000" w:fill="FFFFFF"/>
            <w:noWrap/>
            <w:vAlign w:val="bottom"/>
            <w:hideMark/>
          </w:tcPr>
          <w:p w14:paraId="70B3E96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85.79%</w:t>
            </w:r>
          </w:p>
        </w:tc>
        <w:tc>
          <w:tcPr>
            <w:tcW w:w="212" w:type="pct"/>
            <w:tcBorders>
              <w:top w:val="nil"/>
              <w:left w:val="nil"/>
              <w:bottom w:val="nil"/>
              <w:right w:val="nil"/>
            </w:tcBorders>
            <w:shd w:val="clear" w:color="000000" w:fill="FFFFFF"/>
            <w:noWrap/>
            <w:vAlign w:val="bottom"/>
            <w:hideMark/>
          </w:tcPr>
          <w:p w14:paraId="410E18D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86.12%</w:t>
            </w:r>
          </w:p>
        </w:tc>
        <w:tc>
          <w:tcPr>
            <w:tcW w:w="212" w:type="pct"/>
            <w:tcBorders>
              <w:top w:val="nil"/>
              <w:left w:val="nil"/>
              <w:bottom w:val="nil"/>
              <w:right w:val="nil"/>
            </w:tcBorders>
            <w:shd w:val="clear" w:color="000000" w:fill="FFFFFF"/>
            <w:noWrap/>
            <w:vAlign w:val="bottom"/>
            <w:hideMark/>
          </w:tcPr>
          <w:p w14:paraId="54DAE24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C272A7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3E3858CA" w14:textId="77777777" w:rsidTr="002D2278">
        <w:trPr>
          <w:trHeight w:val="20"/>
        </w:trPr>
        <w:tc>
          <w:tcPr>
            <w:tcW w:w="663" w:type="pct"/>
            <w:tcBorders>
              <w:top w:val="nil"/>
              <w:left w:val="nil"/>
              <w:bottom w:val="nil"/>
              <w:right w:val="nil"/>
            </w:tcBorders>
            <w:shd w:val="clear" w:color="000000" w:fill="FFFFFF"/>
            <w:noWrap/>
            <w:vAlign w:val="center"/>
            <w:hideMark/>
          </w:tcPr>
          <w:p w14:paraId="28FA8A73" w14:textId="7125CAA3"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2022........................................</w:t>
            </w:r>
          </w:p>
        </w:tc>
        <w:tc>
          <w:tcPr>
            <w:tcW w:w="449" w:type="pct"/>
            <w:tcBorders>
              <w:top w:val="nil"/>
              <w:left w:val="nil"/>
              <w:bottom w:val="nil"/>
              <w:right w:val="nil"/>
            </w:tcBorders>
            <w:shd w:val="clear" w:color="000000" w:fill="FFFFFF"/>
            <w:noWrap/>
            <w:vAlign w:val="bottom"/>
            <w:hideMark/>
          </w:tcPr>
          <w:p w14:paraId="2E9E2A35"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2022Q1</w:t>
            </w:r>
          </w:p>
        </w:tc>
        <w:tc>
          <w:tcPr>
            <w:tcW w:w="499" w:type="pct"/>
            <w:tcBorders>
              <w:top w:val="nil"/>
              <w:left w:val="nil"/>
              <w:bottom w:val="nil"/>
              <w:right w:val="nil"/>
            </w:tcBorders>
            <w:shd w:val="clear" w:color="000000" w:fill="FFFFFF"/>
            <w:noWrap/>
            <w:vAlign w:val="center"/>
            <w:hideMark/>
          </w:tcPr>
          <w:p w14:paraId="04C5F13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1,341 </w:t>
            </w:r>
          </w:p>
        </w:tc>
        <w:tc>
          <w:tcPr>
            <w:tcW w:w="212" w:type="pct"/>
            <w:tcBorders>
              <w:top w:val="nil"/>
              <w:left w:val="nil"/>
              <w:bottom w:val="nil"/>
              <w:right w:val="nil"/>
            </w:tcBorders>
            <w:shd w:val="clear" w:color="000000" w:fill="FFFFFF"/>
            <w:noWrap/>
            <w:vAlign w:val="bottom"/>
            <w:hideMark/>
          </w:tcPr>
          <w:p w14:paraId="38C3D38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44.65%</w:t>
            </w:r>
          </w:p>
        </w:tc>
        <w:tc>
          <w:tcPr>
            <w:tcW w:w="212" w:type="pct"/>
            <w:tcBorders>
              <w:top w:val="nil"/>
              <w:left w:val="nil"/>
              <w:bottom w:val="nil"/>
              <w:right w:val="nil"/>
            </w:tcBorders>
            <w:shd w:val="clear" w:color="000000" w:fill="FFFFFF"/>
            <w:noWrap/>
            <w:vAlign w:val="bottom"/>
            <w:hideMark/>
          </w:tcPr>
          <w:p w14:paraId="4B95AD6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82.44%</w:t>
            </w:r>
          </w:p>
        </w:tc>
        <w:tc>
          <w:tcPr>
            <w:tcW w:w="212" w:type="pct"/>
            <w:tcBorders>
              <w:top w:val="nil"/>
              <w:left w:val="nil"/>
              <w:bottom w:val="nil"/>
              <w:right w:val="nil"/>
            </w:tcBorders>
            <w:shd w:val="clear" w:color="000000" w:fill="FFFFFF"/>
            <w:noWrap/>
            <w:vAlign w:val="bottom"/>
            <w:hideMark/>
          </w:tcPr>
          <w:p w14:paraId="4829B1A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83.47%</w:t>
            </w:r>
          </w:p>
        </w:tc>
        <w:tc>
          <w:tcPr>
            <w:tcW w:w="212" w:type="pct"/>
            <w:tcBorders>
              <w:top w:val="nil"/>
              <w:left w:val="nil"/>
              <w:bottom w:val="nil"/>
              <w:right w:val="nil"/>
            </w:tcBorders>
            <w:shd w:val="clear" w:color="000000" w:fill="FFFFFF"/>
            <w:noWrap/>
            <w:vAlign w:val="bottom"/>
            <w:hideMark/>
          </w:tcPr>
          <w:p w14:paraId="0290B20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85.05%</w:t>
            </w:r>
          </w:p>
        </w:tc>
        <w:tc>
          <w:tcPr>
            <w:tcW w:w="212" w:type="pct"/>
            <w:tcBorders>
              <w:top w:val="nil"/>
              <w:left w:val="nil"/>
              <w:bottom w:val="nil"/>
              <w:right w:val="nil"/>
            </w:tcBorders>
            <w:shd w:val="clear" w:color="000000" w:fill="FFFFFF"/>
            <w:noWrap/>
            <w:vAlign w:val="bottom"/>
            <w:hideMark/>
          </w:tcPr>
          <w:p w14:paraId="040A7B0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85.95%</w:t>
            </w:r>
          </w:p>
        </w:tc>
        <w:tc>
          <w:tcPr>
            <w:tcW w:w="212" w:type="pct"/>
            <w:tcBorders>
              <w:top w:val="nil"/>
              <w:left w:val="nil"/>
              <w:bottom w:val="nil"/>
              <w:right w:val="nil"/>
            </w:tcBorders>
            <w:shd w:val="clear" w:color="000000" w:fill="FFFFFF"/>
            <w:noWrap/>
            <w:vAlign w:val="bottom"/>
            <w:hideMark/>
          </w:tcPr>
          <w:p w14:paraId="211E962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87.12%</w:t>
            </w:r>
          </w:p>
        </w:tc>
        <w:tc>
          <w:tcPr>
            <w:tcW w:w="212" w:type="pct"/>
            <w:tcBorders>
              <w:top w:val="nil"/>
              <w:left w:val="nil"/>
              <w:bottom w:val="nil"/>
              <w:right w:val="nil"/>
            </w:tcBorders>
            <w:shd w:val="clear" w:color="000000" w:fill="FFFFFF"/>
            <w:noWrap/>
            <w:vAlign w:val="bottom"/>
            <w:hideMark/>
          </w:tcPr>
          <w:p w14:paraId="2D7277F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88.05%</w:t>
            </w:r>
          </w:p>
        </w:tc>
        <w:tc>
          <w:tcPr>
            <w:tcW w:w="212" w:type="pct"/>
            <w:tcBorders>
              <w:top w:val="nil"/>
              <w:left w:val="nil"/>
              <w:bottom w:val="nil"/>
              <w:right w:val="nil"/>
            </w:tcBorders>
            <w:shd w:val="clear" w:color="000000" w:fill="FFFFFF"/>
            <w:noWrap/>
            <w:vAlign w:val="bottom"/>
            <w:hideMark/>
          </w:tcPr>
          <w:p w14:paraId="1B71700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88.60%</w:t>
            </w:r>
          </w:p>
        </w:tc>
        <w:tc>
          <w:tcPr>
            <w:tcW w:w="212" w:type="pct"/>
            <w:tcBorders>
              <w:top w:val="nil"/>
              <w:left w:val="nil"/>
              <w:bottom w:val="nil"/>
              <w:right w:val="nil"/>
            </w:tcBorders>
            <w:shd w:val="clear" w:color="000000" w:fill="FFFFFF"/>
            <w:noWrap/>
            <w:vAlign w:val="bottom"/>
            <w:hideMark/>
          </w:tcPr>
          <w:p w14:paraId="69E463B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88.84%</w:t>
            </w:r>
          </w:p>
        </w:tc>
        <w:tc>
          <w:tcPr>
            <w:tcW w:w="212" w:type="pct"/>
            <w:tcBorders>
              <w:top w:val="nil"/>
              <w:left w:val="nil"/>
              <w:bottom w:val="nil"/>
              <w:right w:val="nil"/>
            </w:tcBorders>
            <w:shd w:val="clear" w:color="000000" w:fill="FFFFFF"/>
            <w:noWrap/>
            <w:vAlign w:val="bottom"/>
            <w:hideMark/>
          </w:tcPr>
          <w:p w14:paraId="79D28CD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88.93%</w:t>
            </w:r>
          </w:p>
        </w:tc>
        <w:tc>
          <w:tcPr>
            <w:tcW w:w="212" w:type="pct"/>
            <w:tcBorders>
              <w:top w:val="nil"/>
              <w:left w:val="nil"/>
              <w:bottom w:val="nil"/>
              <w:right w:val="nil"/>
            </w:tcBorders>
            <w:shd w:val="clear" w:color="000000" w:fill="FFFFFF"/>
            <w:noWrap/>
            <w:vAlign w:val="bottom"/>
            <w:hideMark/>
          </w:tcPr>
          <w:p w14:paraId="1D728B3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88.99%</w:t>
            </w:r>
          </w:p>
        </w:tc>
        <w:tc>
          <w:tcPr>
            <w:tcW w:w="212" w:type="pct"/>
            <w:tcBorders>
              <w:top w:val="nil"/>
              <w:left w:val="nil"/>
              <w:bottom w:val="nil"/>
              <w:right w:val="nil"/>
            </w:tcBorders>
            <w:shd w:val="clear" w:color="000000" w:fill="FFFFFF"/>
            <w:noWrap/>
            <w:vAlign w:val="bottom"/>
            <w:hideMark/>
          </w:tcPr>
          <w:p w14:paraId="4E53BF4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89.11%</w:t>
            </w:r>
          </w:p>
        </w:tc>
        <w:tc>
          <w:tcPr>
            <w:tcW w:w="212" w:type="pct"/>
            <w:tcBorders>
              <w:top w:val="nil"/>
              <w:left w:val="nil"/>
              <w:bottom w:val="nil"/>
              <w:right w:val="nil"/>
            </w:tcBorders>
            <w:shd w:val="clear" w:color="000000" w:fill="FFFFFF"/>
            <w:noWrap/>
            <w:vAlign w:val="bottom"/>
            <w:hideMark/>
          </w:tcPr>
          <w:p w14:paraId="7DDE021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89.13%</w:t>
            </w:r>
          </w:p>
        </w:tc>
        <w:tc>
          <w:tcPr>
            <w:tcW w:w="212" w:type="pct"/>
            <w:tcBorders>
              <w:top w:val="nil"/>
              <w:left w:val="nil"/>
              <w:bottom w:val="nil"/>
              <w:right w:val="nil"/>
            </w:tcBorders>
            <w:shd w:val="clear" w:color="000000" w:fill="FFFFFF"/>
            <w:noWrap/>
            <w:vAlign w:val="bottom"/>
            <w:hideMark/>
          </w:tcPr>
          <w:p w14:paraId="49045EB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7B26B4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2CA194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19BE1024" w14:textId="77777777" w:rsidTr="002D2278">
        <w:trPr>
          <w:trHeight w:val="20"/>
        </w:trPr>
        <w:tc>
          <w:tcPr>
            <w:tcW w:w="663" w:type="pct"/>
            <w:tcBorders>
              <w:top w:val="nil"/>
              <w:left w:val="nil"/>
              <w:bottom w:val="nil"/>
              <w:right w:val="nil"/>
            </w:tcBorders>
            <w:shd w:val="clear" w:color="000000" w:fill="FFFFFF"/>
            <w:noWrap/>
            <w:vAlign w:val="center"/>
            <w:hideMark/>
          </w:tcPr>
          <w:p w14:paraId="12B3065E" w14:textId="053B789B"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2022..........................................</w:t>
            </w:r>
          </w:p>
        </w:tc>
        <w:tc>
          <w:tcPr>
            <w:tcW w:w="449" w:type="pct"/>
            <w:tcBorders>
              <w:top w:val="nil"/>
              <w:left w:val="nil"/>
              <w:bottom w:val="nil"/>
              <w:right w:val="nil"/>
            </w:tcBorders>
            <w:shd w:val="clear" w:color="000000" w:fill="FFFFFF"/>
            <w:noWrap/>
            <w:vAlign w:val="bottom"/>
            <w:hideMark/>
          </w:tcPr>
          <w:p w14:paraId="7907F479"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2022Q2</w:t>
            </w:r>
          </w:p>
        </w:tc>
        <w:tc>
          <w:tcPr>
            <w:tcW w:w="499" w:type="pct"/>
            <w:tcBorders>
              <w:top w:val="nil"/>
              <w:left w:val="nil"/>
              <w:bottom w:val="nil"/>
              <w:right w:val="nil"/>
            </w:tcBorders>
            <w:shd w:val="clear" w:color="000000" w:fill="FFFFFF"/>
            <w:noWrap/>
            <w:vAlign w:val="center"/>
            <w:hideMark/>
          </w:tcPr>
          <w:p w14:paraId="413ACC3B"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1,458 </w:t>
            </w:r>
          </w:p>
        </w:tc>
        <w:tc>
          <w:tcPr>
            <w:tcW w:w="212" w:type="pct"/>
            <w:tcBorders>
              <w:top w:val="nil"/>
              <w:left w:val="nil"/>
              <w:bottom w:val="nil"/>
              <w:right w:val="nil"/>
            </w:tcBorders>
            <w:shd w:val="clear" w:color="000000" w:fill="FFFFFF"/>
            <w:noWrap/>
            <w:vAlign w:val="bottom"/>
            <w:hideMark/>
          </w:tcPr>
          <w:p w14:paraId="07B9BA1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41.85%</w:t>
            </w:r>
          </w:p>
        </w:tc>
        <w:tc>
          <w:tcPr>
            <w:tcW w:w="212" w:type="pct"/>
            <w:tcBorders>
              <w:top w:val="nil"/>
              <w:left w:val="nil"/>
              <w:bottom w:val="nil"/>
              <w:right w:val="nil"/>
            </w:tcBorders>
            <w:shd w:val="clear" w:color="000000" w:fill="FFFFFF"/>
            <w:noWrap/>
            <w:vAlign w:val="bottom"/>
            <w:hideMark/>
          </w:tcPr>
          <w:p w14:paraId="7B24E9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73.59%</w:t>
            </w:r>
          </w:p>
        </w:tc>
        <w:tc>
          <w:tcPr>
            <w:tcW w:w="212" w:type="pct"/>
            <w:tcBorders>
              <w:top w:val="nil"/>
              <w:left w:val="nil"/>
              <w:bottom w:val="nil"/>
              <w:right w:val="nil"/>
            </w:tcBorders>
            <w:shd w:val="clear" w:color="000000" w:fill="FFFFFF"/>
            <w:noWrap/>
            <w:vAlign w:val="bottom"/>
            <w:hideMark/>
          </w:tcPr>
          <w:p w14:paraId="521382D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77.10%</w:t>
            </w:r>
          </w:p>
        </w:tc>
        <w:tc>
          <w:tcPr>
            <w:tcW w:w="212" w:type="pct"/>
            <w:tcBorders>
              <w:top w:val="nil"/>
              <w:left w:val="nil"/>
              <w:bottom w:val="nil"/>
              <w:right w:val="nil"/>
            </w:tcBorders>
            <w:shd w:val="clear" w:color="000000" w:fill="FFFFFF"/>
            <w:noWrap/>
            <w:vAlign w:val="bottom"/>
            <w:hideMark/>
          </w:tcPr>
          <w:p w14:paraId="518EBA2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78.51%</w:t>
            </w:r>
          </w:p>
        </w:tc>
        <w:tc>
          <w:tcPr>
            <w:tcW w:w="212" w:type="pct"/>
            <w:tcBorders>
              <w:top w:val="nil"/>
              <w:left w:val="nil"/>
              <w:bottom w:val="nil"/>
              <w:right w:val="nil"/>
            </w:tcBorders>
            <w:shd w:val="clear" w:color="000000" w:fill="FFFFFF"/>
            <w:noWrap/>
            <w:vAlign w:val="bottom"/>
            <w:hideMark/>
          </w:tcPr>
          <w:p w14:paraId="6B87904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79.47%</w:t>
            </w:r>
          </w:p>
        </w:tc>
        <w:tc>
          <w:tcPr>
            <w:tcW w:w="212" w:type="pct"/>
            <w:tcBorders>
              <w:top w:val="nil"/>
              <w:left w:val="nil"/>
              <w:bottom w:val="nil"/>
              <w:right w:val="nil"/>
            </w:tcBorders>
            <w:shd w:val="clear" w:color="000000" w:fill="FFFFFF"/>
            <w:noWrap/>
            <w:vAlign w:val="bottom"/>
            <w:hideMark/>
          </w:tcPr>
          <w:p w14:paraId="4AB5E8A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80.62%</w:t>
            </w:r>
          </w:p>
        </w:tc>
        <w:tc>
          <w:tcPr>
            <w:tcW w:w="212" w:type="pct"/>
            <w:tcBorders>
              <w:top w:val="nil"/>
              <w:left w:val="nil"/>
              <w:bottom w:val="nil"/>
              <w:right w:val="nil"/>
            </w:tcBorders>
            <w:shd w:val="clear" w:color="000000" w:fill="FFFFFF"/>
            <w:noWrap/>
            <w:vAlign w:val="bottom"/>
            <w:hideMark/>
          </w:tcPr>
          <w:p w14:paraId="3FAB1CD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81.39%</w:t>
            </w:r>
          </w:p>
        </w:tc>
        <w:tc>
          <w:tcPr>
            <w:tcW w:w="212" w:type="pct"/>
            <w:tcBorders>
              <w:top w:val="nil"/>
              <w:left w:val="nil"/>
              <w:bottom w:val="nil"/>
              <w:right w:val="nil"/>
            </w:tcBorders>
            <w:shd w:val="clear" w:color="000000" w:fill="FFFFFF"/>
            <w:noWrap/>
            <w:vAlign w:val="bottom"/>
            <w:hideMark/>
          </w:tcPr>
          <w:p w14:paraId="227D691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82.12%</w:t>
            </w:r>
          </w:p>
        </w:tc>
        <w:tc>
          <w:tcPr>
            <w:tcW w:w="212" w:type="pct"/>
            <w:tcBorders>
              <w:top w:val="nil"/>
              <w:left w:val="nil"/>
              <w:bottom w:val="nil"/>
              <w:right w:val="nil"/>
            </w:tcBorders>
            <w:shd w:val="clear" w:color="000000" w:fill="FFFFFF"/>
            <w:noWrap/>
            <w:vAlign w:val="bottom"/>
            <w:hideMark/>
          </w:tcPr>
          <w:p w14:paraId="4034CE0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82.68%</w:t>
            </w:r>
          </w:p>
        </w:tc>
        <w:tc>
          <w:tcPr>
            <w:tcW w:w="212" w:type="pct"/>
            <w:tcBorders>
              <w:top w:val="nil"/>
              <w:left w:val="nil"/>
              <w:bottom w:val="nil"/>
              <w:right w:val="nil"/>
            </w:tcBorders>
            <w:shd w:val="clear" w:color="000000" w:fill="FFFFFF"/>
            <w:noWrap/>
            <w:vAlign w:val="bottom"/>
            <w:hideMark/>
          </w:tcPr>
          <w:p w14:paraId="44CFB68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83.34%</w:t>
            </w:r>
          </w:p>
        </w:tc>
        <w:tc>
          <w:tcPr>
            <w:tcW w:w="212" w:type="pct"/>
            <w:tcBorders>
              <w:top w:val="nil"/>
              <w:left w:val="nil"/>
              <w:bottom w:val="nil"/>
              <w:right w:val="nil"/>
            </w:tcBorders>
            <w:shd w:val="clear" w:color="000000" w:fill="FFFFFF"/>
            <w:noWrap/>
            <w:vAlign w:val="bottom"/>
            <w:hideMark/>
          </w:tcPr>
          <w:p w14:paraId="6F99714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83.91%</w:t>
            </w:r>
          </w:p>
        </w:tc>
        <w:tc>
          <w:tcPr>
            <w:tcW w:w="212" w:type="pct"/>
            <w:tcBorders>
              <w:top w:val="nil"/>
              <w:left w:val="nil"/>
              <w:bottom w:val="nil"/>
              <w:right w:val="nil"/>
            </w:tcBorders>
            <w:shd w:val="clear" w:color="000000" w:fill="FFFFFF"/>
            <w:noWrap/>
            <w:vAlign w:val="bottom"/>
            <w:hideMark/>
          </w:tcPr>
          <w:p w14:paraId="6C9B27F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84.35%</w:t>
            </w:r>
          </w:p>
        </w:tc>
        <w:tc>
          <w:tcPr>
            <w:tcW w:w="212" w:type="pct"/>
            <w:tcBorders>
              <w:top w:val="nil"/>
              <w:left w:val="nil"/>
              <w:bottom w:val="nil"/>
              <w:right w:val="nil"/>
            </w:tcBorders>
            <w:shd w:val="clear" w:color="000000" w:fill="FFFFFF"/>
            <w:noWrap/>
            <w:vAlign w:val="bottom"/>
            <w:hideMark/>
          </w:tcPr>
          <w:p w14:paraId="1758850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9F2FDE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A02996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0C2BC4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29486B99" w14:textId="77777777" w:rsidTr="002D2278">
        <w:trPr>
          <w:trHeight w:val="20"/>
        </w:trPr>
        <w:tc>
          <w:tcPr>
            <w:tcW w:w="663" w:type="pct"/>
            <w:tcBorders>
              <w:top w:val="nil"/>
              <w:left w:val="nil"/>
              <w:bottom w:val="nil"/>
              <w:right w:val="nil"/>
            </w:tcBorders>
            <w:shd w:val="clear" w:color="000000" w:fill="FFFFFF"/>
            <w:noWrap/>
            <w:vAlign w:val="center"/>
            <w:hideMark/>
          </w:tcPr>
          <w:p w14:paraId="2B7E03D4"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2022..............................</w:t>
            </w:r>
          </w:p>
        </w:tc>
        <w:tc>
          <w:tcPr>
            <w:tcW w:w="449" w:type="pct"/>
            <w:tcBorders>
              <w:top w:val="nil"/>
              <w:left w:val="nil"/>
              <w:bottom w:val="nil"/>
              <w:right w:val="nil"/>
            </w:tcBorders>
            <w:shd w:val="clear" w:color="000000" w:fill="FFFFFF"/>
            <w:noWrap/>
            <w:vAlign w:val="bottom"/>
            <w:hideMark/>
          </w:tcPr>
          <w:p w14:paraId="1C65B230"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2022Q3</w:t>
            </w:r>
          </w:p>
        </w:tc>
        <w:tc>
          <w:tcPr>
            <w:tcW w:w="499" w:type="pct"/>
            <w:tcBorders>
              <w:top w:val="nil"/>
              <w:left w:val="nil"/>
              <w:bottom w:val="nil"/>
              <w:right w:val="nil"/>
            </w:tcBorders>
            <w:shd w:val="clear" w:color="000000" w:fill="FFFFFF"/>
            <w:noWrap/>
            <w:vAlign w:val="center"/>
            <w:hideMark/>
          </w:tcPr>
          <w:p w14:paraId="04718A9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1,503 </w:t>
            </w:r>
          </w:p>
        </w:tc>
        <w:tc>
          <w:tcPr>
            <w:tcW w:w="212" w:type="pct"/>
            <w:tcBorders>
              <w:top w:val="nil"/>
              <w:left w:val="nil"/>
              <w:bottom w:val="nil"/>
              <w:right w:val="nil"/>
            </w:tcBorders>
            <w:shd w:val="clear" w:color="000000" w:fill="FFFFFF"/>
            <w:noWrap/>
            <w:vAlign w:val="bottom"/>
            <w:hideMark/>
          </w:tcPr>
          <w:p w14:paraId="12DDC02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31.16%</w:t>
            </w:r>
          </w:p>
        </w:tc>
        <w:tc>
          <w:tcPr>
            <w:tcW w:w="212" w:type="pct"/>
            <w:tcBorders>
              <w:top w:val="nil"/>
              <w:left w:val="nil"/>
              <w:bottom w:val="nil"/>
              <w:right w:val="nil"/>
            </w:tcBorders>
            <w:shd w:val="clear" w:color="000000" w:fill="FFFFFF"/>
            <w:noWrap/>
            <w:vAlign w:val="bottom"/>
            <w:hideMark/>
          </w:tcPr>
          <w:p w14:paraId="602286F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70.32%</w:t>
            </w:r>
          </w:p>
        </w:tc>
        <w:tc>
          <w:tcPr>
            <w:tcW w:w="212" w:type="pct"/>
            <w:tcBorders>
              <w:top w:val="nil"/>
              <w:left w:val="nil"/>
              <w:bottom w:val="nil"/>
              <w:right w:val="nil"/>
            </w:tcBorders>
            <w:shd w:val="clear" w:color="000000" w:fill="FFFFFF"/>
            <w:noWrap/>
            <w:vAlign w:val="bottom"/>
            <w:hideMark/>
          </w:tcPr>
          <w:p w14:paraId="279FAA6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72.48%</w:t>
            </w:r>
          </w:p>
        </w:tc>
        <w:tc>
          <w:tcPr>
            <w:tcW w:w="212" w:type="pct"/>
            <w:tcBorders>
              <w:top w:val="nil"/>
              <w:left w:val="nil"/>
              <w:bottom w:val="nil"/>
              <w:right w:val="nil"/>
            </w:tcBorders>
            <w:shd w:val="clear" w:color="000000" w:fill="FFFFFF"/>
            <w:noWrap/>
            <w:vAlign w:val="bottom"/>
            <w:hideMark/>
          </w:tcPr>
          <w:p w14:paraId="3359565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74.69%</w:t>
            </w:r>
          </w:p>
        </w:tc>
        <w:tc>
          <w:tcPr>
            <w:tcW w:w="212" w:type="pct"/>
            <w:tcBorders>
              <w:top w:val="nil"/>
              <w:left w:val="nil"/>
              <w:bottom w:val="nil"/>
              <w:right w:val="nil"/>
            </w:tcBorders>
            <w:shd w:val="clear" w:color="000000" w:fill="FFFFFF"/>
            <w:noWrap/>
            <w:vAlign w:val="bottom"/>
            <w:hideMark/>
          </w:tcPr>
          <w:p w14:paraId="0551F31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75.40%</w:t>
            </w:r>
          </w:p>
        </w:tc>
        <w:tc>
          <w:tcPr>
            <w:tcW w:w="212" w:type="pct"/>
            <w:tcBorders>
              <w:top w:val="nil"/>
              <w:left w:val="nil"/>
              <w:bottom w:val="nil"/>
              <w:right w:val="nil"/>
            </w:tcBorders>
            <w:shd w:val="clear" w:color="000000" w:fill="FFFFFF"/>
            <w:noWrap/>
            <w:vAlign w:val="bottom"/>
            <w:hideMark/>
          </w:tcPr>
          <w:p w14:paraId="33E6942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76.78%</w:t>
            </w:r>
          </w:p>
        </w:tc>
        <w:tc>
          <w:tcPr>
            <w:tcW w:w="212" w:type="pct"/>
            <w:tcBorders>
              <w:top w:val="nil"/>
              <w:left w:val="nil"/>
              <w:bottom w:val="nil"/>
              <w:right w:val="nil"/>
            </w:tcBorders>
            <w:shd w:val="clear" w:color="000000" w:fill="FFFFFF"/>
            <w:noWrap/>
            <w:vAlign w:val="bottom"/>
            <w:hideMark/>
          </w:tcPr>
          <w:p w14:paraId="2FCDEF1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78.48%</w:t>
            </w:r>
          </w:p>
        </w:tc>
        <w:tc>
          <w:tcPr>
            <w:tcW w:w="212" w:type="pct"/>
            <w:tcBorders>
              <w:top w:val="nil"/>
              <w:left w:val="nil"/>
              <w:bottom w:val="nil"/>
              <w:right w:val="nil"/>
            </w:tcBorders>
            <w:shd w:val="clear" w:color="000000" w:fill="FFFFFF"/>
            <w:noWrap/>
            <w:vAlign w:val="bottom"/>
            <w:hideMark/>
          </w:tcPr>
          <w:p w14:paraId="0A59055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78.89%</w:t>
            </w:r>
          </w:p>
        </w:tc>
        <w:tc>
          <w:tcPr>
            <w:tcW w:w="212" w:type="pct"/>
            <w:tcBorders>
              <w:top w:val="nil"/>
              <w:left w:val="nil"/>
              <w:bottom w:val="nil"/>
              <w:right w:val="nil"/>
            </w:tcBorders>
            <w:shd w:val="clear" w:color="000000" w:fill="FFFFFF"/>
            <w:noWrap/>
            <w:vAlign w:val="bottom"/>
            <w:hideMark/>
          </w:tcPr>
          <w:p w14:paraId="142DB95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80.38%</w:t>
            </w:r>
          </w:p>
        </w:tc>
        <w:tc>
          <w:tcPr>
            <w:tcW w:w="212" w:type="pct"/>
            <w:tcBorders>
              <w:top w:val="nil"/>
              <w:left w:val="nil"/>
              <w:bottom w:val="nil"/>
              <w:right w:val="nil"/>
            </w:tcBorders>
            <w:shd w:val="clear" w:color="000000" w:fill="FFFFFF"/>
            <w:noWrap/>
            <w:vAlign w:val="bottom"/>
            <w:hideMark/>
          </w:tcPr>
          <w:p w14:paraId="392CDC7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81.46%</w:t>
            </w:r>
          </w:p>
        </w:tc>
        <w:tc>
          <w:tcPr>
            <w:tcW w:w="212" w:type="pct"/>
            <w:tcBorders>
              <w:top w:val="nil"/>
              <w:left w:val="nil"/>
              <w:bottom w:val="nil"/>
              <w:right w:val="nil"/>
            </w:tcBorders>
            <w:shd w:val="clear" w:color="000000" w:fill="FFFFFF"/>
            <w:noWrap/>
            <w:vAlign w:val="bottom"/>
            <w:hideMark/>
          </w:tcPr>
          <w:p w14:paraId="09124CC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81.65%</w:t>
            </w:r>
          </w:p>
        </w:tc>
        <w:tc>
          <w:tcPr>
            <w:tcW w:w="212" w:type="pct"/>
            <w:tcBorders>
              <w:top w:val="nil"/>
              <w:left w:val="nil"/>
              <w:bottom w:val="nil"/>
              <w:right w:val="nil"/>
            </w:tcBorders>
            <w:shd w:val="clear" w:color="000000" w:fill="FFFFFF"/>
            <w:noWrap/>
            <w:vAlign w:val="bottom"/>
            <w:hideMark/>
          </w:tcPr>
          <w:p w14:paraId="1E17FA5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8EC584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E02EF1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19A01C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C439F7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2F79CDB3" w14:textId="77777777" w:rsidTr="002D2278">
        <w:trPr>
          <w:trHeight w:val="20"/>
        </w:trPr>
        <w:tc>
          <w:tcPr>
            <w:tcW w:w="663" w:type="pct"/>
            <w:tcBorders>
              <w:top w:val="nil"/>
              <w:left w:val="nil"/>
              <w:bottom w:val="nil"/>
              <w:right w:val="nil"/>
            </w:tcBorders>
            <w:shd w:val="clear" w:color="000000" w:fill="FFFFFF"/>
            <w:noWrap/>
            <w:vAlign w:val="center"/>
            <w:hideMark/>
          </w:tcPr>
          <w:p w14:paraId="5A54933D" w14:textId="79A2CB3E"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2022...............................</w:t>
            </w:r>
          </w:p>
        </w:tc>
        <w:tc>
          <w:tcPr>
            <w:tcW w:w="449" w:type="pct"/>
            <w:tcBorders>
              <w:top w:val="nil"/>
              <w:left w:val="nil"/>
              <w:bottom w:val="nil"/>
              <w:right w:val="nil"/>
            </w:tcBorders>
            <w:shd w:val="clear" w:color="000000" w:fill="FFFFFF"/>
            <w:noWrap/>
            <w:vAlign w:val="bottom"/>
            <w:hideMark/>
          </w:tcPr>
          <w:p w14:paraId="79A17003"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2022Q4</w:t>
            </w:r>
          </w:p>
        </w:tc>
        <w:tc>
          <w:tcPr>
            <w:tcW w:w="499" w:type="pct"/>
            <w:tcBorders>
              <w:top w:val="nil"/>
              <w:left w:val="nil"/>
              <w:bottom w:val="nil"/>
              <w:right w:val="nil"/>
            </w:tcBorders>
            <w:shd w:val="clear" w:color="000000" w:fill="FFFFFF"/>
            <w:noWrap/>
            <w:vAlign w:val="center"/>
            <w:hideMark/>
          </w:tcPr>
          <w:p w14:paraId="41530FA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1,443 </w:t>
            </w:r>
          </w:p>
        </w:tc>
        <w:tc>
          <w:tcPr>
            <w:tcW w:w="212" w:type="pct"/>
            <w:tcBorders>
              <w:top w:val="nil"/>
              <w:left w:val="nil"/>
              <w:bottom w:val="nil"/>
              <w:right w:val="nil"/>
            </w:tcBorders>
            <w:shd w:val="clear" w:color="000000" w:fill="FFFFFF"/>
            <w:noWrap/>
            <w:vAlign w:val="bottom"/>
            <w:hideMark/>
          </w:tcPr>
          <w:p w14:paraId="2A8CA7E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30.89%</w:t>
            </w:r>
          </w:p>
        </w:tc>
        <w:tc>
          <w:tcPr>
            <w:tcW w:w="212" w:type="pct"/>
            <w:tcBorders>
              <w:top w:val="nil"/>
              <w:left w:val="nil"/>
              <w:bottom w:val="nil"/>
              <w:right w:val="nil"/>
            </w:tcBorders>
            <w:shd w:val="clear" w:color="000000" w:fill="FFFFFF"/>
            <w:noWrap/>
            <w:vAlign w:val="bottom"/>
            <w:hideMark/>
          </w:tcPr>
          <w:p w14:paraId="7111224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65.84%</w:t>
            </w:r>
          </w:p>
        </w:tc>
        <w:tc>
          <w:tcPr>
            <w:tcW w:w="212" w:type="pct"/>
            <w:tcBorders>
              <w:top w:val="nil"/>
              <w:left w:val="nil"/>
              <w:bottom w:val="nil"/>
              <w:right w:val="nil"/>
            </w:tcBorders>
            <w:shd w:val="clear" w:color="000000" w:fill="FFFFFF"/>
            <w:noWrap/>
            <w:vAlign w:val="bottom"/>
            <w:hideMark/>
          </w:tcPr>
          <w:p w14:paraId="395CD8D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68.33%</w:t>
            </w:r>
          </w:p>
        </w:tc>
        <w:tc>
          <w:tcPr>
            <w:tcW w:w="212" w:type="pct"/>
            <w:tcBorders>
              <w:top w:val="nil"/>
              <w:left w:val="nil"/>
              <w:bottom w:val="nil"/>
              <w:right w:val="nil"/>
            </w:tcBorders>
            <w:shd w:val="clear" w:color="000000" w:fill="FFFFFF"/>
            <w:noWrap/>
            <w:vAlign w:val="bottom"/>
            <w:hideMark/>
          </w:tcPr>
          <w:p w14:paraId="39F7318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68.62%</w:t>
            </w:r>
          </w:p>
        </w:tc>
        <w:tc>
          <w:tcPr>
            <w:tcW w:w="212" w:type="pct"/>
            <w:tcBorders>
              <w:top w:val="nil"/>
              <w:left w:val="nil"/>
              <w:bottom w:val="nil"/>
              <w:right w:val="nil"/>
            </w:tcBorders>
            <w:shd w:val="clear" w:color="000000" w:fill="FFFFFF"/>
            <w:noWrap/>
            <w:vAlign w:val="bottom"/>
            <w:hideMark/>
          </w:tcPr>
          <w:p w14:paraId="5B33F33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69.67%</w:t>
            </w:r>
          </w:p>
        </w:tc>
        <w:tc>
          <w:tcPr>
            <w:tcW w:w="212" w:type="pct"/>
            <w:tcBorders>
              <w:top w:val="nil"/>
              <w:left w:val="nil"/>
              <w:bottom w:val="nil"/>
              <w:right w:val="nil"/>
            </w:tcBorders>
            <w:shd w:val="clear" w:color="000000" w:fill="FFFFFF"/>
            <w:noWrap/>
            <w:vAlign w:val="bottom"/>
            <w:hideMark/>
          </w:tcPr>
          <w:p w14:paraId="73056EE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72.31%</w:t>
            </w:r>
          </w:p>
        </w:tc>
        <w:tc>
          <w:tcPr>
            <w:tcW w:w="212" w:type="pct"/>
            <w:tcBorders>
              <w:top w:val="nil"/>
              <w:left w:val="nil"/>
              <w:bottom w:val="nil"/>
              <w:right w:val="nil"/>
            </w:tcBorders>
            <w:shd w:val="clear" w:color="000000" w:fill="FFFFFF"/>
            <w:noWrap/>
            <w:vAlign w:val="bottom"/>
            <w:hideMark/>
          </w:tcPr>
          <w:p w14:paraId="327C4E1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72.45%</w:t>
            </w:r>
          </w:p>
        </w:tc>
        <w:tc>
          <w:tcPr>
            <w:tcW w:w="212" w:type="pct"/>
            <w:tcBorders>
              <w:top w:val="nil"/>
              <w:left w:val="nil"/>
              <w:bottom w:val="nil"/>
              <w:right w:val="nil"/>
            </w:tcBorders>
            <w:shd w:val="clear" w:color="000000" w:fill="FFFFFF"/>
            <w:noWrap/>
            <w:vAlign w:val="bottom"/>
            <w:hideMark/>
          </w:tcPr>
          <w:p w14:paraId="65CB93D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72.99%</w:t>
            </w:r>
          </w:p>
        </w:tc>
        <w:tc>
          <w:tcPr>
            <w:tcW w:w="212" w:type="pct"/>
            <w:tcBorders>
              <w:top w:val="nil"/>
              <w:left w:val="nil"/>
              <w:bottom w:val="nil"/>
              <w:right w:val="nil"/>
            </w:tcBorders>
            <w:shd w:val="clear" w:color="000000" w:fill="FFFFFF"/>
            <w:noWrap/>
            <w:vAlign w:val="bottom"/>
            <w:hideMark/>
          </w:tcPr>
          <w:p w14:paraId="4DF3FC7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73.91%</w:t>
            </w:r>
          </w:p>
        </w:tc>
        <w:tc>
          <w:tcPr>
            <w:tcW w:w="212" w:type="pct"/>
            <w:tcBorders>
              <w:top w:val="nil"/>
              <w:left w:val="nil"/>
              <w:bottom w:val="nil"/>
              <w:right w:val="nil"/>
            </w:tcBorders>
            <w:shd w:val="clear" w:color="000000" w:fill="FFFFFF"/>
            <w:noWrap/>
            <w:vAlign w:val="bottom"/>
            <w:hideMark/>
          </w:tcPr>
          <w:p w14:paraId="24286A9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74.84%</w:t>
            </w:r>
          </w:p>
        </w:tc>
        <w:tc>
          <w:tcPr>
            <w:tcW w:w="212" w:type="pct"/>
            <w:tcBorders>
              <w:top w:val="nil"/>
              <w:left w:val="nil"/>
              <w:bottom w:val="nil"/>
              <w:right w:val="nil"/>
            </w:tcBorders>
            <w:shd w:val="clear" w:color="000000" w:fill="FFFFFF"/>
            <w:noWrap/>
            <w:vAlign w:val="bottom"/>
            <w:hideMark/>
          </w:tcPr>
          <w:p w14:paraId="3D8F1AF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60B7C2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1A7DED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01D51D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FD9C70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0B51F2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105676CE" w14:textId="77777777" w:rsidTr="002D2278">
        <w:trPr>
          <w:trHeight w:val="20"/>
        </w:trPr>
        <w:tc>
          <w:tcPr>
            <w:tcW w:w="663" w:type="pct"/>
            <w:tcBorders>
              <w:top w:val="nil"/>
              <w:left w:val="nil"/>
              <w:bottom w:val="nil"/>
              <w:right w:val="nil"/>
            </w:tcBorders>
            <w:shd w:val="clear" w:color="000000" w:fill="FFFFFF"/>
            <w:noWrap/>
            <w:vAlign w:val="center"/>
            <w:hideMark/>
          </w:tcPr>
          <w:p w14:paraId="6ED52963" w14:textId="785511C1"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2023........................................</w:t>
            </w:r>
          </w:p>
        </w:tc>
        <w:tc>
          <w:tcPr>
            <w:tcW w:w="449" w:type="pct"/>
            <w:tcBorders>
              <w:top w:val="nil"/>
              <w:left w:val="nil"/>
              <w:bottom w:val="nil"/>
              <w:right w:val="nil"/>
            </w:tcBorders>
            <w:shd w:val="clear" w:color="000000" w:fill="FFFFFF"/>
            <w:noWrap/>
            <w:vAlign w:val="bottom"/>
            <w:hideMark/>
          </w:tcPr>
          <w:p w14:paraId="02A1A13F"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2023Q1</w:t>
            </w:r>
          </w:p>
        </w:tc>
        <w:tc>
          <w:tcPr>
            <w:tcW w:w="499" w:type="pct"/>
            <w:tcBorders>
              <w:top w:val="nil"/>
              <w:left w:val="nil"/>
              <w:bottom w:val="nil"/>
              <w:right w:val="nil"/>
            </w:tcBorders>
            <w:shd w:val="clear" w:color="000000" w:fill="FFFFFF"/>
            <w:noWrap/>
            <w:vAlign w:val="center"/>
            <w:hideMark/>
          </w:tcPr>
          <w:p w14:paraId="0DB39F1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1,641 </w:t>
            </w:r>
          </w:p>
        </w:tc>
        <w:tc>
          <w:tcPr>
            <w:tcW w:w="212" w:type="pct"/>
            <w:tcBorders>
              <w:top w:val="nil"/>
              <w:left w:val="nil"/>
              <w:bottom w:val="nil"/>
              <w:right w:val="nil"/>
            </w:tcBorders>
            <w:shd w:val="clear" w:color="000000" w:fill="FFFFFF"/>
            <w:noWrap/>
            <w:vAlign w:val="bottom"/>
            <w:hideMark/>
          </w:tcPr>
          <w:p w14:paraId="3EEC025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43.27%</w:t>
            </w:r>
          </w:p>
        </w:tc>
        <w:tc>
          <w:tcPr>
            <w:tcW w:w="212" w:type="pct"/>
            <w:tcBorders>
              <w:top w:val="nil"/>
              <w:left w:val="nil"/>
              <w:bottom w:val="nil"/>
              <w:right w:val="nil"/>
            </w:tcBorders>
            <w:shd w:val="clear" w:color="000000" w:fill="FFFFFF"/>
            <w:noWrap/>
            <w:vAlign w:val="bottom"/>
            <w:hideMark/>
          </w:tcPr>
          <w:p w14:paraId="7F22962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73.84%</w:t>
            </w:r>
          </w:p>
        </w:tc>
        <w:tc>
          <w:tcPr>
            <w:tcW w:w="212" w:type="pct"/>
            <w:tcBorders>
              <w:top w:val="nil"/>
              <w:left w:val="nil"/>
              <w:bottom w:val="nil"/>
              <w:right w:val="nil"/>
            </w:tcBorders>
            <w:shd w:val="clear" w:color="000000" w:fill="FFFFFF"/>
            <w:noWrap/>
            <w:vAlign w:val="bottom"/>
            <w:hideMark/>
          </w:tcPr>
          <w:p w14:paraId="6CE81CA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75.60%</w:t>
            </w:r>
          </w:p>
        </w:tc>
        <w:tc>
          <w:tcPr>
            <w:tcW w:w="212" w:type="pct"/>
            <w:tcBorders>
              <w:top w:val="nil"/>
              <w:left w:val="nil"/>
              <w:bottom w:val="nil"/>
              <w:right w:val="nil"/>
            </w:tcBorders>
            <w:shd w:val="clear" w:color="000000" w:fill="FFFFFF"/>
            <w:noWrap/>
            <w:vAlign w:val="bottom"/>
            <w:hideMark/>
          </w:tcPr>
          <w:p w14:paraId="1F9F361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76.32%</w:t>
            </w:r>
          </w:p>
        </w:tc>
        <w:tc>
          <w:tcPr>
            <w:tcW w:w="212" w:type="pct"/>
            <w:tcBorders>
              <w:top w:val="nil"/>
              <w:left w:val="nil"/>
              <w:bottom w:val="nil"/>
              <w:right w:val="nil"/>
            </w:tcBorders>
            <w:shd w:val="clear" w:color="000000" w:fill="FFFFFF"/>
            <w:noWrap/>
            <w:vAlign w:val="bottom"/>
            <w:hideMark/>
          </w:tcPr>
          <w:p w14:paraId="39E9DB1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76.61%</w:t>
            </w:r>
          </w:p>
        </w:tc>
        <w:tc>
          <w:tcPr>
            <w:tcW w:w="212" w:type="pct"/>
            <w:tcBorders>
              <w:top w:val="nil"/>
              <w:left w:val="nil"/>
              <w:bottom w:val="nil"/>
              <w:right w:val="nil"/>
            </w:tcBorders>
            <w:shd w:val="clear" w:color="000000" w:fill="FFFFFF"/>
            <w:noWrap/>
            <w:vAlign w:val="bottom"/>
            <w:hideMark/>
          </w:tcPr>
          <w:p w14:paraId="5B8765B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76.84%</w:t>
            </w:r>
          </w:p>
        </w:tc>
        <w:tc>
          <w:tcPr>
            <w:tcW w:w="212" w:type="pct"/>
            <w:tcBorders>
              <w:top w:val="nil"/>
              <w:left w:val="nil"/>
              <w:bottom w:val="nil"/>
              <w:right w:val="nil"/>
            </w:tcBorders>
            <w:shd w:val="clear" w:color="000000" w:fill="FFFFFF"/>
            <w:noWrap/>
            <w:vAlign w:val="bottom"/>
            <w:hideMark/>
          </w:tcPr>
          <w:p w14:paraId="7456CFB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79.44%</w:t>
            </w:r>
          </w:p>
        </w:tc>
        <w:tc>
          <w:tcPr>
            <w:tcW w:w="212" w:type="pct"/>
            <w:tcBorders>
              <w:top w:val="nil"/>
              <w:left w:val="nil"/>
              <w:bottom w:val="nil"/>
              <w:right w:val="nil"/>
            </w:tcBorders>
            <w:shd w:val="clear" w:color="000000" w:fill="FFFFFF"/>
            <w:noWrap/>
            <w:vAlign w:val="bottom"/>
            <w:hideMark/>
          </w:tcPr>
          <w:p w14:paraId="416B60F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80.06%</w:t>
            </w:r>
          </w:p>
        </w:tc>
        <w:tc>
          <w:tcPr>
            <w:tcW w:w="212" w:type="pct"/>
            <w:tcBorders>
              <w:top w:val="nil"/>
              <w:left w:val="nil"/>
              <w:bottom w:val="nil"/>
              <w:right w:val="nil"/>
            </w:tcBorders>
            <w:shd w:val="clear" w:color="000000" w:fill="FFFFFF"/>
            <w:noWrap/>
            <w:vAlign w:val="bottom"/>
            <w:hideMark/>
          </w:tcPr>
          <w:p w14:paraId="4F73DAA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80.58%</w:t>
            </w:r>
          </w:p>
        </w:tc>
        <w:tc>
          <w:tcPr>
            <w:tcW w:w="212" w:type="pct"/>
            <w:tcBorders>
              <w:top w:val="nil"/>
              <w:left w:val="nil"/>
              <w:bottom w:val="nil"/>
              <w:right w:val="nil"/>
            </w:tcBorders>
            <w:shd w:val="clear" w:color="000000" w:fill="FFFFFF"/>
            <w:noWrap/>
            <w:vAlign w:val="bottom"/>
            <w:hideMark/>
          </w:tcPr>
          <w:p w14:paraId="2A97A98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74FAC1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6898E1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61E3C1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0F314D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874676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4B0DE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07B1E73F" w14:textId="77777777" w:rsidTr="002D2278">
        <w:trPr>
          <w:trHeight w:val="20"/>
        </w:trPr>
        <w:tc>
          <w:tcPr>
            <w:tcW w:w="663" w:type="pct"/>
            <w:tcBorders>
              <w:top w:val="nil"/>
              <w:left w:val="nil"/>
              <w:bottom w:val="nil"/>
              <w:right w:val="nil"/>
            </w:tcBorders>
            <w:shd w:val="clear" w:color="000000" w:fill="FFFFFF"/>
            <w:noWrap/>
            <w:vAlign w:val="center"/>
            <w:hideMark/>
          </w:tcPr>
          <w:p w14:paraId="60187D6C" w14:textId="593BEFD8"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2023..........................................</w:t>
            </w:r>
          </w:p>
        </w:tc>
        <w:tc>
          <w:tcPr>
            <w:tcW w:w="449" w:type="pct"/>
            <w:tcBorders>
              <w:top w:val="nil"/>
              <w:left w:val="nil"/>
              <w:bottom w:val="nil"/>
              <w:right w:val="nil"/>
            </w:tcBorders>
            <w:shd w:val="clear" w:color="000000" w:fill="FFFFFF"/>
            <w:noWrap/>
            <w:vAlign w:val="bottom"/>
            <w:hideMark/>
          </w:tcPr>
          <w:p w14:paraId="2690881B"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2023Q2</w:t>
            </w:r>
          </w:p>
        </w:tc>
        <w:tc>
          <w:tcPr>
            <w:tcW w:w="499" w:type="pct"/>
            <w:tcBorders>
              <w:top w:val="nil"/>
              <w:left w:val="nil"/>
              <w:bottom w:val="nil"/>
              <w:right w:val="nil"/>
            </w:tcBorders>
            <w:shd w:val="clear" w:color="000000" w:fill="FFFFFF"/>
            <w:noWrap/>
            <w:vAlign w:val="center"/>
            <w:hideMark/>
          </w:tcPr>
          <w:p w14:paraId="11C22E8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2,009 </w:t>
            </w:r>
          </w:p>
        </w:tc>
        <w:tc>
          <w:tcPr>
            <w:tcW w:w="212" w:type="pct"/>
            <w:tcBorders>
              <w:top w:val="nil"/>
              <w:left w:val="nil"/>
              <w:bottom w:val="nil"/>
              <w:right w:val="nil"/>
            </w:tcBorders>
            <w:shd w:val="clear" w:color="000000" w:fill="FFFFFF"/>
            <w:noWrap/>
            <w:vAlign w:val="bottom"/>
            <w:hideMark/>
          </w:tcPr>
          <w:p w14:paraId="6180C0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40.91%</w:t>
            </w:r>
          </w:p>
        </w:tc>
        <w:tc>
          <w:tcPr>
            <w:tcW w:w="212" w:type="pct"/>
            <w:tcBorders>
              <w:top w:val="nil"/>
              <w:left w:val="nil"/>
              <w:bottom w:val="nil"/>
              <w:right w:val="nil"/>
            </w:tcBorders>
            <w:shd w:val="clear" w:color="000000" w:fill="FFFFFF"/>
            <w:noWrap/>
            <w:vAlign w:val="bottom"/>
            <w:hideMark/>
          </w:tcPr>
          <w:p w14:paraId="236B699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69.90%</w:t>
            </w:r>
          </w:p>
        </w:tc>
        <w:tc>
          <w:tcPr>
            <w:tcW w:w="212" w:type="pct"/>
            <w:tcBorders>
              <w:top w:val="nil"/>
              <w:left w:val="nil"/>
              <w:bottom w:val="nil"/>
              <w:right w:val="nil"/>
            </w:tcBorders>
            <w:shd w:val="clear" w:color="000000" w:fill="FFFFFF"/>
            <w:noWrap/>
            <w:vAlign w:val="bottom"/>
            <w:hideMark/>
          </w:tcPr>
          <w:p w14:paraId="6ABE6BB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74.29%</w:t>
            </w:r>
          </w:p>
        </w:tc>
        <w:tc>
          <w:tcPr>
            <w:tcW w:w="212" w:type="pct"/>
            <w:tcBorders>
              <w:top w:val="nil"/>
              <w:left w:val="nil"/>
              <w:bottom w:val="nil"/>
              <w:right w:val="nil"/>
            </w:tcBorders>
            <w:shd w:val="clear" w:color="000000" w:fill="FFFFFF"/>
            <w:noWrap/>
            <w:vAlign w:val="bottom"/>
            <w:hideMark/>
          </w:tcPr>
          <w:p w14:paraId="26365B1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75.49%</w:t>
            </w:r>
          </w:p>
        </w:tc>
        <w:tc>
          <w:tcPr>
            <w:tcW w:w="212" w:type="pct"/>
            <w:tcBorders>
              <w:top w:val="nil"/>
              <w:left w:val="nil"/>
              <w:bottom w:val="nil"/>
              <w:right w:val="nil"/>
            </w:tcBorders>
            <w:shd w:val="clear" w:color="000000" w:fill="FFFFFF"/>
            <w:noWrap/>
            <w:vAlign w:val="bottom"/>
            <w:hideMark/>
          </w:tcPr>
          <w:p w14:paraId="0E51498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76.08%</w:t>
            </w:r>
          </w:p>
        </w:tc>
        <w:tc>
          <w:tcPr>
            <w:tcW w:w="212" w:type="pct"/>
            <w:tcBorders>
              <w:top w:val="nil"/>
              <w:left w:val="nil"/>
              <w:bottom w:val="nil"/>
              <w:right w:val="nil"/>
            </w:tcBorders>
            <w:shd w:val="clear" w:color="000000" w:fill="FFFFFF"/>
            <w:noWrap/>
            <w:vAlign w:val="bottom"/>
            <w:hideMark/>
          </w:tcPr>
          <w:p w14:paraId="5F7DFD5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76.28%</w:t>
            </w:r>
          </w:p>
        </w:tc>
        <w:tc>
          <w:tcPr>
            <w:tcW w:w="212" w:type="pct"/>
            <w:tcBorders>
              <w:top w:val="nil"/>
              <w:left w:val="nil"/>
              <w:bottom w:val="nil"/>
              <w:right w:val="nil"/>
            </w:tcBorders>
            <w:shd w:val="clear" w:color="000000" w:fill="FFFFFF"/>
            <w:noWrap/>
            <w:vAlign w:val="bottom"/>
            <w:hideMark/>
          </w:tcPr>
          <w:p w14:paraId="7F6D72E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77.04%</w:t>
            </w:r>
          </w:p>
        </w:tc>
        <w:tc>
          <w:tcPr>
            <w:tcW w:w="212" w:type="pct"/>
            <w:tcBorders>
              <w:top w:val="nil"/>
              <w:left w:val="nil"/>
              <w:bottom w:val="nil"/>
              <w:right w:val="nil"/>
            </w:tcBorders>
            <w:shd w:val="clear" w:color="000000" w:fill="FFFFFF"/>
            <w:noWrap/>
            <w:vAlign w:val="bottom"/>
            <w:hideMark/>
          </w:tcPr>
          <w:p w14:paraId="24DF23B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77.99%</w:t>
            </w:r>
          </w:p>
        </w:tc>
        <w:tc>
          <w:tcPr>
            <w:tcW w:w="212" w:type="pct"/>
            <w:tcBorders>
              <w:top w:val="nil"/>
              <w:left w:val="nil"/>
              <w:bottom w:val="nil"/>
              <w:right w:val="nil"/>
            </w:tcBorders>
            <w:shd w:val="clear" w:color="000000" w:fill="FFFFFF"/>
            <w:noWrap/>
            <w:vAlign w:val="bottom"/>
            <w:hideMark/>
          </w:tcPr>
          <w:p w14:paraId="1F6A557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D5C6C6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DB66BA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A4DACA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0E5769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E030BE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5EC1AE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DD0A0B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1E85F043" w14:textId="77777777" w:rsidTr="002D2278">
        <w:trPr>
          <w:trHeight w:val="20"/>
        </w:trPr>
        <w:tc>
          <w:tcPr>
            <w:tcW w:w="663" w:type="pct"/>
            <w:tcBorders>
              <w:top w:val="nil"/>
              <w:left w:val="nil"/>
              <w:bottom w:val="nil"/>
              <w:right w:val="nil"/>
            </w:tcBorders>
            <w:shd w:val="clear" w:color="000000" w:fill="FFFFFF"/>
            <w:noWrap/>
            <w:vAlign w:val="center"/>
            <w:hideMark/>
          </w:tcPr>
          <w:p w14:paraId="4F0104CC"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2023..............................</w:t>
            </w:r>
          </w:p>
        </w:tc>
        <w:tc>
          <w:tcPr>
            <w:tcW w:w="449" w:type="pct"/>
            <w:tcBorders>
              <w:top w:val="nil"/>
              <w:left w:val="nil"/>
              <w:bottom w:val="nil"/>
              <w:right w:val="nil"/>
            </w:tcBorders>
            <w:shd w:val="clear" w:color="000000" w:fill="FFFFFF"/>
            <w:noWrap/>
            <w:vAlign w:val="bottom"/>
            <w:hideMark/>
          </w:tcPr>
          <w:p w14:paraId="7521E6B0"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2023Q3</w:t>
            </w:r>
          </w:p>
        </w:tc>
        <w:tc>
          <w:tcPr>
            <w:tcW w:w="499" w:type="pct"/>
            <w:tcBorders>
              <w:top w:val="nil"/>
              <w:left w:val="nil"/>
              <w:bottom w:val="nil"/>
              <w:right w:val="nil"/>
            </w:tcBorders>
            <w:shd w:val="clear" w:color="000000" w:fill="FFFFFF"/>
            <w:noWrap/>
            <w:vAlign w:val="center"/>
            <w:hideMark/>
          </w:tcPr>
          <w:p w14:paraId="309BF350"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1,656 </w:t>
            </w:r>
          </w:p>
        </w:tc>
        <w:tc>
          <w:tcPr>
            <w:tcW w:w="212" w:type="pct"/>
            <w:tcBorders>
              <w:top w:val="nil"/>
              <w:left w:val="nil"/>
              <w:bottom w:val="nil"/>
              <w:right w:val="nil"/>
            </w:tcBorders>
            <w:shd w:val="clear" w:color="000000" w:fill="FFFFFF"/>
            <w:noWrap/>
            <w:vAlign w:val="bottom"/>
            <w:hideMark/>
          </w:tcPr>
          <w:p w14:paraId="69D203D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33.03%</w:t>
            </w:r>
          </w:p>
        </w:tc>
        <w:tc>
          <w:tcPr>
            <w:tcW w:w="212" w:type="pct"/>
            <w:tcBorders>
              <w:top w:val="nil"/>
              <w:left w:val="nil"/>
              <w:bottom w:val="nil"/>
              <w:right w:val="nil"/>
            </w:tcBorders>
            <w:shd w:val="clear" w:color="000000" w:fill="FFFFFF"/>
            <w:noWrap/>
            <w:vAlign w:val="bottom"/>
            <w:hideMark/>
          </w:tcPr>
          <w:p w14:paraId="38E9A59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70.11%</w:t>
            </w:r>
          </w:p>
        </w:tc>
        <w:tc>
          <w:tcPr>
            <w:tcW w:w="212" w:type="pct"/>
            <w:tcBorders>
              <w:top w:val="nil"/>
              <w:left w:val="nil"/>
              <w:bottom w:val="nil"/>
              <w:right w:val="nil"/>
            </w:tcBorders>
            <w:shd w:val="clear" w:color="000000" w:fill="FFFFFF"/>
            <w:noWrap/>
            <w:vAlign w:val="bottom"/>
            <w:hideMark/>
          </w:tcPr>
          <w:p w14:paraId="7682A04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70.88%</w:t>
            </w:r>
          </w:p>
        </w:tc>
        <w:tc>
          <w:tcPr>
            <w:tcW w:w="212" w:type="pct"/>
            <w:tcBorders>
              <w:top w:val="nil"/>
              <w:left w:val="nil"/>
              <w:bottom w:val="nil"/>
              <w:right w:val="nil"/>
            </w:tcBorders>
            <w:shd w:val="clear" w:color="000000" w:fill="FFFFFF"/>
            <w:noWrap/>
            <w:vAlign w:val="bottom"/>
            <w:hideMark/>
          </w:tcPr>
          <w:p w14:paraId="0C4C42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72.06%</w:t>
            </w:r>
          </w:p>
        </w:tc>
        <w:tc>
          <w:tcPr>
            <w:tcW w:w="212" w:type="pct"/>
            <w:tcBorders>
              <w:top w:val="nil"/>
              <w:left w:val="nil"/>
              <w:bottom w:val="nil"/>
              <w:right w:val="nil"/>
            </w:tcBorders>
            <w:shd w:val="clear" w:color="000000" w:fill="FFFFFF"/>
            <w:noWrap/>
            <w:vAlign w:val="bottom"/>
            <w:hideMark/>
          </w:tcPr>
          <w:p w14:paraId="64A1E4E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72.91%</w:t>
            </w:r>
          </w:p>
        </w:tc>
        <w:tc>
          <w:tcPr>
            <w:tcW w:w="212" w:type="pct"/>
            <w:tcBorders>
              <w:top w:val="nil"/>
              <w:left w:val="nil"/>
              <w:bottom w:val="nil"/>
              <w:right w:val="nil"/>
            </w:tcBorders>
            <w:shd w:val="clear" w:color="000000" w:fill="FFFFFF"/>
            <w:noWrap/>
            <w:vAlign w:val="bottom"/>
            <w:hideMark/>
          </w:tcPr>
          <w:p w14:paraId="31D654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74.59%</w:t>
            </w:r>
          </w:p>
        </w:tc>
        <w:tc>
          <w:tcPr>
            <w:tcW w:w="212" w:type="pct"/>
            <w:tcBorders>
              <w:top w:val="nil"/>
              <w:left w:val="nil"/>
              <w:bottom w:val="nil"/>
              <w:right w:val="nil"/>
            </w:tcBorders>
            <w:shd w:val="clear" w:color="000000" w:fill="FFFFFF"/>
            <w:noWrap/>
            <w:vAlign w:val="bottom"/>
            <w:hideMark/>
          </w:tcPr>
          <w:p w14:paraId="06716E0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75.71%</w:t>
            </w:r>
          </w:p>
        </w:tc>
        <w:tc>
          <w:tcPr>
            <w:tcW w:w="212" w:type="pct"/>
            <w:tcBorders>
              <w:top w:val="nil"/>
              <w:left w:val="nil"/>
              <w:bottom w:val="nil"/>
              <w:right w:val="nil"/>
            </w:tcBorders>
            <w:shd w:val="clear" w:color="000000" w:fill="FFFFFF"/>
            <w:noWrap/>
            <w:vAlign w:val="bottom"/>
            <w:hideMark/>
          </w:tcPr>
          <w:p w14:paraId="4897D91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471191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1DB210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E8ED57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89F505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2D9962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0626F1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B4CE19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F76E04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065DF678" w14:textId="77777777" w:rsidTr="002D2278">
        <w:trPr>
          <w:trHeight w:val="20"/>
        </w:trPr>
        <w:tc>
          <w:tcPr>
            <w:tcW w:w="663" w:type="pct"/>
            <w:tcBorders>
              <w:top w:val="nil"/>
              <w:left w:val="nil"/>
              <w:bottom w:val="nil"/>
              <w:right w:val="nil"/>
            </w:tcBorders>
            <w:shd w:val="clear" w:color="000000" w:fill="FFFFFF"/>
            <w:noWrap/>
            <w:vAlign w:val="center"/>
            <w:hideMark/>
          </w:tcPr>
          <w:p w14:paraId="135EFB3B" w14:textId="657E06DE"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2023...............................</w:t>
            </w:r>
          </w:p>
        </w:tc>
        <w:tc>
          <w:tcPr>
            <w:tcW w:w="449" w:type="pct"/>
            <w:tcBorders>
              <w:top w:val="nil"/>
              <w:left w:val="nil"/>
              <w:bottom w:val="nil"/>
              <w:right w:val="nil"/>
            </w:tcBorders>
            <w:shd w:val="clear" w:color="000000" w:fill="FFFFFF"/>
            <w:noWrap/>
            <w:vAlign w:val="bottom"/>
            <w:hideMark/>
          </w:tcPr>
          <w:p w14:paraId="3DD8C573"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2023Q4</w:t>
            </w:r>
          </w:p>
        </w:tc>
        <w:tc>
          <w:tcPr>
            <w:tcW w:w="499" w:type="pct"/>
            <w:tcBorders>
              <w:top w:val="nil"/>
              <w:left w:val="nil"/>
              <w:bottom w:val="nil"/>
              <w:right w:val="nil"/>
            </w:tcBorders>
            <w:shd w:val="clear" w:color="000000" w:fill="FFFFFF"/>
            <w:noWrap/>
            <w:vAlign w:val="center"/>
            <w:hideMark/>
          </w:tcPr>
          <w:p w14:paraId="401B9D6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1,506 </w:t>
            </w:r>
          </w:p>
        </w:tc>
        <w:tc>
          <w:tcPr>
            <w:tcW w:w="212" w:type="pct"/>
            <w:tcBorders>
              <w:top w:val="nil"/>
              <w:left w:val="nil"/>
              <w:bottom w:val="nil"/>
              <w:right w:val="nil"/>
            </w:tcBorders>
            <w:shd w:val="clear" w:color="000000" w:fill="FFFFFF"/>
            <w:noWrap/>
            <w:vAlign w:val="bottom"/>
            <w:hideMark/>
          </w:tcPr>
          <w:p w14:paraId="7E723CF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29.74%</w:t>
            </w:r>
          </w:p>
        </w:tc>
        <w:tc>
          <w:tcPr>
            <w:tcW w:w="212" w:type="pct"/>
            <w:tcBorders>
              <w:top w:val="nil"/>
              <w:left w:val="nil"/>
              <w:bottom w:val="nil"/>
              <w:right w:val="nil"/>
            </w:tcBorders>
            <w:shd w:val="clear" w:color="000000" w:fill="FFFFFF"/>
            <w:noWrap/>
            <w:vAlign w:val="bottom"/>
            <w:hideMark/>
          </w:tcPr>
          <w:p w14:paraId="7F9A246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71.52%</w:t>
            </w:r>
          </w:p>
        </w:tc>
        <w:tc>
          <w:tcPr>
            <w:tcW w:w="212" w:type="pct"/>
            <w:tcBorders>
              <w:top w:val="nil"/>
              <w:left w:val="nil"/>
              <w:bottom w:val="nil"/>
              <w:right w:val="nil"/>
            </w:tcBorders>
            <w:shd w:val="clear" w:color="000000" w:fill="FFFFFF"/>
            <w:noWrap/>
            <w:vAlign w:val="bottom"/>
            <w:hideMark/>
          </w:tcPr>
          <w:p w14:paraId="577263E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72.11%</w:t>
            </w:r>
          </w:p>
        </w:tc>
        <w:tc>
          <w:tcPr>
            <w:tcW w:w="212" w:type="pct"/>
            <w:tcBorders>
              <w:top w:val="nil"/>
              <w:left w:val="nil"/>
              <w:bottom w:val="nil"/>
              <w:right w:val="nil"/>
            </w:tcBorders>
            <w:shd w:val="clear" w:color="000000" w:fill="FFFFFF"/>
            <w:noWrap/>
            <w:vAlign w:val="bottom"/>
            <w:hideMark/>
          </w:tcPr>
          <w:p w14:paraId="5A6F2D1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73.22%</w:t>
            </w:r>
          </w:p>
        </w:tc>
        <w:tc>
          <w:tcPr>
            <w:tcW w:w="212" w:type="pct"/>
            <w:tcBorders>
              <w:top w:val="nil"/>
              <w:left w:val="nil"/>
              <w:bottom w:val="nil"/>
              <w:right w:val="nil"/>
            </w:tcBorders>
            <w:shd w:val="clear" w:color="000000" w:fill="FFFFFF"/>
            <w:noWrap/>
            <w:vAlign w:val="bottom"/>
            <w:hideMark/>
          </w:tcPr>
          <w:p w14:paraId="7622CB6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73.36%</w:t>
            </w:r>
          </w:p>
        </w:tc>
        <w:tc>
          <w:tcPr>
            <w:tcW w:w="212" w:type="pct"/>
            <w:tcBorders>
              <w:top w:val="nil"/>
              <w:left w:val="nil"/>
              <w:bottom w:val="nil"/>
              <w:right w:val="nil"/>
            </w:tcBorders>
            <w:shd w:val="clear" w:color="000000" w:fill="FFFFFF"/>
            <w:noWrap/>
            <w:vAlign w:val="bottom"/>
            <w:hideMark/>
          </w:tcPr>
          <w:p w14:paraId="2FE364F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73.85%</w:t>
            </w:r>
          </w:p>
        </w:tc>
        <w:tc>
          <w:tcPr>
            <w:tcW w:w="212" w:type="pct"/>
            <w:tcBorders>
              <w:top w:val="nil"/>
              <w:left w:val="nil"/>
              <w:bottom w:val="nil"/>
              <w:right w:val="nil"/>
            </w:tcBorders>
            <w:shd w:val="clear" w:color="000000" w:fill="FFFFFF"/>
            <w:noWrap/>
            <w:vAlign w:val="bottom"/>
            <w:hideMark/>
          </w:tcPr>
          <w:p w14:paraId="41A583D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5BFB1B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6116E7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5C7421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83F400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D89087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D15A91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304F9F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0F5BF4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EB73AF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18539ECD" w14:textId="77777777" w:rsidTr="002D2278">
        <w:trPr>
          <w:trHeight w:val="20"/>
        </w:trPr>
        <w:tc>
          <w:tcPr>
            <w:tcW w:w="663" w:type="pct"/>
            <w:tcBorders>
              <w:top w:val="nil"/>
              <w:left w:val="nil"/>
              <w:bottom w:val="nil"/>
              <w:right w:val="nil"/>
            </w:tcBorders>
            <w:shd w:val="clear" w:color="000000" w:fill="FFFFFF"/>
            <w:noWrap/>
            <w:vAlign w:val="center"/>
            <w:hideMark/>
          </w:tcPr>
          <w:p w14:paraId="5DC5056D" w14:textId="2771443E"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2024........................................</w:t>
            </w:r>
          </w:p>
        </w:tc>
        <w:tc>
          <w:tcPr>
            <w:tcW w:w="449" w:type="pct"/>
            <w:tcBorders>
              <w:top w:val="nil"/>
              <w:left w:val="nil"/>
              <w:bottom w:val="nil"/>
              <w:right w:val="nil"/>
            </w:tcBorders>
            <w:shd w:val="clear" w:color="000000" w:fill="FFFFFF"/>
            <w:noWrap/>
            <w:vAlign w:val="bottom"/>
            <w:hideMark/>
          </w:tcPr>
          <w:p w14:paraId="6A6E0A66"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2024Q1</w:t>
            </w:r>
          </w:p>
        </w:tc>
        <w:tc>
          <w:tcPr>
            <w:tcW w:w="499" w:type="pct"/>
            <w:tcBorders>
              <w:top w:val="nil"/>
              <w:left w:val="nil"/>
              <w:bottom w:val="nil"/>
              <w:right w:val="nil"/>
            </w:tcBorders>
            <w:shd w:val="clear" w:color="000000" w:fill="FFFFFF"/>
            <w:noWrap/>
            <w:vAlign w:val="center"/>
            <w:hideMark/>
          </w:tcPr>
          <w:p w14:paraId="1A91E92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2,921 </w:t>
            </w:r>
          </w:p>
        </w:tc>
        <w:tc>
          <w:tcPr>
            <w:tcW w:w="212" w:type="pct"/>
            <w:tcBorders>
              <w:top w:val="nil"/>
              <w:left w:val="nil"/>
              <w:bottom w:val="nil"/>
              <w:right w:val="nil"/>
            </w:tcBorders>
            <w:shd w:val="clear" w:color="000000" w:fill="FFFFFF"/>
            <w:noWrap/>
            <w:vAlign w:val="bottom"/>
            <w:hideMark/>
          </w:tcPr>
          <w:p w14:paraId="6AAA984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30.59%</w:t>
            </w:r>
          </w:p>
        </w:tc>
        <w:tc>
          <w:tcPr>
            <w:tcW w:w="212" w:type="pct"/>
            <w:tcBorders>
              <w:top w:val="nil"/>
              <w:left w:val="nil"/>
              <w:bottom w:val="nil"/>
              <w:right w:val="nil"/>
            </w:tcBorders>
            <w:shd w:val="clear" w:color="000000" w:fill="FFFFFF"/>
            <w:noWrap/>
            <w:vAlign w:val="bottom"/>
            <w:hideMark/>
          </w:tcPr>
          <w:p w14:paraId="2DA068C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67.41%</w:t>
            </w:r>
          </w:p>
        </w:tc>
        <w:tc>
          <w:tcPr>
            <w:tcW w:w="212" w:type="pct"/>
            <w:tcBorders>
              <w:top w:val="nil"/>
              <w:left w:val="nil"/>
              <w:bottom w:val="nil"/>
              <w:right w:val="nil"/>
            </w:tcBorders>
            <w:shd w:val="clear" w:color="000000" w:fill="FFFFFF"/>
            <w:noWrap/>
            <w:vAlign w:val="bottom"/>
            <w:hideMark/>
          </w:tcPr>
          <w:p w14:paraId="7DDF9E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70.42%</w:t>
            </w:r>
          </w:p>
        </w:tc>
        <w:tc>
          <w:tcPr>
            <w:tcW w:w="212" w:type="pct"/>
            <w:tcBorders>
              <w:top w:val="nil"/>
              <w:left w:val="nil"/>
              <w:bottom w:val="nil"/>
              <w:right w:val="nil"/>
            </w:tcBorders>
            <w:shd w:val="clear" w:color="000000" w:fill="FFFFFF"/>
            <w:noWrap/>
            <w:vAlign w:val="bottom"/>
            <w:hideMark/>
          </w:tcPr>
          <w:p w14:paraId="06C55F4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72.80%</w:t>
            </w:r>
          </w:p>
        </w:tc>
        <w:tc>
          <w:tcPr>
            <w:tcW w:w="212" w:type="pct"/>
            <w:tcBorders>
              <w:top w:val="nil"/>
              <w:left w:val="nil"/>
              <w:bottom w:val="nil"/>
              <w:right w:val="nil"/>
            </w:tcBorders>
            <w:shd w:val="clear" w:color="000000" w:fill="FFFFFF"/>
            <w:noWrap/>
            <w:vAlign w:val="bottom"/>
            <w:hideMark/>
          </w:tcPr>
          <w:p w14:paraId="5CE3E7C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73.79%</w:t>
            </w:r>
          </w:p>
        </w:tc>
        <w:tc>
          <w:tcPr>
            <w:tcW w:w="212" w:type="pct"/>
            <w:tcBorders>
              <w:top w:val="nil"/>
              <w:left w:val="nil"/>
              <w:bottom w:val="nil"/>
              <w:right w:val="nil"/>
            </w:tcBorders>
            <w:shd w:val="clear" w:color="000000" w:fill="FFFFFF"/>
            <w:noWrap/>
            <w:vAlign w:val="bottom"/>
            <w:hideMark/>
          </w:tcPr>
          <w:p w14:paraId="2E407D3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B1157D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36496C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4F9DDF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0C4F5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F10752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56B84E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8D6780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6C82E0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89A182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A9CB18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4FF95822" w14:textId="77777777" w:rsidTr="002D2278">
        <w:trPr>
          <w:trHeight w:val="20"/>
        </w:trPr>
        <w:tc>
          <w:tcPr>
            <w:tcW w:w="663" w:type="pct"/>
            <w:tcBorders>
              <w:top w:val="nil"/>
              <w:left w:val="nil"/>
              <w:bottom w:val="nil"/>
              <w:right w:val="nil"/>
            </w:tcBorders>
            <w:shd w:val="clear" w:color="000000" w:fill="FFFFFF"/>
            <w:noWrap/>
            <w:vAlign w:val="center"/>
            <w:hideMark/>
          </w:tcPr>
          <w:p w14:paraId="5AFFE3A1" w14:textId="52491C82"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2024..........................................</w:t>
            </w:r>
          </w:p>
        </w:tc>
        <w:tc>
          <w:tcPr>
            <w:tcW w:w="449" w:type="pct"/>
            <w:tcBorders>
              <w:top w:val="nil"/>
              <w:left w:val="nil"/>
              <w:bottom w:val="nil"/>
              <w:right w:val="nil"/>
            </w:tcBorders>
            <w:shd w:val="clear" w:color="000000" w:fill="FFFFFF"/>
            <w:noWrap/>
            <w:vAlign w:val="bottom"/>
            <w:hideMark/>
          </w:tcPr>
          <w:p w14:paraId="25CC8A6E"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2024Q2</w:t>
            </w:r>
          </w:p>
        </w:tc>
        <w:tc>
          <w:tcPr>
            <w:tcW w:w="499" w:type="pct"/>
            <w:tcBorders>
              <w:top w:val="nil"/>
              <w:left w:val="nil"/>
              <w:bottom w:val="nil"/>
              <w:right w:val="nil"/>
            </w:tcBorders>
            <w:shd w:val="clear" w:color="000000" w:fill="FFFFFF"/>
            <w:noWrap/>
            <w:vAlign w:val="center"/>
            <w:hideMark/>
          </w:tcPr>
          <w:p w14:paraId="32E769DD"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1,819 </w:t>
            </w:r>
          </w:p>
        </w:tc>
        <w:tc>
          <w:tcPr>
            <w:tcW w:w="212" w:type="pct"/>
            <w:tcBorders>
              <w:top w:val="nil"/>
              <w:left w:val="nil"/>
              <w:bottom w:val="nil"/>
              <w:right w:val="nil"/>
            </w:tcBorders>
            <w:shd w:val="clear" w:color="000000" w:fill="FFFFFF"/>
            <w:noWrap/>
            <w:vAlign w:val="bottom"/>
            <w:hideMark/>
          </w:tcPr>
          <w:p w14:paraId="72D51D3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38.00%</w:t>
            </w:r>
          </w:p>
        </w:tc>
        <w:tc>
          <w:tcPr>
            <w:tcW w:w="212" w:type="pct"/>
            <w:tcBorders>
              <w:top w:val="nil"/>
              <w:left w:val="nil"/>
              <w:bottom w:val="nil"/>
              <w:right w:val="nil"/>
            </w:tcBorders>
            <w:shd w:val="clear" w:color="000000" w:fill="FFFFFF"/>
            <w:noWrap/>
            <w:vAlign w:val="bottom"/>
            <w:hideMark/>
          </w:tcPr>
          <w:p w14:paraId="74CE062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59.00%</w:t>
            </w:r>
          </w:p>
        </w:tc>
        <w:tc>
          <w:tcPr>
            <w:tcW w:w="212" w:type="pct"/>
            <w:tcBorders>
              <w:top w:val="nil"/>
              <w:left w:val="nil"/>
              <w:bottom w:val="nil"/>
              <w:right w:val="nil"/>
            </w:tcBorders>
            <w:shd w:val="clear" w:color="000000" w:fill="FFFFFF"/>
            <w:noWrap/>
            <w:vAlign w:val="bottom"/>
            <w:hideMark/>
          </w:tcPr>
          <w:p w14:paraId="1ECF74F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62.56%</w:t>
            </w:r>
          </w:p>
        </w:tc>
        <w:tc>
          <w:tcPr>
            <w:tcW w:w="212" w:type="pct"/>
            <w:tcBorders>
              <w:top w:val="nil"/>
              <w:left w:val="nil"/>
              <w:bottom w:val="nil"/>
              <w:right w:val="nil"/>
            </w:tcBorders>
            <w:shd w:val="clear" w:color="000000" w:fill="FFFFFF"/>
            <w:noWrap/>
            <w:vAlign w:val="bottom"/>
            <w:hideMark/>
          </w:tcPr>
          <w:p w14:paraId="17C6FD6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64.25%</w:t>
            </w:r>
          </w:p>
        </w:tc>
        <w:tc>
          <w:tcPr>
            <w:tcW w:w="212" w:type="pct"/>
            <w:tcBorders>
              <w:top w:val="nil"/>
              <w:left w:val="nil"/>
              <w:bottom w:val="nil"/>
              <w:right w:val="nil"/>
            </w:tcBorders>
            <w:shd w:val="clear" w:color="000000" w:fill="FFFFFF"/>
            <w:noWrap/>
            <w:vAlign w:val="bottom"/>
            <w:hideMark/>
          </w:tcPr>
          <w:p w14:paraId="47F316F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3C468A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0EEC81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37F383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29CFE6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BD8C6D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65188B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0F5AC9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BEA0E6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D37ED3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595639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F19E88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49FB5DFB" w14:textId="77777777" w:rsidTr="002D2278">
        <w:trPr>
          <w:trHeight w:val="20"/>
        </w:trPr>
        <w:tc>
          <w:tcPr>
            <w:tcW w:w="663" w:type="pct"/>
            <w:tcBorders>
              <w:top w:val="nil"/>
              <w:left w:val="nil"/>
              <w:bottom w:val="nil"/>
              <w:right w:val="nil"/>
            </w:tcBorders>
            <w:shd w:val="clear" w:color="000000" w:fill="FFFFFF"/>
            <w:noWrap/>
            <w:vAlign w:val="center"/>
            <w:hideMark/>
          </w:tcPr>
          <w:p w14:paraId="2BB6DDE7"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2024..............................</w:t>
            </w:r>
          </w:p>
        </w:tc>
        <w:tc>
          <w:tcPr>
            <w:tcW w:w="449" w:type="pct"/>
            <w:tcBorders>
              <w:top w:val="nil"/>
              <w:left w:val="nil"/>
              <w:bottom w:val="nil"/>
              <w:right w:val="nil"/>
            </w:tcBorders>
            <w:shd w:val="clear" w:color="000000" w:fill="FFFFFF"/>
            <w:noWrap/>
            <w:vAlign w:val="bottom"/>
            <w:hideMark/>
          </w:tcPr>
          <w:p w14:paraId="216BC0AF"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2024Q3</w:t>
            </w:r>
          </w:p>
        </w:tc>
        <w:tc>
          <w:tcPr>
            <w:tcW w:w="499" w:type="pct"/>
            <w:tcBorders>
              <w:top w:val="nil"/>
              <w:left w:val="nil"/>
              <w:bottom w:val="nil"/>
              <w:right w:val="nil"/>
            </w:tcBorders>
            <w:shd w:val="clear" w:color="000000" w:fill="FFFFFF"/>
            <w:noWrap/>
            <w:vAlign w:val="center"/>
            <w:hideMark/>
          </w:tcPr>
          <w:p w14:paraId="3DCBC44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2,677 </w:t>
            </w:r>
          </w:p>
        </w:tc>
        <w:tc>
          <w:tcPr>
            <w:tcW w:w="212" w:type="pct"/>
            <w:tcBorders>
              <w:top w:val="nil"/>
              <w:left w:val="nil"/>
              <w:bottom w:val="nil"/>
              <w:right w:val="nil"/>
            </w:tcBorders>
            <w:shd w:val="clear" w:color="000000" w:fill="FFFFFF"/>
            <w:noWrap/>
            <w:vAlign w:val="bottom"/>
            <w:hideMark/>
          </w:tcPr>
          <w:p w14:paraId="4D35B54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30.30%</w:t>
            </w:r>
          </w:p>
        </w:tc>
        <w:tc>
          <w:tcPr>
            <w:tcW w:w="212" w:type="pct"/>
            <w:tcBorders>
              <w:top w:val="nil"/>
              <w:left w:val="nil"/>
              <w:bottom w:val="nil"/>
              <w:right w:val="nil"/>
            </w:tcBorders>
            <w:shd w:val="clear" w:color="000000" w:fill="FFFFFF"/>
            <w:noWrap/>
            <w:vAlign w:val="bottom"/>
            <w:hideMark/>
          </w:tcPr>
          <w:p w14:paraId="20793F3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56.82%</w:t>
            </w:r>
          </w:p>
        </w:tc>
        <w:tc>
          <w:tcPr>
            <w:tcW w:w="212" w:type="pct"/>
            <w:tcBorders>
              <w:top w:val="nil"/>
              <w:left w:val="nil"/>
              <w:bottom w:val="nil"/>
              <w:right w:val="nil"/>
            </w:tcBorders>
            <w:shd w:val="clear" w:color="000000" w:fill="FFFFFF"/>
            <w:noWrap/>
            <w:vAlign w:val="bottom"/>
            <w:hideMark/>
          </w:tcPr>
          <w:p w14:paraId="6679E3B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62.02%</w:t>
            </w:r>
          </w:p>
        </w:tc>
        <w:tc>
          <w:tcPr>
            <w:tcW w:w="212" w:type="pct"/>
            <w:tcBorders>
              <w:top w:val="nil"/>
              <w:left w:val="nil"/>
              <w:bottom w:val="nil"/>
              <w:right w:val="nil"/>
            </w:tcBorders>
            <w:shd w:val="clear" w:color="000000" w:fill="FFFFFF"/>
            <w:noWrap/>
            <w:vAlign w:val="bottom"/>
            <w:hideMark/>
          </w:tcPr>
          <w:p w14:paraId="6D219D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DABBB0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0332E6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687C8A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228D6E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3CA35C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F7E4B3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B19609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79B5D3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E54EC0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AEF1CC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23021D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B8FE2C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7AC9A5C2" w14:textId="77777777" w:rsidTr="002D2278">
        <w:trPr>
          <w:trHeight w:val="20"/>
        </w:trPr>
        <w:tc>
          <w:tcPr>
            <w:tcW w:w="663" w:type="pct"/>
            <w:tcBorders>
              <w:top w:val="nil"/>
              <w:left w:val="nil"/>
              <w:bottom w:val="nil"/>
              <w:right w:val="nil"/>
            </w:tcBorders>
            <w:shd w:val="clear" w:color="000000" w:fill="FFFFFF"/>
            <w:noWrap/>
            <w:vAlign w:val="center"/>
            <w:hideMark/>
          </w:tcPr>
          <w:p w14:paraId="4B514BC9" w14:textId="0D01EC0B"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2024...............................</w:t>
            </w:r>
          </w:p>
        </w:tc>
        <w:tc>
          <w:tcPr>
            <w:tcW w:w="449" w:type="pct"/>
            <w:tcBorders>
              <w:top w:val="nil"/>
              <w:left w:val="nil"/>
              <w:bottom w:val="nil"/>
              <w:right w:val="nil"/>
            </w:tcBorders>
            <w:shd w:val="clear" w:color="000000" w:fill="FFFFFF"/>
            <w:noWrap/>
            <w:vAlign w:val="bottom"/>
            <w:hideMark/>
          </w:tcPr>
          <w:p w14:paraId="08D5438D"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2024Q4</w:t>
            </w:r>
          </w:p>
        </w:tc>
        <w:tc>
          <w:tcPr>
            <w:tcW w:w="499" w:type="pct"/>
            <w:tcBorders>
              <w:top w:val="nil"/>
              <w:left w:val="nil"/>
              <w:bottom w:val="nil"/>
              <w:right w:val="nil"/>
            </w:tcBorders>
            <w:shd w:val="clear" w:color="000000" w:fill="FFFFFF"/>
            <w:noWrap/>
            <w:vAlign w:val="center"/>
            <w:hideMark/>
          </w:tcPr>
          <w:p w14:paraId="788D306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3,748 </w:t>
            </w:r>
          </w:p>
        </w:tc>
        <w:tc>
          <w:tcPr>
            <w:tcW w:w="212" w:type="pct"/>
            <w:tcBorders>
              <w:top w:val="nil"/>
              <w:left w:val="nil"/>
              <w:bottom w:val="nil"/>
              <w:right w:val="nil"/>
            </w:tcBorders>
            <w:shd w:val="clear" w:color="000000" w:fill="FFFFFF"/>
            <w:noWrap/>
            <w:vAlign w:val="bottom"/>
            <w:hideMark/>
          </w:tcPr>
          <w:p w14:paraId="5B875B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21.20%</w:t>
            </w:r>
          </w:p>
        </w:tc>
        <w:tc>
          <w:tcPr>
            <w:tcW w:w="212" w:type="pct"/>
            <w:tcBorders>
              <w:top w:val="nil"/>
              <w:left w:val="nil"/>
              <w:bottom w:val="nil"/>
              <w:right w:val="nil"/>
            </w:tcBorders>
            <w:shd w:val="clear" w:color="000000" w:fill="FFFFFF"/>
            <w:noWrap/>
            <w:vAlign w:val="bottom"/>
            <w:hideMark/>
          </w:tcPr>
          <w:p w14:paraId="72D0129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51.69%</w:t>
            </w:r>
          </w:p>
        </w:tc>
        <w:tc>
          <w:tcPr>
            <w:tcW w:w="212" w:type="pct"/>
            <w:tcBorders>
              <w:top w:val="nil"/>
              <w:left w:val="nil"/>
              <w:bottom w:val="nil"/>
              <w:right w:val="nil"/>
            </w:tcBorders>
            <w:shd w:val="clear" w:color="000000" w:fill="FFFFFF"/>
            <w:noWrap/>
            <w:vAlign w:val="bottom"/>
            <w:hideMark/>
          </w:tcPr>
          <w:p w14:paraId="33668AB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FE56AF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F45A50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DD8DDF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3C890E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06B693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3AF925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18E9C2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70A527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20BBE6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794932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9DDB37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93B42A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1782FA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r>
      <w:tr w:rsidR="002D2278" w:rsidRPr="002D2278" w14:paraId="5645D79E" w14:textId="77777777" w:rsidTr="002D2278">
        <w:trPr>
          <w:trHeight w:val="20"/>
        </w:trPr>
        <w:tc>
          <w:tcPr>
            <w:tcW w:w="663" w:type="pct"/>
            <w:tcBorders>
              <w:top w:val="nil"/>
              <w:left w:val="nil"/>
              <w:bottom w:val="nil"/>
              <w:right w:val="nil"/>
            </w:tcBorders>
            <w:shd w:val="clear" w:color="000000" w:fill="FFFFFF"/>
            <w:noWrap/>
            <w:vAlign w:val="center"/>
            <w:hideMark/>
          </w:tcPr>
          <w:p w14:paraId="24E9003C" w14:textId="0E4FBD15"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2025........................................</w:t>
            </w:r>
          </w:p>
        </w:tc>
        <w:tc>
          <w:tcPr>
            <w:tcW w:w="449" w:type="pct"/>
            <w:tcBorders>
              <w:top w:val="nil"/>
              <w:left w:val="nil"/>
              <w:bottom w:val="nil"/>
              <w:right w:val="nil"/>
            </w:tcBorders>
            <w:shd w:val="clear" w:color="000000" w:fill="FFFFFF"/>
            <w:noWrap/>
            <w:vAlign w:val="bottom"/>
            <w:hideMark/>
          </w:tcPr>
          <w:p w14:paraId="19BACD73"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2025Q1</w:t>
            </w:r>
          </w:p>
        </w:tc>
        <w:tc>
          <w:tcPr>
            <w:tcW w:w="499" w:type="pct"/>
            <w:tcBorders>
              <w:top w:val="nil"/>
              <w:left w:val="nil"/>
              <w:bottom w:val="nil"/>
              <w:right w:val="nil"/>
            </w:tcBorders>
            <w:shd w:val="clear" w:color="000000" w:fill="FFFFFF"/>
            <w:noWrap/>
            <w:vAlign w:val="center"/>
            <w:hideMark/>
          </w:tcPr>
          <w:p w14:paraId="2E686B7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4,953 </w:t>
            </w:r>
          </w:p>
        </w:tc>
        <w:tc>
          <w:tcPr>
            <w:tcW w:w="212" w:type="pct"/>
            <w:tcBorders>
              <w:top w:val="nil"/>
              <w:left w:val="nil"/>
              <w:bottom w:val="nil"/>
              <w:right w:val="nil"/>
            </w:tcBorders>
            <w:shd w:val="clear" w:color="000000" w:fill="FFFFFF"/>
            <w:noWrap/>
            <w:vAlign w:val="bottom"/>
            <w:hideMark/>
          </w:tcPr>
          <w:p w14:paraId="76EFF1B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17.65%</w:t>
            </w:r>
          </w:p>
        </w:tc>
        <w:tc>
          <w:tcPr>
            <w:tcW w:w="212" w:type="pct"/>
            <w:tcBorders>
              <w:top w:val="nil"/>
              <w:left w:val="nil"/>
              <w:bottom w:val="nil"/>
              <w:right w:val="nil"/>
            </w:tcBorders>
            <w:shd w:val="clear" w:color="000000" w:fill="FFFFFF"/>
            <w:noWrap/>
            <w:vAlign w:val="bottom"/>
            <w:hideMark/>
          </w:tcPr>
          <w:p w14:paraId="6E192E3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70E859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327BFB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6F2520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1941B72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091B25A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17F9DF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47DC6FC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EB8741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35497D0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5F4F43A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7EE30EA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7B6AE6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664CAD9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212" w:type="pct"/>
            <w:tcBorders>
              <w:top w:val="nil"/>
              <w:left w:val="nil"/>
              <w:bottom w:val="nil"/>
              <w:right w:val="nil"/>
            </w:tcBorders>
            <w:shd w:val="clear" w:color="000000" w:fill="FFFFFF"/>
            <w:noWrap/>
            <w:vAlign w:val="bottom"/>
            <w:hideMark/>
          </w:tcPr>
          <w:p w14:paraId="26AD028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bl>
    <w:p w14:paraId="17CA142F" w14:textId="3DE8BCF2" w:rsidR="009F6E91" w:rsidRPr="00D427D8" w:rsidRDefault="009F6E91" w:rsidP="00EF7333">
      <w:pPr>
        <w:pStyle w:val="Body1"/>
      </w:pPr>
    </w:p>
    <w:p w14:paraId="166BE91B" w14:textId="77777777" w:rsidR="00214433" w:rsidRDefault="00214433" w:rsidP="00EF7333">
      <w:pPr>
        <w:pStyle w:val="Body1"/>
      </w:pPr>
    </w:p>
    <w:tbl>
      <w:tblPr>
        <w:tblW w:w="5000" w:type="pct"/>
        <w:tblCellMar>
          <w:left w:w="70" w:type="dxa"/>
          <w:right w:w="70" w:type="dxa"/>
        </w:tblCellMar>
        <w:tblLook w:val="04A0" w:firstRow="1" w:lastRow="0" w:firstColumn="1" w:lastColumn="0" w:noHBand="0" w:noVBand="1"/>
      </w:tblPr>
      <w:tblGrid>
        <w:gridCol w:w="2429"/>
        <w:gridCol w:w="1267"/>
        <w:gridCol w:w="1746"/>
        <w:gridCol w:w="572"/>
        <w:gridCol w:w="571"/>
        <w:gridCol w:w="571"/>
        <w:gridCol w:w="571"/>
        <w:gridCol w:w="571"/>
        <w:gridCol w:w="571"/>
        <w:gridCol w:w="571"/>
        <w:gridCol w:w="571"/>
        <w:gridCol w:w="571"/>
        <w:gridCol w:w="571"/>
        <w:gridCol w:w="571"/>
        <w:gridCol w:w="571"/>
        <w:gridCol w:w="571"/>
        <w:gridCol w:w="571"/>
        <w:gridCol w:w="567"/>
      </w:tblGrid>
      <w:tr w:rsidR="002D2278" w:rsidRPr="002D2278" w14:paraId="4728A436" w14:textId="77777777" w:rsidTr="002D2278">
        <w:trPr>
          <w:trHeight w:val="20"/>
        </w:trPr>
        <w:tc>
          <w:tcPr>
            <w:tcW w:w="867" w:type="pct"/>
            <w:tcBorders>
              <w:top w:val="nil"/>
              <w:left w:val="nil"/>
              <w:bottom w:val="single" w:sz="4" w:space="0" w:color="auto"/>
              <w:right w:val="nil"/>
            </w:tcBorders>
            <w:shd w:val="clear" w:color="000000" w:fill="243782"/>
            <w:noWrap/>
            <w:vAlign w:val="center"/>
            <w:hideMark/>
          </w:tcPr>
          <w:p w14:paraId="5C4CC6D2"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As at Month ending</w:t>
            </w:r>
          </w:p>
        </w:tc>
        <w:tc>
          <w:tcPr>
            <w:tcW w:w="452" w:type="pct"/>
            <w:tcBorders>
              <w:top w:val="nil"/>
              <w:left w:val="nil"/>
              <w:bottom w:val="single" w:sz="4" w:space="0" w:color="auto"/>
              <w:right w:val="nil"/>
            </w:tcBorders>
            <w:shd w:val="clear" w:color="000000" w:fill="243782"/>
            <w:noWrap/>
            <w:vAlign w:val="center"/>
            <w:hideMark/>
          </w:tcPr>
          <w:p w14:paraId="08744740"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Origination Quarter</w:t>
            </w:r>
          </w:p>
        </w:tc>
        <w:tc>
          <w:tcPr>
            <w:tcW w:w="623" w:type="pct"/>
            <w:tcBorders>
              <w:top w:val="nil"/>
              <w:left w:val="nil"/>
              <w:bottom w:val="single" w:sz="4" w:space="0" w:color="auto"/>
              <w:right w:val="nil"/>
            </w:tcBorders>
            <w:shd w:val="clear" w:color="000000" w:fill="243782"/>
            <w:noWrap/>
            <w:vAlign w:val="center"/>
            <w:hideMark/>
          </w:tcPr>
          <w:p w14:paraId="6FDE175F"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Defaulted Amount K€</w:t>
            </w:r>
          </w:p>
        </w:tc>
        <w:tc>
          <w:tcPr>
            <w:tcW w:w="204" w:type="pct"/>
            <w:tcBorders>
              <w:top w:val="nil"/>
              <w:left w:val="nil"/>
              <w:bottom w:val="single" w:sz="4" w:space="0" w:color="auto"/>
              <w:right w:val="nil"/>
            </w:tcBorders>
            <w:shd w:val="clear" w:color="000000" w:fill="243782"/>
            <w:noWrap/>
            <w:vAlign w:val="center"/>
            <w:hideMark/>
          </w:tcPr>
          <w:p w14:paraId="36338F66"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16</w:t>
            </w:r>
          </w:p>
        </w:tc>
        <w:tc>
          <w:tcPr>
            <w:tcW w:w="204" w:type="pct"/>
            <w:tcBorders>
              <w:top w:val="nil"/>
              <w:left w:val="nil"/>
              <w:bottom w:val="single" w:sz="4" w:space="0" w:color="auto"/>
              <w:right w:val="nil"/>
            </w:tcBorders>
            <w:shd w:val="clear" w:color="000000" w:fill="243782"/>
            <w:noWrap/>
            <w:vAlign w:val="center"/>
            <w:hideMark/>
          </w:tcPr>
          <w:p w14:paraId="73110781"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17</w:t>
            </w:r>
          </w:p>
        </w:tc>
        <w:tc>
          <w:tcPr>
            <w:tcW w:w="204" w:type="pct"/>
            <w:tcBorders>
              <w:top w:val="nil"/>
              <w:left w:val="nil"/>
              <w:bottom w:val="single" w:sz="4" w:space="0" w:color="auto"/>
              <w:right w:val="nil"/>
            </w:tcBorders>
            <w:shd w:val="clear" w:color="000000" w:fill="243782"/>
            <w:noWrap/>
            <w:vAlign w:val="center"/>
            <w:hideMark/>
          </w:tcPr>
          <w:p w14:paraId="6F59DCB1"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18</w:t>
            </w:r>
          </w:p>
        </w:tc>
        <w:tc>
          <w:tcPr>
            <w:tcW w:w="204" w:type="pct"/>
            <w:tcBorders>
              <w:top w:val="nil"/>
              <w:left w:val="nil"/>
              <w:bottom w:val="single" w:sz="4" w:space="0" w:color="auto"/>
              <w:right w:val="nil"/>
            </w:tcBorders>
            <w:shd w:val="clear" w:color="000000" w:fill="243782"/>
            <w:noWrap/>
            <w:vAlign w:val="center"/>
            <w:hideMark/>
          </w:tcPr>
          <w:p w14:paraId="657463D1"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19</w:t>
            </w:r>
          </w:p>
        </w:tc>
        <w:tc>
          <w:tcPr>
            <w:tcW w:w="204" w:type="pct"/>
            <w:tcBorders>
              <w:top w:val="nil"/>
              <w:left w:val="nil"/>
              <w:bottom w:val="single" w:sz="4" w:space="0" w:color="auto"/>
              <w:right w:val="nil"/>
            </w:tcBorders>
            <w:shd w:val="clear" w:color="000000" w:fill="243782"/>
            <w:noWrap/>
            <w:vAlign w:val="center"/>
            <w:hideMark/>
          </w:tcPr>
          <w:p w14:paraId="3D2629F5"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20</w:t>
            </w:r>
          </w:p>
        </w:tc>
        <w:tc>
          <w:tcPr>
            <w:tcW w:w="204" w:type="pct"/>
            <w:tcBorders>
              <w:top w:val="nil"/>
              <w:left w:val="nil"/>
              <w:bottom w:val="single" w:sz="4" w:space="0" w:color="auto"/>
              <w:right w:val="nil"/>
            </w:tcBorders>
            <w:shd w:val="clear" w:color="000000" w:fill="243782"/>
            <w:noWrap/>
            <w:vAlign w:val="center"/>
            <w:hideMark/>
          </w:tcPr>
          <w:p w14:paraId="7C247E75"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21</w:t>
            </w:r>
          </w:p>
        </w:tc>
        <w:tc>
          <w:tcPr>
            <w:tcW w:w="204" w:type="pct"/>
            <w:tcBorders>
              <w:top w:val="nil"/>
              <w:left w:val="nil"/>
              <w:bottom w:val="single" w:sz="4" w:space="0" w:color="auto"/>
              <w:right w:val="nil"/>
            </w:tcBorders>
            <w:shd w:val="clear" w:color="000000" w:fill="243782"/>
            <w:noWrap/>
            <w:vAlign w:val="center"/>
            <w:hideMark/>
          </w:tcPr>
          <w:p w14:paraId="1F144245"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22</w:t>
            </w:r>
          </w:p>
        </w:tc>
        <w:tc>
          <w:tcPr>
            <w:tcW w:w="204" w:type="pct"/>
            <w:tcBorders>
              <w:top w:val="nil"/>
              <w:left w:val="nil"/>
              <w:bottom w:val="single" w:sz="4" w:space="0" w:color="auto"/>
              <w:right w:val="nil"/>
            </w:tcBorders>
            <w:shd w:val="clear" w:color="000000" w:fill="243782"/>
            <w:noWrap/>
            <w:vAlign w:val="center"/>
            <w:hideMark/>
          </w:tcPr>
          <w:p w14:paraId="673F1CF7"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23</w:t>
            </w:r>
          </w:p>
        </w:tc>
        <w:tc>
          <w:tcPr>
            <w:tcW w:w="204" w:type="pct"/>
            <w:tcBorders>
              <w:top w:val="nil"/>
              <w:left w:val="nil"/>
              <w:bottom w:val="single" w:sz="4" w:space="0" w:color="auto"/>
              <w:right w:val="nil"/>
            </w:tcBorders>
            <w:shd w:val="clear" w:color="000000" w:fill="243782"/>
            <w:noWrap/>
            <w:vAlign w:val="center"/>
            <w:hideMark/>
          </w:tcPr>
          <w:p w14:paraId="7B473001"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24</w:t>
            </w:r>
          </w:p>
        </w:tc>
        <w:tc>
          <w:tcPr>
            <w:tcW w:w="204" w:type="pct"/>
            <w:tcBorders>
              <w:top w:val="nil"/>
              <w:left w:val="nil"/>
              <w:bottom w:val="single" w:sz="4" w:space="0" w:color="auto"/>
              <w:right w:val="nil"/>
            </w:tcBorders>
            <w:shd w:val="clear" w:color="000000" w:fill="243782"/>
            <w:noWrap/>
            <w:vAlign w:val="center"/>
            <w:hideMark/>
          </w:tcPr>
          <w:p w14:paraId="7509955D"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25</w:t>
            </w:r>
          </w:p>
        </w:tc>
        <w:tc>
          <w:tcPr>
            <w:tcW w:w="204" w:type="pct"/>
            <w:tcBorders>
              <w:top w:val="nil"/>
              <w:left w:val="nil"/>
              <w:bottom w:val="single" w:sz="4" w:space="0" w:color="auto"/>
              <w:right w:val="nil"/>
            </w:tcBorders>
            <w:shd w:val="clear" w:color="000000" w:fill="243782"/>
            <w:noWrap/>
            <w:vAlign w:val="center"/>
            <w:hideMark/>
          </w:tcPr>
          <w:p w14:paraId="0BB40C7F"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26</w:t>
            </w:r>
          </w:p>
        </w:tc>
        <w:tc>
          <w:tcPr>
            <w:tcW w:w="204" w:type="pct"/>
            <w:tcBorders>
              <w:top w:val="nil"/>
              <w:left w:val="nil"/>
              <w:bottom w:val="single" w:sz="4" w:space="0" w:color="auto"/>
              <w:right w:val="nil"/>
            </w:tcBorders>
            <w:shd w:val="clear" w:color="000000" w:fill="243782"/>
            <w:noWrap/>
            <w:vAlign w:val="center"/>
            <w:hideMark/>
          </w:tcPr>
          <w:p w14:paraId="1550136B"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27</w:t>
            </w:r>
          </w:p>
        </w:tc>
        <w:tc>
          <w:tcPr>
            <w:tcW w:w="204" w:type="pct"/>
            <w:tcBorders>
              <w:top w:val="nil"/>
              <w:left w:val="nil"/>
              <w:bottom w:val="single" w:sz="4" w:space="0" w:color="auto"/>
              <w:right w:val="nil"/>
            </w:tcBorders>
            <w:shd w:val="clear" w:color="000000" w:fill="243782"/>
            <w:noWrap/>
            <w:vAlign w:val="center"/>
            <w:hideMark/>
          </w:tcPr>
          <w:p w14:paraId="3C05BAF3"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28</w:t>
            </w:r>
          </w:p>
        </w:tc>
        <w:tc>
          <w:tcPr>
            <w:tcW w:w="204" w:type="pct"/>
            <w:tcBorders>
              <w:top w:val="nil"/>
              <w:left w:val="nil"/>
              <w:bottom w:val="single" w:sz="4" w:space="0" w:color="auto"/>
              <w:right w:val="nil"/>
            </w:tcBorders>
            <w:shd w:val="clear" w:color="000000" w:fill="243782"/>
            <w:noWrap/>
            <w:vAlign w:val="center"/>
            <w:hideMark/>
          </w:tcPr>
          <w:p w14:paraId="42E1D644"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29</w:t>
            </w:r>
          </w:p>
        </w:tc>
        <w:tc>
          <w:tcPr>
            <w:tcW w:w="204" w:type="pct"/>
            <w:tcBorders>
              <w:top w:val="nil"/>
              <w:left w:val="nil"/>
              <w:bottom w:val="single" w:sz="4" w:space="0" w:color="auto"/>
              <w:right w:val="nil"/>
            </w:tcBorders>
            <w:shd w:val="clear" w:color="000000" w:fill="243782"/>
            <w:noWrap/>
            <w:vAlign w:val="center"/>
            <w:hideMark/>
          </w:tcPr>
          <w:p w14:paraId="6CE5CE4F" w14:textId="77777777" w:rsidR="002D2278" w:rsidRPr="002D2278" w:rsidRDefault="002D2278" w:rsidP="002D2278">
            <w:pPr>
              <w:spacing w:line="240" w:lineRule="auto"/>
              <w:jc w:val="center"/>
              <w:rPr>
                <w:rFonts w:ascii="Aptos Narrow" w:hAnsi="Aptos Narrow"/>
                <w:b/>
                <w:bCs/>
                <w:color w:val="FFFFFF"/>
                <w:sz w:val="14"/>
                <w:szCs w:val="14"/>
                <w:lang w:val="de-DE" w:eastAsia="de-DE"/>
              </w:rPr>
            </w:pPr>
            <w:r w:rsidRPr="002D2278">
              <w:rPr>
                <w:rFonts w:ascii="Aptos Narrow" w:hAnsi="Aptos Narrow"/>
                <w:b/>
                <w:bCs/>
                <w:color w:val="FFFFFF"/>
                <w:sz w:val="14"/>
                <w:szCs w:val="14"/>
                <w:lang w:val="de-DE" w:eastAsia="de-DE"/>
              </w:rPr>
              <w:t>30</w:t>
            </w:r>
          </w:p>
        </w:tc>
      </w:tr>
      <w:tr w:rsidR="002D2278" w:rsidRPr="002D2278" w14:paraId="6DD8260D" w14:textId="77777777" w:rsidTr="002D2278">
        <w:trPr>
          <w:trHeight w:val="20"/>
        </w:trPr>
        <w:tc>
          <w:tcPr>
            <w:tcW w:w="867" w:type="pct"/>
            <w:tcBorders>
              <w:top w:val="nil"/>
              <w:left w:val="nil"/>
              <w:bottom w:val="nil"/>
              <w:right w:val="nil"/>
            </w:tcBorders>
            <w:shd w:val="clear" w:color="000000" w:fill="FFFFFF"/>
            <w:noWrap/>
            <w:vAlign w:val="center"/>
            <w:hideMark/>
          </w:tcPr>
          <w:p w14:paraId="7D307AAA" w14:textId="682757BD"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2013........................................</w:t>
            </w:r>
          </w:p>
        </w:tc>
        <w:tc>
          <w:tcPr>
            <w:tcW w:w="452" w:type="pct"/>
            <w:tcBorders>
              <w:top w:val="nil"/>
              <w:left w:val="nil"/>
              <w:bottom w:val="nil"/>
              <w:right w:val="nil"/>
            </w:tcBorders>
            <w:shd w:val="clear" w:color="000000" w:fill="FFFFFF"/>
            <w:noWrap/>
            <w:vAlign w:val="bottom"/>
            <w:hideMark/>
          </w:tcPr>
          <w:p w14:paraId="47DEBDCC"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2013Q1</w:t>
            </w:r>
          </w:p>
        </w:tc>
        <w:tc>
          <w:tcPr>
            <w:tcW w:w="623" w:type="pct"/>
            <w:tcBorders>
              <w:top w:val="nil"/>
              <w:left w:val="nil"/>
              <w:bottom w:val="nil"/>
              <w:right w:val="nil"/>
            </w:tcBorders>
            <w:shd w:val="clear" w:color="000000" w:fill="FFFFFF"/>
            <w:noWrap/>
            <w:vAlign w:val="center"/>
            <w:hideMark/>
          </w:tcPr>
          <w:p w14:paraId="472426A2"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2,984 </w:t>
            </w:r>
          </w:p>
        </w:tc>
        <w:tc>
          <w:tcPr>
            <w:tcW w:w="204" w:type="pct"/>
            <w:tcBorders>
              <w:top w:val="nil"/>
              <w:left w:val="nil"/>
              <w:bottom w:val="nil"/>
              <w:right w:val="nil"/>
            </w:tcBorders>
            <w:shd w:val="clear" w:color="000000" w:fill="FFFFFF"/>
            <w:noWrap/>
            <w:vAlign w:val="bottom"/>
            <w:hideMark/>
          </w:tcPr>
          <w:p w14:paraId="50EAE16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58.22%</w:t>
            </w:r>
          </w:p>
        </w:tc>
        <w:tc>
          <w:tcPr>
            <w:tcW w:w="204" w:type="pct"/>
            <w:tcBorders>
              <w:top w:val="nil"/>
              <w:left w:val="nil"/>
              <w:bottom w:val="nil"/>
              <w:right w:val="nil"/>
            </w:tcBorders>
            <w:shd w:val="clear" w:color="000000" w:fill="FFFFFF"/>
            <w:noWrap/>
            <w:vAlign w:val="bottom"/>
            <w:hideMark/>
          </w:tcPr>
          <w:p w14:paraId="5DD704D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58.36%</w:t>
            </w:r>
          </w:p>
        </w:tc>
        <w:tc>
          <w:tcPr>
            <w:tcW w:w="204" w:type="pct"/>
            <w:tcBorders>
              <w:top w:val="nil"/>
              <w:left w:val="nil"/>
              <w:bottom w:val="nil"/>
              <w:right w:val="nil"/>
            </w:tcBorders>
            <w:shd w:val="clear" w:color="000000" w:fill="FFFFFF"/>
            <w:noWrap/>
            <w:vAlign w:val="bottom"/>
            <w:hideMark/>
          </w:tcPr>
          <w:p w14:paraId="1CE26C3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58.50%</w:t>
            </w:r>
          </w:p>
        </w:tc>
        <w:tc>
          <w:tcPr>
            <w:tcW w:w="204" w:type="pct"/>
            <w:tcBorders>
              <w:top w:val="nil"/>
              <w:left w:val="nil"/>
              <w:bottom w:val="nil"/>
              <w:right w:val="nil"/>
            </w:tcBorders>
            <w:shd w:val="clear" w:color="000000" w:fill="FFFFFF"/>
            <w:noWrap/>
            <w:vAlign w:val="bottom"/>
            <w:hideMark/>
          </w:tcPr>
          <w:p w14:paraId="355DB92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58.66%</w:t>
            </w:r>
          </w:p>
        </w:tc>
        <w:tc>
          <w:tcPr>
            <w:tcW w:w="204" w:type="pct"/>
            <w:tcBorders>
              <w:top w:val="nil"/>
              <w:left w:val="nil"/>
              <w:bottom w:val="nil"/>
              <w:right w:val="nil"/>
            </w:tcBorders>
            <w:shd w:val="clear" w:color="000000" w:fill="FFFFFF"/>
            <w:noWrap/>
            <w:vAlign w:val="bottom"/>
            <w:hideMark/>
          </w:tcPr>
          <w:p w14:paraId="67957BE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58.83%</w:t>
            </w:r>
          </w:p>
        </w:tc>
        <w:tc>
          <w:tcPr>
            <w:tcW w:w="204" w:type="pct"/>
            <w:tcBorders>
              <w:top w:val="nil"/>
              <w:left w:val="nil"/>
              <w:bottom w:val="nil"/>
              <w:right w:val="nil"/>
            </w:tcBorders>
            <w:shd w:val="clear" w:color="000000" w:fill="FFFFFF"/>
            <w:noWrap/>
            <w:vAlign w:val="bottom"/>
            <w:hideMark/>
          </w:tcPr>
          <w:p w14:paraId="6CBEA86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58.95%</w:t>
            </w:r>
          </w:p>
        </w:tc>
        <w:tc>
          <w:tcPr>
            <w:tcW w:w="204" w:type="pct"/>
            <w:tcBorders>
              <w:top w:val="nil"/>
              <w:left w:val="nil"/>
              <w:bottom w:val="nil"/>
              <w:right w:val="nil"/>
            </w:tcBorders>
            <w:shd w:val="clear" w:color="000000" w:fill="FFFFFF"/>
            <w:noWrap/>
            <w:vAlign w:val="bottom"/>
            <w:hideMark/>
          </w:tcPr>
          <w:p w14:paraId="69504C3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59.03%</w:t>
            </w:r>
          </w:p>
        </w:tc>
        <w:tc>
          <w:tcPr>
            <w:tcW w:w="204" w:type="pct"/>
            <w:tcBorders>
              <w:top w:val="nil"/>
              <w:left w:val="nil"/>
              <w:bottom w:val="nil"/>
              <w:right w:val="nil"/>
            </w:tcBorders>
            <w:shd w:val="clear" w:color="000000" w:fill="FFFFFF"/>
            <w:noWrap/>
            <w:vAlign w:val="bottom"/>
            <w:hideMark/>
          </w:tcPr>
          <w:p w14:paraId="4887D18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59.16%</w:t>
            </w:r>
          </w:p>
        </w:tc>
        <w:tc>
          <w:tcPr>
            <w:tcW w:w="204" w:type="pct"/>
            <w:tcBorders>
              <w:top w:val="nil"/>
              <w:left w:val="nil"/>
              <w:bottom w:val="nil"/>
              <w:right w:val="nil"/>
            </w:tcBorders>
            <w:shd w:val="clear" w:color="000000" w:fill="FFFFFF"/>
            <w:noWrap/>
            <w:vAlign w:val="bottom"/>
            <w:hideMark/>
          </w:tcPr>
          <w:p w14:paraId="1D7E578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59.22%</w:t>
            </w:r>
          </w:p>
        </w:tc>
        <w:tc>
          <w:tcPr>
            <w:tcW w:w="204" w:type="pct"/>
            <w:tcBorders>
              <w:top w:val="nil"/>
              <w:left w:val="nil"/>
              <w:bottom w:val="nil"/>
              <w:right w:val="nil"/>
            </w:tcBorders>
            <w:shd w:val="clear" w:color="000000" w:fill="FFFFFF"/>
            <w:noWrap/>
            <w:vAlign w:val="bottom"/>
            <w:hideMark/>
          </w:tcPr>
          <w:p w14:paraId="12F098F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59.26%</w:t>
            </w:r>
          </w:p>
        </w:tc>
        <w:tc>
          <w:tcPr>
            <w:tcW w:w="204" w:type="pct"/>
            <w:tcBorders>
              <w:top w:val="nil"/>
              <w:left w:val="nil"/>
              <w:bottom w:val="nil"/>
              <w:right w:val="nil"/>
            </w:tcBorders>
            <w:shd w:val="clear" w:color="000000" w:fill="FFFFFF"/>
            <w:noWrap/>
            <w:vAlign w:val="bottom"/>
            <w:hideMark/>
          </w:tcPr>
          <w:p w14:paraId="3328AA5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59.30%</w:t>
            </w:r>
          </w:p>
        </w:tc>
        <w:tc>
          <w:tcPr>
            <w:tcW w:w="204" w:type="pct"/>
            <w:tcBorders>
              <w:top w:val="nil"/>
              <w:left w:val="nil"/>
              <w:bottom w:val="nil"/>
              <w:right w:val="nil"/>
            </w:tcBorders>
            <w:shd w:val="clear" w:color="000000" w:fill="FFFFFF"/>
            <w:noWrap/>
            <w:vAlign w:val="bottom"/>
            <w:hideMark/>
          </w:tcPr>
          <w:p w14:paraId="3A1BECC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59.58%</w:t>
            </w:r>
          </w:p>
        </w:tc>
        <w:tc>
          <w:tcPr>
            <w:tcW w:w="204" w:type="pct"/>
            <w:tcBorders>
              <w:top w:val="nil"/>
              <w:left w:val="nil"/>
              <w:bottom w:val="nil"/>
              <w:right w:val="nil"/>
            </w:tcBorders>
            <w:shd w:val="clear" w:color="000000" w:fill="FFFFFF"/>
            <w:noWrap/>
            <w:vAlign w:val="bottom"/>
            <w:hideMark/>
          </w:tcPr>
          <w:p w14:paraId="5C575CF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59.72%</w:t>
            </w:r>
          </w:p>
        </w:tc>
        <w:tc>
          <w:tcPr>
            <w:tcW w:w="204" w:type="pct"/>
            <w:tcBorders>
              <w:top w:val="nil"/>
              <w:left w:val="nil"/>
              <w:bottom w:val="nil"/>
              <w:right w:val="nil"/>
            </w:tcBorders>
            <w:shd w:val="clear" w:color="000000" w:fill="FFFFFF"/>
            <w:noWrap/>
            <w:vAlign w:val="bottom"/>
            <w:hideMark/>
          </w:tcPr>
          <w:p w14:paraId="1E96654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59.76%</w:t>
            </w:r>
          </w:p>
        </w:tc>
        <w:tc>
          <w:tcPr>
            <w:tcW w:w="204" w:type="pct"/>
            <w:tcBorders>
              <w:top w:val="nil"/>
              <w:left w:val="nil"/>
              <w:bottom w:val="nil"/>
              <w:right w:val="nil"/>
            </w:tcBorders>
            <w:shd w:val="clear" w:color="000000" w:fill="FFFFFF"/>
            <w:noWrap/>
            <w:vAlign w:val="bottom"/>
            <w:hideMark/>
          </w:tcPr>
          <w:p w14:paraId="0AB8C7D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59.79%</w:t>
            </w:r>
          </w:p>
        </w:tc>
      </w:tr>
      <w:tr w:rsidR="002D2278" w:rsidRPr="002D2278" w14:paraId="1DEC1845" w14:textId="77777777" w:rsidTr="002D2278">
        <w:trPr>
          <w:trHeight w:val="20"/>
        </w:trPr>
        <w:tc>
          <w:tcPr>
            <w:tcW w:w="867" w:type="pct"/>
            <w:tcBorders>
              <w:top w:val="nil"/>
              <w:left w:val="nil"/>
              <w:bottom w:val="nil"/>
              <w:right w:val="nil"/>
            </w:tcBorders>
            <w:shd w:val="clear" w:color="000000" w:fill="FFFFFF"/>
            <w:noWrap/>
            <w:vAlign w:val="center"/>
            <w:hideMark/>
          </w:tcPr>
          <w:p w14:paraId="1838A67A" w14:textId="3B513CEB"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30 </w:t>
            </w:r>
            <w:r>
              <w:rPr>
                <w:rFonts w:ascii="Aptos Narrow" w:hAnsi="Aptos Narrow"/>
                <w:sz w:val="14"/>
                <w:szCs w:val="14"/>
                <w:lang w:val="de-DE" w:eastAsia="de-DE"/>
              </w:rPr>
              <w:t>June</w:t>
            </w:r>
            <w:r w:rsidRPr="002D2278">
              <w:rPr>
                <w:rFonts w:ascii="Aptos Narrow" w:hAnsi="Aptos Narrow"/>
                <w:sz w:val="14"/>
                <w:szCs w:val="14"/>
                <w:lang w:val="de-DE" w:eastAsia="de-DE"/>
              </w:rPr>
              <w:t xml:space="preserve"> 2013..........................................</w:t>
            </w:r>
          </w:p>
        </w:tc>
        <w:tc>
          <w:tcPr>
            <w:tcW w:w="452" w:type="pct"/>
            <w:tcBorders>
              <w:top w:val="nil"/>
              <w:left w:val="nil"/>
              <w:bottom w:val="nil"/>
              <w:right w:val="nil"/>
            </w:tcBorders>
            <w:shd w:val="clear" w:color="000000" w:fill="FFFFFF"/>
            <w:noWrap/>
            <w:vAlign w:val="bottom"/>
            <w:hideMark/>
          </w:tcPr>
          <w:p w14:paraId="50576392"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2013Q2</w:t>
            </w:r>
          </w:p>
        </w:tc>
        <w:tc>
          <w:tcPr>
            <w:tcW w:w="623" w:type="pct"/>
            <w:tcBorders>
              <w:top w:val="nil"/>
              <w:left w:val="nil"/>
              <w:bottom w:val="nil"/>
              <w:right w:val="nil"/>
            </w:tcBorders>
            <w:shd w:val="clear" w:color="000000" w:fill="FFFFFF"/>
            <w:noWrap/>
            <w:vAlign w:val="center"/>
            <w:hideMark/>
          </w:tcPr>
          <w:p w14:paraId="4393BC4B"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3,254 </w:t>
            </w:r>
          </w:p>
        </w:tc>
        <w:tc>
          <w:tcPr>
            <w:tcW w:w="204" w:type="pct"/>
            <w:tcBorders>
              <w:top w:val="nil"/>
              <w:left w:val="nil"/>
              <w:bottom w:val="nil"/>
              <w:right w:val="nil"/>
            </w:tcBorders>
            <w:shd w:val="clear" w:color="000000" w:fill="FFFFFF"/>
            <w:noWrap/>
            <w:vAlign w:val="bottom"/>
            <w:hideMark/>
          </w:tcPr>
          <w:p w14:paraId="15AB647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60.48%</w:t>
            </w:r>
          </w:p>
        </w:tc>
        <w:tc>
          <w:tcPr>
            <w:tcW w:w="204" w:type="pct"/>
            <w:tcBorders>
              <w:top w:val="nil"/>
              <w:left w:val="nil"/>
              <w:bottom w:val="nil"/>
              <w:right w:val="nil"/>
            </w:tcBorders>
            <w:shd w:val="clear" w:color="000000" w:fill="FFFFFF"/>
            <w:noWrap/>
            <w:vAlign w:val="bottom"/>
            <w:hideMark/>
          </w:tcPr>
          <w:p w14:paraId="6B38D25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60.78%</w:t>
            </w:r>
          </w:p>
        </w:tc>
        <w:tc>
          <w:tcPr>
            <w:tcW w:w="204" w:type="pct"/>
            <w:tcBorders>
              <w:top w:val="nil"/>
              <w:left w:val="nil"/>
              <w:bottom w:val="nil"/>
              <w:right w:val="nil"/>
            </w:tcBorders>
            <w:shd w:val="clear" w:color="000000" w:fill="FFFFFF"/>
            <w:noWrap/>
            <w:vAlign w:val="bottom"/>
            <w:hideMark/>
          </w:tcPr>
          <w:p w14:paraId="7DEA092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61.07%</w:t>
            </w:r>
          </w:p>
        </w:tc>
        <w:tc>
          <w:tcPr>
            <w:tcW w:w="204" w:type="pct"/>
            <w:tcBorders>
              <w:top w:val="nil"/>
              <w:left w:val="nil"/>
              <w:bottom w:val="nil"/>
              <w:right w:val="nil"/>
            </w:tcBorders>
            <w:shd w:val="clear" w:color="000000" w:fill="FFFFFF"/>
            <w:noWrap/>
            <w:vAlign w:val="bottom"/>
            <w:hideMark/>
          </w:tcPr>
          <w:p w14:paraId="166EFEC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61.46%</w:t>
            </w:r>
          </w:p>
        </w:tc>
        <w:tc>
          <w:tcPr>
            <w:tcW w:w="204" w:type="pct"/>
            <w:tcBorders>
              <w:top w:val="nil"/>
              <w:left w:val="nil"/>
              <w:bottom w:val="nil"/>
              <w:right w:val="nil"/>
            </w:tcBorders>
            <w:shd w:val="clear" w:color="000000" w:fill="FFFFFF"/>
            <w:noWrap/>
            <w:vAlign w:val="bottom"/>
            <w:hideMark/>
          </w:tcPr>
          <w:p w14:paraId="3B30123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61.61%</w:t>
            </w:r>
          </w:p>
        </w:tc>
        <w:tc>
          <w:tcPr>
            <w:tcW w:w="204" w:type="pct"/>
            <w:tcBorders>
              <w:top w:val="nil"/>
              <w:left w:val="nil"/>
              <w:bottom w:val="nil"/>
              <w:right w:val="nil"/>
            </w:tcBorders>
            <w:shd w:val="clear" w:color="000000" w:fill="FFFFFF"/>
            <w:noWrap/>
            <w:vAlign w:val="bottom"/>
            <w:hideMark/>
          </w:tcPr>
          <w:p w14:paraId="3E38D67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61.70%</w:t>
            </w:r>
          </w:p>
        </w:tc>
        <w:tc>
          <w:tcPr>
            <w:tcW w:w="204" w:type="pct"/>
            <w:tcBorders>
              <w:top w:val="nil"/>
              <w:left w:val="nil"/>
              <w:bottom w:val="nil"/>
              <w:right w:val="nil"/>
            </w:tcBorders>
            <w:shd w:val="clear" w:color="000000" w:fill="FFFFFF"/>
            <w:noWrap/>
            <w:vAlign w:val="bottom"/>
            <w:hideMark/>
          </w:tcPr>
          <w:p w14:paraId="2587D24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61.76%</w:t>
            </w:r>
          </w:p>
        </w:tc>
        <w:tc>
          <w:tcPr>
            <w:tcW w:w="204" w:type="pct"/>
            <w:tcBorders>
              <w:top w:val="nil"/>
              <w:left w:val="nil"/>
              <w:bottom w:val="nil"/>
              <w:right w:val="nil"/>
            </w:tcBorders>
            <w:shd w:val="clear" w:color="000000" w:fill="FFFFFF"/>
            <w:noWrap/>
            <w:vAlign w:val="bottom"/>
            <w:hideMark/>
          </w:tcPr>
          <w:p w14:paraId="669A686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61.77%</w:t>
            </w:r>
          </w:p>
        </w:tc>
        <w:tc>
          <w:tcPr>
            <w:tcW w:w="204" w:type="pct"/>
            <w:tcBorders>
              <w:top w:val="nil"/>
              <w:left w:val="nil"/>
              <w:bottom w:val="nil"/>
              <w:right w:val="nil"/>
            </w:tcBorders>
            <w:shd w:val="clear" w:color="000000" w:fill="FFFFFF"/>
            <w:noWrap/>
            <w:vAlign w:val="bottom"/>
            <w:hideMark/>
          </w:tcPr>
          <w:p w14:paraId="4CA3E7E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61.81%</w:t>
            </w:r>
          </w:p>
        </w:tc>
        <w:tc>
          <w:tcPr>
            <w:tcW w:w="204" w:type="pct"/>
            <w:tcBorders>
              <w:top w:val="nil"/>
              <w:left w:val="nil"/>
              <w:bottom w:val="nil"/>
              <w:right w:val="nil"/>
            </w:tcBorders>
            <w:shd w:val="clear" w:color="000000" w:fill="FFFFFF"/>
            <w:noWrap/>
            <w:vAlign w:val="bottom"/>
            <w:hideMark/>
          </w:tcPr>
          <w:p w14:paraId="47042A0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61.82%</w:t>
            </w:r>
          </w:p>
        </w:tc>
        <w:tc>
          <w:tcPr>
            <w:tcW w:w="204" w:type="pct"/>
            <w:tcBorders>
              <w:top w:val="nil"/>
              <w:left w:val="nil"/>
              <w:bottom w:val="nil"/>
              <w:right w:val="nil"/>
            </w:tcBorders>
            <w:shd w:val="clear" w:color="000000" w:fill="FFFFFF"/>
            <w:noWrap/>
            <w:vAlign w:val="bottom"/>
            <w:hideMark/>
          </w:tcPr>
          <w:p w14:paraId="05CD800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61.85%</w:t>
            </w:r>
          </w:p>
        </w:tc>
        <w:tc>
          <w:tcPr>
            <w:tcW w:w="204" w:type="pct"/>
            <w:tcBorders>
              <w:top w:val="nil"/>
              <w:left w:val="nil"/>
              <w:bottom w:val="nil"/>
              <w:right w:val="nil"/>
            </w:tcBorders>
            <w:shd w:val="clear" w:color="000000" w:fill="FFFFFF"/>
            <w:noWrap/>
            <w:vAlign w:val="bottom"/>
            <w:hideMark/>
          </w:tcPr>
          <w:p w14:paraId="37B631F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61.88%</w:t>
            </w:r>
          </w:p>
        </w:tc>
        <w:tc>
          <w:tcPr>
            <w:tcW w:w="204" w:type="pct"/>
            <w:tcBorders>
              <w:top w:val="nil"/>
              <w:left w:val="nil"/>
              <w:bottom w:val="nil"/>
              <w:right w:val="nil"/>
            </w:tcBorders>
            <w:shd w:val="clear" w:color="000000" w:fill="FFFFFF"/>
            <w:noWrap/>
            <w:vAlign w:val="bottom"/>
            <w:hideMark/>
          </w:tcPr>
          <w:p w14:paraId="63A78FE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61.92%</w:t>
            </w:r>
          </w:p>
        </w:tc>
        <w:tc>
          <w:tcPr>
            <w:tcW w:w="204" w:type="pct"/>
            <w:tcBorders>
              <w:top w:val="nil"/>
              <w:left w:val="nil"/>
              <w:bottom w:val="nil"/>
              <w:right w:val="nil"/>
            </w:tcBorders>
            <w:shd w:val="clear" w:color="000000" w:fill="FFFFFF"/>
            <w:noWrap/>
            <w:vAlign w:val="bottom"/>
            <w:hideMark/>
          </w:tcPr>
          <w:p w14:paraId="2E4822C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61.96%</w:t>
            </w:r>
          </w:p>
        </w:tc>
        <w:tc>
          <w:tcPr>
            <w:tcW w:w="204" w:type="pct"/>
            <w:tcBorders>
              <w:top w:val="nil"/>
              <w:left w:val="nil"/>
              <w:bottom w:val="nil"/>
              <w:right w:val="nil"/>
            </w:tcBorders>
            <w:shd w:val="clear" w:color="000000" w:fill="FFFFFF"/>
            <w:noWrap/>
            <w:vAlign w:val="bottom"/>
            <w:hideMark/>
          </w:tcPr>
          <w:p w14:paraId="206A026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62.07%</w:t>
            </w:r>
          </w:p>
        </w:tc>
      </w:tr>
      <w:tr w:rsidR="002D2278" w:rsidRPr="002D2278" w14:paraId="5D90D480" w14:textId="77777777" w:rsidTr="002D2278">
        <w:trPr>
          <w:trHeight w:val="20"/>
        </w:trPr>
        <w:tc>
          <w:tcPr>
            <w:tcW w:w="867" w:type="pct"/>
            <w:tcBorders>
              <w:top w:val="nil"/>
              <w:left w:val="nil"/>
              <w:bottom w:val="nil"/>
              <w:right w:val="nil"/>
            </w:tcBorders>
            <w:shd w:val="clear" w:color="000000" w:fill="FFFFFF"/>
            <w:noWrap/>
            <w:vAlign w:val="center"/>
            <w:hideMark/>
          </w:tcPr>
          <w:p w14:paraId="056BCE89" w14:textId="77777777"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lastRenderedPageBreak/>
              <w:t>30 September 2013..............................</w:t>
            </w:r>
          </w:p>
        </w:tc>
        <w:tc>
          <w:tcPr>
            <w:tcW w:w="452" w:type="pct"/>
            <w:tcBorders>
              <w:top w:val="nil"/>
              <w:left w:val="nil"/>
              <w:bottom w:val="nil"/>
              <w:right w:val="nil"/>
            </w:tcBorders>
            <w:shd w:val="clear" w:color="000000" w:fill="FFFFFF"/>
            <w:noWrap/>
            <w:vAlign w:val="bottom"/>
            <w:hideMark/>
          </w:tcPr>
          <w:p w14:paraId="13DF0B7B"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2013Q3</w:t>
            </w:r>
          </w:p>
        </w:tc>
        <w:tc>
          <w:tcPr>
            <w:tcW w:w="623" w:type="pct"/>
            <w:tcBorders>
              <w:top w:val="nil"/>
              <w:left w:val="nil"/>
              <w:bottom w:val="nil"/>
              <w:right w:val="nil"/>
            </w:tcBorders>
            <w:shd w:val="clear" w:color="000000" w:fill="FFFFFF"/>
            <w:noWrap/>
            <w:vAlign w:val="center"/>
            <w:hideMark/>
          </w:tcPr>
          <w:p w14:paraId="6EC81984"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2,554 </w:t>
            </w:r>
          </w:p>
        </w:tc>
        <w:tc>
          <w:tcPr>
            <w:tcW w:w="204" w:type="pct"/>
            <w:tcBorders>
              <w:top w:val="nil"/>
              <w:left w:val="nil"/>
              <w:bottom w:val="nil"/>
              <w:right w:val="nil"/>
            </w:tcBorders>
            <w:shd w:val="clear" w:color="000000" w:fill="FFFFFF"/>
            <w:noWrap/>
            <w:vAlign w:val="bottom"/>
            <w:hideMark/>
          </w:tcPr>
          <w:p w14:paraId="0D87C0C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58.18%</w:t>
            </w:r>
          </w:p>
        </w:tc>
        <w:tc>
          <w:tcPr>
            <w:tcW w:w="204" w:type="pct"/>
            <w:tcBorders>
              <w:top w:val="nil"/>
              <w:left w:val="nil"/>
              <w:bottom w:val="nil"/>
              <w:right w:val="nil"/>
            </w:tcBorders>
            <w:shd w:val="clear" w:color="000000" w:fill="FFFFFF"/>
            <w:noWrap/>
            <w:vAlign w:val="bottom"/>
            <w:hideMark/>
          </w:tcPr>
          <w:p w14:paraId="2BFAAA3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58.28%</w:t>
            </w:r>
          </w:p>
        </w:tc>
        <w:tc>
          <w:tcPr>
            <w:tcW w:w="204" w:type="pct"/>
            <w:tcBorders>
              <w:top w:val="nil"/>
              <w:left w:val="nil"/>
              <w:bottom w:val="nil"/>
              <w:right w:val="nil"/>
            </w:tcBorders>
            <w:shd w:val="clear" w:color="000000" w:fill="FFFFFF"/>
            <w:noWrap/>
            <w:vAlign w:val="bottom"/>
            <w:hideMark/>
          </w:tcPr>
          <w:p w14:paraId="4A60F4B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58.36%</w:t>
            </w:r>
          </w:p>
        </w:tc>
        <w:tc>
          <w:tcPr>
            <w:tcW w:w="204" w:type="pct"/>
            <w:tcBorders>
              <w:top w:val="nil"/>
              <w:left w:val="nil"/>
              <w:bottom w:val="nil"/>
              <w:right w:val="nil"/>
            </w:tcBorders>
            <w:shd w:val="clear" w:color="000000" w:fill="FFFFFF"/>
            <w:noWrap/>
            <w:vAlign w:val="bottom"/>
            <w:hideMark/>
          </w:tcPr>
          <w:p w14:paraId="0499108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58.59%</w:t>
            </w:r>
          </w:p>
        </w:tc>
        <w:tc>
          <w:tcPr>
            <w:tcW w:w="204" w:type="pct"/>
            <w:tcBorders>
              <w:top w:val="nil"/>
              <w:left w:val="nil"/>
              <w:bottom w:val="nil"/>
              <w:right w:val="nil"/>
            </w:tcBorders>
            <w:shd w:val="clear" w:color="000000" w:fill="FFFFFF"/>
            <w:noWrap/>
            <w:vAlign w:val="bottom"/>
            <w:hideMark/>
          </w:tcPr>
          <w:p w14:paraId="7F1C1B8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58.69%</w:t>
            </w:r>
          </w:p>
        </w:tc>
        <w:tc>
          <w:tcPr>
            <w:tcW w:w="204" w:type="pct"/>
            <w:tcBorders>
              <w:top w:val="nil"/>
              <w:left w:val="nil"/>
              <w:bottom w:val="nil"/>
              <w:right w:val="nil"/>
            </w:tcBorders>
            <w:shd w:val="clear" w:color="000000" w:fill="FFFFFF"/>
            <w:noWrap/>
            <w:vAlign w:val="bottom"/>
            <w:hideMark/>
          </w:tcPr>
          <w:p w14:paraId="7458057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58.88%</w:t>
            </w:r>
          </w:p>
        </w:tc>
        <w:tc>
          <w:tcPr>
            <w:tcW w:w="204" w:type="pct"/>
            <w:tcBorders>
              <w:top w:val="nil"/>
              <w:left w:val="nil"/>
              <w:bottom w:val="nil"/>
              <w:right w:val="nil"/>
            </w:tcBorders>
            <w:shd w:val="clear" w:color="000000" w:fill="FFFFFF"/>
            <w:noWrap/>
            <w:vAlign w:val="bottom"/>
            <w:hideMark/>
          </w:tcPr>
          <w:p w14:paraId="6FD7A6A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58.95%</w:t>
            </w:r>
          </w:p>
        </w:tc>
        <w:tc>
          <w:tcPr>
            <w:tcW w:w="204" w:type="pct"/>
            <w:tcBorders>
              <w:top w:val="nil"/>
              <w:left w:val="nil"/>
              <w:bottom w:val="nil"/>
              <w:right w:val="nil"/>
            </w:tcBorders>
            <w:shd w:val="clear" w:color="000000" w:fill="FFFFFF"/>
            <w:noWrap/>
            <w:vAlign w:val="bottom"/>
            <w:hideMark/>
          </w:tcPr>
          <w:p w14:paraId="3F2287C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58.95%</w:t>
            </w:r>
          </w:p>
        </w:tc>
        <w:tc>
          <w:tcPr>
            <w:tcW w:w="204" w:type="pct"/>
            <w:tcBorders>
              <w:top w:val="nil"/>
              <w:left w:val="nil"/>
              <w:bottom w:val="nil"/>
              <w:right w:val="nil"/>
            </w:tcBorders>
            <w:shd w:val="clear" w:color="000000" w:fill="FFFFFF"/>
            <w:noWrap/>
            <w:vAlign w:val="bottom"/>
            <w:hideMark/>
          </w:tcPr>
          <w:p w14:paraId="2ABFAF0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58.96%</w:t>
            </w:r>
          </w:p>
        </w:tc>
        <w:tc>
          <w:tcPr>
            <w:tcW w:w="204" w:type="pct"/>
            <w:tcBorders>
              <w:top w:val="nil"/>
              <w:left w:val="nil"/>
              <w:bottom w:val="nil"/>
              <w:right w:val="nil"/>
            </w:tcBorders>
            <w:shd w:val="clear" w:color="000000" w:fill="FFFFFF"/>
            <w:noWrap/>
            <w:vAlign w:val="bottom"/>
            <w:hideMark/>
          </w:tcPr>
          <w:p w14:paraId="16AAF2F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58.96%</w:t>
            </w:r>
          </w:p>
        </w:tc>
        <w:tc>
          <w:tcPr>
            <w:tcW w:w="204" w:type="pct"/>
            <w:tcBorders>
              <w:top w:val="nil"/>
              <w:left w:val="nil"/>
              <w:bottom w:val="nil"/>
              <w:right w:val="nil"/>
            </w:tcBorders>
            <w:shd w:val="clear" w:color="000000" w:fill="FFFFFF"/>
            <w:noWrap/>
            <w:vAlign w:val="bottom"/>
            <w:hideMark/>
          </w:tcPr>
          <w:p w14:paraId="3738C46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58.96%</w:t>
            </w:r>
          </w:p>
        </w:tc>
        <w:tc>
          <w:tcPr>
            <w:tcW w:w="204" w:type="pct"/>
            <w:tcBorders>
              <w:top w:val="nil"/>
              <w:left w:val="nil"/>
              <w:bottom w:val="nil"/>
              <w:right w:val="nil"/>
            </w:tcBorders>
            <w:shd w:val="clear" w:color="000000" w:fill="FFFFFF"/>
            <w:noWrap/>
            <w:vAlign w:val="bottom"/>
            <w:hideMark/>
          </w:tcPr>
          <w:p w14:paraId="17D2895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58.96%</w:t>
            </w:r>
          </w:p>
        </w:tc>
        <w:tc>
          <w:tcPr>
            <w:tcW w:w="204" w:type="pct"/>
            <w:tcBorders>
              <w:top w:val="nil"/>
              <w:left w:val="nil"/>
              <w:bottom w:val="nil"/>
              <w:right w:val="nil"/>
            </w:tcBorders>
            <w:shd w:val="clear" w:color="000000" w:fill="FFFFFF"/>
            <w:noWrap/>
            <w:vAlign w:val="bottom"/>
            <w:hideMark/>
          </w:tcPr>
          <w:p w14:paraId="02ECA39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58.96%</w:t>
            </w:r>
          </w:p>
        </w:tc>
        <w:tc>
          <w:tcPr>
            <w:tcW w:w="204" w:type="pct"/>
            <w:tcBorders>
              <w:top w:val="nil"/>
              <w:left w:val="nil"/>
              <w:bottom w:val="nil"/>
              <w:right w:val="nil"/>
            </w:tcBorders>
            <w:shd w:val="clear" w:color="000000" w:fill="FFFFFF"/>
            <w:noWrap/>
            <w:vAlign w:val="bottom"/>
            <w:hideMark/>
          </w:tcPr>
          <w:p w14:paraId="4B4D3D9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58.96%</w:t>
            </w:r>
          </w:p>
        </w:tc>
        <w:tc>
          <w:tcPr>
            <w:tcW w:w="204" w:type="pct"/>
            <w:tcBorders>
              <w:top w:val="nil"/>
              <w:left w:val="nil"/>
              <w:bottom w:val="nil"/>
              <w:right w:val="nil"/>
            </w:tcBorders>
            <w:shd w:val="clear" w:color="000000" w:fill="FFFFFF"/>
            <w:noWrap/>
            <w:vAlign w:val="bottom"/>
            <w:hideMark/>
          </w:tcPr>
          <w:p w14:paraId="6D4079E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58.96%</w:t>
            </w:r>
          </w:p>
        </w:tc>
      </w:tr>
      <w:tr w:rsidR="002D2278" w:rsidRPr="002D2278" w14:paraId="09FA712B" w14:textId="77777777" w:rsidTr="002D2278">
        <w:trPr>
          <w:trHeight w:val="20"/>
        </w:trPr>
        <w:tc>
          <w:tcPr>
            <w:tcW w:w="867" w:type="pct"/>
            <w:tcBorders>
              <w:top w:val="nil"/>
              <w:left w:val="nil"/>
              <w:bottom w:val="nil"/>
              <w:right w:val="nil"/>
            </w:tcBorders>
            <w:shd w:val="clear" w:color="000000" w:fill="FFFFFF"/>
            <w:noWrap/>
            <w:vAlign w:val="center"/>
            <w:hideMark/>
          </w:tcPr>
          <w:p w14:paraId="18352704" w14:textId="47ED41BF"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December</w:t>
            </w:r>
            <w:r w:rsidRPr="002D2278">
              <w:rPr>
                <w:rFonts w:ascii="Aptos Narrow" w:hAnsi="Aptos Narrow"/>
                <w:sz w:val="14"/>
                <w:szCs w:val="14"/>
                <w:lang w:val="de-DE" w:eastAsia="de-DE"/>
              </w:rPr>
              <w:t xml:space="preserve"> 2013...............................</w:t>
            </w:r>
          </w:p>
        </w:tc>
        <w:tc>
          <w:tcPr>
            <w:tcW w:w="452" w:type="pct"/>
            <w:tcBorders>
              <w:top w:val="nil"/>
              <w:left w:val="nil"/>
              <w:bottom w:val="nil"/>
              <w:right w:val="nil"/>
            </w:tcBorders>
            <w:shd w:val="clear" w:color="000000" w:fill="FFFFFF"/>
            <w:noWrap/>
            <w:vAlign w:val="bottom"/>
            <w:hideMark/>
          </w:tcPr>
          <w:p w14:paraId="4A26893D"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2013Q4</w:t>
            </w:r>
          </w:p>
        </w:tc>
        <w:tc>
          <w:tcPr>
            <w:tcW w:w="623" w:type="pct"/>
            <w:tcBorders>
              <w:top w:val="nil"/>
              <w:left w:val="nil"/>
              <w:bottom w:val="nil"/>
              <w:right w:val="nil"/>
            </w:tcBorders>
            <w:shd w:val="clear" w:color="000000" w:fill="FFFFFF"/>
            <w:noWrap/>
            <w:vAlign w:val="center"/>
            <w:hideMark/>
          </w:tcPr>
          <w:p w14:paraId="436BB942"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2,809 </w:t>
            </w:r>
          </w:p>
        </w:tc>
        <w:tc>
          <w:tcPr>
            <w:tcW w:w="204" w:type="pct"/>
            <w:tcBorders>
              <w:top w:val="nil"/>
              <w:left w:val="nil"/>
              <w:bottom w:val="nil"/>
              <w:right w:val="nil"/>
            </w:tcBorders>
            <w:shd w:val="clear" w:color="000000" w:fill="FFFFFF"/>
            <w:noWrap/>
            <w:vAlign w:val="bottom"/>
            <w:hideMark/>
          </w:tcPr>
          <w:p w14:paraId="16AEF97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57.58%</w:t>
            </w:r>
          </w:p>
        </w:tc>
        <w:tc>
          <w:tcPr>
            <w:tcW w:w="204" w:type="pct"/>
            <w:tcBorders>
              <w:top w:val="nil"/>
              <w:left w:val="nil"/>
              <w:bottom w:val="nil"/>
              <w:right w:val="nil"/>
            </w:tcBorders>
            <w:shd w:val="clear" w:color="000000" w:fill="FFFFFF"/>
            <w:noWrap/>
            <w:vAlign w:val="bottom"/>
            <w:hideMark/>
          </w:tcPr>
          <w:p w14:paraId="51A5E21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57.74%</w:t>
            </w:r>
          </w:p>
        </w:tc>
        <w:tc>
          <w:tcPr>
            <w:tcW w:w="204" w:type="pct"/>
            <w:tcBorders>
              <w:top w:val="nil"/>
              <w:left w:val="nil"/>
              <w:bottom w:val="nil"/>
              <w:right w:val="nil"/>
            </w:tcBorders>
            <w:shd w:val="clear" w:color="000000" w:fill="FFFFFF"/>
            <w:noWrap/>
            <w:vAlign w:val="bottom"/>
            <w:hideMark/>
          </w:tcPr>
          <w:p w14:paraId="63DF503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57.86%</w:t>
            </w:r>
          </w:p>
        </w:tc>
        <w:tc>
          <w:tcPr>
            <w:tcW w:w="204" w:type="pct"/>
            <w:tcBorders>
              <w:top w:val="nil"/>
              <w:left w:val="nil"/>
              <w:bottom w:val="nil"/>
              <w:right w:val="nil"/>
            </w:tcBorders>
            <w:shd w:val="clear" w:color="000000" w:fill="FFFFFF"/>
            <w:noWrap/>
            <w:vAlign w:val="bottom"/>
            <w:hideMark/>
          </w:tcPr>
          <w:p w14:paraId="091623B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57.97%</w:t>
            </w:r>
          </w:p>
        </w:tc>
        <w:tc>
          <w:tcPr>
            <w:tcW w:w="204" w:type="pct"/>
            <w:tcBorders>
              <w:top w:val="nil"/>
              <w:left w:val="nil"/>
              <w:bottom w:val="nil"/>
              <w:right w:val="nil"/>
            </w:tcBorders>
            <w:shd w:val="clear" w:color="000000" w:fill="FFFFFF"/>
            <w:noWrap/>
            <w:vAlign w:val="bottom"/>
            <w:hideMark/>
          </w:tcPr>
          <w:p w14:paraId="3165822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58.08%</w:t>
            </w:r>
          </w:p>
        </w:tc>
        <w:tc>
          <w:tcPr>
            <w:tcW w:w="204" w:type="pct"/>
            <w:tcBorders>
              <w:top w:val="nil"/>
              <w:left w:val="nil"/>
              <w:bottom w:val="nil"/>
              <w:right w:val="nil"/>
            </w:tcBorders>
            <w:shd w:val="clear" w:color="000000" w:fill="FFFFFF"/>
            <w:noWrap/>
            <w:vAlign w:val="bottom"/>
            <w:hideMark/>
          </w:tcPr>
          <w:p w14:paraId="1E3F7F2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58.25%</w:t>
            </w:r>
          </w:p>
        </w:tc>
        <w:tc>
          <w:tcPr>
            <w:tcW w:w="204" w:type="pct"/>
            <w:tcBorders>
              <w:top w:val="nil"/>
              <w:left w:val="nil"/>
              <w:bottom w:val="nil"/>
              <w:right w:val="nil"/>
            </w:tcBorders>
            <w:shd w:val="clear" w:color="000000" w:fill="FFFFFF"/>
            <w:noWrap/>
            <w:vAlign w:val="bottom"/>
            <w:hideMark/>
          </w:tcPr>
          <w:p w14:paraId="04FE5C6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58.31%</w:t>
            </w:r>
          </w:p>
        </w:tc>
        <w:tc>
          <w:tcPr>
            <w:tcW w:w="204" w:type="pct"/>
            <w:tcBorders>
              <w:top w:val="nil"/>
              <w:left w:val="nil"/>
              <w:bottom w:val="nil"/>
              <w:right w:val="nil"/>
            </w:tcBorders>
            <w:shd w:val="clear" w:color="000000" w:fill="FFFFFF"/>
            <w:noWrap/>
            <w:vAlign w:val="bottom"/>
            <w:hideMark/>
          </w:tcPr>
          <w:p w14:paraId="2D2BB5B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58.37%</w:t>
            </w:r>
          </w:p>
        </w:tc>
        <w:tc>
          <w:tcPr>
            <w:tcW w:w="204" w:type="pct"/>
            <w:tcBorders>
              <w:top w:val="nil"/>
              <w:left w:val="nil"/>
              <w:bottom w:val="nil"/>
              <w:right w:val="nil"/>
            </w:tcBorders>
            <w:shd w:val="clear" w:color="000000" w:fill="FFFFFF"/>
            <w:noWrap/>
            <w:vAlign w:val="bottom"/>
            <w:hideMark/>
          </w:tcPr>
          <w:p w14:paraId="00E6B5E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58.45%</w:t>
            </w:r>
          </w:p>
        </w:tc>
        <w:tc>
          <w:tcPr>
            <w:tcW w:w="204" w:type="pct"/>
            <w:tcBorders>
              <w:top w:val="nil"/>
              <w:left w:val="nil"/>
              <w:bottom w:val="nil"/>
              <w:right w:val="nil"/>
            </w:tcBorders>
            <w:shd w:val="clear" w:color="000000" w:fill="FFFFFF"/>
            <w:noWrap/>
            <w:vAlign w:val="bottom"/>
            <w:hideMark/>
          </w:tcPr>
          <w:p w14:paraId="2DDC130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58.52%</w:t>
            </w:r>
          </w:p>
        </w:tc>
        <w:tc>
          <w:tcPr>
            <w:tcW w:w="204" w:type="pct"/>
            <w:tcBorders>
              <w:top w:val="nil"/>
              <w:left w:val="nil"/>
              <w:bottom w:val="nil"/>
              <w:right w:val="nil"/>
            </w:tcBorders>
            <w:shd w:val="clear" w:color="000000" w:fill="FFFFFF"/>
            <w:noWrap/>
            <w:vAlign w:val="bottom"/>
            <w:hideMark/>
          </w:tcPr>
          <w:p w14:paraId="6ED3371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58.57%</w:t>
            </w:r>
          </w:p>
        </w:tc>
        <w:tc>
          <w:tcPr>
            <w:tcW w:w="204" w:type="pct"/>
            <w:tcBorders>
              <w:top w:val="nil"/>
              <w:left w:val="nil"/>
              <w:bottom w:val="nil"/>
              <w:right w:val="nil"/>
            </w:tcBorders>
            <w:shd w:val="clear" w:color="000000" w:fill="FFFFFF"/>
            <w:noWrap/>
            <w:vAlign w:val="bottom"/>
            <w:hideMark/>
          </w:tcPr>
          <w:p w14:paraId="37F5EF4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58.61%</w:t>
            </w:r>
          </w:p>
        </w:tc>
        <w:tc>
          <w:tcPr>
            <w:tcW w:w="204" w:type="pct"/>
            <w:tcBorders>
              <w:top w:val="nil"/>
              <w:left w:val="nil"/>
              <w:bottom w:val="nil"/>
              <w:right w:val="nil"/>
            </w:tcBorders>
            <w:shd w:val="clear" w:color="000000" w:fill="FFFFFF"/>
            <w:noWrap/>
            <w:vAlign w:val="bottom"/>
            <w:hideMark/>
          </w:tcPr>
          <w:p w14:paraId="70EA08C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58.63%</w:t>
            </w:r>
          </w:p>
        </w:tc>
        <w:tc>
          <w:tcPr>
            <w:tcW w:w="204" w:type="pct"/>
            <w:tcBorders>
              <w:top w:val="nil"/>
              <w:left w:val="nil"/>
              <w:bottom w:val="nil"/>
              <w:right w:val="nil"/>
            </w:tcBorders>
            <w:shd w:val="clear" w:color="000000" w:fill="FFFFFF"/>
            <w:noWrap/>
            <w:vAlign w:val="bottom"/>
            <w:hideMark/>
          </w:tcPr>
          <w:p w14:paraId="5D60AAA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58.68%</w:t>
            </w:r>
          </w:p>
        </w:tc>
        <w:tc>
          <w:tcPr>
            <w:tcW w:w="204" w:type="pct"/>
            <w:tcBorders>
              <w:top w:val="nil"/>
              <w:left w:val="nil"/>
              <w:bottom w:val="nil"/>
              <w:right w:val="nil"/>
            </w:tcBorders>
            <w:shd w:val="clear" w:color="000000" w:fill="FFFFFF"/>
            <w:noWrap/>
            <w:vAlign w:val="bottom"/>
            <w:hideMark/>
          </w:tcPr>
          <w:p w14:paraId="607F2D5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58.70%</w:t>
            </w:r>
          </w:p>
        </w:tc>
      </w:tr>
      <w:tr w:rsidR="002D2278" w:rsidRPr="002D2278" w14:paraId="7D623863" w14:textId="77777777" w:rsidTr="002D2278">
        <w:trPr>
          <w:trHeight w:val="20"/>
        </w:trPr>
        <w:tc>
          <w:tcPr>
            <w:tcW w:w="867" w:type="pct"/>
            <w:tcBorders>
              <w:top w:val="nil"/>
              <w:left w:val="nil"/>
              <w:bottom w:val="nil"/>
              <w:right w:val="nil"/>
            </w:tcBorders>
            <w:shd w:val="clear" w:color="000000" w:fill="FFFFFF"/>
            <w:noWrap/>
            <w:vAlign w:val="center"/>
            <w:hideMark/>
          </w:tcPr>
          <w:p w14:paraId="67D431F2" w14:textId="51E63DB9"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2014........................................</w:t>
            </w:r>
          </w:p>
        </w:tc>
        <w:tc>
          <w:tcPr>
            <w:tcW w:w="452" w:type="pct"/>
            <w:tcBorders>
              <w:top w:val="nil"/>
              <w:left w:val="nil"/>
              <w:bottom w:val="nil"/>
              <w:right w:val="nil"/>
            </w:tcBorders>
            <w:shd w:val="clear" w:color="000000" w:fill="FFFFFF"/>
            <w:noWrap/>
            <w:vAlign w:val="bottom"/>
            <w:hideMark/>
          </w:tcPr>
          <w:p w14:paraId="528CFB03"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2014Q1</w:t>
            </w:r>
          </w:p>
        </w:tc>
        <w:tc>
          <w:tcPr>
            <w:tcW w:w="623" w:type="pct"/>
            <w:tcBorders>
              <w:top w:val="nil"/>
              <w:left w:val="nil"/>
              <w:bottom w:val="nil"/>
              <w:right w:val="nil"/>
            </w:tcBorders>
            <w:shd w:val="clear" w:color="000000" w:fill="FFFFFF"/>
            <w:noWrap/>
            <w:vAlign w:val="center"/>
            <w:hideMark/>
          </w:tcPr>
          <w:p w14:paraId="058683BA"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2,575 </w:t>
            </w:r>
          </w:p>
        </w:tc>
        <w:tc>
          <w:tcPr>
            <w:tcW w:w="204" w:type="pct"/>
            <w:tcBorders>
              <w:top w:val="nil"/>
              <w:left w:val="nil"/>
              <w:bottom w:val="nil"/>
              <w:right w:val="nil"/>
            </w:tcBorders>
            <w:shd w:val="clear" w:color="000000" w:fill="FFFFFF"/>
            <w:noWrap/>
            <w:vAlign w:val="bottom"/>
            <w:hideMark/>
          </w:tcPr>
          <w:p w14:paraId="14781DB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52.73%</w:t>
            </w:r>
          </w:p>
        </w:tc>
        <w:tc>
          <w:tcPr>
            <w:tcW w:w="204" w:type="pct"/>
            <w:tcBorders>
              <w:top w:val="nil"/>
              <w:left w:val="nil"/>
              <w:bottom w:val="nil"/>
              <w:right w:val="nil"/>
            </w:tcBorders>
            <w:shd w:val="clear" w:color="000000" w:fill="FFFFFF"/>
            <w:noWrap/>
            <w:vAlign w:val="bottom"/>
            <w:hideMark/>
          </w:tcPr>
          <w:p w14:paraId="5F17955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52.86%</w:t>
            </w:r>
          </w:p>
        </w:tc>
        <w:tc>
          <w:tcPr>
            <w:tcW w:w="204" w:type="pct"/>
            <w:tcBorders>
              <w:top w:val="nil"/>
              <w:left w:val="nil"/>
              <w:bottom w:val="nil"/>
              <w:right w:val="nil"/>
            </w:tcBorders>
            <w:shd w:val="clear" w:color="000000" w:fill="FFFFFF"/>
            <w:noWrap/>
            <w:vAlign w:val="bottom"/>
            <w:hideMark/>
          </w:tcPr>
          <w:p w14:paraId="26CA2C5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52.91%</w:t>
            </w:r>
          </w:p>
        </w:tc>
        <w:tc>
          <w:tcPr>
            <w:tcW w:w="204" w:type="pct"/>
            <w:tcBorders>
              <w:top w:val="nil"/>
              <w:left w:val="nil"/>
              <w:bottom w:val="nil"/>
              <w:right w:val="nil"/>
            </w:tcBorders>
            <w:shd w:val="clear" w:color="000000" w:fill="FFFFFF"/>
            <w:noWrap/>
            <w:vAlign w:val="bottom"/>
            <w:hideMark/>
          </w:tcPr>
          <w:p w14:paraId="3513BC6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52.97%</w:t>
            </w:r>
          </w:p>
        </w:tc>
        <w:tc>
          <w:tcPr>
            <w:tcW w:w="204" w:type="pct"/>
            <w:tcBorders>
              <w:top w:val="nil"/>
              <w:left w:val="nil"/>
              <w:bottom w:val="nil"/>
              <w:right w:val="nil"/>
            </w:tcBorders>
            <w:shd w:val="clear" w:color="000000" w:fill="FFFFFF"/>
            <w:noWrap/>
            <w:vAlign w:val="bottom"/>
            <w:hideMark/>
          </w:tcPr>
          <w:p w14:paraId="512EA69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52.99%</w:t>
            </w:r>
          </w:p>
        </w:tc>
        <w:tc>
          <w:tcPr>
            <w:tcW w:w="204" w:type="pct"/>
            <w:tcBorders>
              <w:top w:val="nil"/>
              <w:left w:val="nil"/>
              <w:bottom w:val="nil"/>
              <w:right w:val="nil"/>
            </w:tcBorders>
            <w:shd w:val="clear" w:color="000000" w:fill="FFFFFF"/>
            <w:noWrap/>
            <w:vAlign w:val="bottom"/>
            <w:hideMark/>
          </w:tcPr>
          <w:p w14:paraId="05BA928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53.00%</w:t>
            </w:r>
          </w:p>
        </w:tc>
        <w:tc>
          <w:tcPr>
            <w:tcW w:w="204" w:type="pct"/>
            <w:tcBorders>
              <w:top w:val="nil"/>
              <w:left w:val="nil"/>
              <w:bottom w:val="nil"/>
              <w:right w:val="nil"/>
            </w:tcBorders>
            <w:shd w:val="clear" w:color="000000" w:fill="FFFFFF"/>
            <w:noWrap/>
            <w:vAlign w:val="bottom"/>
            <w:hideMark/>
          </w:tcPr>
          <w:p w14:paraId="619509E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53.30%</w:t>
            </w:r>
          </w:p>
        </w:tc>
        <w:tc>
          <w:tcPr>
            <w:tcW w:w="204" w:type="pct"/>
            <w:tcBorders>
              <w:top w:val="nil"/>
              <w:left w:val="nil"/>
              <w:bottom w:val="nil"/>
              <w:right w:val="nil"/>
            </w:tcBorders>
            <w:shd w:val="clear" w:color="000000" w:fill="FFFFFF"/>
            <w:noWrap/>
            <w:vAlign w:val="bottom"/>
            <w:hideMark/>
          </w:tcPr>
          <w:p w14:paraId="2DAAE01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53.37%</w:t>
            </w:r>
          </w:p>
        </w:tc>
        <w:tc>
          <w:tcPr>
            <w:tcW w:w="204" w:type="pct"/>
            <w:tcBorders>
              <w:top w:val="nil"/>
              <w:left w:val="nil"/>
              <w:bottom w:val="nil"/>
              <w:right w:val="nil"/>
            </w:tcBorders>
            <w:shd w:val="clear" w:color="000000" w:fill="FFFFFF"/>
            <w:noWrap/>
            <w:vAlign w:val="bottom"/>
            <w:hideMark/>
          </w:tcPr>
          <w:p w14:paraId="0F63395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53.49%</w:t>
            </w:r>
          </w:p>
        </w:tc>
        <w:tc>
          <w:tcPr>
            <w:tcW w:w="204" w:type="pct"/>
            <w:tcBorders>
              <w:top w:val="nil"/>
              <w:left w:val="nil"/>
              <w:bottom w:val="nil"/>
              <w:right w:val="nil"/>
            </w:tcBorders>
            <w:shd w:val="clear" w:color="000000" w:fill="FFFFFF"/>
            <w:noWrap/>
            <w:vAlign w:val="bottom"/>
            <w:hideMark/>
          </w:tcPr>
          <w:p w14:paraId="6C9B321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53.52%</w:t>
            </w:r>
          </w:p>
        </w:tc>
        <w:tc>
          <w:tcPr>
            <w:tcW w:w="204" w:type="pct"/>
            <w:tcBorders>
              <w:top w:val="nil"/>
              <w:left w:val="nil"/>
              <w:bottom w:val="nil"/>
              <w:right w:val="nil"/>
            </w:tcBorders>
            <w:shd w:val="clear" w:color="000000" w:fill="FFFFFF"/>
            <w:noWrap/>
            <w:vAlign w:val="bottom"/>
            <w:hideMark/>
          </w:tcPr>
          <w:p w14:paraId="18DD8FB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53.55%</w:t>
            </w:r>
          </w:p>
        </w:tc>
        <w:tc>
          <w:tcPr>
            <w:tcW w:w="204" w:type="pct"/>
            <w:tcBorders>
              <w:top w:val="nil"/>
              <w:left w:val="nil"/>
              <w:bottom w:val="nil"/>
              <w:right w:val="nil"/>
            </w:tcBorders>
            <w:shd w:val="clear" w:color="000000" w:fill="FFFFFF"/>
            <w:noWrap/>
            <w:vAlign w:val="bottom"/>
            <w:hideMark/>
          </w:tcPr>
          <w:p w14:paraId="06E061B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53.58%</w:t>
            </w:r>
          </w:p>
        </w:tc>
        <w:tc>
          <w:tcPr>
            <w:tcW w:w="204" w:type="pct"/>
            <w:tcBorders>
              <w:top w:val="nil"/>
              <w:left w:val="nil"/>
              <w:bottom w:val="nil"/>
              <w:right w:val="nil"/>
            </w:tcBorders>
            <w:shd w:val="clear" w:color="000000" w:fill="FFFFFF"/>
            <w:noWrap/>
            <w:vAlign w:val="bottom"/>
            <w:hideMark/>
          </w:tcPr>
          <w:p w14:paraId="691250D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53.62%</w:t>
            </w:r>
          </w:p>
        </w:tc>
        <w:tc>
          <w:tcPr>
            <w:tcW w:w="204" w:type="pct"/>
            <w:tcBorders>
              <w:top w:val="nil"/>
              <w:left w:val="nil"/>
              <w:bottom w:val="nil"/>
              <w:right w:val="nil"/>
            </w:tcBorders>
            <w:shd w:val="clear" w:color="000000" w:fill="FFFFFF"/>
            <w:noWrap/>
            <w:vAlign w:val="bottom"/>
            <w:hideMark/>
          </w:tcPr>
          <w:p w14:paraId="7EB46FB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53.64%</w:t>
            </w:r>
          </w:p>
        </w:tc>
        <w:tc>
          <w:tcPr>
            <w:tcW w:w="204" w:type="pct"/>
            <w:tcBorders>
              <w:top w:val="nil"/>
              <w:left w:val="nil"/>
              <w:bottom w:val="nil"/>
              <w:right w:val="nil"/>
            </w:tcBorders>
            <w:shd w:val="clear" w:color="000000" w:fill="FFFFFF"/>
            <w:noWrap/>
            <w:vAlign w:val="bottom"/>
            <w:hideMark/>
          </w:tcPr>
          <w:p w14:paraId="6B2ECC5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53.68%</w:t>
            </w:r>
          </w:p>
        </w:tc>
      </w:tr>
      <w:tr w:rsidR="002D2278" w:rsidRPr="002D2278" w14:paraId="11714469" w14:textId="77777777" w:rsidTr="002D2278">
        <w:trPr>
          <w:trHeight w:val="20"/>
        </w:trPr>
        <w:tc>
          <w:tcPr>
            <w:tcW w:w="867" w:type="pct"/>
            <w:tcBorders>
              <w:top w:val="nil"/>
              <w:left w:val="nil"/>
              <w:bottom w:val="nil"/>
              <w:right w:val="nil"/>
            </w:tcBorders>
            <w:shd w:val="clear" w:color="000000" w:fill="FFFFFF"/>
            <w:noWrap/>
            <w:vAlign w:val="center"/>
            <w:hideMark/>
          </w:tcPr>
          <w:p w14:paraId="3C1A27E0" w14:textId="6C7605AF"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30 </w:t>
            </w:r>
            <w:r>
              <w:rPr>
                <w:rFonts w:ascii="Aptos Narrow" w:hAnsi="Aptos Narrow"/>
                <w:sz w:val="14"/>
                <w:szCs w:val="14"/>
                <w:lang w:val="de-DE" w:eastAsia="de-DE"/>
              </w:rPr>
              <w:t>June</w:t>
            </w:r>
            <w:r w:rsidRPr="002D2278">
              <w:rPr>
                <w:rFonts w:ascii="Aptos Narrow" w:hAnsi="Aptos Narrow"/>
                <w:sz w:val="14"/>
                <w:szCs w:val="14"/>
                <w:lang w:val="de-DE" w:eastAsia="de-DE"/>
              </w:rPr>
              <w:t xml:space="preserve"> 2014..........................................</w:t>
            </w:r>
          </w:p>
        </w:tc>
        <w:tc>
          <w:tcPr>
            <w:tcW w:w="452" w:type="pct"/>
            <w:tcBorders>
              <w:top w:val="nil"/>
              <w:left w:val="nil"/>
              <w:bottom w:val="nil"/>
              <w:right w:val="nil"/>
            </w:tcBorders>
            <w:shd w:val="clear" w:color="000000" w:fill="FFFFFF"/>
            <w:noWrap/>
            <w:vAlign w:val="bottom"/>
            <w:hideMark/>
          </w:tcPr>
          <w:p w14:paraId="5278843B"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2014Q2</w:t>
            </w:r>
          </w:p>
        </w:tc>
        <w:tc>
          <w:tcPr>
            <w:tcW w:w="623" w:type="pct"/>
            <w:tcBorders>
              <w:top w:val="nil"/>
              <w:left w:val="nil"/>
              <w:bottom w:val="nil"/>
              <w:right w:val="nil"/>
            </w:tcBorders>
            <w:shd w:val="clear" w:color="000000" w:fill="FFFFFF"/>
            <w:noWrap/>
            <w:vAlign w:val="center"/>
            <w:hideMark/>
          </w:tcPr>
          <w:p w14:paraId="7475ACB0"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2,468 </w:t>
            </w:r>
          </w:p>
        </w:tc>
        <w:tc>
          <w:tcPr>
            <w:tcW w:w="204" w:type="pct"/>
            <w:tcBorders>
              <w:top w:val="nil"/>
              <w:left w:val="nil"/>
              <w:bottom w:val="nil"/>
              <w:right w:val="nil"/>
            </w:tcBorders>
            <w:shd w:val="clear" w:color="000000" w:fill="FFFFFF"/>
            <w:noWrap/>
            <w:vAlign w:val="bottom"/>
            <w:hideMark/>
          </w:tcPr>
          <w:p w14:paraId="616ED34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59.54%</w:t>
            </w:r>
          </w:p>
        </w:tc>
        <w:tc>
          <w:tcPr>
            <w:tcW w:w="204" w:type="pct"/>
            <w:tcBorders>
              <w:top w:val="nil"/>
              <w:left w:val="nil"/>
              <w:bottom w:val="nil"/>
              <w:right w:val="nil"/>
            </w:tcBorders>
            <w:shd w:val="clear" w:color="000000" w:fill="FFFFFF"/>
            <w:noWrap/>
            <w:vAlign w:val="bottom"/>
            <w:hideMark/>
          </w:tcPr>
          <w:p w14:paraId="73ACF21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59.76%</w:t>
            </w:r>
          </w:p>
        </w:tc>
        <w:tc>
          <w:tcPr>
            <w:tcW w:w="204" w:type="pct"/>
            <w:tcBorders>
              <w:top w:val="nil"/>
              <w:left w:val="nil"/>
              <w:bottom w:val="nil"/>
              <w:right w:val="nil"/>
            </w:tcBorders>
            <w:shd w:val="clear" w:color="000000" w:fill="FFFFFF"/>
            <w:noWrap/>
            <w:vAlign w:val="bottom"/>
            <w:hideMark/>
          </w:tcPr>
          <w:p w14:paraId="4CD009E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60.05%</w:t>
            </w:r>
          </w:p>
        </w:tc>
        <w:tc>
          <w:tcPr>
            <w:tcW w:w="204" w:type="pct"/>
            <w:tcBorders>
              <w:top w:val="nil"/>
              <w:left w:val="nil"/>
              <w:bottom w:val="nil"/>
              <w:right w:val="nil"/>
            </w:tcBorders>
            <w:shd w:val="clear" w:color="000000" w:fill="FFFFFF"/>
            <w:noWrap/>
            <w:vAlign w:val="bottom"/>
            <w:hideMark/>
          </w:tcPr>
          <w:p w14:paraId="64191A4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60.19%</w:t>
            </w:r>
          </w:p>
        </w:tc>
        <w:tc>
          <w:tcPr>
            <w:tcW w:w="204" w:type="pct"/>
            <w:tcBorders>
              <w:top w:val="nil"/>
              <w:left w:val="nil"/>
              <w:bottom w:val="nil"/>
              <w:right w:val="nil"/>
            </w:tcBorders>
            <w:shd w:val="clear" w:color="000000" w:fill="FFFFFF"/>
            <w:noWrap/>
            <w:vAlign w:val="bottom"/>
            <w:hideMark/>
          </w:tcPr>
          <w:p w14:paraId="32118EC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60.34%</w:t>
            </w:r>
          </w:p>
        </w:tc>
        <w:tc>
          <w:tcPr>
            <w:tcW w:w="204" w:type="pct"/>
            <w:tcBorders>
              <w:top w:val="nil"/>
              <w:left w:val="nil"/>
              <w:bottom w:val="nil"/>
              <w:right w:val="nil"/>
            </w:tcBorders>
            <w:shd w:val="clear" w:color="000000" w:fill="FFFFFF"/>
            <w:noWrap/>
            <w:vAlign w:val="bottom"/>
            <w:hideMark/>
          </w:tcPr>
          <w:p w14:paraId="669E32B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60.51%</w:t>
            </w:r>
          </w:p>
        </w:tc>
        <w:tc>
          <w:tcPr>
            <w:tcW w:w="204" w:type="pct"/>
            <w:tcBorders>
              <w:top w:val="nil"/>
              <w:left w:val="nil"/>
              <w:bottom w:val="nil"/>
              <w:right w:val="nil"/>
            </w:tcBorders>
            <w:shd w:val="clear" w:color="000000" w:fill="FFFFFF"/>
            <w:noWrap/>
            <w:vAlign w:val="bottom"/>
            <w:hideMark/>
          </w:tcPr>
          <w:p w14:paraId="5E0D787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60.73%</w:t>
            </w:r>
          </w:p>
        </w:tc>
        <w:tc>
          <w:tcPr>
            <w:tcW w:w="204" w:type="pct"/>
            <w:tcBorders>
              <w:top w:val="nil"/>
              <w:left w:val="nil"/>
              <w:bottom w:val="nil"/>
              <w:right w:val="nil"/>
            </w:tcBorders>
            <w:shd w:val="clear" w:color="000000" w:fill="FFFFFF"/>
            <w:noWrap/>
            <w:vAlign w:val="bottom"/>
            <w:hideMark/>
          </w:tcPr>
          <w:p w14:paraId="45D2639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60.81%</w:t>
            </w:r>
          </w:p>
        </w:tc>
        <w:tc>
          <w:tcPr>
            <w:tcW w:w="204" w:type="pct"/>
            <w:tcBorders>
              <w:top w:val="nil"/>
              <w:left w:val="nil"/>
              <w:bottom w:val="nil"/>
              <w:right w:val="nil"/>
            </w:tcBorders>
            <w:shd w:val="clear" w:color="000000" w:fill="FFFFFF"/>
            <w:noWrap/>
            <w:vAlign w:val="bottom"/>
            <w:hideMark/>
          </w:tcPr>
          <w:p w14:paraId="334357D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60.88%</w:t>
            </w:r>
          </w:p>
        </w:tc>
        <w:tc>
          <w:tcPr>
            <w:tcW w:w="204" w:type="pct"/>
            <w:tcBorders>
              <w:top w:val="nil"/>
              <w:left w:val="nil"/>
              <w:bottom w:val="nil"/>
              <w:right w:val="nil"/>
            </w:tcBorders>
            <w:shd w:val="clear" w:color="000000" w:fill="FFFFFF"/>
            <w:noWrap/>
            <w:vAlign w:val="bottom"/>
            <w:hideMark/>
          </w:tcPr>
          <w:p w14:paraId="398DD7F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60.96%</w:t>
            </w:r>
          </w:p>
        </w:tc>
        <w:tc>
          <w:tcPr>
            <w:tcW w:w="204" w:type="pct"/>
            <w:tcBorders>
              <w:top w:val="nil"/>
              <w:left w:val="nil"/>
              <w:bottom w:val="nil"/>
              <w:right w:val="nil"/>
            </w:tcBorders>
            <w:shd w:val="clear" w:color="000000" w:fill="FFFFFF"/>
            <w:noWrap/>
            <w:vAlign w:val="bottom"/>
            <w:hideMark/>
          </w:tcPr>
          <w:p w14:paraId="11A2875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61.02%</w:t>
            </w:r>
          </w:p>
        </w:tc>
        <w:tc>
          <w:tcPr>
            <w:tcW w:w="204" w:type="pct"/>
            <w:tcBorders>
              <w:top w:val="nil"/>
              <w:left w:val="nil"/>
              <w:bottom w:val="nil"/>
              <w:right w:val="nil"/>
            </w:tcBorders>
            <w:shd w:val="clear" w:color="000000" w:fill="FFFFFF"/>
            <w:noWrap/>
            <w:vAlign w:val="bottom"/>
            <w:hideMark/>
          </w:tcPr>
          <w:p w14:paraId="232F6E2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61.07%</w:t>
            </w:r>
          </w:p>
        </w:tc>
        <w:tc>
          <w:tcPr>
            <w:tcW w:w="204" w:type="pct"/>
            <w:tcBorders>
              <w:top w:val="nil"/>
              <w:left w:val="nil"/>
              <w:bottom w:val="nil"/>
              <w:right w:val="nil"/>
            </w:tcBorders>
            <w:shd w:val="clear" w:color="000000" w:fill="FFFFFF"/>
            <w:noWrap/>
            <w:vAlign w:val="bottom"/>
            <w:hideMark/>
          </w:tcPr>
          <w:p w14:paraId="6DA080B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61.10%</w:t>
            </w:r>
          </w:p>
        </w:tc>
        <w:tc>
          <w:tcPr>
            <w:tcW w:w="204" w:type="pct"/>
            <w:tcBorders>
              <w:top w:val="nil"/>
              <w:left w:val="nil"/>
              <w:bottom w:val="nil"/>
              <w:right w:val="nil"/>
            </w:tcBorders>
            <w:shd w:val="clear" w:color="000000" w:fill="FFFFFF"/>
            <w:noWrap/>
            <w:vAlign w:val="bottom"/>
            <w:hideMark/>
          </w:tcPr>
          <w:p w14:paraId="4176C41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61.13%</w:t>
            </w:r>
          </w:p>
        </w:tc>
        <w:tc>
          <w:tcPr>
            <w:tcW w:w="204" w:type="pct"/>
            <w:tcBorders>
              <w:top w:val="nil"/>
              <w:left w:val="nil"/>
              <w:bottom w:val="nil"/>
              <w:right w:val="nil"/>
            </w:tcBorders>
            <w:shd w:val="clear" w:color="000000" w:fill="FFFFFF"/>
            <w:noWrap/>
            <w:vAlign w:val="bottom"/>
            <w:hideMark/>
          </w:tcPr>
          <w:p w14:paraId="044CCD6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61.22%</w:t>
            </w:r>
          </w:p>
        </w:tc>
      </w:tr>
      <w:tr w:rsidR="002D2278" w:rsidRPr="002D2278" w14:paraId="6BCC6A3C" w14:textId="77777777" w:rsidTr="002D2278">
        <w:trPr>
          <w:trHeight w:val="20"/>
        </w:trPr>
        <w:tc>
          <w:tcPr>
            <w:tcW w:w="867" w:type="pct"/>
            <w:tcBorders>
              <w:top w:val="nil"/>
              <w:left w:val="nil"/>
              <w:bottom w:val="nil"/>
              <w:right w:val="nil"/>
            </w:tcBorders>
            <w:shd w:val="clear" w:color="000000" w:fill="FFFFFF"/>
            <w:noWrap/>
            <w:vAlign w:val="center"/>
            <w:hideMark/>
          </w:tcPr>
          <w:p w14:paraId="415A2F02" w14:textId="77777777"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30 September 2014..............................</w:t>
            </w:r>
          </w:p>
        </w:tc>
        <w:tc>
          <w:tcPr>
            <w:tcW w:w="452" w:type="pct"/>
            <w:tcBorders>
              <w:top w:val="nil"/>
              <w:left w:val="nil"/>
              <w:bottom w:val="nil"/>
              <w:right w:val="nil"/>
            </w:tcBorders>
            <w:shd w:val="clear" w:color="000000" w:fill="FFFFFF"/>
            <w:noWrap/>
            <w:vAlign w:val="bottom"/>
            <w:hideMark/>
          </w:tcPr>
          <w:p w14:paraId="3BCA48C7"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2014Q3</w:t>
            </w:r>
          </w:p>
        </w:tc>
        <w:tc>
          <w:tcPr>
            <w:tcW w:w="623" w:type="pct"/>
            <w:tcBorders>
              <w:top w:val="nil"/>
              <w:left w:val="nil"/>
              <w:bottom w:val="nil"/>
              <w:right w:val="nil"/>
            </w:tcBorders>
            <w:shd w:val="clear" w:color="000000" w:fill="FFFFFF"/>
            <w:noWrap/>
            <w:vAlign w:val="center"/>
            <w:hideMark/>
          </w:tcPr>
          <w:p w14:paraId="5A56C718"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2,458 </w:t>
            </w:r>
          </w:p>
        </w:tc>
        <w:tc>
          <w:tcPr>
            <w:tcW w:w="204" w:type="pct"/>
            <w:tcBorders>
              <w:top w:val="nil"/>
              <w:left w:val="nil"/>
              <w:bottom w:val="nil"/>
              <w:right w:val="nil"/>
            </w:tcBorders>
            <w:shd w:val="clear" w:color="000000" w:fill="FFFFFF"/>
            <w:noWrap/>
            <w:vAlign w:val="bottom"/>
            <w:hideMark/>
          </w:tcPr>
          <w:p w14:paraId="4E20C48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61.85%</w:t>
            </w:r>
          </w:p>
        </w:tc>
        <w:tc>
          <w:tcPr>
            <w:tcW w:w="204" w:type="pct"/>
            <w:tcBorders>
              <w:top w:val="nil"/>
              <w:left w:val="nil"/>
              <w:bottom w:val="nil"/>
              <w:right w:val="nil"/>
            </w:tcBorders>
            <w:shd w:val="clear" w:color="000000" w:fill="FFFFFF"/>
            <w:noWrap/>
            <w:vAlign w:val="bottom"/>
            <w:hideMark/>
          </w:tcPr>
          <w:p w14:paraId="5A203C9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62.09%</w:t>
            </w:r>
          </w:p>
        </w:tc>
        <w:tc>
          <w:tcPr>
            <w:tcW w:w="204" w:type="pct"/>
            <w:tcBorders>
              <w:top w:val="nil"/>
              <w:left w:val="nil"/>
              <w:bottom w:val="nil"/>
              <w:right w:val="nil"/>
            </w:tcBorders>
            <w:shd w:val="clear" w:color="000000" w:fill="FFFFFF"/>
            <w:noWrap/>
            <w:vAlign w:val="bottom"/>
            <w:hideMark/>
          </w:tcPr>
          <w:p w14:paraId="21C16CF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62.26%</w:t>
            </w:r>
          </w:p>
        </w:tc>
        <w:tc>
          <w:tcPr>
            <w:tcW w:w="204" w:type="pct"/>
            <w:tcBorders>
              <w:top w:val="nil"/>
              <w:left w:val="nil"/>
              <w:bottom w:val="nil"/>
              <w:right w:val="nil"/>
            </w:tcBorders>
            <w:shd w:val="clear" w:color="000000" w:fill="FFFFFF"/>
            <w:noWrap/>
            <w:vAlign w:val="bottom"/>
            <w:hideMark/>
          </w:tcPr>
          <w:p w14:paraId="147ECA4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62.40%</w:t>
            </w:r>
          </w:p>
        </w:tc>
        <w:tc>
          <w:tcPr>
            <w:tcW w:w="204" w:type="pct"/>
            <w:tcBorders>
              <w:top w:val="nil"/>
              <w:left w:val="nil"/>
              <w:bottom w:val="nil"/>
              <w:right w:val="nil"/>
            </w:tcBorders>
            <w:shd w:val="clear" w:color="000000" w:fill="FFFFFF"/>
            <w:noWrap/>
            <w:vAlign w:val="bottom"/>
            <w:hideMark/>
          </w:tcPr>
          <w:p w14:paraId="5F21D6C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62.53%</w:t>
            </w:r>
          </w:p>
        </w:tc>
        <w:tc>
          <w:tcPr>
            <w:tcW w:w="204" w:type="pct"/>
            <w:tcBorders>
              <w:top w:val="nil"/>
              <w:left w:val="nil"/>
              <w:bottom w:val="nil"/>
              <w:right w:val="nil"/>
            </w:tcBorders>
            <w:shd w:val="clear" w:color="000000" w:fill="FFFFFF"/>
            <w:noWrap/>
            <w:vAlign w:val="bottom"/>
            <w:hideMark/>
          </w:tcPr>
          <w:p w14:paraId="3038C4B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62.67%</w:t>
            </w:r>
          </w:p>
        </w:tc>
        <w:tc>
          <w:tcPr>
            <w:tcW w:w="204" w:type="pct"/>
            <w:tcBorders>
              <w:top w:val="nil"/>
              <w:left w:val="nil"/>
              <w:bottom w:val="nil"/>
              <w:right w:val="nil"/>
            </w:tcBorders>
            <w:shd w:val="clear" w:color="000000" w:fill="FFFFFF"/>
            <w:noWrap/>
            <w:vAlign w:val="bottom"/>
            <w:hideMark/>
          </w:tcPr>
          <w:p w14:paraId="0CDE899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62.75%</w:t>
            </w:r>
          </w:p>
        </w:tc>
        <w:tc>
          <w:tcPr>
            <w:tcW w:w="204" w:type="pct"/>
            <w:tcBorders>
              <w:top w:val="nil"/>
              <w:left w:val="nil"/>
              <w:bottom w:val="nil"/>
              <w:right w:val="nil"/>
            </w:tcBorders>
            <w:shd w:val="clear" w:color="000000" w:fill="FFFFFF"/>
            <w:noWrap/>
            <w:vAlign w:val="bottom"/>
            <w:hideMark/>
          </w:tcPr>
          <w:p w14:paraId="5050ACF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62.79%</w:t>
            </w:r>
          </w:p>
        </w:tc>
        <w:tc>
          <w:tcPr>
            <w:tcW w:w="204" w:type="pct"/>
            <w:tcBorders>
              <w:top w:val="nil"/>
              <w:left w:val="nil"/>
              <w:bottom w:val="nil"/>
              <w:right w:val="nil"/>
            </w:tcBorders>
            <w:shd w:val="clear" w:color="000000" w:fill="FFFFFF"/>
            <w:noWrap/>
            <w:vAlign w:val="bottom"/>
            <w:hideMark/>
          </w:tcPr>
          <w:p w14:paraId="42091E8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63.08%</w:t>
            </w:r>
          </w:p>
        </w:tc>
        <w:tc>
          <w:tcPr>
            <w:tcW w:w="204" w:type="pct"/>
            <w:tcBorders>
              <w:top w:val="nil"/>
              <w:left w:val="nil"/>
              <w:bottom w:val="nil"/>
              <w:right w:val="nil"/>
            </w:tcBorders>
            <w:shd w:val="clear" w:color="000000" w:fill="FFFFFF"/>
            <w:noWrap/>
            <w:vAlign w:val="bottom"/>
            <w:hideMark/>
          </w:tcPr>
          <w:p w14:paraId="72E613B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63.11%</w:t>
            </w:r>
          </w:p>
        </w:tc>
        <w:tc>
          <w:tcPr>
            <w:tcW w:w="204" w:type="pct"/>
            <w:tcBorders>
              <w:top w:val="nil"/>
              <w:left w:val="nil"/>
              <w:bottom w:val="nil"/>
              <w:right w:val="nil"/>
            </w:tcBorders>
            <w:shd w:val="clear" w:color="000000" w:fill="FFFFFF"/>
            <w:noWrap/>
            <w:vAlign w:val="bottom"/>
            <w:hideMark/>
          </w:tcPr>
          <w:p w14:paraId="7F8F1D0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63.17%</w:t>
            </w:r>
          </w:p>
        </w:tc>
        <w:tc>
          <w:tcPr>
            <w:tcW w:w="204" w:type="pct"/>
            <w:tcBorders>
              <w:top w:val="nil"/>
              <w:left w:val="nil"/>
              <w:bottom w:val="nil"/>
              <w:right w:val="nil"/>
            </w:tcBorders>
            <w:shd w:val="clear" w:color="000000" w:fill="FFFFFF"/>
            <w:noWrap/>
            <w:vAlign w:val="bottom"/>
            <w:hideMark/>
          </w:tcPr>
          <w:p w14:paraId="305AB0A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63.20%</w:t>
            </w:r>
          </w:p>
        </w:tc>
        <w:tc>
          <w:tcPr>
            <w:tcW w:w="204" w:type="pct"/>
            <w:tcBorders>
              <w:top w:val="nil"/>
              <w:left w:val="nil"/>
              <w:bottom w:val="nil"/>
              <w:right w:val="nil"/>
            </w:tcBorders>
            <w:shd w:val="clear" w:color="000000" w:fill="FFFFFF"/>
            <w:noWrap/>
            <w:vAlign w:val="bottom"/>
            <w:hideMark/>
          </w:tcPr>
          <w:p w14:paraId="2238A9C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63.20%</w:t>
            </w:r>
          </w:p>
        </w:tc>
        <w:tc>
          <w:tcPr>
            <w:tcW w:w="204" w:type="pct"/>
            <w:tcBorders>
              <w:top w:val="nil"/>
              <w:left w:val="nil"/>
              <w:bottom w:val="nil"/>
              <w:right w:val="nil"/>
            </w:tcBorders>
            <w:shd w:val="clear" w:color="000000" w:fill="FFFFFF"/>
            <w:noWrap/>
            <w:vAlign w:val="bottom"/>
            <w:hideMark/>
          </w:tcPr>
          <w:p w14:paraId="72D6E5D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63.22%</w:t>
            </w:r>
          </w:p>
        </w:tc>
        <w:tc>
          <w:tcPr>
            <w:tcW w:w="204" w:type="pct"/>
            <w:tcBorders>
              <w:top w:val="nil"/>
              <w:left w:val="nil"/>
              <w:bottom w:val="nil"/>
              <w:right w:val="nil"/>
            </w:tcBorders>
            <w:shd w:val="clear" w:color="000000" w:fill="FFFFFF"/>
            <w:noWrap/>
            <w:vAlign w:val="bottom"/>
            <w:hideMark/>
          </w:tcPr>
          <w:p w14:paraId="393CC7D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63.24%</w:t>
            </w:r>
          </w:p>
        </w:tc>
      </w:tr>
      <w:tr w:rsidR="002D2278" w:rsidRPr="002D2278" w14:paraId="72AAB19B" w14:textId="77777777" w:rsidTr="002D2278">
        <w:trPr>
          <w:trHeight w:val="20"/>
        </w:trPr>
        <w:tc>
          <w:tcPr>
            <w:tcW w:w="867" w:type="pct"/>
            <w:tcBorders>
              <w:top w:val="nil"/>
              <w:left w:val="nil"/>
              <w:bottom w:val="nil"/>
              <w:right w:val="nil"/>
            </w:tcBorders>
            <w:shd w:val="clear" w:color="000000" w:fill="FFFFFF"/>
            <w:noWrap/>
            <w:vAlign w:val="center"/>
            <w:hideMark/>
          </w:tcPr>
          <w:p w14:paraId="1C1470CB" w14:textId="4421EC91"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December</w:t>
            </w:r>
            <w:r w:rsidRPr="002D2278">
              <w:rPr>
                <w:rFonts w:ascii="Aptos Narrow" w:hAnsi="Aptos Narrow"/>
                <w:sz w:val="14"/>
                <w:szCs w:val="14"/>
                <w:lang w:val="de-DE" w:eastAsia="de-DE"/>
              </w:rPr>
              <w:t xml:space="preserve"> 2014...............................</w:t>
            </w:r>
          </w:p>
        </w:tc>
        <w:tc>
          <w:tcPr>
            <w:tcW w:w="452" w:type="pct"/>
            <w:tcBorders>
              <w:top w:val="nil"/>
              <w:left w:val="nil"/>
              <w:bottom w:val="nil"/>
              <w:right w:val="nil"/>
            </w:tcBorders>
            <w:shd w:val="clear" w:color="000000" w:fill="FFFFFF"/>
            <w:noWrap/>
            <w:vAlign w:val="bottom"/>
            <w:hideMark/>
          </w:tcPr>
          <w:p w14:paraId="5737CBED"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2014Q4</w:t>
            </w:r>
          </w:p>
        </w:tc>
        <w:tc>
          <w:tcPr>
            <w:tcW w:w="623" w:type="pct"/>
            <w:tcBorders>
              <w:top w:val="nil"/>
              <w:left w:val="nil"/>
              <w:bottom w:val="nil"/>
              <w:right w:val="nil"/>
            </w:tcBorders>
            <w:shd w:val="clear" w:color="000000" w:fill="FFFFFF"/>
            <w:noWrap/>
            <w:vAlign w:val="center"/>
            <w:hideMark/>
          </w:tcPr>
          <w:p w14:paraId="12971513"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2,054 </w:t>
            </w:r>
          </w:p>
        </w:tc>
        <w:tc>
          <w:tcPr>
            <w:tcW w:w="204" w:type="pct"/>
            <w:tcBorders>
              <w:top w:val="nil"/>
              <w:left w:val="nil"/>
              <w:bottom w:val="nil"/>
              <w:right w:val="nil"/>
            </w:tcBorders>
            <w:shd w:val="clear" w:color="000000" w:fill="FFFFFF"/>
            <w:noWrap/>
            <w:vAlign w:val="bottom"/>
            <w:hideMark/>
          </w:tcPr>
          <w:p w14:paraId="4910227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57.52%</w:t>
            </w:r>
          </w:p>
        </w:tc>
        <w:tc>
          <w:tcPr>
            <w:tcW w:w="204" w:type="pct"/>
            <w:tcBorders>
              <w:top w:val="nil"/>
              <w:left w:val="nil"/>
              <w:bottom w:val="nil"/>
              <w:right w:val="nil"/>
            </w:tcBorders>
            <w:shd w:val="clear" w:color="000000" w:fill="FFFFFF"/>
            <w:noWrap/>
            <w:vAlign w:val="bottom"/>
            <w:hideMark/>
          </w:tcPr>
          <w:p w14:paraId="0B0606C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57.56%</w:t>
            </w:r>
          </w:p>
        </w:tc>
        <w:tc>
          <w:tcPr>
            <w:tcW w:w="204" w:type="pct"/>
            <w:tcBorders>
              <w:top w:val="nil"/>
              <w:left w:val="nil"/>
              <w:bottom w:val="nil"/>
              <w:right w:val="nil"/>
            </w:tcBorders>
            <w:shd w:val="clear" w:color="000000" w:fill="FFFFFF"/>
            <w:noWrap/>
            <w:vAlign w:val="bottom"/>
            <w:hideMark/>
          </w:tcPr>
          <w:p w14:paraId="013F670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57.59%</w:t>
            </w:r>
          </w:p>
        </w:tc>
        <w:tc>
          <w:tcPr>
            <w:tcW w:w="204" w:type="pct"/>
            <w:tcBorders>
              <w:top w:val="nil"/>
              <w:left w:val="nil"/>
              <w:bottom w:val="nil"/>
              <w:right w:val="nil"/>
            </w:tcBorders>
            <w:shd w:val="clear" w:color="000000" w:fill="FFFFFF"/>
            <w:noWrap/>
            <w:vAlign w:val="bottom"/>
            <w:hideMark/>
          </w:tcPr>
          <w:p w14:paraId="785F28E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57.61%</w:t>
            </w:r>
          </w:p>
        </w:tc>
        <w:tc>
          <w:tcPr>
            <w:tcW w:w="204" w:type="pct"/>
            <w:tcBorders>
              <w:top w:val="nil"/>
              <w:left w:val="nil"/>
              <w:bottom w:val="nil"/>
              <w:right w:val="nil"/>
            </w:tcBorders>
            <w:shd w:val="clear" w:color="000000" w:fill="FFFFFF"/>
            <w:noWrap/>
            <w:vAlign w:val="bottom"/>
            <w:hideMark/>
          </w:tcPr>
          <w:p w14:paraId="75B08E0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57.64%</w:t>
            </w:r>
          </w:p>
        </w:tc>
        <w:tc>
          <w:tcPr>
            <w:tcW w:w="204" w:type="pct"/>
            <w:tcBorders>
              <w:top w:val="nil"/>
              <w:left w:val="nil"/>
              <w:bottom w:val="nil"/>
              <w:right w:val="nil"/>
            </w:tcBorders>
            <w:shd w:val="clear" w:color="000000" w:fill="FFFFFF"/>
            <w:noWrap/>
            <w:vAlign w:val="bottom"/>
            <w:hideMark/>
          </w:tcPr>
          <w:p w14:paraId="1145171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57.73%</w:t>
            </w:r>
          </w:p>
        </w:tc>
        <w:tc>
          <w:tcPr>
            <w:tcW w:w="204" w:type="pct"/>
            <w:tcBorders>
              <w:top w:val="nil"/>
              <w:left w:val="nil"/>
              <w:bottom w:val="nil"/>
              <w:right w:val="nil"/>
            </w:tcBorders>
            <w:shd w:val="clear" w:color="000000" w:fill="FFFFFF"/>
            <w:noWrap/>
            <w:vAlign w:val="bottom"/>
            <w:hideMark/>
          </w:tcPr>
          <w:p w14:paraId="22933C3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57.83%</w:t>
            </w:r>
          </w:p>
        </w:tc>
        <w:tc>
          <w:tcPr>
            <w:tcW w:w="204" w:type="pct"/>
            <w:tcBorders>
              <w:top w:val="nil"/>
              <w:left w:val="nil"/>
              <w:bottom w:val="nil"/>
              <w:right w:val="nil"/>
            </w:tcBorders>
            <w:shd w:val="clear" w:color="000000" w:fill="FFFFFF"/>
            <w:noWrap/>
            <w:vAlign w:val="bottom"/>
            <w:hideMark/>
          </w:tcPr>
          <w:p w14:paraId="0579338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58.15%</w:t>
            </w:r>
          </w:p>
        </w:tc>
        <w:tc>
          <w:tcPr>
            <w:tcW w:w="204" w:type="pct"/>
            <w:tcBorders>
              <w:top w:val="nil"/>
              <w:left w:val="nil"/>
              <w:bottom w:val="nil"/>
              <w:right w:val="nil"/>
            </w:tcBorders>
            <w:shd w:val="clear" w:color="000000" w:fill="FFFFFF"/>
            <w:noWrap/>
            <w:vAlign w:val="bottom"/>
            <w:hideMark/>
          </w:tcPr>
          <w:p w14:paraId="15BA114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58.18%</w:t>
            </w:r>
          </w:p>
        </w:tc>
        <w:tc>
          <w:tcPr>
            <w:tcW w:w="204" w:type="pct"/>
            <w:tcBorders>
              <w:top w:val="nil"/>
              <w:left w:val="nil"/>
              <w:bottom w:val="nil"/>
              <w:right w:val="nil"/>
            </w:tcBorders>
            <w:shd w:val="clear" w:color="000000" w:fill="FFFFFF"/>
            <w:noWrap/>
            <w:vAlign w:val="bottom"/>
            <w:hideMark/>
          </w:tcPr>
          <w:p w14:paraId="1E352E0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58.39%</w:t>
            </w:r>
          </w:p>
        </w:tc>
        <w:tc>
          <w:tcPr>
            <w:tcW w:w="204" w:type="pct"/>
            <w:tcBorders>
              <w:top w:val="nil"/>
              <w:left w:val="nil"/>
              <w:bottom w:val="nil"/>
              <w:right w:val="nil"/>
            </w:tcBorders>
            <w:shd w:val="clear" w:color="000000" w:fill="FFFFFF"/>
            <w:noWrap/>
            <w:vAlign w:val="bottom"/>
            <w:hideMark/>
          </w:tcPr>
          <w:p w14:paraId="7933919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58.49%</w:t>
            </w:r>
          </w:p>
        </w:tc>
        <w:tc>
          <w:tcPr>
            <w:tcW w:w="204" w:type="pct"/>
            <w:tcBorders>
              <w:top w:val="nil"/>
              <w:left w:val="nil"/>
              <w:bottom w:val="nil"/>
              <w:right w:val="nil"/>
            </w:tcBorders>
            <w:shd w:val="clear" w:color="000000" w:fill="FFFFFF"/>
            <w:noWrap/>
            <w:vAlign w:val="bottom"/>
            <w:hideMark/>
          </w:tcPr>
          <w:p w14:paraId="4A653FE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58.58%</w:t>
            </w:r>
          </w:p>
        </w:tc>
        <w:tc>
          <w:tcPr>
            <w:tcW w:w="204" w:type="pct"/>
            <w:tcBorders>
              <w:top w:val="nil"/>
              <w:left w:val="nil"/>
              <w:bottom w:val="nil"/>
              <w:right w:val="nil"/>
            </w:tcBorders>
            <w:shd w:val="clear" w:color="000000" w:fill="FFFFFF"/>
            <w:noWrap/>
            <w:vAlign w:val="bottom"/>
            <w:hideMark/>
          </w:tcPr>
          <w:p w14:paraId="29511FB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58.86%</w:t>
            </w:r>
          </w:p>
        </w:tc>
        <w:tc>
          <w:tcPr>
            <w:tcW w:w="204" w:type="pct"/>
            <w:tcBorders>
              <w:top w:val="nil"/>
              <w:left w:val="nil"/>
              <w:bottom w:val="nil"/>
              <w:right w:val="nil"/>
            </w:tcBorders>
            <w:shd w:val="clear" w:color="000000" w:fill="FFFFFF"/>
            <w:noWrap/>
            <w:vAlign w:val="bottom"/>
            <w:hideMark/>
          </w:tcPr>
          <w:p w14:paraId="283A7C0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58.94%</w:t>
            </w:r>
          </w:p>
        </w:tc>
        <w:tc>
          <w:tcPr>
            <w:tcW w:w="204" w:type="pct"/>
            <w:tcBorders>
              <w:top w:val="nil"/>
              <w:left w:val="nil"/>
              <w:bottom w:val="nil"/>
              <w:right w:val="nil"/>
            </w:tcBorders>
            <w:shd w:val="clear" w:color="000000" w:fill="FFFFFF"/>
            <w:noWrap/>
            <w:vAlign w:val="bottom"/>
            <w:hideMark/>
          </w:tcPr>
          <w:p w14:paraId="66B6175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58.94%</w:t>
            </w:r>
          </w:p>
        </w:tc>
      </w:tr>
      <w:tr w:rsidR="002D2278" w:rsidRPr="002D2278" w14:paraId="2DDFC14D" w14:textId="77777777" w:rsidTr="002D2278">
        <w:trPr>
          <w:trHeight w:val="20"/>
        </w:trPr>
        <w:tc>
          <w:tcPr>
            <w:tcW w:w="867" w:type="pct"/>
            <w:tcBorders>
              <w:top w:val="nil"/>
              <w:left w:val="nil"/>
              <w:bottom w:val="nil"/>
              <w:right w:val="nil"/>
            </w:tcBorders>
            <w:shd w:val="clear" w:color="000000" w:fill="FFFFFF"/>
            <w:noWrap/>
            <w:vAlign w:val="center"/>
            <w:hideMark/>
          </w:tcPr>
          <w:p w14:paraId="196C8651" w14:textId="495EB630"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2015........................................</w:t>
            </w:r>
          </w:p>
        </w:tc>
        <w:tc>
          <w:tcPr>
            <w:tcW w:w="452" w:type="pct"/>
            <w:tcBorders>
              <w:top w:val="nil"/>
              <w:left w:val="nil"/>
              <w:bottom w:val="nil"/>
              <w:right w:val="nil"/>
            </w:tcBorders>
            <w:shd w:val="clear" w:color="000000" w:fill="FFFFFF"/>
            <w:noWrap/>
            <w:vAlign w:val="bottom"/>
            <w:hideMark/>
          </w:tcPr>
          <w:p w14:paraId="73698067"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2015Q1</w:t>
            </w:r>
          </w:p>
        </w:tc>
        <w:tc>
          <w:tcPr>
            <w:tcW w:w="623" w:type="pct"/>
            <w:tcBorders>
              <w:top w:val="nil"/>
              <w:left w:val="nil"/>
              <w:bottom w:val="nil"/>
              <w:right w:val="nil"/>
            </w:tcBorders>
            <w:shd w:val="clear" w:color="000000" w:fill="FFFFFF"/>
            <w:noWrap/>
            <w:vAlign w:val="center"/>
            <w:hideMark/>
          </w:tcPr>
          <w:p w14:paraId="316FEB5A"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2,364 </w:t>
            </w:r>
          </w:p>
        </w:tc>
        <w:tc>
          <w:tcPr>
            <w:tcW w:w="204" w:type="pct"/>
            <w:tcBorders>
              <w:top w:val="nil"/>
              <w:left w:val="nil"/>
              <w:bottom w:val="nil"/>
              <w:right w:val="nil"/>
            </w:tcBorders>
            <w:shd w:val="clear" w:color="000000" w:fill="FFFFFF"/>
            <w:noWrap/>
            <w:vAlign w:val="bottom"/>
            <w:hideMark/>
          </w:tcPr>
          <w:p w14:paraId="2DA49FF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58.98%</w:t>
            </w:r>
          </w:p>
        </w:tc>
        <w:tc>
          <w:tcPr>
            <w:tcW w:w="204" w:type="pct"/>
            <w:tcBorders>
              <w:top w:val="nil"/>
              <w:left w:val="nil"/>
              <w:bottom w:val="nil"/>
              <w:right w:val="nil"/>
            </w:tcBorders>
            <w:shd w:val="clear" w:color="000000" w:fill="FFFFFF"/>
            <w:noWrap/>
            <w:vAlign w:val="bottom"/>
            <w:hideMark/>
          </w:tcPr>
          <w:p w14:paraId="1F993FB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59.21%</w:t>
            </w:r>
          </w:p>
        </w:tc>
        <w:tc>
          <w:tcPr>
            <w:tcW w:w="204" w:type="pct"/>
            <w:tcBorders>
              <w:top w:val="nil"/>
              <w:left w:val="nil"/>
              <w:bottom w:val="nil"/>
              <w:right w:val="nil"/>
            </w:tcBorders>
            <w:shd w:val="clear" w:color="000000" w:fill="FFFFFF"/>
            <w:noWrap/>
            <w:vAlign w:val="bottom"/>
            <w:hideMark/>
          </w:tcPr>
          <w:p w14:paraId="552D19E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59.40%</w:t>
            </w:r>
          </w:p>
        </w:tc>
        <w:tc>
          <w:tcPr>
            <w:tcW w:w="204" w:type="pct"/>
            <w:tcBorders>
              <w:top w:val="nil"/>
              <w:left w:val="nil"/>
              <w:bottom w:val="nil"/>
              <w:right w:val="nil"/>
            </w:tcBorders>
            <w:shd w:val="clear" w:color="000000" w:fill="FFFFFF"/>
            <w:noWrap/>
            <w:vAlign w:val="bottom"/>
            <w:hideMark/>
          </w:tcPr>
          <w:p w14:paraId="3E4894E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59.57%</w:t>
            </w:r>
          </w:p>
        </w:tc>
        <w:tc>
          <w:tcPr>
            <w:tcW w:w="204" w:type="pct"/>
            <w:tcBorders>
              <w:top w:val="nil"/>
              <w:left w:val="nil"/>
              <w:bottom w:val="nil"/>
              <w:right w:val="nil"/>
            </w:tcBorders>
            <w:shd w:val="clear" w:color="000000" w:fill="FFFFFF"/>
            <w:noWrap/>
            <w:vAlign w:val="bottom"/>
            <w:hideMark/>
          </w:tcPr>
          <w:p w14:paraId="0184584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59.75%</w:t>
            </w:r>
          </w:p>
        </w:tc>
        <w:tc>
          <w:tcPr>
            <w:tcW w:w="204" w:type="pct"/>
            <w:tcBorders>
              <w:top w:val="nil"/>
              <w:left w:val="nil"/>
              <w:bottom w:val="nil"/>
              <w:right w:val="nil"/>
            </w:tcBorders>
            <w:shd w:val="clear" w:color="000000" w:fill="FFFFFF"/>
            <w:noWrap/>
            <w:vAlign w:val="bottom"/>
            <w:hideMark/>
          </w:tcPr>
          <w:p w14:paraId="4D3B5BC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59.82%</w:t>
            </w:r>
          </w:p>
        </w:tc>
        <w:tc>
          <w:tcPr>
            <w:tcW w:w="204" w:type="pct"/>
            <w:tcBorders>
              <w:top w:val="nil"/>
              <w:left w:val="nil"/>
              <w:bottom w:val="nil"/>
              <w:right w:val="nil"/>
            </w:tcBorders>
            <w:shd w:val="clear" w:color="000000" w:fill="FFFFFF"/>
            <w:noWrap/>
            <w:vAlign w:val="bottom"/>
            <w:hideMark/>
          </w:tcPr>
          <w:p w14:paraId="793CE62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59.89%</w:t>
            </w:r>
          </w:p>
        </w:tc>
        <w:tc>
          <w:tcPr>
            <w:tcW w:w="204" w:type="pct"/>
            <w:tcBorders>
              <w:top w:val="nil"/>
              <w:left w:val="nil"/>
              <w:bottom w:val="nil"/>
              <w:right w:val="nil"/>
            </w:tcBorders>
            <w:shd w:val="clear" w:color="000000" w:fill="FFFFFF"/>
            <w:noWrap/>
            <w:vAlign w:val="bottom"/>
            <w:hideMark/>
          </w:tcPr>
          <w:p w14:paraId="3055DA4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60.07%</w:t>
            </w:r>
          </w:p>
        </w:tc>
        <w:tc>
          <w:tcPr>
            <w:tcW w:w="204" w:type="pct"/>
            <w:tcBorders>
              <w:top w:val="nil"/>
              <w:left w:val="nil"/>
              <w:bottom w:val="nil"/>
              <w:right w:val="nil"/>
            </w:tcBorders>
            <w:shd w:val="clear" w:color="000000" w:fill="FFFFFF"/>
            <w:noWrap/>
            <w:vAlign w:val="bottom"/>
            <w:hideMark/>
          </w:tcPr>
          <w:p w14:paraId="68A2CE1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60.19%</w:t>
            </w:r>
          </w:p>
        </w:tc>
        <w:tc>
          <w:tcPr>
            <w:tcW w:w="204" w:type="pct"/>
            <w:tcBorders>
              <w:top w:val="nil"/>
              <w:left w:val="nil"/>
              <w:bottom w:val="nil"/>
              <w:right w:val="nil"/>
            </w:tcBorders>
            <w:shd w:val="clear" w:color="000000" w:fill="FFFFFF"/>
            <w:noWrap/>
            <w:vAlign w:val="bottom"/>
            <w:hideMark/>
          </w:tcPr>
          <w:p w14:paraId="48C970C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60.27%</w:t>
            </w:r>
          </w:p>
        </w:tc>
        <w:tc>
          <w:tcPr>
            <w:tcW w:w="204" w:type="pct"/>
            <w:tcBorders>
              <w:top w:val="nil"/>
              <w:left w:val="nil"/>
              <w:bottom w:val="nil"/>
              <w:right w:val="nil"/>
            </w:tcBorders>
            <w:shd w:val="clear" w:color="000000" w:fill="FFFFFF"/>
            <w:noWrap/>
            <w:vAlign w:val="bottom"/>
            <w:hideMark/>
          </w:tcPr>
          <w:p w14:paraId="72F9022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60.37%</w:t>
            </w:r>
          </w:p>
        </w:tc>
        <w:tc>
          <w:tcPr>
            <w:tcW w:w="204" w:type="pct"/>
            <w:tcBorders>
              <w:top w:val="nil"/>
              <w:left w:val="nil"/>
              <w:bottom w:val="nil"/>
              <w:right w:val="nil"/>
            </w:tcBorders>
            <w:shd w:val="clear" w:color="000000" w:fill="FFFFFF"/>
            <w:noWrap/>
            <w:vAlign w:val="bottom"/>
            <w:hideMark/>
          </w:tcPr>
          <w:p w14:paraId="55D5377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60.44%</w:t>
            </w:r>
          </w:p>
        </w:tc>
        <w:tc>
          <w:tcPr>
            <w:tcW w:w="204" w:type="pct"/>
            <w:tcBorders>
              <w:top w:val="nil"/>
              <w:left w:val="nil"/>
              <w:bottom w:val="nil"/>
              <w:right w:val="nil"/>
            </w:tcBorders>
            <w:shd w:val="clear" w:color="000000" w:fill="FFFFFF"/>
            <w:noWrap/>
            <w:vAlign w:val="bottom"/>
            <w:hideMark/>
          </w:tcPr>
          <w:p w14:paraId="6FBC9B6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60.50%</w:t>
            </w:r>
          </w:p>
        </w:tc>
        <w:tc>
          <w:tcPr>
            <w:tcW w:w="204" w:type="pct"/>
            <w:tcBorders>
              <w:top w:val="nil"/>
              <w:left w:val="nil"/>
              <w:bottom w:val="nil"/>
              <w:right w:val="nil"/>
            </w:tcBorders>
            <w:shd w:val="clear" w:color="000000" w:fill="FFFFFF"/>
            <w:noWrap/>
            <w:vAlign w:val="bottom"/>
            <w:hideMark/>
          </w:tcPr>
          <w:p w14:paraId="31A3995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60.61%</w:t>
            </w:r>
          </w:p>
        </w:tc>
        <w:tc>
          <w:tcPr>
            <w:tcW w:w="204" w:type="pct"/>
            <w:tcBorders>
              <w:top w:val="nil"/>
              <w:left w:val="nil"/>
              <w:bottom w:val="nil"/>
              <w:right w:val="nil"/>
            </w:tcBorders>
            <w:shd w:val="clear" w:color="000000" w:fill="FFFFFF"/>
            <w:noWrap/>
            <w:vAlign w:val="bottom"/>
            <w:hideMark/>
          </w:tcPr>
          <w:p w14:paraId="6C3E521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60.64%</w:t>
            </w:r>
          </w:p>
        </w:tc>
      </w:tr>
      <w:tr w:rsidR="002D2278" w:rsidRPr="002D2278" w14:paraId="73A00FFA" w14:textId="77777777" w:rsidTr="002D2278">
        <w:trPr>
          <w:trHeight w:val="20"/>
        </w:trPr>
        <w:tc>
          <w:tcPr>
            <w:tcW w:w="867" w:type="pct"/>
            <w:tcBorders>
              <w:top w:val="nil"/>
              <w:left w:val="nil"/>
              <w:bottom w:val="nil"/>
              <w:right w:val="nil"/>
            </w:tcBorders>
            <w:shd w:val="clear" w:color="000000" w:fill="FFFFFF"/>
            <w:noWrap/>
            <w:vAlign w:val="center"/>
            <w:hideMark/>
          </w:tcPr>
          <w:p w14:paraId="7C078082" w14:textId="50D0BF50"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30 </w:t>
            </w:r>
            <w:r>
              <w:rPr>
                <w:rFonts w:ascii="Aptos Narrow" w:hAnsi="Aptos Narrow"/>
                <w:sz w:val="14"/>
                <w:szCs w:val="14"/>
                <w:lang w:val="de-DE" w:eastAsia="de-DE"/>
              </w:rPr>
              <w:t>June</w:t>
            </w:r>
            <w:r w:rsidRPr="002D2278">
              <w:rPr>
                <w:rFonts w:ascii="Aptos Narrow" w:hAnsi="Aptos Narrow"/>
                <w:sz w:val="14"/>
                <w:szCs w:val="14"/>
                <w:lang w:val="de-DE" w:eastAsia="de-DE"/>
              </w:rPr>
              <w:t xml:space="preserve"> 2015..........................................</w:t>
            </w:r>
          </w:p>
        </w:tc>
        <w:tc>
          <w:tcPr>
            <w:tcW w:w="452" w:type="pct"/>
            <w:tcBorders>
              <w:top w:val="nil"/>
              <w:left w:val="nil"/>
              <w:bottom w:val="nil"/>
              <w:right w:val="nil"/>
            </w:tcBorders>
            <w:shd w:val="clear" w:color="000000" w:fill="FFFFFF"/>
            <w:noWrap/>
            <w:vAlign w:val="bottom"/>
            <w:hideMark/>
          </w:tcPr>
          <w:p w14:paraId="46D9FDC0"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2015Q2</w:t>
            </w:r>
          </w:p>
        </w:tc>
        <w:tc>
          <w:tcPr>
            <w:tcW w:w="623" w:type="pct"/>
            <w:tcBorders>
              <w:top w:val="nil"/>
              <w:left w:val="nil"/>
              <w:bottom w:val="nil"/>
              <w:right w:val="nil"/>
            </w:tcBorders>
            <w:shd w:val="clear" w:color="000000" w:fill="FFFFFF"/>
            <w:noWrap/>
            <w:vAlign w:val="center"/>
            <w:hideMark/>
          </w:tcPr>
          <w:p w14:paraId="33E898C6"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2,113 </w:t>
            </w:r>
          </w:p>
        </w:tc>
        <w:tc>
          <w:tcPr>
            <w:tcW w:w="204" w:type="pct"/>
            <w:tcBorders>
              <w:top w:val="nil"/>
              <w:left w:val="nil"/>
              <w:bottom w:val="nil"/>
              <w:right w:val="nil"/>
            </w:tcBorders>
            <w:shd w:val="clear" w:color="000000" w:fill="FFFFFF"/>
            <w:noWrap/>
            <w:vAlign w:val="bottom"/>
            <w:hideMark/>
          </w:tcPr>
          <w:p w14:paraId="7D39BE9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61.46%</w:t>
            </w:r>
          </w:p>
        </w:tc>
        <w:tc>
          <w:tcPr>
            <w:tcW w:w="204" w:type="pct"/>
            <w:tcBorders>
              <w:top w:val="nil"/>
              <w:left w:val="nil"/>
              <w:bottom w:val="nil"/>
              <w:right w:val="nil"/>
            </w:tcBorders>
            <w:shd w:val="clear" w:color="000000" w:fill="FFFFFF"/>
            <w:noWrap/>
            <w:vAlign w:val="bottom"/>
            <w:hideMark/>
          </w:tcPr>
          <w:p w14:paraId="2B519ED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61.61%</w:t>
            </w:r>
          </w:p>
        </w:tc>
        <w:tc>
          <w:tcPr>
            <w:tcW w:w="204" w:type="pct"/>
            <w:tcBorders>
              <w:top w:val="nil"/>
              <w:left w:val="nil"/>
              <w:bottom w:val="nil"/>
              <w:right w:val="nil"/>
            </w:tcBorders>
            <w:shd w:val="clear" w:color="000000" w:fill="FFFFFF"/>
            <w:noWrap/>
            <w:vAlign w:val="bottom"/>
            <w:hideMark/>
          </w:tcPr>
          <w:p w14:paraId="75468A6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61.86%</w:t>
            </w:r>
          </w:p>
        </w:tc>
        <w:tc>
          <w:tcPr>
            <w:tcW w:w="204" w:type="pct"/>
            <w:tcBorders>
              <w:top w:val="nil"/>
              <w:left w:val="nil"/>
              <w:bottom w:val="nil"/>
              <w:right w:val="nil"/>
            </w:tcBorders>
            <w:shd w:val="clear" w:color="000000" w:fill="FFFFFF"/>
            <w:noWrap/>
            <w:vAlign w:val="bottom"/>
            <w:hideMark/>
          </w:tcPr>
          <w:p w14:paraId="2E392A8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61.97%</w:t>
            </w:r>
          </w:p>
        </w:tc>
        <w:tc>
          <w:tcPr>
            <w:tcW w:w="204" w:type="pct"/>
            <w:tcBorders>
              <w:top w:val="nil"/>
              <w:left w:val="nil"/>
              <w:bottom w:val="nil"/>
              <w:right w:val="nil"/>
            </w:tcBorders>
            <w:shd w:val="clear" w:color="000000" w:fill="FFFFFF"/>
            <w:noWrap/>
            <w:vAlign w:val="bottom"/>
            <w:hideMark/>
          </w:tcPr>
          <w:p w14:paraId="62222A7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62.01%</w:t>
            </w:r>
          </w:p>
        </w:tc>
        <w:tc>
          <w:tcPr>
            <w:tcW w:w="204" w:type="pct"/>
            <w:tcBorders>
              <w:top w:val="nil"/>
              <w:left w:val="nil"/>
              <w:bottom w:val="nil"/>
              <w:right w:val="nil"/>
            </w:tcBorders>
            <w:shd w:val="clear" w:color="000000" w:fill="FFFFFF"/>
            <w:noWrap/>
            <w:vAlign w:val="bottom"/>
            <w:hideMark/>
          </w:tcPr>
          <w:p w14:paraId="53C4808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62.21%</w:t>
            </w:r>
          </w:p>
        </w:tc>
        <w:tc>
          <w:tcPr>
            <w:tcW w:w="204" w:type="pct"/>
            <w:tcBorders>
              <w:top w:val="nil"/>
              <w:left w:val="nil"/>
              <w:bottom w:val="nil"/>
              <w:right w:val="nil"/>
            </w:tcBorders>
            <w:shd w:val="clear" w:color="000000" w:fill="FFFFFF"/>
            <w:noWrap/>
            <w:vAlign w:val="bottom"/>
            <w:hideMark/>
          </w:tcPr>
          <w:p w14:paraId="3484B98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62.33%</w:t>
            </w:r>
          </w:p>
        </w:tc>
        <w:tc>
          <w:tcPr>
            <w:tcW w:w="204" w:type="pct"/>
            <w:tcBorders>
              <w:top w:val="nil"/>
              <w:left w:val="nil"/>
              <w:bottom w:val="nil"/>
              <w:right w:val="nil"/>
            </w:tcBorders>
            <w:shd w:val="clear" w:color="000000" w:fill="FFFFFF"/>
            <w:noWrap/>
            <w:vAlign w:val="bottom"/>
            <w:hideMark/>
          </w:tcPr>
          <w:p w14:paraId="62CF3AA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62.47%</w:t>
            </w:r>
          </w:p>
        </w:tc>
        <w:tc>
          <w:tcPr>
            <w:tcW w:w="204" w:type="pct"/>
            <w:tcBorders>
              <w:top w:val="nil"/>
              <w:left w:val="nil"/>
              <w:bottom w:val="nil"/>
              <w:right w:val="nil"/>
            </w:tcBorders>
            <w:shd w:val="clear" w:color="000000" w:fill="FFFFFF"/>
            <w:noWrap/>
            <w:vAlign w:val="bottom"/>
            <w:hideMark/>
          </w:tcPr>
          <w:p w14:paraId="4308F54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62.54%</w:t>
            </w:r>
          </w:p>
        </w:tc>
        <w:tc>
          <w:tcPr>
            <w:tcW w:w="204" w:type="pct"/>
            <w:tcBorders>
              <w:top w:val="nil"/>
              <w:left w:val="nil"/>
              <w:bottom w:val="nil"/>
              <w:right w:val="nil"/>
            </w:tcBorders>
            <w:shd w:val="clear" w:color="000000" w:fill="FFFFFF"/>
            <w:noWrap/>
            <w:vAlign w:val="bottom"/>
            <w:hideMark/>
          </w:tcPr>
          <w:p w14:paraId="49B56C0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62.54%</w:t>
            </w:r>
          </w:p>
        </w:tc>
        <w:tc>
          <w:tcPr>
            <w:tcW w:w="204" w:type="pct"/>
            <w:tcBorders>
              <w:top w:val="nil"/>
              <w:left w:val="nil"/>
              <w:bottom w:val="nil"/>
              <w:right w:val="nil"/>
            </w:tcBorders>
            <w:shd w:val="clear" w:color="000000" w:fill="FFFFFF"/>
            <w:noWrap/>
            <w:vAlign w:val="bottom"/>
            <w:hideMark/>
          </w:tcPr>
          <w:p w14:paraId="4FFDD88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62.54%</w:t>
            </w:r>
          </w:p>
        </w:tc>
        <w:tc>
          <w:tcPr>
            <w:tcW w:w="204" w:type="pct"/>
            <w:tcBorders>
              <w:top w:val="nil"/>
              <w:left w:val="nil"/>
              <w:bottom w:val="nil"/>
              <w:right w:val="nil"/>
            </w:tcBorders>
            <w:shd w:val="clear" w:color="000000" w:fill="FFFFFF"/>
            <w:noWrap/>
            <w:vAlign w:val="bottom"/>
            <w:hideMark/>
          </w:tcPr>
          <w:p w14:paraId="58679AC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62.54%</w:t>
            </w:r>
          </w:p>
        </w:tc>
        <w:tc>
          <w:tcPr>
            <w:tcW w:w="204" w:type="pct"/>
            <w:tcBorders>
              <w:top w:val="nil"/>
              <w:left w:val="nil"/>
              <w:bottom w:val="nil"/>
              <w:right w:val="nil"/>
            </w:tcBorders>
            <w:shd w:val="clear" w:color="000000" w:fill="FFFFFF"/>
            <w:noWrap/>
            <w:vAlign w:val="bottom"/>
            <w:hideMark/>
          </w:tcPr>
          <w:p w14:paraId="19AA0DA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62.80%</w:t>
            </w:r>
          </w:p>
        </w:tc>
        <w:tc>
          <w:tcPr>
            <w:tcW w:w="204" w:type="pct"/>
            <w:tcBorders>
              <w:top w:val="nil"/>
              <w:left w:val="nil"/>
              <w:bottom w:val="nil"/>
              <w:right w:val="nil"/>
            </w:tcBorders>
            <w:shd w:val="clear" w:color="000000" w:fill="FFFFFF"/>
            <w:noWrap/>
            <w:vAlign w:val="bottom"/>
            <w:hideMark/>
          </w:tcPr>
          <w:p w14:paraId="2BD98F9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62.80%</w:t>
            </w:r>
          </w:p>
        </w:tc>
        <w:tc>
          <w:tcPr>
            <w:tcW w:w="204" w:type="pct"/>
            <w:tcBorders>
              <w:top w:val="nil"/>
              <w:left w:val="nil"/>
              <w:bottom w:val="nil"/>
              <w:right w:val="nil"/>
            </w:tcBorders>
            <w:shd w:val="clear" w:color="000000" w:fill="FFFFFF"/>
            <w:noWrap/>
            <w:vAlign w:val="bottom"/>
            <w:hideMark/>
          </w:tcPr>
          <w:p w14:paraId="54664CE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62.80%</w:t>
            </w:r>
          </w:p>
        </w:tc>
      </w:tr>
      <w:tr w:rsidR="002D2278" w:rsidRPr="002D2278" w14:paraId="15DE8C39" w14:textId="77777777" w:rsidTr="002D2278">
        <w:trPr>
          <w:trHeight w:val="20"/>
        </w:trPr>
        <w:tc>
          <w:tcPr>
            <w:tcW w:w="867" w:type="pct"/>
            <w:tcBorders>
              <w:top w:val="nil"/>
              <w:left w:val="nil"/>
              <w:bottom w:val="nil"/>
              <w:right w:val="nil"/>
            </w:tcBorders>
            <w:shd w:val="clear" w:color="000000" w:fill="FFFFFF"/>
            <w:noWrap/>
            <w:vAlign w:val="center"/>
            <w:hideMark/>
          </w:tcPr>
          <w:p w14:paraId="5E91EB85" w14:textId="77777777"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30 September 2015..............................</w:t>
            </w:r>
          </w:p>
        </w:tc>
        <w:tc>
          <w:tcPr>
            <w:tcW w:w="452" w:type="pct"/>
            <w:tcBorders>
              <w:top w:val="nil"/>
              <w:left w:val="nil"/>
              <w:bottom w:val="nil"/>
              <w:right w:val="nil"/>
            </w:tcBorders>
            <w:shd w:val="clear" w:color="000000" w:fill="FFFFFF"/>
            <w:noWrap/>
            <w:vAlign w:val="bottom"/>
            <w:hideMark/>
          </w:tcPr>
          <w:p w14:paraId="1F053758"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2015Q3</w:t>
            </w:r>
          </w:p>
        </w:tc>
        <w:tc>
          <w:tcPr>
            <w:tcW w:w="623" w:type="pct"/>
            <w:tcBorders>
              <w:top w:val="nil"/>
              <w:left w:val="nil"/>
              <w:bottom w:val="nil"/>
              <w:right w:val="nil"/>
            </w:tcBorders>
            <w:shd w:val="clear" w:color="000000" w:fill="FFFFFF"/>
            <w:noWrap/>
            <w:vAlign w:val="center"/>
            <w:hideMark/>
          </w:tcPr>
          <w:p w14:paraId="2628DF45"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2,030 </w:t>
            </w:r>
          </w:p>
        </w:tc>
        <w:tc>
          <w:tcPr>
            <w:tcW w:w="204" w:type="pct"/>
            <w:tcBorders>
              <w:top w:val="nil"/>
              <w:left w:val="nil"/>
              <w:bottom w:val="nil"/>
              <w:right w:val="nil"/>
            </w:tcBorders>
            <w:shd w:val="clear" w:color="000000" w:fill="FFFFFF"/>
            <w:noWrap/>
            <w:vAlign w:val="bottom"/>
            <w:hideMark/>
          </w:tcPr>
          <w:p w14:paraId="090A2BA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56.97%</w:t>
            </w:r>
          </w:p>
        </w:tc>
        <w:tc>
          <w:tcPr>
            <w:tcW w:w="204" w:type="pct"/>
            <w:tcBorders>
              <w:top w:val="nil"/>
              <w:left w:val="nil"/>
              <w:bottom w:val="nil"/>
              <w:right w:val="nil"/>
            </w:tcBorders>
            <w:shd w:val="clear" w:color="000000" w:fill="FFFFFF"/>
            <w:noWrap/>
            <w:vAlign w:val="bottom"/>
            <w:hideMark/>
          </w:tcPr>
          <w:p w14:paraId="6639EB2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57.25%</w:t>
            </w:r>
          </w:p>
        </w:tc>
        <w:tc>
          <w:tcPr>
            <w:tcW w:w="204" w:type="pct"/>
            <w:tcBorders>
              <w:top w:val="nil"/>
              <w:left w:val="nil"/>
              <w:bottom w:val="nil"/>
              <w:right w:val="nil"/>
            </w:tcBorders>
            <w:shd w:val="clear" w:color="000000" w:fill="FFFFFF"/>
            <w:noWrap/>
            <w:vAlign w:val="bottom"/>
            <w:hideMark/>
          </w:tcPr>
          <w:p w14:paraId="5700160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57.37%</w:t>
            </w:r>
          </w:p>
        </w:tc>
        <w:tc>
          <w:tcPr>
            <w:tcW w:w="204" w:type="pct"/>
            <w:tcBorders>
              <w:top w:val="nil"/>
              <w:left w:val="nil"/>
              <w:bottom w:val="nil"/>
              <w:right w:val="nil"/>
            </w:tcBorders>
            <w:shd w:val="clear" w:color="000000" w:fill="FFFFFF"/>
            <w:noWrap/>
            <w:vAlign w:val="bottom"/>
            <w:hideMark/>
          </w:tcPr>
          <w:p w14:paraId="395B08D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57.47%</w:t>
            </w:r>
          </w:p>
        </w:tc>
        <w:tc>
          <w:tcPr>
            <w:tcW w:w="204" w:type="pct"/>
            <w:tcBorders>
              <w:top w:val="nil"/>
              <w:left w:val="nil"/>
              <w:bottom w:val="nil"/>
              <w:right w:val="nil"/>
            </w:tcBorders>
            <w:shd w:val="clear" w:color="000000" w:fill="FFFFFF"/>
            <w:noWrap/>
            <w:vAlign w:val="bottom"/>
            <w:hideMark/>
          </w:tcPr>
          <w:p w14:paraId="746E7C8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57.58%</w:t>
            </w:r>
          </w:p>
        </w:tc>
        <w:tc>
          <w:tcPr>
            <w:tcW w:w="204" w:type="pct"/>
            <w:tcBorders>
              <w:top w:val="nil"/>
              <w:left w:val="nil"/>
              <w:bottom w:val="nil"/>
              <w:right w:val="nil"/>
            </w:tcBorders>
            <w:shd w:val="clear" w:color="000000" w:fill="FFFFFF"/>
            <w:noWrap/>
            <w:vAlign w:val="bottom"/>
            <w:hideMark/>
          </w:tcPr>
          <w:p w14:paraId="4DABA31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57.79%</w:t>
            </w:r>
          </w:p>
        </w:tc>
        <w:tc>
          <w:tcPr>
            <w:tcW w:w="204" w:type="pct"/>
            <w:tcBorders>
              <w:top w:val="nil"/>
              <w:left w:val="nil"/>
              <w:bottom w:val="nil"/>
              <w:right w:val="nil"/>
            </w:tcBorders>
            <w:shd w:val="clear" w:color="000000" w:fill="FFFFFF"/>
            <w:noWrap/>
            <w:vAlign w:val="bottom"/>
            <w:hideMark/>
          </w:tcPr>
          <w:p w14:paraId="4C9C08E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58.20%</w:t>
            </w:r>
          </w:p>
        </w:tc>
        <w:tc>
          <w:tcPr>
            <w:tcW w:w="204" w:type="pct"/>
            <w:tcBorders>
              <w:top w:val="nil"/>
              <w:left w:val="nil"/>
              <w:bottom w:val="nil"/>
              <w:right w:val="nil"/>
            </w:tcBorders>
            <w:shd w:val="clear" w:color="000000" w:fill="FFFFFF"/>
            <w:noWrap/>
            <w:vAlign w:val="bottom"/>
            <w:hideMark/>
          </w:tcPr>
          <w:p w14:paraId="190EB9E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58.42%</w:t>
            </w:r>
          </w:p>
        </w:tc>
        <w:tc>
          <w:tcPr>
            <w:tcW w:w="204" w:type="pct"/>
            <w:tcBorders>
              <w:top w:val="nil"/>
              <w:left w:val="nil"/>
              <w:bottom w:val="nil"/>
              <w:right w:val="nil"/>
            </w:tcBorders>
            <w:shd w:val="clear" w:color="000000" w:fill="FFFFFF"/>
            <w:noWrap/>
            <w:vAlign w:val="bottom"/>
            <w:hideMark/>
          </w:tcPr>
          <w:p w14:paraId="64FE6B9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58.66%</w:t>
            </w:r>
          </w:p>
        </w:tc>
        <w:tc>
          <w:tcPr>
            <w:tcW w:w="204" w:type="pct"/>
            <w:tcBorders>
              <w:top w:val="nil"/>
              <w:left w:val="nil"/>
              <w:bottom w:val="nil"/>
              <w:right w:val="nil"/>
            </w:tcBorders>
            <w:shd w:val="clear" w:color="000000" w:fill="FFFFFF"/>
            <w:noWrap/>
            <w:vAlign w:val="bottom"/>
            <w:hideMark/>
          </w:tcPr>
          <w:p w14:paraId="0F7190A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58.75%</w:t>
            </w:r>
          </w:p>
        </w:tc>
        <w:tc>
          <w:tcPr>
            <w:tcW w:w="204" w:type="pct"/>
            <w:tcBorders>
              <w:top w:val="nil"/>
              <w:left w:val="nil"/>
              <w:bottom w:val="nil"/>
              <w:right w:val="nil"/>
            </w:tcBorders>
            <w:shd w:val="clear" w:color="000000" w:fill="FFFFFF"/>
            <w:noWrap/>
            <w:vAlign w:val="bottom"/>
            <w:hideMark/>
          </w:tcPr>
          <w:p w14:paraId="12C78E5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58.80%</w:t>
            </w:r>
          </w:p>
        </w:tc>
        <w:tc>
          <w:tcPr>
            <w:tcW w:w="204" w:type="pct"/>
            <w:tcBorders>
              <w:top w:val="nil"/>
              <w:left w:val="nil"/>
              <w:bottom w:val="nil"/>
              <w:right w:val="nil"/>
            </w:tcBorders>
            <w:shd w:val="clear" w:color="000000" w:fill="FFFFFF"/>
            <w:noWrap/>
            <w:vAlign w:val="bottom"/>
            <w:hideMark/>
          </w:tcPr>
          <w:p w14:paraId="0CAB9AF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59.21%</w:t>
            </w:r>
          </w:p>
        </w:tc>
        <w:tc>
          <w:tcPr>
            <w:tcW w:w="204" w:type="pct"/>
            <w:tcBorders>
              <w:top w:val="nil"/>
              <w:left w:val="nil"/>
              <w:bottom w:val="nil"/>
              <w:right w:val="nil"/>
            </w:tcBorders>
            <w:shd w:val="clear" w:color="000000" w:fill="FFFFFF"/>
            <w:noWrap/>
            <w:vAlign w:val="bottom"/>
            <w:hideMark/>
          </w:tcPr>
          <w:p w14:paraId="2E657C0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59.22%</w:t>
            </w:r>
          </w:p>
        </w:tc>
        <w:tc>
          <w:tcPr>
            <w:tcW w:w="204" w:type="pct"/>
            <w:tcBorders>
              <w:top w:val="nil"/>
              <w:left w:val="nil"/>
              <w:bottom w:val="nil"/>
              <w:right w:val="nil"/>
            </w:tcBorders>
            <w:shd w:val="clear" w:color="000000" w:fill="FFFFFF"/>
            <w:noWrap/>
            <w:vAlign w:val="bottom"/>
            <w:hideMark/>
          </w:tcPr>
          <w:p w14:paraId="0654FC0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59.23%</w:t>
            </w:r>
          </w:p>
        </w:tc>
        <w:tc>
          <w:tcPr>
            <w:tcW w:w="204" w:type="pct"/>
            <w:tcBorders>
              <w:top w:val="nil"/>
              <w:left w:val="nil"/>
              <w:bottom w:val="nil"/>
              <w:right w:val="nil"/>
            </w:tcBorders>
            <w:shd w:val="clear" w:color="000000" w:fill="FFFFFF"/>
            <w:noWrap/>
            <w:vAlign w:val="bottom"/>
            <w:hideMark/>
          </w:tcPr>
          <w:p w14:paraId="055480D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59.24%</w:t>
            </w:r>
          </w:p>
        </w:tc>
      </w:tr>
      <w:tr w:rsidR="002D2278" w:rsidRPr="002D2278" w14:paraId="33BF9FCA" w14:textId="77777777" w:rsidTr="002D2278">
        <w:trPr>
          <w:trHeight w:val="20"/>
        </w:trPr>
        <w:tc>
          <w:tcPr>
            <w:tcW w:w="867" w:type="pct"/>
            <w:tcBorders>
              <w:top w:val="nil"/>
              <w:left w:val="nil"/>
              <w:bottom w:val="nil"/>
              <w:right w:val="nil"/>
            </w:tcBorders>
            <w:shd w:val="clear" w:color="000000" w:fill="FFFFFF"/>
            <w:noWrap/>
            <w:vAlign w:val="center"/>
            <w:hideMark/>
          </w:tcPr>
          <w:p w14:paraId="15B62653" w14:textId="37DF9A1B"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December</w:t>
            </w:r>
            <w:r w:rsidRPr="002D2278">
              <w:rPr>
                <w:rFonts w:ascii="Aptos Narrow" w:hAnsi="Aptos Narrow"/>
                <w:sz w:val="14"/>
                <w:szCs w:val="14"/>
                <w:lang w:val="de-DE" w:eastAsia="de-DE"/>
              </w:rPr>
              <w:t xml:space="preserve"> 2015...............................</w:t>
            </w:r>
          </w:p>
        </w:tc>
        <w:tc>
          <w:tcPr>
            <w:tcW w:w="452" w:type="pct"/>
            <w:tcBorders>
              <w:top w:val="nil"/>
              <w:left w:val="nil"/>
              <w:bottom w:val="nil"/>
              <w:right w:val="nil"/>
            </w:tcBorders>
            <w:shd w:val="clear" w:color="000000" w:fill="FFFFFF"/>
            <w:noWrap/>
            <w:vAlign w:val="bottom"/>
            <w:hideMark/>
          </w:tcPr>
          <w:p w14:paraId="07E8F9CD"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2015Q4</w:t>
            </w:r>
          </w:p>
        </w:tc>
        <w:tc>
          <w:tcPr>
            <w:tcW w:w="623" w:type="pct"/>
            <w:tcBorders>
              <w:top w:val="nil"/>
              <w:left w:val="nil"/>
              <w:bottom w:val="nil"/>
              <w:right w:val="nil"/>
            </w:tcBorders>
            <w:shd w:val="clear" w:color="000000" w:fill="FFFFFF"/>
            <w:noWrap/>
            <w:vAlign w:val="center"/>
            <w:hideMark/>
          </w:tcPr>
          <w:p w14:paraId="0FC3D111"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2,105 </w:t>
            </w:r>
          </w:p>
        </w:tc>
        <w:tc>
          <w:tcPr>
            <w:tcW w:w="204" w:type="pct"/>
            <w:tcBorders>
              <w:top w:val="nil"/>
              <w:left w:val="nil"/>
              <w:bottom w:val="nil"/>
              <w:right w:val="nil"/>
            </w:tcBorders>
            <w:shd w:val="clear" w:color="000000" w:fill="FFFFFF"/>
            <w:noWrap/>
            <w:vAlign w:val="bottom"/>
            <w:hideMark/>
          </w:tcPr>
          <w:p w14:paraId="6638375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64.03%</w:t>
            </w:r>
          </w:p>
        </w:tc>
        <w:tc>
          <w:tcPr>
            <w:tcW w:w="204" w:type="pct"/>
            <w:tcBorders>
              <w:top w:val="nil"/>
              <w:left w:val="nil"/>
              <w:bottom w:val="nil"/>
              <w:right w:val="nil"/>
            </w:tcBorders>
            <w:shd w:val="clear" w:color="000000" w:fill="FFFFFF"/>
            <w:noWrap/>
            <w:vAlign w:val="bottom"/>
            <w:hideMark/>
          </w:tcPr>
          <w:p w14:paraId="15B0E1D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64.28%</w:t>
            </w:r>
          </w:p>
        </w:tc>
        <w:tc>
          <w:tcPr>
            <w:tcW w:w="204" w:type="pct"/>
            <w:tcBorders>
              <w:top w:val="nil"/>
              <w:left w:val="nil"/>
              <w:bottom w:val="nil"/>
              <w:right w:val="nil"/>
            </w:tcBorders>
            <w:shd w:val="clear" w:color="000000" w:fill="FFFFFF"/>
            <w:noWrap/>
            <w:vAlign w:val="bottom"/>
            <w:hideMark/>
          </w:tcPr>
          <w:p w14:paraId="3DD50D5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64.54%</w:t>
            </w:r>
          </w:p>
        </w:tc>
        <w:tc>
          <w:tcPr>
            <w:tcW w:w="204" w:type="pct"/>
            <w:tcBorders>
              <w:top w:val="nil"/>
              <w:left w:val="nil"/>
              <w:bottom w:val="nil"/>
              <w:right w:val="nil"/>
            </w:tcBorders>
            <w:shd w:val="clear" w:color="000000" w:fill="FFFFFF"/>
            <w:noWrap/>
            <w:vAlign w:val="bottom"/>
            <w:hideMark/>
          </w:tcPr>
          <w:p w14:paraId="316E5FD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65.05%</w:t>
            </w:r>
          </w:p>
        </w:tc>
        <w:tc>
          <w:tcPr>
            <w:tcW w:w="204" w:type="pct"/>
            <w:tcBorders>
              <w:top w:val="nil"/>
              <w:left w:val="nil"/>
              <w:bottom w:val="nil"/>
              <w:right w:val="nil"/>
            </w:tcBorders>
            <w:shd w:val="clear" w:color="000000" w:fill="FFFFFF"/>
            <w:noWrap/>
            <w:vAlign w:val="bottom"/>
            <w:hideMark/>
          </w:tcPr>
          <w:p w14:paraId="726041C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65.46%</w:t>
            </w:r>
          </w:p>
        </w:tc>
        <w:tc>
          <w:tcPr>
            <w:tcW w:w="204" w:type="pct"/>
            <w:tcBorders>
              <w:top w:val="nil"/>
              <w:left w:val="nil"/>
              <w:bottom w:val="nil"/>
              <w:right w:val="nil"/>
            </w:tcBorders>
            <w:shd w:val="clear" w:color="000000" w:fill="FFFFFF"/>
            <w:noWrap/>
            <w:vAlign w:val="bottom"/>
            <w:hideMark/>
          </w:tcPr>
          <w:p w14:paraId="71C94F3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65.62%</w:t>
            </w:r>
          </w:p>
        </w:tc>
        <w:tc>
          <w:tcPr>
            <w:tcW w:w="204" w:type="pct"/>
            <w:tcBorders>
              <w:top w:val="nil"/>
              <w:left w:val="nil"/>
              <w:bottom w:val="nil"/>
              <w:right w:val="nil"/>
            </w:tcBorders>
            <w:shd w:val="clear" w:color="000000" w:fill="FFFFFF"/>
            <w:noWrap/>
            <w:vAlign w:val="bottom"/>
            <w:hideMark/>
          </w:tcPr>
          <w:p w14:paraId="52F16AB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65.83%</w:t>
            </w:r>
          </w:p>
        </w:tc>
        <w:tc>
          <w:tcPr>
            <w:tcW w:w="204" w:type="pct"/>
            <w:tcBorders>
              <w:top w:val="nil"/>
              <w:left w:val="nil"/>
              <w:bottom w:val="nil"/>
              <w:right w:val="nil"/>
            </w:tcBorders>
            <w:shd w:val="clear" w:color="000000" w:fill="FFFFFF"/>
            <w:noWrap/>
            <w:vAlign w:val="bottom"/>
            <w:hideMark/>
          </w:tcPr>
          <w:p w14:paraId="1297D80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65.97%</w:t>
            </w:r>
          </w:p>
        </w:tc>
        <w:tc>
          <w:tcPr>
            <w:tcW w:w="204" w:type="pct"/>
            <w:tcBorders>
              <w:top w:val="nil"/>
              <w:left w:val="nil"/>
              <w:bottom w:val="nil"/>
              <w:right w:val="nil"/>
            </w:tcBorders>
            <w:shd w:val="clear" w:color="000000" w:fill="FFFFFF"/>
            <w:noWrap/>
            <w:vAlign w:val="bottom"/>
            <w:hideMark/>
          </w:tcPr>
          <w:p w14:paraId="6648684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66.08%</w:t>
            </w:r>
          </w:p>
        </w:tc>
        <w:tc>
          <w:tcPr>
            <w:tcW w:w="204" w:type="pct"/>
            <w:tcBorders>
              <w:top w:val="nil"/>
              <w:left w:val="nil"/>
              <w:bottom w:val="nil"/>
              <w:right w:val="nil"/>
            </w:tcBorders>
            <w:shd w:val="clear" w:color="000000" w:fill="FFFFFF"/>
            <w:noWrap/>
            <w:vAlign w:val="bottom"/>
            <w:hideMark/>
          </w:tcPr>
          <w:p w14:paraId="02D63C4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66.27%</w:t>
            </w:r>
          </w:p>
        </w:tc>
        <w:tc>
          <w:tcPr>
            <w:tcW w:w="204" w:type="pct"/>
            <w:tcBorders>
              <w:top w:val="nil"/>
              <w:left w:val="nil"/>
              <w:bottom w:val="nil"/>
              <w:right w:val="nil"/>
            </w:tcBorders>
            <w:shd w:val="clear" w:color="000000" w:fill="FFFFFF"/>
            <w:noWrap/>
            <w:vAlign w:val="bottom"/>
            <w:hideMark/>
          </w:tcPr>
          <w:p w14:paraId="6FD3FFC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66.38%</w:t>
            </w:r>
          </w:p>
        </w:tc>
        <w:tc>
          <w:tcPr>
            <w:tcW w:w="204" w:type="pct"/>
            <w:tcBorders>
              <w:top w:val="nil"/>
              <w:left w:val="nil"/>
              <w:bottom w:val="nil"/>
              <w:right w:val="nil"/>
            </w:tcBorders>
            <w:shd w:val="clear" w:color="000000" w:fill="FFFFFF"/>
            <w:noWrap/>
            <w:vAlign w:val="bottom"/>
            <w:hideMark/>
          </w:tcPr>
          <w:p w14:paraId="3308832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66.60%</w:t>
            </w:r>
          </w:p>
        </w:tc>
        <w:tc>
          <w:tcPr>
            <w:tcW w:w="204" w:type="pct"/>
            <w:tcBorders>
              <w:top w:val="nil"/>
              <w:left w:val="nil"/>
              <w:bottom w:val="nil"/>
              <w:right w:val="nil"/>
            </w:tcBorders>
            <w:shd w:val="clear" w:color="000000" w:fill="FFFFFF"/>
            <w:noWrap/>
            <w:vAlign w:val="bottom"/>
            <w:hideMark/>
          </w:tcPr>
          <w:p w14:paraId="689B9A4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66.63%</w:t>
            </w:r>
          </w:p>
        </w:tc>
        <w:tc>
          <w:tcPr>
            <w:tcW w:w="204" w:type="pct"/>
            <w:tcBorders>
              <w:top w:val="nil"/>
              <w:left w:val="nil"/>
              <w:bottom w:val="nil"/>
              <w:right w:val="nil"/>
            </w:tcBorders>
            <w:shd w:val="clear" w:color="000000" w:fill="FFFFFF"/>
            <w:noWrap/>
            <w:vAlign w:val="bottom"/>
            <w:hideMark/>
          </w:tcPr>
          <w:p w14:paraId="347A50F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66.63%</w:t>
            </w:r>
          </w:p>
        </w:tc>
        <w:tc>
          <w:tcPr>
            <w:tcW w:w="204" w:type="pct"/>
            <w:tcBorders>
              <w:top w:val="nil"/>
              <w:left w:val="nil"/>
              <w:bottom w:val="nil"/>
              <w:right w:val="nil"/>
            </w:tcBorders>
            <w:shd w:val="clear" w:color="000000" w:fill="FFFFFF"/>
            <w:noWrap/>
            <w:vAlign w:val="bottom"/>
            <w:hideMark/>
          </w:tcPr>
          <w:p w14:paraId="5381C06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66.63%</w:t>
            </w:r>
          </w:p>
        </w:tc>
      </w:tr>
      <w:tr w:rsidR="002D2278" w:rsidRPr="002D2278" w14:paraId="7E3D15B1" w14:textId="77777777" w:rsidTr="002D2278">
        <w:trPr>
          <w:trHeight w:val="20"/>
        </w:trPr>
        <w:tc>
          <w:tcPr>
            <w:tcW w:w="867" w:type="pct"/>
            <w:tcBorders>
              <w:top w:val="nil"/>
              <w:left w:val="nil"/>
              <w:bottom w:val="nil"/>
              <w:right w:val="nil"/>
            </w:tcBorders>
            <w:shd w:val="clear" w:color="000000" w:fill="FFFFFF"/>
            <w:noWrap/>
            <w:vAlign w:val="center"/>
            <w:hideMark/>
          </w:tcPr>
          <w:p w14:paraId="5961D6D5" w14:textId="3D3AD4C6"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2016........................................</w:t>
            </w:r>
          </w:p>
        </w:tc>
        <w:tc>
          <w:tcPr>
            <w:tcW w:w="452" w:type="pct"/>
            <w:tcBorders>
              <w:top w:val="nil"/>
              <w:left w:val="nil"/>
              <w:bottom w:val="nil"/>
              <w:right w:val="nil"/>
            </w:tcBorders>
            <w:shd w:val="clear" w:color="000000" w:fill="FFFFFF"/>
            <w:noWrap/>
            <w:vAlign w:val="bottom"/>
            <w:hideMark/>
          </w:tcPr>
          <w:p w14:paraId="197B8A0A"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2016Q1</w:t>
            </w:r>
          </w:p>
        </w:tc>
        <w:tc>
          <w:tcPr>
            <w:tcW w:w="623" w:type="pct"/>
            <w:tcBorders>
              <w:top w:val="nil"/>
              <w:left w:val="nil"/>
              <w:bottom w:val="nil"/>
              <w:right w:val="nil"/>
            </w:tcBorders>
            <w:shd w:val="clear" w:color="000000" w:fill="FFFFFF"/>
            <w:noWrap/>
            <w:vAlign w:val="center"/>
            <w:hideMark/>
          </w:tcPr>
          <w:p w14:paraId="336B613F"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1,798 </w:t>
            </w:r>
          </w:p>
        </w:tc>
        <w:tc>
          <w:tcPr>
            <w:tcW w:w="204" w:type="pct"/>
            <w:tcBorders>
              <w:top w:val="nil"/>
              <w:left w:val="nil"/>
              <w:bottom w:val="nil"/>
              <w:right w:val="nil"/>
            </w:tcBorders>
            <w:shd w:val="clear" w:color="000000" w:fill="FFFFFF"/>
            <w:noWrap/>
            <w:vAlign w:val="bottom"/>
            <w:hideMark/>
          </w:tcPr>
          <w:p w14:paraId="397E8FE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57.38%</w:t>
            </w:r>
          </w:p>
        </w:tc>
        <w:tc>
          <w:tcPr>
            <w:tcW w:w="204" w:type="pct"/>
            <w:tcBorders>
              <w:top w:val="nil"/>
              <w:left w:val="nil"/>
              <w:bottom w:val="nil"/>
              <w:right w:val="nil"/>
            </w:tcBorders>
            <w:shd w:val="clear" w:color="000000" w:fill="FFFFFF"/>
            <w:noWrap/>
            <w:vAlign w:val="bottom"/>
            <w:hideMark/>
          </w:tcPr>
          <w:p w14:paraId="47630E2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57.57%</w:t>
            </w:r>
          </w:p>
        </w:tc>
        <w:tc>
          <w:tcPr>
            <w:tcW w:w="204" w:type="pct"/>
            <w:tcBorders>
              <w:top w:val="nil"/>
              <w:left w:val="nil"/>
              <w:bottom w:val="nil"/>
              <w:right w:val="nil"/>
            </w:tcBorders>
            <w:shd w:val="clear" w:color="000000" w:fill="FFFFFF"/>
            <w:noWrap/>
            <w:vAlign w:val="bottom"/>
            <w:hideMark/>
          </w:tcPr>
          <w:p w14:paraId="3E2285F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57.71%</w:t>
            </w:r>
          </w:p>
        </w:tc>
        <w:tc>
          <w:tcPr>
            <w:tcW w:w="204" w:type="pct"/>
            <w:tcBorders>
              <w:top w:val="nil"/>
              <w:left w:val="nil"/>
              <w:bottom w:val="nil"/>
              <w:right w:val="nil"/>
            </w:tcBorders>
            <w:shd w:val="clear" w:color="000000" w:fill="FFFFFF"/>
            <w:noWrap/>
            <w:vAlign w:val="bottom"/>
            <w:hideMark/>
          </w:tcPr>
          <w:p w14:paraId="4D7B585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57.82%</w:t>
            </w:r>
          </w:p>
        </w:tc>
        <w:tc>
          <w:tcPr>
            <w:tcW w:w="204" w:type="pct"/>
            <w:tcBorders>
              <w:top w:val="nil"/>
              <w:left w:val="nil"/>
              <w:bottom w:val="nil"/>
              <w:right w:val="nil"/>
            </w:tcBorders>
            <w:shd w:val="clear" w:color="000000" w:fill="FFFFFF"/>
            <w:noWrap/>
            <w:vAlign w:val="bottom"/>
            <w:hideMark/>
          </w:tcPr>
          <w:p w14:paraId="0FF8A6C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57.94%</w:t>
            </w:r>
          </w:p>
        </w:tc>
        <w:tc>
          <w:tcPr>
            <w:tcW w:w="204" w:type="pct"/>
            <w:tcBorders>
              <w:top w:val="nil"/>
              <w:left w:val="nil"/>
              <w:bottom w:val="nil"/>
              <w:right w:val="nil"/>
            </w:tcBorders>
            <w:shd w:val="clear" w:color="000000" w:fill="FFFFFF"/>
            <w:noWrap/>
            <w:vAlign w:val="bottom"/>
            <w:hideMark/>
          </w:tcPr>
          <w:p w14:paraId="5122B10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58.13%</w:t>
            </w:r>
          </w:p>
        </w:tc>
        <w:tc>
          <w:tcPr>
            <w:tcW w:w="204" w:type="pct"/>
            <w:tcBorders>
              <w:top w:val="nil"/>
              <w:left w:val="nil"/>
              <w:bottom w:val="nil"/>
              <w:right w:val="nil"/>
            </w:tcBorders>
            <w:shd w:val="clear" w:color="000000" w:fill="FFFFFF"/>
            <w:noWrap/>
            <w:vAlign w:val="bottom"/>
            <w:hideMark/>
          </w:tcPr>
          <w:p w14:paraId="3AED3A3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58.23%</w:t>
            </w:r>
          </w:p>
        </w:tc>
        <w:tc>
          <w:tcPr>
            <w:tcW w:w="204" w:type="pct"/>
            <w:tcBorders>
              <w:top w:val="nil"/>
              <w:left w:val="nil"/>
              <w:bottom w:val="nil"/>
              <w:right w:val="nil"/>
            </w:tcBorders>
            <w:shd w:val="clear" w:color="000000" w:fill="FFFFFF"/>
            <w:noWrap/>
            <w:vAlign w:val="bottom"/>
            <w:hideMark/>
          </w:tcPr>
          <w:p w14:paraId="39E0564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58.29%</w:t>
            </w:r>
          </w:p>
        </w:tc>
        <w:tc>
          <w:tcPr>
            <w:tcW w:w="204" w:type="pct"/>
            <w:tcBorders>
              <w:top w:val="nil"/>
              <w:left w:val="nil"/>
              <w:bottom w:val="nil"/>
              <w:right w:val="nil"/>
            </w:tcBorders>
            <w:shd w:val="clear" w:color="000000" w:fill="FFFFFF"/>
            <w:noWrap/>
            <w:vAlign w:val="bottom"/>
            <w:hideMark/>
          </w:tcPr>
          <w:p w14:paraId="6E5AE85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58.41%</w:t>
            </w:r>
          </w:p>
        </w:tc>
        <w:tc>
          <w:tcPr>
            <w:tcW w:w="204" w:type="pct"/>
            <w:tcBorders>
              <w:top w:val="nil"/>
              <w:left w:val="nil"/>
              <w:bottom w:val="nil"/>
              <w:right w:val="nil"/>
            </w:tcBorders>
            <w:shd w:val="clear" w:color="000000" w:fill="FFFFFF"/>
            <w:noWrap/>
            <w:vAlign w:val="bottom"/>
            <w:hideMark/>
          </w:tcPr>
          <w:p w14:paraId="30911A5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58.49%</w:t>
            </w:r>
          </w:p>
        </w:tc>
        <w:tc>
          <w:tcPr>
            <w:tcW w:w="204" w:type="pct"/>
            <w:tcBorders>
              <w:top w:val="nil"/>
              <w:left w:val="nil"/>
              <w:bottom w:val="nil"/>
              <w:right w:val="nil"/>
            </w:tcBorders>
            <w:shd w:val="clear" w:color="000000" w:fill="FFFFFF"/>
            <w:noWrap/>
            <w:vAlign w:val="bottom"/>
            <w:hideMark/>
          </w:tcPr>
          <w:p w14:paraId="49AB69D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58.54%</w:t>
            </w:r>
          </w:p>
        </w:tc>
        <w:tc>
          <w:tcPr>
            <w:tcW w:w="204" w:type="pct"/>
            <w:tcBorders>
              <w:top w:val="nil"/>
              <w:left w:val="nil"/>
              <w:bottom w:val="nil"/>
              <w:right w:val="nil"/>
            </w:tcBorders>
            <w:shd w:val="clear" w:color="000000" w:fill="FFFFFF"/>
            <w:noWrap/>
            <w:vAlign w:val="bottom"/>
            <w:hideMark/>
          </w:tcPr>
          <w:p w14:paraId="50095EB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58.56%</w:t>
            </w:r>
          </w:p>
        </w:tc>
        <w:tc>
          <w:tcPr>
            <w:tcW w:w="204" w:type="pct"/>
            <w:tcBorders>
              <w:top w:val="nil"/>
              <w:left w:val="nil"/>
              <w:bottom w:val="nil"/>
              <w:right w:val="nil"/>
            </w:tcBorders>
            <w:shd w:val="clear" w:color="000000" w:fill="FFFFFF"/>
            <w:noWrap/>
            <w:vAlign w:val="bottom"/>
            <w:hideMark/>
          </w:tcPr>
          <w:p w14:paraId="1282552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58.56%</w:t>
            </w:r>
          </w:p>
        </w:tc>
        <w:tc>
          <w:tcPr>
            <w:tcW w:w="204" w:type="pct"/>
            <w:tcBorders>
              <w:top w:val="nil"/>
              <w:left w:val="nil"/>
              <w:bottom w:val="nil"/>
              <w:right w:val="nil"/>
            </w:tcBorders>
            <w:shd w:val="clear" w:color="000000" w:fill="FFFFFF"/>
            <w:noWrap/>
            <w:vAlign w:val="bottom"/>
            <w:hideMark/>
          </w:tcPr>
          <w:p w14:paraId="2D08F95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58.56%</w:t>
            </w:r>
          </w:p>
        </w:tc>
        <w:tc>
          <w:tcPr>
            <w:tcW w:w="204" w:type="pct"/>
            <w:tcBorders>
              <w:top w:val="nil"/>
              <w:left w:val="nil"/>
              <w:bottom w:val="nil"/>
              <w:right w:val="nil"/>
            </w:tcBorders>
            <w:shd w:val="clear" w:color="000000" w:fill="FFFFFF"/>
            <w:noWrap/>
            <w:vAlign w:val="bottom"/>
            <w:hideMark/>
          </w:tcPr>
          <w:p w14:paraId="4C51EEA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58.56%</w:t>
            </w:r>
          </w:p>
        </w:tc>
      </w:tr>
      <w:tr w:rsidR="002D2278" w:rsidRPr="002D2278" w14:paraId="65F7C7E6" w14:textId="77777777" w:rsidTr="002D2278">
        <w:trPr>
          <w:trHeight w:val="20"/>
        </w:trPr>
        <w:tc>
          <w:tcPr>
            <w:tcW w:w="867" w:type="pct"/>
            <w:tcBorders>
              <w:top w:val="nil"/>
              <w:left w:val="nil"/>
              <w:bottom w:val="nil"/>
              <w:right w:val="nil"/>
            </w:tcBorders>
            <w:shd w:val="clear" w:color="000000" w:fill="FFFFFF"/>
            <w:noWrap/>
            <w:vAlign w:val="center"/>
            <w:hideMark/>
          </w:tcPr>
          <w:p w14:paraId="08761AC5" w14:textId="383D9DEC"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30 </w:t>
            </w:r>
            <w:r>
              <w:rPr>
                <w:rFonts w:ascii="Aptos Narrow" w:hAnsi="Aptos Narrow"/>
                <w:sz w:val="14"/>
                <w:szCs w:val="14"/>
                <w:lang w:val="de-DE" w:eastAsia="de-DE"/>
              </w:rPr>
              <w:t>June</w:t>
            </w:r>
            <w:r w:rsidRPr="002D2278">
              <w:rPr>
                <w:rFonts w:ascii="Aptos Narrow" w:hAnsi="Aptos Narrow"/>
                <w:sz w:val="14"/>
                <w:szCs w:val="14"/>
                <w:lang w:val="de-DE" w:eastAsia="de-DE"/>
              </w:rPr>
              <w:t xml:space="preserve"> 2016..........................................</w:t>
            </w:r>
          </w:p>
        </w:tc>
        <w:tc>
          <w:tcPr>
            <w:tcW w:w="452" w:type="pct"/>
            <w:tcBorders>
              <w:top w:val="nil"/>
              <w:left w:val="nil"/>
              <w:bottom w:val="nil"/>
              <w:right w:val="nil"/>
            </w:tcBorders>
            <w:shd w:val="clear" w:color="000000" w:fill="FFFFFF"/>
            <w:noWrap/>
            <w:vAlign w:val="bottom"/>
            <w:hideMark/>
          </w:tcPr>
          <w:p w14:paraId="35EDA799"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2016Q2</w:t>
            </w:r>
          </w:p>
        </w:tc>
        <w:tc>
          <w:tcPr>
            <w:tcW w:w="623" w:type="pct"/>
            <w:tcBorders>
              <w:top w:val="nil"/>
              <w:left w:val="nil"/>
              <w:bottom w:val="nil"/>
              <w:right w:val="nil"/>
            </w:tcBorders>
            <w:shd w:val="clear" w:color="000000" w:fill="FFFFFF"/>
            <w:noWrap/>
            <w:vAlign w:val="center"/>
            <w:hideMark/>
          </w:tcPr>
          <w:p w14:paraId="79435C9D"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2,029 </w:t>
            </w:r>
          </w:p>
        </w:tc>
        <w:tc>
          <w:tcPr>
            <w:tcW w:w="204" w:type="pct"/>
            <w:tcBorders>
              <w:top w:val="nil"/>
              <w:left w:val="nil"/>
              <w:bottom w:val="nil"/>
              <w:right w:val="nil"/>
            </w:tcBorders>
            <w:shd w:val="clear" w:color="000000" w:fill="FFFFFF"/>
            <w:noWrap/>
            <w:vAlign w:val="bottom"/>
            <w:hideMark/>
          </w:tcPr>
          <w:p w14:paraId="2844F08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61.34%</w:t>
            </w:r>
          </w:p>
        </w:tc>
        <w:tc>
          <w:tcPr>
            <w:tcW w:w="204" w:type="pct"/>
            <w:tcBorders>
              <w:top w:val="nil"/>
              <w:left w:val="nil"/>
              <w:bottom w:val="nil"/>
              <w:right w:val="nil"/>
            </w:tcBorders>
            <w:shd w:val="clear" w:color="000000" w:fill="FFFFFF"/>
            <w:noWrap/>
            <w:vAlign w:val="bottom"/>
            <w:hideMark/>
          </w:tcPr>
          <w:p w14:paraId="77CCC18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61.85%</w:t>
            </w:r>
          </w:p>
        </w:tc>
        <w:tc>
          <w:tcPr>
            <w:tcW w:w="204" w:type="pct"/>
            <w:tcBorders>
              <w:top w:val="nil"/>
              <w:left w:val="nil"/>
              <w:bottom w:val="nil"/>
              <w:right w:val="nil"/>
            </w:tcBorders>
            <w:shd w:val="clear" w:color="000000" w:fill="FFFFFF"/>
            <w:noWrap/>
            <w:vAlign w:val="bottom"/>
            <w:hideMark/>
          </w:tcPr>
          <w:p w14:paraId="052A8C9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62.23%</w:t>
            </w:r>
          </w:p>
        </w:tc>
        <w:tc>
          <w:tcPr>
            <w:tcW w:w="204" w:type="pct"/>
            <w:tcBorders>
              <w:top w:val="nil"/>
              <w:left w:val="nil"/>
              <w:bottom w:val="nil"/>
              <w:right w:val="nil"/>
            </w:tcBorders>
            <w:shd w:val="clear" w:color="000000" w:fill="FFFFFF"/>
            <w:noWrap/>
            <w:vAlign w:val="bottom"/>
            <w:hideMark/>
          </w:tcPr>
          <w:p w14:paraId="4C5FC68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62.48%</w:t>
            </w:r>
          </w:p>
        </w:tc>
        <w:tc>
          <w:tcPr>
            <w:tcW w:w="204" w:type="pct"/>
            <w:tcBorders>
              <w:top w:val="nil"/>
              <w:left w:val="nil"/>
              <w:bottom w:val="nil"/>
              <w:right w:val="nil"/>
            </w:tcBorders>
            <w:shd w:val="clear" w:color="000000" w:fill="FFFFFF"/>
            <w:noWrap/>
            <w:vAlign w:val="bottom"/>
            <w:hideMark/>
          </w:tcPr>
          <w:p w14:paraId="1150352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62.71%</w:t>
            </w:r>
          </w:p>
        </w:tc>
        <w:tc>
          <w:tcPr>
            <w:tcW w:w="204" w:type="pct"/>
            <w:tcBorders>
              <w:top w:val="nil"/>
              <w:left w:val="nil"/>
              <w:bottom w:val="nil"/>
              <w:right w:val="nil"/>
            </w:tcBorders>
            <w:shd w:val="clear" w:color="000000" w:fill="FFFFFF"/>
            <w:noWrap/>
            <w:vAlign w:val="bottom"/>
            <w:hideMark/>
          </w:tcPr>
          <w:p w14:paraId="4D1432F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62.89%</w:t>
            </w:r>
          </w:p>
        </w:tc>
        <w:tc>
          <w:tcPr>
            <w:tcW w:w="204" w:type="pct"/>
            <w:tcBorders>
              <w:top w:val="nil"/>
              <w:left w:val="nil"/>
              <w:bottom w:val="nil"/>
              <w:right w:val="nil"/>
            </w:tcBorders>
            <w:shd w:val="clear" w:color="000000" w:fill="FFFFFF"/>
            <w:noWrap/>
            <w:vAlign w:val="bottom"/>
            <w:hideMark/>
          </w:tcPr>
          <w:p w14:paraId="1AF536F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62.98%</w:t>
            </w:r>
          </w:p>
        </w:tc>
        <w:tc>
          <w:tcPr>
            <w:tcW w:w="204" w:type="pct"/>
            <w:tcBorders>
              <w:top w:val="nil"/>
              <w:left w:val="nil"/>
              <w:bottom w:val="nil"/>
              <w:right w:val="nil"/>
            </w:tcBorders>
            <w:shd w:val="clear" w:color="000000" w:fill="FFFFFF"/>
            <w:noWrap/>
            <w:vAlign w:val="bottom"/>
            <w:hideMark/>
          </w:tcPr>
          <w:p w14:paraId="4C4A121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63.06%</w:t>
            </w:r>
          </w:p>
        </w:tc>
        <w:tc>
          <w:tcPr>
            <w:tcW w:w="204" w:type="pct"/>
            <w:tcBorders>
              <w:top w:val="nil"/>
              <w:left w:val="nil"/>
              <w:bottom w:val="nil"/>
              <w:right w:val="nil"/>
            </w:tcBorders>
            <w:shd w:val="clear" w:color="000000" w:fill="FFFFFF"/>
            <w:noWrap/>
            <w:vAlign w:val="bottom"/>
            <w:hideMark/>
          </w:tcPr>
          <w:p w14:paraId="50A417C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63.10%</w:t>
            </w:r>
          </w:p>
        </w:tc>
        <w:tc>
          <w:tcPr>
            <w:tcW w:w="204" w:type="pct"/>
            <w:tcBorders>
              <w:top w:val="nil"/>
              <w:left w:val="nil"/>
              <w:bottom w:val="nil"/>
              <w:right w:val="nil"/>
            </w:tcBorders>
            <w:shd w:val="clear" w:color="000000" w:fill="FFFFFF"/>
            <w:noWrap/>
            <w:vAlign w:val="bottom"/>
            <w:hideMark/>
          </w:tcPr>
          <w:p w14:paraId="4231F67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63.42%</w:t>
            </w:r>
          </w:p>
        </w:tc>
        <w:tc>
          <w:tcPr>
            <w:tcW w:w="204" w:type="pct"/>
            <w:tcBorders>
              <w:top w:val="nil"/>
              <w:left w:val="nil"/>
              <w:bottom w:val="nil"/>
              <w:right w:val="nil"/>
            </w:tcBorders>
            <w:shd w:val="clear" w:color="000000" w:fill="FFFFFF"/>
            <w:noWrap/>
            <w:vAlign w:val="bottom"/>
            <w:hideMark/>
          </w:tcPr>
          <w:p w14:paraId="11C897F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63.44%</w:t>
            </w:r>
          </w:p>
        </w:tc>
        <w:tc>
          <w:tcPr>
            <w:tcW w:w="204" w:type="pct"/>
            <w:tcBorders>
              <w:top w:val="nil"/>
              <w:left w:val="nil"/>
              <w:bottom w:val="nil"/>
              <w:right w:val="nil"/>
            </w:tcBorders>
            <w:shd w:val="clear" w:color="000000" w:fill="FFFFFF"/>
            <w:noWrap/>
            <w:vAlign w:val="bottom"/>
            <w:hideMark/>
          </w:tcPr>
          <w:p w14:paraId="577A675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63.44%</w:t>
            </w:r>
          </w:p>
        </w:tc>
        <w:tc>
          <w:tcPr>
            <w:tcW w:w="204" w:type="pct"/>
            <w:tcBorders>
              <w:top w:val="nil"/>
              <w:left w:val="nil"/>
              <w:bottom w:val="nil"/>
              <w:right w:val="nil"/>
            </w:tcBorders>
            <w:shd w:val="clear" w:color="000000" w:fill="FFFFFF"/>
            <w:noWrap/>
            <w:vAlign w:val="bottom"/>
            <w:hideMark/>
          </w:tcPr>
          <w:p w14:paraId="0DDB96E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63.44%</w:t>
            </w:r>
          </w:p>
        </w:tc>
        <w:tc>
          <w:tcPr>
            <w:tcW w:w="204" w:type="pct"/>
            <w:tcBorders>
              <w:top w:val="nil"/>
              <w:left w:val="nil"/>
              <w:bottom w:val="nil"/>
              <w:right w:val="nil"/>
            </w:tcBorders>
            <w:shd w:val="clear" w:color="000000" w:fill="FFFFFF"/>
            <w:noWrap/>
            <w:vAlign w:val="bottom"/>
            <w:hideMark/>
          </w:tcPr>
          <w:p w14:paraId="3C38E00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63.44%</w:t>
            </w:r>
          </w:p>
        </w:tc>
        <w:tc>
          <w:tcPr>
            <w:tcW w:w="204" w:type="pct"/>
            <w:tcBorders>
              <w:top w:val="nil"/>
              <w:left w:val="nil"/>
              <w:bottom w:val="nil"/>
              <w:right w:val="nil"/>
            </w:tcBorders>
            <w:shd w:val="clear" w:color="000000" w:fill="FFFFFF"/>
            <w:noWrap/>
            <w:vAlign w:val="bottom"/>
            <w:hideMark/>
          </w:tcPr>
          <w:p w14:paraId="6CF74AA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63.44%</w:t>
            </w:r>
          </w:p>
        </w:tc>
      </w:tr>
      <w:tr w:rsidR="002D2278" w:rsidRPr="002D2278" w14:paraId="4756D253" w14:textId="77777777" w:rsidTr="002D2278">
        <w:trPr>
          <w:trHeight w:val="20"/>
        </w:trPr>
        <w:tc>
          <w:tcPr>
            <w:tcW w:w="867" w:type="pct"/>
            <w:tcBorders>
              <w:top w:val="nil"/>
              <w:left w:val="nil"/>
              <w:bottom w:val="nil"/>
              <w:right w:val="nil"/>
            </w:tcBorders>
            <w:shd w:val="clear" w:color="000000" w:fill="FFFFFF"/>
            <w:noWrap/>
            <w:vAlign w:val="center"/>
            <w:hideMark/>
          </w:tcPr>
          <w:p w14:paraId="6DBCBDA9" w14:textId="77777777"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30 September 2016..............................</w:t>
            </w:r>
          </w:p>
        </w:tc>
        <w:tc>
          <w:tcPr>
            <w:tcW w:w="452" w:type="pct"/>
            <w:tcBorders>
              <w:top w:val="nil"/>
              <w:left w:val="nil"/>
              <w:bottom w:val="nil"/>
              <w:right w:val="nil"/>
            </w:tcBorders>
            <w:shd w:val="clear" w:color="000000" w:fill="FFFFFF"/>
            <w:noWrap/>
            <w:vAlign w:val="bottom"/>
            <w:hideMark/>
          </w:tcPr>
          <w:p w14:paraId="7CC4E6F0"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2016Q3</w:t>
            </w:r>
          </w:p>
        </w:tc>
        <w:tc>
          <w:tcPr>
            <w:tcW w:w="623" w:type="pct"/>
            <w:tcBorders>
              <w:top w:val="nil"/>
              <w:left w:val="nil"/>
              <w:bottom w:val="nil"/>
              <w:right w:val="nil"/>
            </w:tcBorders>
            <w:shd w:val="clear" w:color="000000" w:fill="FFFFFF"/>
            <w:noWrap/>
            <w:vAlign w:val="center"/>
            <w:hideMark/>
          </w:tcPr>
          <w:p w14:paraId="28DC90C8"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1,611 </w:t>
            </w:r>
          </w:p>
        </w:tc>
        <w:tc>
          <w:tcPr>
            <w:tcW w:w="204" w:type="pct"/>
            <w:tcBorders>
              <w:top w:val="nil"/>
              <w:left w:val="nil"/>
              <w:bottom w:val="nil"/>
              <w:right w:val="nil"/>
            </w:tcBorders>
            <w:shd w:val="clear" w:color="000000" w:fill="FFFFFF"/>
            <w:noWrap/>
            <w:vAlign w:val="bottom"/>
            <w:hideMark/>
          </w:tcPr>
          <w:p w14:paraId="30AB0B6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66.64%</w:t>
            </w:r>
          </w:p>
        </w:tc>
        <w:tc>
          <w:tcPr>
            <w:tcW w:w="204" w:type="pct"/>
            <w:tcBorders>
              <w:top w:val="nil"/>
              <w:left w:val="nil"/>
              <w:bottom w:val="nil"/>
              <w:right w:val="nil"/>
            </w:tcBorders>
            <w:shd w:val="clear" w:color="000000" w:fill="FFFFFF"/>
            <w:noWrap/>
            <w:vAlign w:val="bottom"/>
            <w:hideMark/>
          </w:tcPr>
          <w:p w14:paraId="2CE1DBA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66.78%</w:t>
            </w:r>
          </w:p>
        </w:tc>
        <w:tc>
          <w:tcPr>
            <w:tcW w:w="204" w:type="pct"/>
            <w:tcBorders>
              <w:top w:val="nil"/>
              <w:left w:val="nil"/>
              <w:bottom w:val="nil"/>
              <w:right w:val="nil"/>
            </w:tcBorders>
            <w:shd w:val="clear" w:color="000000" w:fill="FFFFFF"/>
            <w:noWrap/>
            <w:vAlign w:val="bottom"/>
            <w:hideMark/>
          </w:tcPr>
          <w:p w14:paraId="6FB3FF4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66.90%</w:t>
            </w:r>
          </w:p>
        </w:tc>
        <w:tc>
          <w:tcPr>
            <w:tcW w:w="204" w:type="pct"/>
            <w:tcBorders>
              <w:top w:val="nil"/>
              <w:left w:val="nil"/>
              <w:bottom w:val="nil"/>
              <w:right w:val="nil"/>
            </w:tcBorders>
            <w:shd w:val="clear" w:color="000000" w:fill="FFFFFF"/>
            <w:noWrap/>
            <w:vAlign w:val="bottom"/>
            <w:hideMark/>
          </w:tcPr>
          <w:p w14:paraId="6754A1A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66.97%</w:t>
            </w:r>
          </w:p>
        </w:tc>
        <w:tc>
          <w:tcPr>
            <w:tcW w:w="204" w:type="pct"/>
            <w:tcBorders>
              <w:top w:val="nil"/>
              <w:left w:val="nil"/>
              <w:bottom w:val="nil"/>
              <w:right w:val="nil"/>
            </w:tcBorders>
            <w:shd w:val="clear" w:color="000000" w:fill="FFFFFF"/>
            <w:noWrap/>
            <w:vAlign w:val="bottom"/>
            <w:hideMark/>
          </w:tcPr>
          <w:p w14:paraId="34C973B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67.04%</w:t>
            </w:r>
          </w:p>
        </w:tc>
        <w:tc>
          <w:tcPr>
            <w:tcW w:w="204" w:type="pct"/>
            <w:tcBorders>
              <w:top w:val="nil"/>
              <w:left w:val="nil"/>
              <w:bottom w:val="nil"/>
              <w:right w:val="nil"/>
            </w:tcBorders>
            <w:shd w:val="clear" w:color="000000" w:fill="FFFFFF"/>
            <w:noWrap/>
            <w:vAlign w:val="bottom"/>
            <w:hideMark/>
          </w:tcPr>
          <w:p w14:paraId="2F69A96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67.17%</w:t>
            </w:r>
          </w:p>
        </w:tc>
        <w:tc>
          <w:tcPr>
            <w:tcW w:w="204" w:type="pct"/>
            <w:tcBorders>
              <w:top w:val="nil"/>
              <w:left w:val="nil"/>
              <w:bottom w:val="nil"/>
              <w:right w:val="nil"/>
            </w:tcBorders>
            <w:shd w:val="clear" w:color="000000" w:fill="FFFFFF"/>
            <w:noWrap/>
            <w:vAlign w:val="bottom"/>
            <w:hideMark/>
          </w:tcPr>
          <w:p w14:paraId="0394671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67.49%</w:t>
            </w:r>
          </w:p>
        </w:tc>
        <w:tc>
          <w:tcPr>
            <w:tcW w:w="204" w:type="pct"/>
            <w:tcBorders>
              <w:top w:val="nil"/>
              <w:left w:val="nil"/>
              <w:bottom w:val="nil"/>
              <w:right w:val="nil"/>
            </w:tcBorders>
            <w:shd w:val="clear" w:color="000000" w:fill="FFFFFF"/>
            <w:noWrap/>
            <w:vAlign w:val="bottom"/>
            <w:hideMark/>
          </w:tcPr>
          <w:p w14:paraId="6F43268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67.57%</w:t>
            </w:r>
          </w:p>
        </w:tc>
        <w:tc>
          <w:tcPr>
            <w:tcW w:w="204" w:type="pct"/>
            <w:tcBorders>
              <w:top w:val="nil"/>
              <w:left w:val="nil"/>
              <w:bottom w:val="nil"/>
              <w:right w:val="nil"/>
            </w:tcBorders>
            <w:shd w:val="clear" w:color="000000" w:fill="FFFFFF"/>
            <w:noWrap/>
            <w:vAlign w:val="bottom"/>
            <w:hideMark/>
          </w:tcPr>
          <w:p w14:paraId="7E29249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67.67%</w:t>
            </w:r>
          </w:p>
        </w:tc>
        <w:tc>
          <w:tcPr>
            <w:tcW w:w="204" w:type="pct"/>
            <w:tcBorders>
              <w:top w:val="nil"/>
              <w:left w:val="nil"/>
              <w:bottom w:val="nil"/>
              <w:right w:val="nil"/>
            </w:tcBorders>
            <w:shd w:val="clear" w:color="000000" w:fill="FFFFFF"/>
            <w:noWrap/>
            <w:vAlign w:val="bottom"/>
            <w:hideMark/>
          </w:tcPr>
          <w:p w14:paraId="0B6C925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67.71%</w:t>
            </w:r>
          </w:p>
        </w:tc>
        <w:tc>
          <w:tcPr>
            <w:tcW w:w="204" w:type="pct"/>
            <w:tcBorders>
              <w:top w:val="nil"/>
              <w:left w:val="nil"/>
              <w:bottom w:val="nil"/>
              <w:right w:val="nil"/>
            </w:tcBorders>
            <w:shd w:val="clear" w:color="000000" w:fill="FFFFFF"/>
            <w:noWrap/>
            <w:vAlign w:val="bottom"/>
            <w:hideMark/>
          </w:tcPr>
          <w:p w14:paraId="5F36C7F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67.71%</w:t>
            </w:r>
          </w:p>
        </w:tc>
        <w:tc>
          <w:tcPr>
            <w:tcW w:w="204" w:type="pct"/>
            <w:tcBorders>
              <w:top w:val="nil"/>
              <w:left w:val="nil"/>
              <w:bottom w:val="nil"/>
              <w:right w:val="nil"/>
            </w:tcBorders>
            <w:shd w:val="clear" w:color="000000" w:fill="FFFFFF"/>
            <w:noWrap/>
            <w:vAlign w:val="bottom"/>
            <w:hideMark/>
          </w:tcPr>
          <w:p w14:paraId="53A2C0B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67.71%</w:t>
            </w:r>
          </w:p>
        </w:tc>
        <w:tc>
          <w:tcPr>
            <w:tcW w:w="204" w:type="pct"/>
            <w:tcBorders>
              <w:top w:val="nil"/>
              <w:left w:val="nil"/>
              <w:bottom w:val="nil"/>
              <w:right w:val="nil"/>
            </w:tcBorders>
            <w:shd w:val="clear" w:color="000000" w:fill="FFFFFF"/>
            <w:noWrap/>
            <w:vAlign w:val="bottom"/>
            <w:hideMark/>
          </w:tcPr>
          <w:p w14:paraId="25C9540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67.71%</w:t>
            </w:r>
          </w:p>
        </w:tc>
        <w:tc>
          <w:tcPr>
            <w:tcW w:w="204" w:type="pct"/>
            <w:tcBorders>
              <w:top w:val="nil"/>
              <w:left w:val="nil"/>
              <w:bottom w:val="nil"/>
              <w:right w:val="nil"/>
            </w:tcBorders>
            <w:shd w:val="clear" w:color="000000" w:fill="FFFFFF"/>
            <w:noWrap/>
            <w:vAlign w:val="bottom"/>
            <w:hideMark/>
          </w:tcPr>
          <w:p w14:paraId="37AA497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67.71%</w:t>
            </w:r>
          </w:p>
        </w:tc>
        <w:tc>
          <w:tcPr>
            <w:tcW w:w="204" w:type="pct"/>
            <w:tcBorders>
              <w:top w:val="nil"/>
              <w:left w:val="nil"/>
              <w:bottom w:val="nil"/>
              <w:right w:val="nil"/>
            </w:tcBorders>
            <w:shd w:val="clear" w:color="000000" w:fill="FFFFFF"/>
            <w:noWrap/>
            <w:vAlign w:val="bottom"/>
            <w:hideMark/>
          </w:tcPr>
          <w:p w14:paraId="1AD0624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67.71%</w:t>
            </w:r>
          </w:p>
        </w:tc>
      </w:tr>
      <w:tr w:rsidR="002D2278" w:rsidRPr="002D2278" w14:paraId="47A0A4E2" w14:textId="77777777" w:rsidTr="002D2278">
        <w:trPr>
          <w:trHeight w:val="20"/>
        </w:trPr>
        <w:tc>
          <w:tcPr>
            <w:tcW w:w="867" w:type="pct"/>
            <w:tcBorders>
              <w:top w:val="nil"/>
              <w:left w:val="nil"/>
              <w:bottom w:val="nil"/>
              <w:right w:val="nil"/>
            </w:tcBorders>
            <w:shd w:val="clear" w:color="000000" w:fill="FFFFFF"/>
            <w:noWrap/>
            <w:vAlign w:val="center"/>
            <w:hideMark/>
          </w:tcPr>
          <w:p w14:paraId="68CF8B26" w14:textId="4C188683"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December</w:t>
            </w:r>
            <w:r w:rsidRPr="002D2278">
              <w:rPr>
                <w:rFonts w:ascii="Aptos Narrow" w:hAnsi="Aptos Narrow"/>
                <w:sz w:val="14"/>
                <w:szCs w:val="14"/>
                <w:lang w:val="de-DE" w:eastAsia="de-DE"/>
              </w:rPr>
              <w:t xml:space="preserve"> 2016...............................</w:t>
            </w:r>
          </w:p>
        </w:tc>
        <w:tc>
          <w:tcPr>
            <w:tcW w:w="452" w:type="pct"/>
            <w:tcBorders>
              <w:top w:val="nil"/>
              <w:left w:val="nil"/>
              <w:bottom w:val="nil"/>
              <w:right w:val="nil"/>
            </w:tcBorders>
            <w:shd w:val="clear" w:color="000000" w:fill="FFFFFF"/>
            <w:noWrap/>
            <w:vAlign w:val="bottom"/>
            <w:hideMark/>
          </w:tcPr>
          <w:p w14:paraId="7D1A1834"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2016Q4</w:t>
            </w:r>
          </w:p>
        </w:tc>
        <w:tc>
          <w:tcPr>
            <w:tcW w:w="623" w:type="pct"/>
            <w:tcBorders>
              <w:top w:val="nil"/>
              <w:left w:val="nil"/>
              <w:bottom w:val="nil"/>
              <w:right w:val="nil"/>
            </w:tcBorders>
            <w:shd w:val="clear" w:color="000000" w:fill="FFFFFF"/>
            <w:noWrap/>
            <w:vAlign w:val="center"/>
            <w:hideMark/>
          </w:tcPr>
          <w:p w14:paraId="6D1F7634"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1,520 </w:t>
            </w:r>
          </w:p>
        </w:tc>
        <w:tc>
          <w:tcPr>
            <w:tcW w:w="204" w:type="pct"/>
            <w:tcBorders>
              <w:top w:val="nil"/>
              <w:left w:val="nil"/>
              <w:bottom w:val="nil"/>
              <w:right w:val="nil"/>
            </w:tcBorders>
            <w:shd w:val="clear" w:color="000000" w:fill="FFFFFF"/>
            <w:noWrap/>
            <w:vAlign w:val="bottom"/>
            <w:hideMark/>
          </w:tcPr>
          <w:p w14:paraId="6B0697B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66.00%</w:t>
            </w:r>
          </w:p>
        </w:tc>
        <w:tc>
          <w:tcPr>
            <w:tcW w:w="204" w:type="pct"/>
            <w:tcBorders>
              <w:top w:val="nil"/>
              <w:left w:val="nil"/>
              <w:bottom w:val="nil"/>
              <w:right w:val="nil"/>
            </w:tcBorders>
            <w:shd w:val="clear" w:color="000000" w:fill="FFFFFF"/>
            <w:noWrap/>
            <w:vAlign w:val="bottom"/>
            <w:hideMark/>
          </w:tcPr>
          <w:p w14:paraId="76F6ED7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67.24%</w:t>
            </w:r>
          </w:p>
        </w:tc>
        <w:tc>
          <w:tcPr>
            <w:tcW w:w="204" w:type="pct"/>
            <w:tcBorders>
              <w:top w:val="nil"/>
              <w:left w:val="nil"/>
              <w:bottom w:val="nil"/>
              <w:right w:val="nil"/>
            </w:tcBorders>
            <w:shd w:val="clear" w:color="000000" w:fill="FFFFFF"/>
            <w:noWrap/>
            <w:vAlign w:val="bottom"/>
            <w:hideMark/>
          </w:tcPr>
          <w:p w14:paraId="7A00F20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67.35%</w:t>
            </w:r>
          </w:p>
        </w:tc>
        <w:tc>
          <w:tcPr>
            <w:tcW w:w="204" w:type="pct"/>
            <w:tcBorders>
              <w:top w:val="nil"/>
              <w:left w:val="nil"/>
              <w:bottom w:val="nil"/>
              <w:right w:val="nil"/>
            </w:tcBorders>
            <w:shd w:val="clear" w:color="000000" w:fill="FFFFFF"/>
            <w:noWrap/>
            <w:vAlign w:val="bottom"/>
            <w:hideMark/>
          </w:tcPr>
          <w:p w14:paraId="1151E3D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67.40%</w:t>
            </w:r>
          </w:p>
        </w:tc>
        <w:tc>
          <w:tcPr>
            <w:tcW w:w="204" w:type="pct"/>
            <w:tcBorders>
              <w:top w:val="nil"/>
              <w:left w:val="nil"/>
              <w:bottom w:val="nil"/>
              <w:right w:val="nil"/>
            </w:tcBorders>
            <w:shd w:val="clear" w:color="000000" w:fill="FFFFFF"/>
            <w:noWrap/>
            <w:vAlign w:val="bottom"/>
            <w:hideMark/>
          </w:tcPr>
          <w:p w14:paraId="0D9F6FB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67.46%</w:t>
            </w:r>
          </w:p>
        </w:tc>
        <w:tc>
          <w:tcPr>
            <w:tcW w:w="204" w:type="pct"/>
            <w:tcBorders>
              <w:top w:val="nil"/>
              <w:left w:val="nil"/>
              <w:bottom w:val="nil"/>
              <w:right w:val="nil"/>
            </w:tcBorders>
            <w:shd w:val="clear" w:color="000000" w:fill="FFFFFF"/>
            <w:noWrap/>
            <w:vAlign w:val="bottom"/>
            <w:hideMark/>
          </w:tcPr>
          <w:p w14:paraId="388DEF4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c>
          <w:tcPr>
            <w:tcW w:w="204" w:type="pct"/>
            <w:tcBorders>
              <w:top w:val="nil"/>
              <w:left w:val="nil"/>
              <w:bottom w:val="nil"/>
              <w:right w:val="nil"/>
            </w:tcBorders>
            <w:shd w:val="clear" w:color="000000" w:fill="FFFFFF"/>
            <w:noWrap/>
            <w:vAlign w:val="bottom"/>
            <w:hideMark/>
          </w:tcPr>
          <w:p w14:paraId="3820BC2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67.66%</w:t>
            </w:r>
          </w:p>
        </w:tc>
        <w:tc>
          <w:tcPr>
            <w:tcW w:w="204" w:type="pct"/>
            <w:tcBorders>
              <w:top w:val="nil"/>
              <w:left w:val="nil"/>
              <w:bottom w:val="nil"/>
              <w:right w:val="nil"/>
            </w:tcBorders>
            <w:shd w:val="clear" w:color="000000" w:fill="FFFFFF"/>
            <w:noWrap/>
            <w:vAlign w:val="bottom"/>
            <w:hideMark/>
          </w:tcPr>
          <w:p w14:paraId="5ADDE8D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67.68%</w:t>
            </w:r>
          </w:p>
        </w:tc>
        <w:tc>
          <w:tcPr>
            <w:tcW w:w="204" w:type="pct"/>
            <w:tcBorders>
              <w:top w:val="nil"/>
              <w:left w:val="nil"/>
              <w:bottom w:val="nil"/>
              <w:right w:val="nil"/>
            </w:tcBorders>
            <w:shd w:val="clear" w:color="000000" w:fill="FFFFFF"/>
            <w:noWrap/>
            <w:vAlign w:val="bottom"/>
            <w:hideMark/>
          </w:tcPr>
          <w:p w14:paraId="0E3AA2C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67.68%</w:t>
            </w:r>
          </w:p>
        </w:tc>
        <w:tc>
          <w:tcPr>
            <w:tcW w:w="204" w:type="pct"/>
            <w:tcBorders>
              <w:top w:val="nil"/>
              <w:left w:val="nil"/>
              <w:bottom w:val="nil"/>
              <w:right w:val="nil"/>
            </w:tcBorders>
            <w:shd w:val="clear" w:color="000000" w:fill="FFFFFF"/>
            <w:noWrap/>
            <w:vAlign w:val="bottom"/>
            <w:hideMark/>
          </w:tcPr>
          <w:p w14:paraId="7A836CE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67.68%</w:t>
            </w:r>
          </w:p>
        </w:tc>
        <w:tc>
          <w:tcPr>
            <w:tcW w:w="204" w:type="pct"/>
            <w:tcBorders>
              <w:top w:val="nil"/>
              <w:left w:val="nil"/>
              <w:bottom w:val="nil"/>
              <w:right w:val="nil"/>
            </w:tcBorders>
            <w:shd w:val="clear" w:color="000000" w:fill="FFFFFF"/>
            <w:noWrap/>
            <w:vAlign w:val="bottom"/>
            <w:hideMark/>
          </w:tcPr>
          <w:p w14:paraId="1EF4E39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67.68%</w:t>
            </w:r>
          </w:p>
        </w:tc>
        <w:tc>
          <w:tcPr>
            <w:tcW w:w="204" w:type="pct"/>
            <w:tcBorders>
              <w:top w:val="nil"/>
              <w:left w:val="nil"/>
              <w:bottom w:val="nil"/>
              <w:right w:val="nil"/>
            </w:tcBorders>
            <w:shd w:val="clear" w:color="000000" w:fill="FFFFFF"/>
            <w:noWrap/>
            <w:vAlign w:val="bottom"/>
            <w:hideMark/>
          </w:tcPr>
          <w:p w14:paraId="33CC927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67.68%</w:t>
            </w:r>
          </w:p>
        </w:tc>
        <w:tc>
          <w:tcPr>
            <w:tcW w:w="204" w:type="pct"/>
            <w:tcBorders>
              <w:top w:val="nil"/>
              <w:left w:val="nil"/>
              <w:bottom w:val="nil"/>
              <w:right w:val="nil"/>
            </w:tcBorders>
            <w:shd w:val="clear" w:color="000000" w:fill="FFFFFF"/>
            <w:noWrap/>
            <w:vAlign w:val="bottom"/>
            <w:hideMark/>
          </w:tcPr>
          <w:p w14:paraId="4A1CB5C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67.68%</w:t>
            </w:r>
          </w:p>
        </w:tc>
        <w:tc>
          <w:tcPr>
            <w:tcW w:w="204" w:type="pct"/>
            <w:tcBorders>
              <w:top w:val="nil"/>
              <w:left w:val="nil"/>
              <w:bottom w:val="nil"/>
              <w:right w:val="nil"/>
            </w:tcBorders>
            <w:shd w:val="clear" w:color="000000" w:fill="FFFFFF"/>
            <w:noWrap/>
            <w:vAlign w:val="bottom"/>
            <w:hideMark/>
          </w:tcPr>
          <w:p w14:paraId="4A7764F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67.68%</w:t>
            </w:r>
          </w:p>
        </w:tc>
        <w:tc>
          <w:tcPr>
            <w:tcW w:w="204" w:type="pct"/>
            <w:tcBorders>
              <w:top w:val="nil"/>
              <w:left w:val="nil"/>
              <w:bottom w:val="nil"/>
              <w:right w:val="nil"/>
            </w:tcBorders>
            <w:shd w:val="clear" w:color="000000" w:fill="FFFFFF"/>
            <w:noWrap/>
            <w:vAlign w:val="bottom"/>
            <w:hideMark/>
          </w:tcPr>
          <w:p w14:paraId="616A573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67.68%</w:t>
            </w:r>
          </w:p>
        </w:tc>
      </w:tr>
      <w:tr w:rsidR="002D2278" w:rsidRPr="002D2278" w14:paraId="3C220EC3" w14:textId="77777777" w:rsidTr="002D2278">
        <w:trPr>
          <w:trHeight w:val="20"/>
        </w:trPr>
        <w:tc>
          <w:tcPr>
            <w:tcW w:w="867" w:type="pct"/>
            <w:tcBorders>
              <w:top w:val="nil"/>
              <w:left w:val="nil"/>
              <w:bottom w:val="nil"/>
              <w:right w:val="nil"/>
            </w:tcBorders>
            <w:shd w:val="clear" w:color="000000" w:fill="FFFFFF"/>
            <w:noWrap/>
            <w:vAlign w:val="center"/>
            <w:hideMark/>
          </w:tcPr>
          <w:p w14:paraId="78E24C03" w14:textId="78904AE8"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2017........................................</w:t>
            </w:r>
          </w:p>
        </w:tc>
        <w:tc>
          <w:tcPr>
            <w:tcW w:w="452" w:type="pct"/>
            <w:tcBorders>
              <w:top w:val="nil"/>
              <w:left w:val="nil"/>
              <w:bottom w:val="nil"/>
              <w:right w:val="nil"/>
            </w:tcBorders>
            <w:shd w:val="clear" w:color="000000" w:fill="FFFFFF"/>
            <w:noWrap/>
            <w:vAlign w:val="bottom"/>
            <w:hideMark/>
          </w:tcPr>
          <w:p w14:paraId="1C8B0E19"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2017Q1</w:t>
            </w:r>
          </w:p>
        </w:tc>
        <w:tc>
          <w:tcPr>
            <w:tcW w:w="623" w:type="pct"/>
            <w:tcBorders>
              <w:top w:val="nil"/>
              <w:left w:val="nil"/>
              <w:bottom w:val="nil"/>
              <w:right w:val="nil"/>
            </w:tcBorders>
            <w:shd w:val="clear" w:color="000000" w:fill="FFFFFF"/>
            <w:noWrap/>
            <w:vAlign w:val="center"/>
            <w:hideMark/>
          </w:tcPr>
          <w:p w14:paraId="1DA88411"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1,456 </w:t>
            </w:r>
          </w:p>
        </w:tc>
        <w:tc>
          <w:tcPr>
            <w:tcW w:w="204" w:type="pct"/>
            <w:tcBorders>
              <w:top w:val="nil"/>
              <w:left w:val="nil"/>
              <w:bottom w:val="nil"/>
              <w:right w:val="nil"/>
            </w:tcBorders>
            <w:shd w:val="clear" w:color="000000" w:fill="FFFFFF"/>
            <w:noWrap/>
            <w:vAlign w:val="bottom"/>
            <w:hideMark/>
          </w:tcPr>
          <w:p w14:paraId="64DF2F6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65.22%</w:t>
            </w:r>
          </w:p>
        </w:tc>
        <w:tc>
          <w:tcPr>
            <w:tcW w:w="204" w:type="pct"/>
            <w:tcBorders>
              <w:top w:val="nil"/>
              <w:left w:val="nil"/>
              <w:bottom w:val="nil"/>
              <w:right w:val="nil"/>
            </w:tcBorders>
            <w:shd w:val="clear" w:color="000000" w:fill="FFFFFF"/>
            <w:noWrap/>
            <w:vAlign w:val="bottom"/>
            <w:hideMark/>
          </w:tcPr>
          <w:p w14:paraId="612986B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65.33%</w:t>
            </w:r>
          </w:p>
        </w:tc>
        <w:tc>
          <w:tcPr>
            <w:tcW w:w="204" w:type="pct"/>
            <w:tcBorders>
              <w:top w:val="nil"/>
              <w:left w:val="nil"/>
              <w:bottom w:val="nil"/>
              <w:right w:val="nil"/>
            </w:tcBorders>
            <w:shd w:val="clear" w:color="000000" w:fill="FFFFFF"/>
            <w:noWrap/>
            <w:vAlign w:val="bottom"/>
            <w:hideMark/>
          </w:tcPr>
          <w:p w14:paraId="1121D23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65.54%</w:t>
            </w:r>
          </w:p>
        </w:tc>
        <w:tc>
          <w:tcPr>
            <w:tcW w:w="204" w:type="pct"/>
            <w:tcBorders>
              <w:top w:val="nil"/>
              <w:left w:val="nil"/>
              <w:bottom w:val="nil"/>
              <w:right w:val="nil"/>
            </w:tcBorders>
            <w:shd w:val="clear" w:color="000000" w:fill="FFFFFF"/>
            <w:noWrap/>
            <w:vAlign w:val="bottom"/>
            <w:hideMark/>
          </w:tcPr>
          <w:p w14:paraId="598ADA4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65.60%</w:t>
            </w:r>
          </w:p>
        </w:tc>
        <w:tc>
          <w:tcPr>
            <w:tcW w:w="204" w:type="pct"/>
            <w:tcBorders>
              <w:top w:val="nil"/>
              <w:left w:val="nil"/>
              <w:bottom w:val="nil"/>
              <w:right w:val="nil"/>
            </w:tcBorders>
            <w:shd w:val="clear" w:color="000000" w:fill="FFFFFF"/>
            <w:noWrap/>
            <w:vAlign w:val="bottom"/>
            <w:hideMark/>
          </w:tcPr>
          <w:p w14:paraId="3EE5B70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65.63%</w:t>
            </w:r>
          </w:p>
        </w:tc>
        <w:tc>
          <w:tcPr>
            <w:tcW w:w="204" w:type="pct"/>
            <w:tcBorders>
              <w:top w:val="nil"/>
              <w:left w:val="nil"/>
              <w:bottom w:val="nil"/>
              <w:right w:val="nil"/>
            </w:tcBorders>
            <w:shd w:val="clear" w:color="000000" w:fill="FFFFFF"/>
            <w:noWrap/>
            <w:vAlign w:val="bottom"/>
            <w:hideMark/>
          </w:tcPr>
          <w:p w14:paraId="0DAA84F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65.85%</w:t>
            </w:r>
          </w:p>
        </w:tc>
        <w:tc>
          <w:tcPr>
            <w:tcW w:w="204" w:type="pct"/>
            <w:tcBorders>
              <w:top w:val="nil"/>
              <w:left w:val="nil"/>
              <w:bottom w:val="nil"/>
              <w:right w:val="nil"/>
            </w:tcBorders>
            <w:shd w:val="clear" w:color="000000" w:fill="FFFFFF"/>
            <w:noWrap/>
            <w:vAlign w:val="bottom"/>
            <w:hideMark/>
          </w:tcPr>
          <w:p w14:paraId="61BAFAC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65.92%</w:t>
            </w:r>
          </w:p>
        </w:tc>
        <w:tc>
          <w:tcPr>
            <w:tcW w:w="204" w:type="pct"/>
            <w:tcBorders>
              <w:top w:val="nil"/>
              <w:left w:val="nil"/>
              <w:bottom w:val="nil"/>
              <w:right w:val="nil"/>
            </w:tcBorders>
            <w:shd w:val="clear" w:color="000000" w:fill="FFFFFF"/>
            <w:noWrap/>
            <w:vAlign w:val="bottom"/>
            <w:hideMark/>
          </w:tcPr>
          <w:p w14:paraId="5D32727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66.12%</w:t>
            </w:r>
          </w:p>
        </w:tc>
        <w:tc>
          <w:tcPr>
            <w:tcW w:w="204" w:type="pct"/>
            <w:tcBorders>
              <w:top w:val="nil"/>
              <w:left w:val="nil"/>
              <w:bottom w:val="nil"/>
              <w:right w:val="nil"/>
            </w:tcBorders>
            <w:shd w:val="clear" w:color="000000" w:fill="FFFFFF"/>
            <w:noWrap/>
            <w:vAlign w:val="bottom"/>
            <w:hideMark/>
          </w:tcPr>
          <w:p w14:paraId="735EFDF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66.12%</w:t>
            </w:r>
          </w:p>
        </w:tc>
        <w:tc>
          <w:tcPr>
            <w:tcW w:w="204" w:type="pct"/>
            <w:tcBorders>
              <w:top w:val="nil"/>
              <w:left w:val="nil"/>
              <w:bottom w:val="nil"/>
              <w:right w:val="nil"/>
            </w:tcBorders>
            <w:shd w:val="clear" w:color="000000" w:fill="FFFFFF"/>
            <w:noWrap/>
            <w:vAlign w:val="bottom"/>
            <w:hideMark/>
          </w:tcPr>
          <w:p w14:paraId="1E422E1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66.12%</w:t>
            </w:r>
          </w:p>
        </w:tc>
        <w:tc>
          <w:tcPr>
            <w:tcW w:w="204" w:type="pct"/>
            <w:tcBorders>
              <w:top w:val="nil"/>
              <w:left w:val="nil"/>
              <w:bottom w:val="nil"/>
              <w:right w:val="nil"/>
            </w:tcBorders>
            <w:shd w:val="clear" w:color="000000" w:fill="FFFFFF"/>
            <w:noWrap/>
            <w:vAlign w:val="bottom"/>
            <w:hideMark/>
          </w:tcPr>
          <w:p w14:paraId="6BF02E0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66.12%</w:t>
            </w:r>
          </w:p>
        </w:tc>
        <w:tc>
          <w:tcPr>
            <w:tcW w:w="204" w:type="pct"/>
            <w:tcBorders>
              <w:top w:val="nil"/>
              <w:left w:val="nil"/>
              <w:bottom w:val="nil"/>
              <w:right w:val="nil"/>
            </w:tcBorders>
            <w:shd w:val="clear" w:color="000000" w:fill="FFFFFF"/>
            <w:noWrap/>
            <w:vAlign w:val="bottom"/>
            <w:hideMark/>
          </w:tcPr>
          <w:p w14:paraId="7823C44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66.12%</w:t>
            </w:r>
          </w:p>
        </w:tc>
        <w:tc>
          <w:tcPr>
            <w:tcW w:w="204" w:type="pct"/>
            <w:tcBorders>
              <w:top w:val="nil"/>
              <w:left w:val="nil"/>
              <w:bottom w:val="nil"/>
              <w:right w:val="nil"/>
            </w:tcBorders>
            <w:shd w:val="clear" w:color="000000" w:fill="FFFFFF"/>
            <w:noWrap/>
            <w:vAlign w:val="bottom"/>
            <w:hideMark/>
          </w:tcPr>
          <w:p w14:paraId="0F2D8E9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66.16%</w:t>
            </w:r>
          </w:p>
        </w:tc>
        <w:tc>
          <w:tcPr>
            <w:tcW w:w="204" w:type="pct"/>
            <w:tcBorders>
              <w:top w:val="nil"/>
              <w:left w:val="nil"/>
              <w:bottom w:val="nil"/>
              <w:right w:val="nil"/>
            </w:tcBorders>
            <w:shd w:val="clear" w:color="000000" w:fill="FFFFFF"/>
            <w:noWrap/>
            <w:vAlign w:val="bottom"/>
            <w:hideMark/>
          </w:tcPr>
          <w:p w14:paraId="61C3221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66.16%</w:t>
            </w:r>
          </w:p>
        </w:tc>
        <w:tc>
          <w:tcPr>
            <w:tcW w:w="204" w:type="pct"/>
            <w:tcBorders>
              <w:top w:val="nil"/>
              <w:left w:val="nil"/>
              <w:bottom w:val="nil"/>
              <w:right w:val="nil"/>
            </w:tcBorders>
            <w:shd w:val="clear" w:color="000000" w:fill="FFFFFF"/>
            <w:noWrap/>
            <w:vAlign w:val="bottom"/>
            <w:hideMark/>
          </w:tcPr>
          <w:p w14:paraId="1600EA1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66.16%</w:t>
            </w:r>
          </w:p>
        </w:tc>
      </w:tr>
      <w:tr w:rsidR="002D2278" w:rsidRPr="002D2278" w14:paraId="5FBAFFC4" w14:textId="77777777" w:rsidTr="002D2278">
        <w:trPr>
          <w:trHeight w:val="20"/>
        </w:trPr>
        <w:tc>
          <w:tcPr>
            <w:tcW w:w="867" w:type="pct"/>
            <w:tcBorders>
              <w:top w:val="nil"/>
              <w:left w:val="nil"/>
              <w:bottom w:val="nil"/>
              <w:right w:val="nil"/>
            </w:tcBorders>
            <w:shd w:val="clear" w:color="000000" w:fill="FFFFFF"/>
            <w:noWrap/>
            <w:vAlign w:val="center"/>
            <w:hideMark/>
          </w:tcPr>
          <w:p w14:paraId="019D1979" w14:textId="6B5C619B"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30 </w:t>
            </w:r>
            <w:r>
              <w:rPr>
                <w:rFonts w:ascii="Aptos Narrow" w:hAnsi="Aptos Narrow"/>
                <w:sz w:val="14"/>
                <w:szCs w:val="14"/>
                <w:lang w:val="de-DE" w:eastAsia="de-DE"/>
              </w:rPr>
              <w:t>June</w:t>
            </w:r>
            <w:r w:rsidRPr="002D2278">
              <w:rPr>
                <w:rFonts w:ascii="Aptos Narrow" w:hAnsi="Aptos Narrow"/>
                <w:sz w:val="14"/>
                <w:szCs w:val="14"/>
                <w:lang w:val="de-DE" w:eastAsia="de-DE"/>
              </w:rPr>
              <w:t xml:space="preserve"> 2017..........................................</w:t>
            </w:r>
          </w:p>
        </w:tc>
        <w:tc>
          <w:tcPr>
            <w:tcW w:w="452" w:type="pct"/>
            <w:tcBorders>
              <w:top w:val="nil"/>
              <w:left w:val="nil"/>
              <w:bottom w:val="nil"/>
              <w:right w:val="nil"/>
            </w:tcBorders>
            <w:shd w:val="clear" w:color="000000" w:fill="FFFFFF"/>
            <w:noWrap/>
            <w:vAlign w:val="bottom"/>
            <w:hideMark/>
          </w:tcPr>
          <w:p w14:paraId="02E6E724"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2017Q2</w:t>
            </w:r>
          </w:p>
        </w:tc>
        <w:tc>
          <w:tcPr>
            <w:tcW w:w="623" w:type="pct"/>
            <w:tcBorders>
              <w:top w:val="nil"/>
              <w:left w:val="nil"/>
              <w:bottom w:val="nil"/>
              <w:right w:val="nil"/>
            </w:tcBorders>
            <w:shd w:val="clear" w:color="000000" w:fill="FFFFFF"/>
            <w:noWrap/>
            <w:vAlign w:val="center"/>
            <w:hideMark/>
          </w:tcPr>
          <w:p w14:paraId="6F3DFBAF"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1,510 </w:t>
            </w:r>
          </w:p>
        </w:tc>
        <w:tc>
          <w:tcPr>
            <w:tcW w:w="204" w:type="pct"/>
            <w:tcBorders>
              <w:top w:val="nil"/>
              <w:left w:val="nil"/>
              <w:bottom w:val="nil"/>
              <w:right w:val="nil"/>
            </w:tcBorders>
            <w:shd w:val="clear" w:color="000000" w:fill="FFFFFF"/>
            <w:noWrap/>
            <w:vAlign w:val="bottom"/>
            <w:hideMark/>
          </w:tcPr>
          <w:p w14:paraId="37ED695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65.45%</w:t>
            </w:r>
          </w:p>
        </w:tc>
        <w:tc>
          <w:tcPr>
            <w:tcW w:w="204" w:type="pct"/>
            <w:tcBorders>
              <w:top w:val="nil"/>
              <w:left w:val="nil"/>
              <w:bottom w:val="nil"/>
              <w:right w:val="nil"/>
            </w:tcBorders>
            <w:shd w:val="clear" w:color="000000" w:fill="FFFFFF"/>
            <w:noWrap/>
            <w:vAlign w:val="bottom"/>
            <w:hideMark/>
          </w:tcPr>
          <w:p w14:paraId="29EEE40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65.52%</w:t>
            </w:r>
          </w:p>
        </w:tc>
        <w:tc>
          <w:tcPr>
            <w:tcW w:w="204" w:type="pct"/>
            <w:tcBorders>
              <w:top w:val="nil"/>
              <w:left w:val="nil"/>
              <w:bottom w:val="nil"/>
              <w:right w:val="nil"/>
            </w:tcBorders>
            <w:shd w:val="clear" w:color="000000" w:fill="FFFFFF"/>
            <w:noWrap/>
            <w:vAlign w:val="bottom"/>
            <w:hideMark/>
          </w:tcPr>
          <w:p w14:paraId="4CAECDF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65.95%</w:t>
            </w:r>
          </w:p>
        </w:tc>
        <w:tc>
          <w:tcPr>
            <w:tcW w:w="204" w:type="pct"/>
            <w:tcBorders>
              <w:top w:val="nil"/>
              <w:left w:val="nil"/>
              <w:bottom w:val="nil"/>
              <w:right w:val="nil"/>
            </w:tcBorders>
            <w:shd w:val="clear" w:color="000000" w:fill="FFFFFF"/>
            <w:noWrap/>
            <w:vAlign w:val="bottom"/>
            <w:hideMark/>
          </w:tcPr>
          <w:p w14:paraId="691F518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66.14%</w:t>
            </w:r>
          </w:p>
        </w:tc>
        <w:tc>
          <w:tcPr>
            <w:tcW w:w="204" w:type="pct"/>
            <w:tcBorders>
              <w:top w:val="nil"/>
              <w:left w:val="nil"/>
              <w:bottom w:val="nil"/>
              <w:right w:val="nil"/>
            </w:tcBorders>
            <w:shd w:val="clear" w:color="000000" w:fill="FFFFFF"/>
            <w:noWrap/>
            <w:vAlign w:val="bottom"/>
            <w:hideMark/>
          </w:tcPr>
          <w:p w14:paraId="7187334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66.59%</w:t>
            </w:r>
          </w:p>
        </w:tc>
        <w:tc>
          <w:tcPr>
            <w:tcW w:w="204" w:type="pct"/>
            <w:tcBorders>
              <w:top w:val="nil"/>
              <w:left w:val="nil"/>
              <w:bottom w:val="nil"/>
              <w:right w:val="nil"/>
            </w:tcBorders>
            <w:shd w:val="clear" w:color="000000" w:fill="FFFFFF"/>
            <w:noWrap/>
            <w:vAlign w:val="bottom"/>
            <w:hideMark/>
          </w:tcPr>
          <w:p w14:paraId="6AC7346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66.80%</w:t>
            </w:r>
          </w:p>
        </w:tc>
        <w:tc>
          <w:tcPr>
            <w:tcW w:w="204" w:type="pct"/>
            <w:tcBorders>
              <w:top w:val="nil"/>
              <w:left w:val="nil"/>
              <w:bottom w:val="nil"/>
              <w:right w:val="nil"/>
            </w:tcBorders>
            <w:shd w:val="clear" w:color="000000" w:fill="FFFFFF"/>
            <w:noWrap/>
            <w:vAlign w:val="bottom"/>
            <w:hideMark/>
          </w:tcPr>
          <w:p w14:paraId="77337A1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66.86%</w:t>
            </w:r>
          </w:p>
        </w:tc>
        <w:tc>
          <w:tcPr>
            <w:tcW w:w="204" w:type="pct"/>
            <w:tcBorders>
              <w:top w:val="nil"/>
              <w:left w:val="nil"/>
              <w:bottom w:val="nil"/>
              <w:right w:val="nil"/>
            </w:tcBorders>
            <w:shd w:val="clear" w:color="000000" w:fill="FFFFFF"/>
            <w:noWrap/>
            <w:vAlign w:val="bottom"/>
            <w:hideMark/>
          </w:tcPr>
          <w:p w14:paraId="0CDF904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c>
          <w:tcPr>
            <w:tcW w:w="204" w:type="pct"/>
            <w:tcBorders>
              <w:top w:val="nil"/>
              <w:left w:val="nil"/>
              <w:bottom w:val="nil"/>
              <w:right w:val="nil"/>
            </w:tcBorders>
            <w:shd w:val="clear" w:color="000000" w:fill="FFFFFF"/>
            <w:noWrap/>
            <w:vAlign w:val="bottom"/>
            <w:hideMark/>
          </w:tcPr>
          <w:p w14:paraId="77AE0DF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c>
          <w:tcPr>
            <w:tcW w:w="204" w:type="pct"/>
            <w:tcBorders>
              <w:top w:val="nil"/>
              <w:left w:val="nil"/>
              <w:bottom w:val="nil"/>
              <w:right w:val="nil"/>
            </w:tcBorders>
            <w:shd w:val="clear" w:color="000000" w:fill="FFFFFF"/>
            <w:noWrap/>
            <w:vAlign w:val="bottom"/>
            <w:hideMark/>
          </w:tcPr>
          <w:p w14:paraId="6B5A9C5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c>
          <w:tcPr>
            <w:tcW w:w="204" w:type="pct"/>
            <w:tcBorders>
              <w:top w:val="nil"/>
              <w:left w:val="nil"/>
              <w:bottom w:val="nil"/>
              <w:right w:val="nil"/>
            </w:tcBorders>
            <w:shd w:val="clear" w:color="000000" w:fill="FFFFFF"/>
            <w:noWrap/>
            <w:vAlign w:val="bottom"/>
            <w:hideMark/>
          </w:tcPr>
          <w:p w14:paraId="0E2C86C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c>
          <w:tcPr>
            <w:tcW w:w="204" w:type="pct"/>
            <w:tcBorders>
              <w:top w:val="nil"/>
              <w:left w:val="nil"/>
              <w:bottom w:val="nil"/>
              <w:right w:val="nil"/>
            </w:tcBorders>
            <w:shd w:val="clear" w:color="000000" w:fill="FFFFFF"/>
            <w:noWrap/>
            <w:vAlign w:val="bottom"/>
            <w:hideMark/>
          </w:tcPr>
          <w:p w14:paraId="5D3A692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c>
          <w:tcPr>
            <w:tcW w:w="204" w:type="pct"/>
            <w:tcBorders>
              <w:top w:val="nil"/>
              <w:left w:val="nil"/>
              <w:bottom w:val="nil"/>
              <w:right w:val="nil"/>
            </w:tcBorders>
            <w:shd w:val="clear" w:color="000000" w:fill="FFFFFF"/>
            <w:noWrap/>
            <w:vAlign w:val="bottom"/>
            <w:hideMark/>
          </w:tcPr>
          <w:p w14:paraId="24E13BF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c>
          <w:tcPr>
            <w:tcW w:w="204" w:type="pct"/>
            <w:tcBorders>
              <w:top w:val="nil"/>
              <w:left w:val="nil"/>
              <w:bottom w:val="nil"/>
              <w:right w:val="nil"/>
            </w:tcBorders>
            <w:shd w:val="clear" w:color="000000" w:fill="FFFFFF"/>
            <w:noWrap/>
            <w:vAlign w:val="bottom"/>
            <w:hideMark/>
          </w:tcPr>
          <w:p w14:paraId="6FC52B3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c>
          <w:tcPr>
            <w:tcW w:w="204" w:type="pct"/>
            <w:tcBorders>
              <w:top w:val="nil"/>
              <w:left w:val="nil"/>
              <w:bottom w:val="nil"/>
              <w:right w:val="nil"/>
            </w:tcBorders>
            <w:shd w:val="clear" w:color="000000" w:fill="FFFFFF"/>
            <w:noWrap/>
            <w:vAlign w:val="bottom"/>
            <w:hideMark/>
          </w:tcPr>
          <w:p w14:paraId="7A17022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67.63%</w:t>
            </w:r>
          </w:p>
        </w:tc>
      </w:tr>
      <w:tr w:rsidR="002D2278" w:rsidRPr="002D2278" w14:paraId="2382020C" w14:textId="77777777" w:rsidTr="002D2278">
        <w:trPr>
          <w:trHeight w:val="20"/>
        </w:trPr>
        <w:tc>
          <w:tcPr>
            <w:tcW w:w="867" w:type="pct"/>
            <w:tcBorders>
              <w:top w:val="nil"/>
              <w:left w:val="nil"/>
              <w:bottom w:val="nil"/>
              <w:right w:val="nil"/>
            </w:tcBorders>
            <w:shd w:val="clear" w:color="000000" w:fill="FFFFFF"/>
            <w:noWrap/>
            <w:vAlign w:val="center"/>
            <w:hideMark/>
          </w:tcPr>
          <w:p w14:paraId="23F2DB72" w14:textId="77777777"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30 September 2017..............................</w:t>
            </w:r>
          </w:p>
        </w:tc>
        <w:tc>
          <w:tcPr>
            <w:tcW w:w="452" w:type="pct"/>
            <w:tcBorders>
              <w:top w:val="nil"/>
              <w:left w:val="nil"/>
              <w:bottom w:val="nil"/>
              <w:right w:val="nil"/>
            </w:tcBorders>
            <w:shd w:val="clear" w:color="000000" w:fill="FFFFFF"/>
            <w:noWrap/>
            <w:vAlign w:val="bottom"/>
            <w:hideMark/>
          </w:tcPr>
          <w:p w14:paraId="36D964B4"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2017Q3</w:t>
            </w:r>
          </w:p>
        </w:tc>
        <w:tc>
          <w:tcPr>
            <w:tcW w:w="623" w:type="pct"/>
            <w:tcBorders>
              <w:top w:val="nil"/>
              <w:left w:val="nil"/>
              <w:bottom w:val="nil"/>
              <w:right w:val="nil"/>
            </w:tcBorders>
            <w:shd w:val="clear" w:color="000000" w:fill="FFFFFF"/>
            <w:noWrap/>
            <w:vAlign w:val="center"/>
            <w:hideMark/>
          </w:tcPr>
          <w:p w14:paraId="4CF92163"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1,209 </w:t>
            </w:r>
          </w:p>
        </w:tc>
        <w:tc>
          <w:tcPr>
            <w:tcW w:w="204" w:type="pct"/>
            <w:tcBorders>
              <w:top w:val="nil"/>
              <w:left w:val="nil"/>
              <w:bottom w:val="nil"/>
              <w:right w:val="nil"/>
            </w:tcBorders>
            <w:shd w:val="clear" w:color="000000" w:fill="FFFFFF"/>
            <w:noWrap/>
            <w:vAlign w:val="bottom"/>
            <w:hideMark/>
          </w:tcPr>
          <w:p w14:paraId="0C829E3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67.16%</w:t>
            </w:r>
          </w:p>
        </w:tc>
        <w:tc>
          <w:tcPr>
            <w:tcW w:w="204" w:type="pct"/>
            <w:tcBorders>
              <w:top w:val="nil"/>
              <w:left w:val="nil"/>
              <w:bottom w:val="nil"/>
              <w:right w:val="nil"/>
            </w:tcBorders>
            <w:shd w:val="clear" w:color="000000" w:fill="FFFFFF"/>
            <w:noWrap/>
            <w:vAlign w:val="bottom"/>
            <w:hideMark/>
          </w:tcPr>
          <w:p w14:paraId="09FBA5B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67.32%</w:t>
            </w:r>
          </w:p>
        </w:tc>
        <w:tc>
          <w:tcPr>
            <w:tcW w:w="204" w:type="pct"/>
            <w:tcBorders>
              <w:top w:val="nil"/>
              <w:left w:val="nil"/>
              <w:bottom w:val="nil"/>
              <w:right w:val="nil"/>
            </w:tcBorders>
            <w:shd w:val="clear" w:color="000000" w:fill="FFFFFF"/>
            <w:noWrap/>
            <w:vAlign w:val="bottom"/>
            <w:hideMark/>
          </w:tcPr>
          <w:p w14:paraId="1611A7F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67.43%</w:t>
            </w:r>
          </w:p>
        </w:tc>
        <w:tc>
          <w:tcPr>
            <w:tcW w:w="204" w:type="pct"/>
            <w:tcBorders>
              <w:top w:val="nil"/>
              <w:left w:val="nil"/>
              <w:bottom w:val="nil"/>
              <w:right w:val="nil"/>
            </w:tcBorders>
            <w:shd w:val="clear" w:color="000000" w:fill="FFFFFF"/>
            <w:noWrap/>
            <w:vAlign w:val="bottom"/>
            <w:hideMark/>
          </w:tcPr>
          <w:p w14:paraId="3E64741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67.87%</w:t>
            </w:r>
          </w:p>
        </w:tc>
        <w:tc>
          <w:tcPr>
            <w:tcW w:w="204" w:type="pct"/>
            <w:tcBorders>
              <w:top w:val="nil"/>
              <w:left w:val="nil"/>
              <w:bottom w:val="nil"/>
              <w:right w:val="nil"/>
            </w:tcBorders>
            <w:shd w:val="clear" w:color="000000" w:fill="FFFFFF"/>
            <w:noWrap/>
            <w:vAlign w:val="bottom"/>
            <w:hideMark/>
          </w:tcPr>
          <w:p w14:paraId="2EC637E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68.03%</w:t>
            </w:r>
          </w:p>
        </w:tc>
        <w:tc>
          <w:tcPr>
            <w:tcW w:w="204" w:type="pct"/>
            <w:tcBorders>
              <w:top w:val="nil"/>
              <w:left w:val="nil"/>
              <w:bottom w:val="nil"/>
              <w:right w:val="nil"/>
            </w:tcBorders>
            <w:shd w:val="clear" w:color="000000" w:fill="FFFFFF"/>
            <w:noWrap/>
            <w:vAlign w:val="bottom"/>
            <w:hideMark/>
          </w:tcPr>
          <w:p w14:paraId="055C40F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68.09%</w:t>
            </w:r>
          </w:p>
        </w:tc>
        <w:tc>
          <w:tcPr>
            <w:tcW w:w="204" w:type="pct"/>
            <w:tcBorders>
              <w:top w:val="nil"/>
              <w:left w:val="nil"/>
              <w:bottom w:val="nil"/>
              <w:right w:val="nil"/>
            </w:tcBorders>
            <w:shd w:val="clear" w:color="000000" w:fill="FFFFFF"/>
            <w:noWrap/>
            <w:vAlign w:val="bottom"/>
            <w:hideMark/>
          </w:tcPr>
          <w:p w14:paraId="3F34EA3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68.33%</w:t>
            </w:r>
          </w:p>
        </w:tc>
        <w:tc>
          <w:tcPr>
            <w:tcW w:w="204" w:type="pct"/>
            <w:tcBorders>
              <w:top w:val="nil"/>
              <w:left w:val="nil"/>
              <w:bottom w:val="nil"/>
              <w:right w:val="nil"/>
            </w:tcBorders>
            <w:shd w:val="clear" w:color="000000" w:fill="FFFFFF"/>
            <w:noWrap/>
            <w:vAlign w:val="bottom"/>
            <w:hideMark/>
          </w:tcPr>
          <w:p w14:paraId="6C0B344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68.33%</w:t>
            </w:r>
          </w:p>
        </w:tc>
        <w:tc>
          <w:tcPr>
            <w:tcW w:w="204" w:type="pct"/>
            <w:tcBorders>
              <w:top w:val="nil"/>
              <w:left w:val="nil"/>
              <w:bottom w:val="nil"/>
              <w:right w:val="nil"/>
            </w:tcBorders>
            <w:shd w:val="clear" w:color="000000" w:fill="FFFFFF"/>
            <w:noWrap/>
            <w:vAlign w:val="bottom"/>
            <w:hideMark/>
          </w:tcPr>
          <w:p w14:paraId="04E2376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68.33%</w:t>
            </w:r>
          </w:p>
        </w:tc>
        <w:tc>
          <w:tcPr>
            <w:tcW w:w="204" w:type="pct"/>
            <w:tcBorders>
              <w:top w:val="nil"/>
              <w:left w:val="nil"/>
              <w:bottom w:val="nil"/>
              <w:right w:val="nil"/>
            </w:tcBorders>
            <w:shd w:val="clear" w:color="000000" w:fill="FFFFFF"/>
            <w:noWrap/>
            <w:vAlign w:val="bottom"/>
            <w:hideMark/>
          </w:tcPr>
          <w:p w14:paraId="7574448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68.54%</w:t>
            </w:r>
          </w:p>
        </w:tc>
        <w:tc>
          <w:tcPr>
            <w:tcW w:w="204" w:type="pct"/>
            <w:tcBorders>
              <w:top w:val="nil"/>
              <w:left w:val="nil"/>
              <w:bottom w:val="nil"/>
              <w:right w:val="nil"/>
            </w:tcBorders>
            <w:shd w:val="clear" w:color="000000" w:fill="FFFFFF"/>
            <w:noWrap/>
            <w:vAlign w:val="bottom"/>
            <w:hideMark/>
          </w:tcPr>
          <w:p w14:paraId="0876E92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68.57%</w:t>
            </w:r>
          </w:p>
        </w:tc>
        <w:tc>
          <w:tcPr>
            <w:tcW w:w="204" w:type="pct"/>
            <w:tcBorders>
              <w:top w:val="nil"/>
              <w:left w:val="nil"/>
              <w:bottom w:val="nil"/>
              <w:right w:val="nil"/>
            </w:tcBorders>
            <w:shd w:val="clear" w:color="000000" w:fill="FFFFFF"/>
            <w:noWrap/>
            <w:vAlign w:val="bottom"/>
            <w:hideMark/>
          </w:tcPr>
          <w:p w14:paraId="54DA866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68.58%</w:t>
            </w:r>
          </w:p>
        </w:tc>
        <w:tc>
          <w:tcPr>
            <w:tcW w:w="204" w:type="pct"/>
            <w:tcBorders>
              <w:top w:val="nil"/>
              <w:left w:val="nil"/>
              <w:bottom w:val="nil"/>
              <w:right w:val="nil"/>
            </w:tcBorders>
            <w:shd w:val="clear" w:color="000000" w:fill="FFFFFF"/>
            <w:noWrap/>
            <w:vAlign w:val="bottom"/>
            <w:hideMark/>
          </w:tcPr>
          <w:p w14:paraId="5E63217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68.58%</w:t>
            </w:r>
          </w:p>
        </w:tc>
        <w:tc>
          <w:tcPr>
            <w:tcW w:w="204" w:type="pct"/>
            <w:tcBorders>
              <w:top w:val="nil"/>
              <w:left w:val="nil"/>
              <w:bottom w:val="nil"/>
              <w:right w:val="nil"/>
            </w:tcBorders>
            <w:shd w:val="clear" w:color="000000" w:fill="FFFFFF"/>
            <w:noWrap/>
            <w:vAlign w:val="bottom"/>
            <w:hideMark/>
          </w:tcPr>
          <w:p w14:paraId="1C06C7D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68.59%</w:t>
            </w:r>
          </w:p>
        </w:tc>
        <w:tc>
          <w:tcPr>
            <w:tcW w:w="204" w:type="pct"/>
            <w:tcBorders>
              <w:top w:val="nil"/>
              <w:left w:val="nil"/>
              <w:bottom w:val="nil"/>
              <w:right w:val="nil"/>
            </w:tcBorders>
            <w:shd w:val="clear" w:color="000000" w:fill="FFFFFF"/>
            <w:noWrap/>
            <w:vAlign w:val="bottom"/>
            <w:hideMark/>
          </w:tcPr>
          <w:p w14:paraId="4B2D4A2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68.59%</w:t>
            </w:r>
          </w:p>
        </w:tc>
      </w:tr>
      <w:tr w:rsidR="002D2278" w:rsidRPr="002D2278" w14:paraId="5035B90C" w14:textId="77777777" w:rsidTr="002D2278">
        <w:trPr>
          <w:trHeight w:val="20"/>
        </w:trPr>
        <w:tc>
          <w:tcPr>
            <w:tcW w:w="867" w:type="pct"/>
            <w:tcBorders>
              <w:top w:val="nil"/>
              <w:left w:val="nil"/>
              <w:bottom w:val="nil"/>
              <w:right w:val="nil"/>
            </w:tcBorders>
            <w:shd w:val="clear" w:color="000000" w:fill="FFFFFF"/>
            <w:noWrap/>
            <w:vAlign w:val="center"/>
            <w:hideMark/>
          </w:tcPr>
          <w:p w14:paraId="4D955E53" w14:textId="1A27CBFC"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December</w:t>
            </w:r>
            <w:r w:rsidRPr="002D2278">
              <w:rPr>
                <w:rFonts w:ascii="Aptos Narrow" w:hAnsi="Aptos Narrow"/>
                <w:sz w:val="14"/>
                <w:szCs w:val="14"/>
                <w:lang w:val="de-DE" w:eastAsia="de-DE"/>
              </w:rPr>
              <w:t xml:space="preserve"> 2017...............................</w:t>
            </w:r>
          </w:p>
        </w:tc>
        <w:tc>
          <w:tcPr>
            <w:tcW w:w="452" w:type="pct"/>
            <w:tcBorders>
              <w:top w:val="nil"/>
              <w:left w:val="nil"/>
              <w:bottom w:val="nil"/>
              <w:right w:val="nil"/>
            </w:tcBorders>
            <w:shd w:val="clear" w:color="000000" w:fill="FFFFFF"/>
            <w:noWrap/>
            <w:vAlign w:val="bottom"/>
            <w:hideMark/>
          </w:tcPr>
          <w:p w14:paraId="7650796E"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2017Q4</w:t>
            </w:r>
          </w:p>
        </w:tc>
        <w:tc>
          <w:tcPr>
            <w:tcW w:w="623" w:type="pct"/>
            <w:tcBorders>
              <w:top w:val="nil"/>
              <w:left w:val="nil"/>
              <w:bottom w:val="nil"/>
              <w:right w:val="nil"/>
            </w:tcBorders>
            <w:shd w:val="clear" w:color="000000" w:fill="FFFFFF"/>
            <w:noWrap/>
            <w:vAlign w:val="center"/>
            <w:hideMark/>
          </w:tcPr>
          <w:p w14:paraId="084F64A7"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1,401 </w:t>
            </w:r>
          </w:p>
        </w:tc>
        <w:tc>
          <w:tcPr>
            <w:tcW w:w="204" w:type="pct"/>
            <w:tcBorders>
              <w:top w:val="nil"/>
              <w:left w:val="nil"/>
              <w:bottom w:val="nil"/>
              <w:right w:val="nil"/>
            </w:tcBorders>
            <w:shd w:val="clear" w:color="000000" w:fill="FFFFFF"/>
            <w:noWrap/>
            <w:vAlign w:val="bottom"/>
            <w:hideMark/>
          </w:tcPr>
          <w:p w14:paraId="68D51F8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66.99%</w:t>
            </w:r>
          </w:p>
        </w:tc>
        <w:tc>
          <w:tcPr>
            <w:tcW w:w="204" w:type="pct"/>
            <w:tcBorders>
              <w:top w:val="nil"/>
              <w:left w:val="nil"/>
              <w:bottom w:val="nil"/>
              <w:right w:val="nil"/>
            </w:tcBorders>
            <w:shd w:val="clear" w:color="000000" w:fill="FFFFFF"/>
            <w:noWrap/>
            <w:vAlign w:val="bottom"/>
            <w:hideMark/>
          </w:tcPr>
          <w:p w14:paraId="5327551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67.16%</w:t>
            </w:r>
          </w:p>
        </w:tc>
        <w:tc>
          <w:tcPr>
            <w:tcW w:w="204" w:type="pct"/>
            <w:tcBorders>
              <w:top w:val="nil"/>
              <w:left w:val="nil"/>
              <w:bottom w:val="nil"/>
              <w:right w:val="nil"/>
            </w:tcBorders>
            <w:shd w:val="clear" w:color="000000" w:fill="FFFFFF"/>
            <w:noWrap/>
            <w:vAlign w:val="bottom"/>
            <w:hideMark/>
          </w:tcPr>
          <w:p w14:paraId="26F8EF8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67.28%</w:t>
            </w:r>
          </w:p>
        </w:tc>
        <w:tc>
          <w:tcPr>
            <w:tcW w:w="204" w:type="pct"/>
            <w:tcBorders>
              <w:top w:val="nil"/>
              <w:left w:val="nil"/>
              <w:bottom w:val="nil"/>
              <w:right w:val="nil"/>
            </w:tcBorders>
            <w:shd w:val="clear" w:color="000000" w:fill="FFFFFF"/>
            <w:noWrap/>
            <w:vAlign w:val="bottom"/>
            <w:hideMark/>
          </w:tcPr>
          <w:p w14:paraId="370B195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67.34%</w:t>
            </w:r>
          </w:p>
        </w:tc>
        <w:tc>
          <w:tcPr>
            <w:tcW w:w="204" w:type="pct"/>
            <w:tcBorders>
              <w:top w:val="nil"/>
              <w:left w:val="nil"/>
              <w:bottom w:val="nil"/>
              <w:right w:val="nil"/>
            </w:tcBorders>
            <w:shd w:val="clear" w:color="000000" w:fill="FFFFFF"/>
            <w:noWrap/>
            <w:vAlign w:val="bottom"/>
            <w:hideMark/>
          </w:tcPr>
          <w:p w14:paraId="3FD8EB8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67.39%</w:t>
            </w:r>
          </w:p>
        </w:tc>
        <w:tc>
          <w:tcPr>
            <w:tcW w:w="204" w:type="pct"/>
            <w:tcBorders>
              <w:top w:val="nil"/>
              <w:left w:val="nil"/>
              <w:bottom w:val="nil"/>
              <w:right w:val="nil"/>
            </w:tcBorders>
            <w:shd w:val="clear" w:color="000000" w:fill="FFFFFF"/>
            <w:noWrap/>
            <w:vAlign w:val="bottom"/>
            <w:hideMark/>
          </w:tcPr>
          <w:p w14:paraId="7FCFDB8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67.39%</w:t>
            </w:r>
          </w:p>
        </w:tc>
        <w:tc>
          <w:tcPr>
            <w:tcW w:w="204" w:type="pct"/>
            <w:tcBorders>
              <w:top w:val="nil"/>
              <w:left w:val="nil"/>
              <w:bottom w:val="nil"/>
              <w:right w:val="nil"/>
            </w:tcBorders>
            <w:shd w:val="clear" w:color="000000" w:fill="FFFFFF"/>
            <w:noWrap/>
            <w:vAlign w:val="bottom"/>
            <w:hideMark/>
          </w:tcPr>
          <w:p w14:paraId="64269DB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67.39%</w:t>
            </w:r>
          </w:p>
        </w:tc>
        <w:tc>
          <w:tcPr>
            <w:tcW w:w="204" w:type="pct"/>
            <w:tcBorders>
              <w:top w:val="nil"/>
              <w:left w:val="nil"/>
              <w:bottom w:val="nil"/>
              <w:right w:val="nil"/>
            </w:tcBorders>
            <w:shd w:val="clear" w:color="000000" w:fill="FFFFFF"/>
            <w:noWrap/>
            <w:vAlign w:val="bottom"/>
            <w:hideMark/>
          </w:tcPr>
          <w:p w14:paraId="387C77A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67.39%</w:t>
            </w:r>
          </w:p>
        </w:tc>
        <w:tc>
          <w:tcPr>
            <w:tcW w:w="204" w:type="pct"/>
            <w:tcBorders>
              <w:top w:val="nil"/>
              <w:left w:val="nil"/>
              <w:bottom w:val="nil"/>
              <w:right w:val="nil"/>
            </w:tcBorders>
            <w:shd w:val="clear" w:color="000000" w:fill="FFFFFF"/>
            <w:noWrap/>
            <w:vAlign w:val="bottom"/>
            <w:hideMark/>
          </w:tcPr>
          <w:p w14:paraId="1A0802A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67.39%</w:t>
            </w:r>
          </w:p>
        </w:tc>
        <w:tc>
          <w:tcPr>
            <w:tcW w:w="204" w:type="pct"/>
            <w:tcBorders>
              <w:top w:val="nil"/>
              <w:left w:val="nil"/>
              <w:bottom w:val="nil"/>
              <w:right w:val="nil"/>
            </w:tcBorders>
            <w:shd w:val="clear" w:color="000000" w:fill="FFFFFF"/>
            <w:noWrap/>
            <w:vAlign w:val="bottom"/>
            <w:hideMark/>
          </w:tcPr>
          <w:p w14:paraId="405AECE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67.39%</w:t>
            </w:r>
          </w:p>
        </w:tc>
        <w:tc>
          <w:tcPr>
            <w:tcW w:w="204" w:type="pct"/>
            <w:tcBorders>
              <w:top w:val="nil"/>
              <w:left w:val="nil"/>
              <w:bottom w:val="nil"/>
              <w:right w:val="nil"/>
            </w:tcBorders>
            <w:shd w:val="clear" w:color="000000" w:fill="FFFFFF"/>
            <w:noWrap/>
            <w:vAlign w:val="bottom"/>
            <w:hideMark/>
          </w:tcPr>
          <w:p w14:paraId="7B4030A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67.47%</w:t>
            </w:r>
          </w:p>
        </w:tc>
        <w:tc>
          <w:tcPr>
            <w:tcW w:w="204" w:type="pct"/>
            <w:tcBorders>
              <w:top w:val="nil"/>
              <w:left w:val="nil"/>
              <w:bottom w:val="nil"/>
              <w:right w:val="nil"/>
            </w:tcBorders>
            <w:shd w:val="clear" w:color="000000" w:fill="FFFFFF"/>
            <w:noWrap/>
            <w:vAlign w:val="bottom"/>
            <w:hideMark/>
          </w:tcPr>
          <w:p w14:paraId="6896D6A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67.48%</w:t>
            </w:r>
          </w:p>
        </w:tc>
        <w:tc>
          <w:tcPr>
            <w:tcW w:w="204" w:type="pct"/>
            <w:tcBorders>
              <w:top w:val="nil"/>
              <w:left w:val="nil"/>
              <w:bottom w:val="nil"/>
              <w:right w:val="nil"/>
            </w:tcBorders>
            <w:shd w:val="clear" w:color="000000" w:fill="FFFFFF"/>
            <w:noWrap/>
            <w:vAlign w:val="bottom"/>
            <w:hideMark/>
          </w:tcPr>
          <w:p w14:paraId="7DB66F4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67.48%</w:t>
            </w:r>
          </w:p>
        </w:tc>
        <w:tc>
          <w:tcPr>
            <w:tcW w:w="204" w:type="pct"/>
            <w:tcBorders>
              <w:top w:val="nil"/>
              <w:left w:val="nil"/>
              <w:bottom w:val="nil"/>
              <w:right w:val="nil"/>
            </w:tcBorders>
            <w:shd w:val="clear" w:color="000000" w:fill="FFFFFF"/>
            <w:noWrap/>
            <w:vAlign w:val="bottom"/>
            <w:hideMark/>
          </w:tcPr>
          <w:p w14:paraId="5AD70A9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67.48%</w:t>
            </w:r>
          </w:p>
        </w:tc>
        <w:tc>
          <w:tcPr>
            <w:tcW w:w="204" w:type="pct"/>
            <w:tcBorders>
              <w:top w:val="nil"/>
              <w:left w:val="nil"/>
              <w:bottom w:val="nil"/>
              <w:right w:val="nil"/>
            </w:tcBorders>
            <w:shd w:val="clear" w:color="000000" w:fill="FFFFFF"/>
            <w:noWrap/>
            <w:vAlign w:val="bottom"/>
            <w:hideMark/>
          </w:tcPr>
          <w:p w14:paraId="06BE5E5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29ABDBE4" w14:textId="77777777" w:rsidTr="002D2278">
        <w:trPr>
          <w:trHeight w:val="20"/>
        </w:trPr>
        <w:tc>
          <w:tcPr>
            <w:tcW w:w="867" w:type="pct"/>
            <w:tcBorders>
              <w:top w:val="nil"/>
              <w:left w:val="nil"/>
              <w:bottom w:val="nil"/>
              <w:right w:val="nil"/>
            </w:tcBorders>
            <w:shd w:val="clear" w:color="000000" w:fill="FFFFFF"/>
            <w:noWrap/>
            <w:vAlign w:val="center"/>
            <w:hideMark/>
          </w:tcPr>
          <w:p w14:paraId="3808D6DA" w14:textId="7627CFB1"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2018........................................</w:t>
            </w:r>
          </w:p>
        </w:tc>
        <w:tc>
          <w:tcPr>
            <w:tcW w:w="452" w:type="pct"/>
            <w:tcBorders>
              <w:top w:val="nil"/>
              <w:left w:val="nil"/>
              <w:bottom w:val="nil"/>
              <w:right w:val="nil"/>
            </w:tcBorders>
            <w:shd w:val="clear" w:color="000000" w:fill="FFFFFF"/>
            <w:noWrap/>
            <w:vAlign w:val="bottom"/>
            <w:hideMark/>
          </w:tcPr>
          <w:p w14:paraId="46274CB3"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2018Q1</w:t>
            </w:r>
          </w:p>
        </w:tc>
        <w:tc>
          <w:tcPr>
            <w:tcW w:w="623" w:type="pct"/>
            <w:tcBorders>
              <w:top w:val="nil"/>
              <w:left w:val="nil"/>
              <w:bottom w:val="nil"/>
              <w:right w:val="nil"/>
            </w:tcBorders>
            <w:shd w:val="clear" w:color="000000" w:fill="FFFFFF"/>
            <w:noWrap/>
            <w:vAlign w:val="center"/>
            <w:hideMark/>
          </w:tcPr>
          <w:p w14:paraId="6CB65142"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1,227 </w:t>
            </w:r>
          </w:p>
        </w:tc>
        <w:tc>
          <w:tcPr>
            <w:tcW w:w="204" w:type="pct"/>
            <w:tcBorders>
              <w:top w:val="nil"/>
              <w:left w:val="nil"/>
              <w:bottom w:val="nil"/>
              <w:right w:val="nil"/>
            </w:tcBorders>
            <w:shd w:val="clear" w:color="000000" w:fill="FFFFFF"/>
            <w:noWrap/>
            <w:vAlign w:val="bottom"/>
            <w:hideMark/>
          </w:tcPr>
          <w:p w14:paraId="29582FD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71.80%</w:t>
            </w:r>
          </w:p>
        </w:tc>
        <w:tc>
          <w:tcPr>
            <w:tcW w:w="204" w:type="pct"/>
            <w:tcBorders>
              <w:top w:val="nil"/>
              <w:left w:val="nil"/>
              <w:bottom w:val="nil"/>
              <w:right w:val="nil"/>
            </w:tcBorders>
            <w:shd w:val="clear" w:color="000000" w:fill="FFFFFF"/>
            <w:noWrap/>
            <w:vAlign w:val="bottom"/>
            <w:hideMark/>
          </w:tcPr>
          <w:p w14:paraId="372FFD1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71.90%</w:t>
            </w:r>
          </w:p>
        </w:tc>
        <w:tc>
          <w:tcPr>
            <w:tcW w:w="204" w:type="pct"/>
            <w:tcBorders>
              <w:top w:val="nil"/>
              <w:left w:val="nil"/>
              <w:bottom w:val="nil"/>
              <w:right w:val="nil"/>
            </w:tcBorders>
            <w:shd w:val="clear" w:color="000000" w:fill="FFFFFF"/>
            <w:noWrap/>
            <w:vAlign w:val="bottom"/>
            <w:hideMark/>
          </w:tcPr>
          <w:p w14:paraId="470CEE6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71.97%</w:t>
            </w:r>
          </w:p>
        </w:tc>
        <w:tc>
          <w:tcPr>
            <w:tcW w:w="204" w:type="pct"/>
            <w:tcBorders>
              <w:top w:val="nil"/>
              <w:left w:val="nil"/>
              <w:bottom w:val="nil"/>
              <w:right w:val="nil"/>
            </w:tcBorders>
            <w:shd w:val="clear" w:color="000000" w:fill="FFFFFF"/>
            <w:noWrap/>
            <w:vAlign w:val="bottom"/>
            <w:hideMark/>
          </w:tcPr>
          <w:p w14:paraId="56222B0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71.99%</w:t>
            </w:r>
          </w:p>
        </w:tc>
        <w:tc>
          <w:tcPr>
            <w:tcW w:w="204" w:type="pct"/>
            <w:tcBorders>
              <w:top w:val="nil"/>
              <w:left w:val="nil"/>
              <w:bottom w:val="nil"/>
              <w:right w:val="nil"/>
            </w:tcBorders>
            <w:shd w:val="clear" w:color="000000" w:fill="FFFFFF"/>
            <w:noWrap/>
            <w:vAlign w:val="bottom"/>
            <w:hideMark/>
          </w:tcPr>
          <w:p w14:paraId="77DA587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72.01%</w:t>
            </w:r>
          </w:p>
        </w:tc>
        <w:tc>
          <w:tcPr>
            <w:tcW w:w="204" w:type="pct"/>
            <w:tcBorders>
              <w:top w:val="nil"/>
              <w:left w:val="nil"/>
              <w:bottom w:val="nil"/>
              <w:right w:val="nil"/>
            </w:tcBorders>
            <w:shd w:val="clear" w:color="000000" w:fill="FFFFFF"/>
            <w:noWrap/>
            <w:vAlign w:val="bottom"/>
            <w:hideMark/>
          </w:tcPr>
          <w:p w14:paraId="0E8045F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72.01%</w:t>
            </w:r>
          </w:p>
        </w:tc>
        <w:tc>
          <w:tcPr>
            <w:tcW w:w="204" w:type="pct"/>
            <w:tcBorders>
              <w:top w:val="nil"/>
              <w:left w:val="nil"/>
              <w:bottom w:val="nil"/>
              <w:right w:val="nil"/>
            </w:tcBorders>
            <w:shd w:val="clear" w:color="000000" w:fill="FFFFFF"/>
            <w:noWrap/>
            <w:vAlign w:val="bottom"/>
            <w:hideMark/>
          </w:tcPr>
          <w:p w14:paraId="6A08D6E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72.01%</w:t>
            </w:r>
          </w:p>
        </w:tc>
        <w:tc>
          <w:tcPr>
            <w:tcW w:w="204" w:type="pct"/>
            <w:tcBorders>
              <w:top w:val="nil"/>
              <w:left w:val="nil"/>
              <w:bottom w:val="nil"/>
              <w:right w:val="nil"/>
            </w:tcBorders>
            <w:shd w:val="clear" w:color="000000" w:fill="FFFFFF"/>
            <w:noWrap/>
            <w:vAlign w:val="bottom"/>
            <w:hideMark/>
          </w:tcPr>
          <w:p w14:paraId="7028D19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72.01%</w:t>
            </w:r>
          </w:p>
        </w:tc>
        <w:tc>
          <w:tcPr>
            <w:tcW w:w="204" w:type="pct"/>
            <w:tcBorders>
              <w:top w:val="nil"/>
              <w:left w:val="nil"/>
              <w:bottom w:val="nil"/>
              <w:right w:val="nil"/>
            </w:tcBorders>
            <w:shd w:val="clear" w:color="000000" w:fill="FFFFFF"/>
            <w:noWrap/>
            <w:vAlign w:val="bottom"/>
            <w:hideMark/>
          </w:tcPr>
          <w:p w14:paraId="68FCF20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72.02%</w:t>
            </w:r>
          </w:p>
        </w:tc>
        <w:tc>
          <w:tcPr>
            <w:tcW w:w="204" w:type="pct"/>
            <w:tcBorders>
              <w:top w:val="nil"/>
              <w:left w:val="nil"/>
              <w:bottom w:val="nil"/>
              <w:right w:val="nil"/>
            </w:tcBorders>
            <w:shd w:val="clear" w:color="000000" w:fill="FFFFFF"/>
            <w:noWrap/>
            <w:vAlign w:val="bottom"/>
            <w:hideMark/>
          </w:tcPr>
          <w:p w14:paraId="4ADEF47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72.04%</w:t>
            </w:r>
          </w:p>
        </w:tc>
        <w:tc>
          <w:tcPr>
            <w:tcW w:w="204" w:type="pct"/>
            <w:tcBorders>
              <w:top w:val="nil"/>
              <w:left w:val="nil"/>
              <w:bottom w:val="nil"/>
              <w:right w:val="nil"/>
            </w:tcBorders>
            <w:shd w:val="clear" w:color="000000" w:fill="FFFFFF"/>
            <w:noWrap/>
            <w:vAlign w:val="bottom"/>
            <w:hideMark/>
          </w:tcPr>
          <w:p w14:paraId="6654D92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72.04%</w:t>
            </w:r>
          </w:p>
        </w:tc>
        <w:tc>
          <w:tcPr>
            <w:tcW w:w="204" w:type="pct"/>
            <w:tcBorders>
              <w:top w:val="nil"/>
              <w:left w:val="nil"/>
              <w:bottom w:val="nil"/>
              <w:right w:val="nil"/>
            </w:tcBorders>
            <w:shd w:val="clear" w:color="000000" w:fill="FFFFFF"/>
            <w:noWrap/>
            <w:vAlign w:val="bottom"/>
            <w:hideMark/>
          </w:tcPr>
          <w:p w14:paraId="601BDD9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72.04%</w:t>
            </w:r>
          </w:p>
        </w:tc>
        <w:tc>
          <w:tcPr>
            <w:tcW w:w="204" w:type="pct"/>
            <w:tcBorders>
              <w:top w:val="nil"/>
              <w:left w:val="nil"/>
              <w:bottom w:val="nil"/>
              <w:right w:val="nil"/>
            </w:tcBorders>
            <w:shd w:val="clear" w:color="000000" w:fill="FFFFFF"/>
            <w:noWrap/>
            <w:vAlign w:val="bottom"/>
            <w:hideMark/>
          </w:tcPr>
          <w:p w14:paraId="281213E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72.04%</w:t>
            </w:r>
          </w:p>
        </w:tc>
        <w:tc>
          <w:tcPr>
            <w:tcW w:w="204" w:type="pct"/>
            <w:tcBorders>
              <w:top w:val="nil"/>
              <w:left w:val="nil"/>
              <w:bottom w:val="nil"/>
              <w:right w:val="nil"/>
            </w:tcBorders>
            <w:shd w:val="clear" w:color="000000" w:fill="FFFFFF"/>
            <w:noWrap/>
            <w:vAlign w:val="bottom"/>
            <w:hideMark/>
          </w:tcPr>
          <w:p w14:paraId="5892310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B70990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383C1581" w14:textId="77777777" w:rsidTr="002D2278">
        <w:trPr>
          <w:trHeight w:val="20"/>
        </w:trPr>
        <w:tc>
          <w:tcPr>
            <w:tcW w:w="867" w:type="pct"/>
            <w:tcBorders>
              <w:top w:val="nil"/>
              <w:left w:val="nil"/>
              <w:bottom w:val="nil"/>
              <w:right w:val="nil"/>
            </w:tcBorders>
            <w:shd w:val="clear" w:color="000000" w:fill="FFFFFF"/>
            <w:noWrap/>
            <w:vAlign w:val="center"/>
            <w:hideMark/>
          </w:tcPr>
          <w:p w14:paraId="411F89C7" w14:textId="367DA92A"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30 </w:t>
            </w:r>
            <w:r>
              <w:rPr>
                <w:rFonts w:ascii="Aptos Narrow" w:hAnsi="Aptos Narrow"/>
                <w:sz w:val="14"/>
                <w:szCs w:val="14"/>
                <w:lang w:val="de-DE" w:eastAsia="de-DE"/>
              </w:rPr>
              <w:t>June</w:t>
            </w:r>
            <w:r w:rsidRPr="002D2278">
              <w:rPr>
                <w:rFonts w:ascii="Aptos Narrow" w:hAnsi="Aptos Narrow"/>
                <w:sz w:val="14"/>
                <w:szCs w:val="14"/>
                <w:lang w:val="de-DE" w:eastAsia="de-DE"/>
              </w:rPr>
              <w:t xml:space="preserve"> 2018..........................................</w:t>
            </w:r>
          </w:p>
        </w:tc>
        <w:tc>
          <w:tcPr>
            <w:tcW w:w="452" w:type="pct"/>
            <w:tcBorders>
              <w:top w:val="nil"/>
              <w:left w:val="nil"/>
              <w:bottom w:val="nil"/>
              <w:right w:val="nil"/>
            </w:tcBorders>
            <w:shd w:val="clear" w:color="000000" w:fill="FFFFFF"/>
            <w:noWrap/>
            <w:vAlign w:val="bottom"/>
            <w:hideMark/>
          </w:tcPr>
          <w:p w14:paraId="71F569DC"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2018Q2</w:t>
            </w:r>
          </w:p>
        </w:tc>
        <w:tc>
          <w:tcPr>
            <w:tcW w:w="623" w:type="pct"/>
            <w:tcBorders>
              <w:top w:val="nil"/>
              <w:left w:val="nil"/>
              <w:bottom w:val="nil"/>
              <w:right w:val="nil"/>
            </w:tcBorders>
            <w:shd w:val="clear" w:color="000000" w:fill="FFFFFF"/>
            <w:noWrap/>
            <w:vAlign w:val="center"/>
            <w:hideMark/>
          </w:tcPr>
          <w:p w14:paraId="6EEB2391"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1,389 </w:t>
            </w:r>
          </w:p>
        </w:tc>
        <w:tc>
          <w:tcPr>
            <w:tcW w:w="204" w:type="pct"/>
            <w:tcBorders>
              <w:top w:val="nil"/>
              <w:left w:val="nil"/>
              <w:bottom w:val="nil"/>
              <w:right w:val="nil"/>
            </w:tcBorders>
            <w:shd w:val="clear" w:color="000000" w:fill="FFFFFF"/>
            <w:noWrap/>
            <w:vAlign w:val="bottom"/>
            <w:hideMark/>
          </w:tcPr>
          <w:p w14:paraId="4DC05B4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69.42%</w:t>
            </w:r>
          </w:p>
        </w:tc>
        <w:tc>
          <w:tcPr>
            <w:tcW w:w="204" w:type="pct"/>
            <w:tcBorders>
              <w:top w:val="nil"/>
              <w:left w:val="nil"/>
              <w:bottom w:val="nil"/>
              <w:right w:val="nil"/>
            </w:tcBorders>
            <w:shd w:val="clear" w:color="000000" w:fill="FFFFFF"/>
            <w:noWrap/>
            <w:vAlign w:val="bottom"/>
            <w:hideMark/>
          </w:tcPr>
          <w:p w14:paraId="67797D8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70.57%</w:t>
            </w:r>
          </w:p>
        </w:tc>
        <w:tc>
          <w:tcPr>
            <w:tcW w:w="204" w:type="pct"/>
            <w:tcBorders>
              <w:top w:val="nil"/>
              <w:left w:val="nil"/>
              <w:bottom w:val="nil"/>
              <w:right w:val="nil"/>
            </w:tcBorders>
            <w:shd w:val="clear" w:color="000000" w:fill="FFFFFF"/>
            <w:noWrap/>
            <w:vAlign w:val="bottom"/>
            <w:hideMark/>
          </w:tcPr>
          <w:p w14:paraId="3AD2086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70.64%</w:t>
            </w:r>
          </w:p>
        </w:tc>
        <w:tc>
          <w:tcPr>
            <w:tcW w:w="204" w:type="pct"/>
            <w:tcBorders>
              <w:top w:val="nil"/>
              <w:left w:val="nil"/>
              <w:bottom w:val="nil"/>
              <w:right w:val="nil"/>
            </w:tcBorders>
            <w:shd w:val="clear" w:color="000000" w:fill="FFFFFF"/>
            <w:noWrap/>
            <w:vAlign w:val="bottom"/>
            <w:hideMark/>
          </w:tcPr>
          <w:p w14:paraId="269A09A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70.72%</w:t>
            </w:r>
          </w:p>
        </w:tc>
        <w:tc>
          <w:tcPr>
            <w:tcW w:w="204" w:type="pct"/>
            <w:tcBorders>
              <w:top w:val="nil"/>
              <w:left w:val="nil"/>
              <w:bottom w:val="nil"/>
              <w:right w:val="nil"/>
            </w:tcBorders>
            <w:shd w:val="clear" w:color="000000" w:fill="FFFFFF"/>
            <w:noWrap/>
            <w:vAlign w:val="bottom"/>
            <w:hideMark/>
          </w:tcPr>
          <w:p w14:paraId="7E710D2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70.72%</w:t>
            </w:r>
          </w:p>
        </w:tc>
        <w:tc>
          <w:tcPr>
            <w:tcW w:w="204" w:type="pct"/>
            <w:tcBorders>
              <w:top w:val="nil"/>
              <w:left w:val="nil"/>
              <w:bottom w:val="nil"/>
              <w:right w:val="nil"/>
            </w:tcBorders>
            <w:shd w:val="clear" w:color="000000" w:fill="FFFFFF"/>
            <w:noWrap/>
            <w:vAlign w:val="bottom"/>
            <w:hideMark/>
          </w:tcPr>
          <w:p w14:paraId="521287E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70.72%</w:t>
            </w:r>
          </w:p>
        </w:tc>
        <w:tc>
          <w:tcPr>
            <w:tcW w:w="204" w:type="pct"/>
            <w:tcBorders>
              <w:top w:val="nil"/>
              <w:left w:val="nil"/>
              <w:bottom w:val="nil"/>
              <w:right w:val="nil"/>
            </w:tcBorders>
            <w:shd w:val="clear" w:color="000000" w:fill="FFFFFF"/>
            <w:noWrap/>
            <w:vAlign w:val="bottom"/>
            <w:hideMark/>
          </w:tcPr>
          <w:p w14:paraId="2BF58B8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70.80%</w:t>
            </w:r>
          </w:p>
        </w:tc>
        <w:tc>
          <w:tcPr>
            <w:tcW w:w="204" w:type="pct"/>
            <w:tcBorders>
              <w:top w:val="nil"/>
              <w:left w:val="nil"/>
              <w:bottom w:val="nil"/>
              <w:right w:val="nil"/>
            </w:tcBorders>
            <w:shd w:val="clear" w:color="000000" w:fill="FFFFFF"/>
            <w:noWrap/>
            <w:vAlign w:val="bottom"/>
            <w:hideMark/>
          </w:tcPr>
          <w:p w14:paraId="05F7951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70.80%</w:t>
            </w:r>
          </w:p>
        </w:tc>
        <w:tc>
          <w:tcPr>
            <w:tcW w:w="204" w:type="pct"/>
            <w:tcBorders>
              <w:top w:val="nil"/>
              <w:left w:val="nil"/>
              <w:bottom w:val="nil"/>
              <w:right w:val="nil"/>
            </w:tcBorders>
            <w:shd w:val="clear" w:color="000000" w:fill="FFFFFF"/>
            <w:noWrap/>
            <w:vAlign w:val="bottom"/>
            <w:hideMark/>
          </w:tcPr>
          <w:p w14:paraId="06203AC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70.80%</w:t>
            </w:r>
          </w:p>
        </w:tc>
        <w:tc>
          <w:tcPr>
            <w:tcW w:w="204" w:type="pct"/>
            <w:tcBorders>
              <w:top w:val="nil"/>
              <w:left w:val="nil"/>
              <w:bottom w:val="nil"/>
              <w:right w:val="nil"/>
            </w:tcBorders>
            <w:shd w:val="clear" w:color="000000" w:fill="FFFFFF"/>
            <w:noWrap/>
            <w:vAlign w:val="bottom"/>
            <w:hideMark/>
          </w:tcPr>
          <w:p w14:paraId="1D7C85F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71.00%</w:t>
            </w:r>
          </w:p>
        </w:tc>
        <w:tc>
          <w:tcPr>
            <w:tcW w:w="204" w:type="pct"/>
            <w:tcBorders>
              <w:top w:val="nil"/>
              <w:left w:val="nil"/>
              <w:bottom w:val="nil"/>
              <w:right w:val="nil"/>
            </w:tcBorders>
            <w:shd w:val="clear" w:color="000000" w:fill="FFFFFF"/>
            <w:noWrap/>
            <w:vAlign w:val="bottom"/>
            <w:hideMark/>
          </w:tcPr>
          <w:p w14:paraId="4D2C371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71.00%</w:t>
            </w:r>
          </w:p>
        </w:tc>
        <w:tc>
          <w:tcPr>
            <w:tcW w:w="204" w:type="pct"/>
            <w:tcBorders>
              <w:top w:val="nil"/>
              <w:left w:val="nil"/>
              <w:bottom w:val="nil"/>
              <w:right w:val="nil"/>
            </w:tcBorders>
            <w:shd w:val="clear" w:color="000000" w:fill="FFFFFF"/>
            <w:noWrap/>
            <w:vAlign w:val="bottom"/>
            <w:hideMark/>
          </w:tcPr>
          <w:p w14:paraId="344B19F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71.15%</w:t>
            </w:r>
          </w:p>
        </w:tc>
        <w:tc>
          <w:tcPr>
            <w:tcW w:w="204" w:type="pct"/>
            <w:tcBorders>
              <w:top w:val="nil"/>
              <w:left w:val="nil"/>
              <w:bottom w:val="nil"/>
              <w:right w:val="nil"/>
            </w:tcBorders>
            <w:shd w:val="clear" w:color="000000" w:fill="FFFFFF"/>
            <w:noWrap/>
            <w:vAlign w:val="bottom"/>
            <w:hideMark/>
          </w:tcPr>
          <w:p w14:paraId="40300F0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EBDEB9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702F9F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24FD4605" w14:textId="77777777" w:rsidTr="002D2278">
        <w:trPr>
          <w:trHeight w:val="20"/>
        </w:trPr>
        <w:tc>
          <w:tcPr>
            <w:tcW w:w="867" w:type="pct"/>
            <w:tcBorders>
              <w:top w:val="nil"/>
              <w:left w:val="nil"/>
              <w:bottom w:val="nil"/>
              <w:right w:val="nil"/>
            </w:tcBorders>
            <w:shd w:val="clear" w:color="000000" w:fill="FFFFFF"/>
            <w:noWrap/>
            <w:vAlign w:val="center"/>
            <w:hideMark/>
          </w:tcPr>
          <w:p w14:paraId="7411C61C" w14:textId="77777777"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30 September 2018..............................</w:t>
            </w:r>
          </w:p>
        </w:tc>
        <w:tc>
          <w:tcPr>
            <w:tcW w:w="452" w:type="pct"/>
            <w:tcBorders>
              <w:top w:val="nil"/>
              <w:left w:val="nil"/>
              <w:bottom w:val="nil"/>
              <w:right w:val="nil"/>
            </w:tcBorders>
            <w:shd w:val="clear" w:color="000000" w:fill="FFFFFF"/>
            <w:noWrap/>
            <w:vAlign w:val="bottom"/>
            <w:hideMark/>
          </w:tcPr>
          <w:p w14:paraId="68EA0E9D"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2018Q3</w:t>
            </w:r>
          </w:p>
        </w:tc>
        <w:tc>
          <w:tcPr>
            <w:tcW w:w="623" w:type="pct"/>
            <w:tcBorders>
              <w:top w:val="nil"/>
              <w:left w:val="nil"/>
              <w:bottom w:val="nil"/>
              <w:right w:val="nil"/>
            </w:tcBorders>
            <w:shd w:val="clear" w:color="000000" w:fill="FFFFFF"/>
            <w:noWrap/>
            <w:vAlign w:val="center"/>
            <w:hideMark/>
          </w:tcPr>
          <w:p w14:paraId="763F9358"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1,651 </w:t>
            </w:r>
          </w:p>
        </w:tc>
        <w:tc>
          <w:tcPr>
            <w:tcW w:w="204" w:type="pct"/>
            <w:tcBorders>
              <w:top w:val="nil"/>
              <w:left w:val="nil"/>
              <w:bottom w:val="nil"/>
              <w:right w:val="nil"/>
            </w:tcBorders>
            <w:shd w:val="clear" w:color="000000" w:fill="FFFFFF"/>
            <w:noWrap/>
            <w:vAlign w:val="bottom"/>
            <w:hideMark/>
          </w:tcPr>
          <w:p w14:paraId="00048FE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67.12%</w:t>
            </w:r>
          </w:p>
        </w:tc>
        <w:tc>
          <w:tcPr>
            <w:tcW w:w="204" w:type="pct"/>
            <w:tcBorders>
              <w:top w:val="nil"/>
              <w:left w:val="nil"/>
              <w:bottom w:val="nil"/>
              <w:right w:val="nil"/>
            </w:tcBorders>
            <w:shd w:val="clear" w:color="000000" w:fill="FFFFFF"/>
            <w:noWrap/>
            <w:vAlign w:val="bottom"/>
            <w:hideMark/>
          </w:tcPr>
          <w:p w14:paraId="4A11715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67.17%</w:t>
            </w:r>
          </w:p>
        </w:tc>
        <w:tc>
          <w:tcPr>
            <w:tcW w:w="204" w:type="pct"/>
            <w:tcBorders>
              <w:top w:val="nil"/>
              <w:left w:val="nil"/>
              <w:bottom w:val="nil"/>
              <w:right w:val="nil"/>
            </w:tcBorders>
            <w:shd w:val="clear" w:color="000000" w:fill="FFFFFF"/>
            <w:noWrap/>
            <w:vAlign w:val="bottom"/>
            <w:hideMark/>
          </w:tcPr>
          <w:p w14:paraId="1A365AC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67.17%</w:t>
            </w:r>
          </w:p>
        </w:tc>
        <w:tc>
          <w:tcPr>
            <w:tcW w:w="204" w:type="pct"/>
            <w:tcBorders>
              <w:top w:val="nil"/>
              <w:left w:val="nil"/>
              <w:bottom w:val="nil"/>
              <w:right w:val="nil"/>
            </w:tcBorders>
            <w:shd w:val="clear" w:color="000000" w:fill="FFFFFF"/>
            <w:noWrap/>
            <w:vAlign w:val="bottom"/>
            <w:hideMark/>
          </w:tcPr>
          <w:p w14:paraId="32450D6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67.17%</w:t>
            </w:r>
          </w:p>
        </w:tc>
        <w:tc>
          <w:tcPr>
            <w:tcW w:w="204" w:type="pct"/>
            <w:tcBorders>
              <w:top w:val="nil"/>
              <w:left w:val="nil"/>
              <w:bottom w:val="nil"/>
              <w:right w:val="nil"/>
            </w:tcBorders>
            <w:shd w:val="clear" w:color="000000" w:fill="FFFFFF"/>
            <w:noWrap/>
            <w:vAlign w:val="bottom"/>
            <w:hideMark/>
          </w:tcPr>
          <w:p w14:paraId="1E213B4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67.17%</w:t>
            </w:r>
          </w:p>
        </w:tc>
        <w:tc>
          <w:tcPr>
            <w:tcW w:w="204" w:type="pct"/>
            <w:tcBorders>
              <w:top w:val="nil"/>
              <w:left w:val="nil"/>
              <w:bottom w:val="nil"/>
              <w:right w:val="nil"/>
            </w:tcBorders>
            <w:shd w:val="clear" w:color="000000" w:fill="FFFFFF"/>
            <w:noWrap/>
            <w:vAlign w:val="bottom"/>
            <w:hideMark/>
          </w:tcPr>
          <w:p w14:paraId="7BED135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67.40%</w:t>
            </w:r>
          </w:p>
        </w:tc>
        <w:tc>
          <w:tcPr>
            <w:tcW w:w="204" w:type="pct"/>
            <w:tcBorders>
              <w:top w:val="nil"/>
              <w:left w:val="nil"/>
              <w:bottom w:val="nil"/>
              <w:right w:val="nil"/>
            </w:tcBorders>
            <w:shd w:val="clear" w:color="000000" w:fill="FFFFFF"/>
            <w:noWrap/>
            <w:vAlign w:val="bottom"/>
            <w:hideMark/>
          </w:tcPr>
          <w:p w14:paraId="510B37E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67.60%</w:t>
            </w:r>
          </w:p>
        </w:tc>
        <w:tc>
          <w:tcPr>
            <w:tcW w:w="204" w:type="pct"/>
            <w:tcBorders>
              <w:top w:val="nil"/>
              <w:left w:val="nil"/>
              <w:bottom w:val="nil"/>
              <w:right w:val="nil"/>
            </w:tcBorders>
            <w:shd w:val="clear" w:color="000000" w:fill="FFFFFF"/>
            <w:noWrap/>
            <w:vAlign w:val="bottom"/>
            <w:hideMark/>
          </w:tcPr>
          <w:p w14:paraId="366BC62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67.60%</w:t>
            </w:r>
          </w:p>
        </w:tc>
        <w:tc>
          <w:tcPr>
            <w:tcW w:w="204" w:type="pct"/>
            <w:tcBorders>
              <w:top w:val="nil"/>
              <w:left w:val="nil"/>
              <w:bottom w:val="nil"/>
              <w:right w:val="nil"/>
            </w:tcBorders>
            <w:shd w:val="clear" w:color="000000" w:fill="FFFFFF"/>
            <w:noWrap/>
            <w:vAlign w:val="bottom"/>
            <w:hideMark/>
          </w:tcPr>
          <w:p w14:paraId="5F9C781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67.60%</w:t>
            </w:r>
          </w:p>
        </w:tc>
        <w:tc>
          <w:tcPr>
            <w:tcW w:w="204" w:type="pct"/>
            <w:tcBorders>
              <w:top w:val="nil"/>
              <w:left w:val="nil"/>
              <w:bottom w:val="nil"/>
              <w:right w:val="nil"/>
            </w:tcBorders>
            <w:shd w:val="clear" w:color="000000" w:fill="FFFFFF"/>
            <w:noWrap/>
            <w:vAlign w:val="bottom"/>
            <w:hideMark/>
          </w:tcPr>
          <w:p w14:paraId="10B8DD1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67.60%</w:t>
            </w:r>
          </w:p>
        </w:tc>
        <w:tc>
          <w:tcPr>
            <w:tcW w:w="204" w:type="pct"/>
            <w:tcBorders>
              <w:top w:val="nil"/>
              <w:left w:val="nil"/>
              <w:bottom w:val="nil"/>
              <w:right w:val="nil"/>
            </w:tcBorders>
            <w:shd w:val="clear" w:color="000000" w:fill="FFFFFF"/>
            <w:noWrap/>
            <w:vAlign w:val="bottom"/>
            <w:hideMark/>
          </w:tcPr>
          <w:p w14:paraId="1F07363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67.60%</w:t>
            </w:r>
          </w:p>
        </w:tc>
        <w:tc>
          <w:tcPr>
            <w:tcW w:w="204" w:type="pct"/>
            <w:tcBorders>
              <w:top w:val="nil"/>
              <w:left w:val="nil"/>
              <w:bottom w:val="nil"/>
              <w:right w:val="nil"/>
            </w:tcBorders>
            <w:shd w:val="clear" w:color="000000" w:fill="FFFFFF"/>
            <w:noWrap/>
            <w:vAlign w:val="bottom"/>
            <w:hideMark/>
          </w:tcPr>
          <w:p w14:paraId="72B7BAE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D8A822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5B0797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E30E63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235B6D2E" w14:textId="77777777" w:rsidTr="002D2278">
        <w:trPr>
          <w:trHeight w:val="20"/>
        </w:trPr>
        <w:tc>
          <w:tcPr>
            <w:tcW w:w="867" w:type="pct"/>
            <w:tcBorders>
              <w:top w:val="nil"/>
              <w:left w:val="nil"/>
              <w:bottom w:val="nil"/>
              <w:right w:val="nil"/>
            </w:tcBorders>
            <w:shd w:val="clear" w:color="000000" w:fill="FFFFFF"/>
            <w:noWrap/>
            <w:vAlign w:val="center"/>
            <w:hideMark/>
          </w:tcPr>
          <w:p w14:paraId="2373E677" w14:textId="59699301"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December</w:t>
            </w:r>
            <w:r w:rsidRPr="002D2278">
              <w:rPr>
                <w:rFonts w:ascii="Aptos Narrow" w:hAnsi="Aptos Narrow"/>
                <w:sz w:val="14"/>
                <w:szCs w:val="14"/>
                <w:lang w:val="de-DE" w:eastAsia="de-DE"/>
              </w:rPr>
              <w:t xml:space="preserve"> 2018...............................</w:t>
            </w:r>
          </w:p>
        </w:tc>
        <w:tc>
          <w:tcPr>
            <w:tcW w:w="452" w:type="pct"/>
            <w:tcBorders>
              <w:top w:val="nil"/>
              <w:left w:val="nil"/>
              <w:bottom w:val="nil"/>
              <w:right w:val="nil"/>
            </w:tcBorders>
            <w:shd w:val="clear" w:color="000000" w:fill="FFFFFF"/>
            <w:noWrap/>
            <w:vAlign w:val="bottom"/>
            <w:hideMark/>
          </w:tcPr>
          <w:p w14:paraId="305D22FF"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2018Q4</w:t>
            </w:r>
          </w:p>
        </w:tc>
        <w:tc>
          <w:tcPr>
            <w:tcW w:w="623" w:type="pct"/>
            <w:tcBorders>
              <w:top w:val="nil"/>
              <w:left w:val="nil"/>
              <w:bottom w:val="nil"/>
              <w:right w:val="nil"/>
            </w:tcBorders>
            <w:shd w:val="clear" w:color="000000" w:fill="FFFFFF"/>
            <w:noWrap/>
            <w:vAlign w:val="center"/>
            <w:hideMark/>
          </w:tcPr>
          <w:p w14:paraId="00145A38"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1,377 </w:t>
            </w:r>
          </w:p>
        </w:tc>
        <w:tc>
          <w:tcPr>
            <w:tcW w:w="204" w:type="pct"/>
            <w:tcBorders>
              <w:top w:val="nil"/>
              <w:left w:val="nil"/>
              <w:bottom w:val="nil"/>
              <w:right w:val="nil"/>
            </w:tcBorders>
            <w:shd w:val="clear" w:color="000000" w:fill="FFFFFF"/>
            <w:noWrap/>
            <w:vAlign w:val="bottom"/>
            <w:hideMark/>
          </w:tcPr>
          <w:p w14:paraId="27D5D80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75.38%</w:t>
            </w:r>
          </w:p>
        </w:tc>
        <w:tc>
          <w:tcPr>
            <w:tcW w:w="204" w:type="pct"/>
            <w:tcBorders>
              <w:top w:val="nil"/>
              <w:left w:val="nil"/>
              <w:bottom w:val="nil"/>
              <w:right w:val="nil"/>
            </w:tcBorders>
            <w:shd w:val="clear" w:color="000000" w:fill="FFFFFF"/>
            <w:noWrap/>
            <w:vAlign w:val="bottom"/>
            <w:hideMark/>
          </w:tcPr>
          <w:p w14:paraId="51CE766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75.38%</w:t>
            </w:r>
          </w:p>
        </w:tc>
        <w:tc>
          <w:tcPr>
            <w:tcW w:w="204" w:type="pct"/>
            <w:tcBorders>
              <w:top w:val="nil"/>
              <w:left w:val="nil"/>
              <w:bottom w:val="nil"/>
              <w:right w:val="nil"/>
            </w:tcBorders>
            <w:shd w:val="clear" w:color="000000" w:fill="FFFFFF"/>
            <w:noWrap/>
            <w:vAlign w:val="bottom"/>
            <w:hideMark/>
          </w:tcPr>
          <w:p w14:paraId="78A0B19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75.43%</w:t>
            </w:r>
          </w:p>
        </w:tc>
        <w:tc>
          <w:tcPr>
            <w:tcW w:w="204" w:type="pct"/>
            <w:tcBorders>
              <w:top w:val="nil"/>
              <w:left w:val="nil"/>
              <w:bottom w:val="nil"/>
              <w:right w:val="nil"/>
            </w:tcBorders>
            <w:shd w:val="clear" w:color="000000" w:fill="FFFFFF"/>
            <w:noWrap/>
            <w:vAlign w:val="bottom"/>
            <w:hideMark/>
          </w:tcPr>
          <w:p w14:paraId="47CAEBB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75.52%</w:t>
            </w:r>
          </w:p>
        </w:tc>
        <w:tc>
          <w:tcPr>
            <w:tcW w:w="204" w:type="pct"/>
            <w:tcBorders>
              <w:top w:val="nil"/>
              <w:left w:val="nil"/>
              <w:bottom w:val="nil"/>
              <w:right w:val="nil"/>
            </w:tcBorders>
            <w:shd w:val="clear" w:color="000000" w:fill="FFFFFF"/>
            <w:noWrap/>
            <w:vAlign w:val="bottom"/>
            <w:hideMark/>
          </w:tcPr>
          <w:p w14:paraId="4EC0B15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75.60%</w:t>
            </w:r>
          </w:p>
        </w:tc>
        <w:tc>
          <w:tcPr>
            <w:tcW w:w="204" w:type="pct"/>
            <w:tcBorders>
              <w:top w:val="nil"/>
              <w:left w:val="nil"/>
              <w:bottom w:val="nil"/>
              <w:right w:val="nil"/>
            </w:tcBorders>
            <w:shd w:val="clear" w:color="000000" w:fill="FFFFFF"/>
            <w:noWrap/>
            <w:vAlign w:val="bottom"/>
            <w:hideMark/>
          </w:tcPr>
          <w:p w14:paraId="5160B18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75.67%</w:t>
            </w:r>
          </w:p>
        </w:tc>
        <w:tc>
          <w:tcPr>
            <w:tcW w:w="204" w:type="pct"/>
            <w:tcBorders>
              <w:top w:val="nil"/>
              <w:left w:val="nil"/>
              <w:bottom w:val="nil"/>
              <w:right w:val="nil"/>
            </w:tcBorders>
            <w:shd w:val="clear" w:color="000000" w:fill="FFFFFF"/>
            <w:noWrap/>
            <w:vAlign w:val="bottom"/>
            <w:hideMark/>
          </w:tcPr>
          <w:p w14:paraId="0588184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76.17%</w:t>
            </w:r>
          </w:p>
        </w:tc>
        <w:tc>
          <w:tcPr>
            <w:tcW w:w="204" w:type="pct"/>
            <w:tcBorders>
              <w:top w:val="nil"/>
              <w:left w:val="nil"/>
              <w:bottom w:val="nil"/>
              <w:right w:val="nil"/>
            </w:tcBorders>
            <w:shd w:val="clear" w:color="000000" w:fill="FFFFFF"/>
            <w:noWrap/>
            <w:vAlign w:val="bottom"/>
            <w:hideMark/>
          </w:tcPr>
          <w:p w14:paraId="511771F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76.17%</w:t>
            </w:r>
          </w:p>
        </w:tc>
        <w:tc>
          <w:tcPr>
            <w:tcW w:w="204" w:type="pct"/>
            <w:tcBorders>
              <w:top w:val="nil"/>
              <w:left w:val="nil"/>
              <w:bottom w:val="nil"/>
              <w:right w:val="nil"/>
            </w:tcBorders>
            <w:shd w:val="clear" w:color="000000" w:fill="FFFFFF"/>
            <w:noWrap/>
            <w:vAlign w:val="bottom"/>
            <w:hideMark/>
          </w:tcPr>
          <w:p w14:paraId="0B7D0B3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76.20%</w:t>
            </w:r>
          </w:p>
        </w:tc>
        <w:tc>
          <w:tcPr>
            <w:tcW w:w="204" w:type="pct"/>
            <w:tcBorders>
              <w:top w:val="nil"/>
              <w:left w:val="nil"/>
              <w:bottom w:val="nil"/>
              <w:right w:val="nil"/>
            </w:tcBorders>
            <w:shd w:val="clear" w:color="000000" w:fill="FFFFFF"/>
            <w:noWrap/>
            <w:vAlign w:val="bottom"/>
            <w:hideMark/>
          </w:tcPr>
          <w:p w14:paraId="5723428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76.20%</w:t>
            </w:r>
          </w:p>
        </w:tc>
        <w:tc>
          <w:tcPr>
            <w:tcW w:w="204" w:type="pct"/>
            <w:tcBorders>
              <w:top w:val="nil"/>
              <w:left w:val="nil"/>
              <w:bottom w:val="nil"/>
              <w:right w:val="nil"/>
            </w:tcBorders>
            <w:shd w:val="clear" w:color="000000" w:fill="FFFFFF"/>
            <w:noWrap/>
            <w:vAlign w:val="bottom"/>
            <w:hideMark/>
          </w:tcPr>
          <w:p w14:paraId="7EBCD65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D77AD8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3482F4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34A11C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B98E37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2604EB31" w14:textId="77777777" w:rsidTr="002D2278">
        <w:trPr>
          <w:trHeight w:val="20"/>
        </w:trPr>
        <w:tc>
          <w:tcPr>
            <w:tcW w:w="867" w:type="pct"/>
            <w:tcBorders>
              <w:top w:val="nil"/>
              <w:left w:val="nil"/>
              <w:bottom w:val="nil"/>
              <w:right w:val="nil"/>
            </w:tcBorders>
            <w:shd w:val="clear" w:color="000000" w:fill="FFFFFF"/>
            <w:noWrap/>
            <w:vAlign w:val="center"/>
            <w:hideMark/>
          </w:tcPr>
          <w:p w14:paraId="0578377C" w14:textId="6DA89BE2"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2019........................................</w:t>
            </w:r>
          </w:p>
        </w:tc>
        <w:tc>
          <w:tcPr>
            <w:tcW w:w="452" w:type="pct"/>
            <w:tcBorders>
              <w:top w:val="nil"/>
              <w:left w:val="nil"/>
              <w:bottom w:val="nil"/>
              <w:right w:val="nil"/>
            </w:tcBorders>
            <w:shd w:val="clear" w:color="000000" w:fill="FFFFFF"/>
            <w:noWrap/>
            <w:vAlign w:val="bottom"/>
            <w:hideMark/>
          </w:tcPr>
          <w:p w14:paraId="6FF5453E"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2019Q1</w:t>
            </w:r>
          </w:p>
        </w:tc>
        <w:tc>
          <w:tcPr>
            <w:tcW w:w="623" w:type="pct"/>
            <w:tcBorders>
              <w:top w:val="nil"/>
              <w:left w:val="nil"/>
              <w:bottom w:val="nil"/>
              <w:right w:val="nil"/>
            </w:tcBorders>
            <w:shd w:val="clear" w:color="000000" w:fill="FFFFFF"/>
            <w:noWrap/>
            <w:vAlign w:val="center"/>
            <w:hideMark/>
          </w:tcPr>
          <w:p w14:paraId="2F6E5A61"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1,921 </w:t>
            </w:r>
          </w:p>
        </w:tc>
        <w:tc>
          <w:tcPr>
            <w:tcW w:w="204" w:type="pct"/>
            <w:tcBorders>
              <w:top w:val="nil"/>
              <w:left w:val="nil"/>
              <w:bottom w:val="nil"/>
              <w:right w:val="nil"/>
            </w:tcBorders>
            <w:shd w:val="clear" w:color="000000" w:fill="FFFFFF"/>
            <w:noWrap/>
            <w:vAlign w:val="bottom"/>
            <w:hideMark/>
          </w:tcPr>
          <w:p w14:paraId="378E02A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70.76%</w:t>
            </w:r>
          </w:p>
        </w:tc>
        <w:tc>
          <w:tcPr>
            <w:tcW w:w="204" w:type="pct"/>
            <w:tcBorders>
              <w:top w:val="nil"/>
              <w:left w:val="nil"/>
              <w:bottom w:val="nil"/>
              <w:right w:val="nil"/>
            </w:tcBorders>
            <w:shd w:val="clear" w:color="000000" w:fill="FFFFFF"/>
            <w:noWrap/>
            <w:vAlign w:val="bottom"/>
            <w:hideMark/>
          </w:tcPr>
          <w:p w14:paraId="5E0851C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70.76%</w:t>
            </w:r>
          </w:p>
        </w:tc>
        <w:tc>
          <w:tcPr>
            <w:tcW w:w="204" w:type="pct"/>
            <w:tcBorders>
              <w:top w:val="nil"/>
              <w:left w:val="nil"/>
              <w:bottom w:val="nil"/>
              <w:right w:val="nil"/>
            </w:tcBorders>
            <w:shd w:val="clear" w:color="000000" w:fill="FFFFFF"/>
            <w:noWrap/>
            <w:vAlign w:val="bottom"/>
            <w:hideMark/>
          </w:tcPr>
          <w:p w14:paraId="00351C7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70.76%</w:t>
            </w:r>
          </w:p>
        </w:tc>
        <w:tc>
          <w:tcPr>
            <w:tcW w:w="204" w:type="pct"/>
            <w:tcBorders>
              <w:top w:val="nil"/>
              <w:left w:val="nil"/>
              <w:bottom w:val="nil"/>
              <w:right w:val="nil"/>
            </w:tcBorders>
            <w:shd w:val="clear" w:color="000000" w:fill="FFFFFF"/>
            <w:noWrap/>
            <w:vAlign w:val="bottom"/>
            <w:hideMark/>
          </w:tcPr>
          <w:p w14:paraId="1092331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70.82%</w:t>
            </w:r>
          </w:p>
        </w:tc>
        <w:tc>
          <w:tcPr>
            <w:tcW w:w="204" w:type="pct"/>
            <w:tcBorders>
              <w:top w:val="nil"/>
              <w:left w:val="nil"/>
              <w:bottom w:val="nil"/>
              <w:right w:val="nil"/>
            </w:tcBorders>
            <w:shd w:val="clear" w:color="000000" w:fill="FFFFFF"/>
            <w:noWrap/>
            <w:vAlign w:val="bottom"/>
            <w:hideMark/>
          </w:tcPr>
          <w:p w14:paraId="53BF9B4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70.82%</w:t>
            </w:r>
          </w:p>
        </w:tc>
        <w:tc>
          <w:tcPr>
            <w:tcW w:w="204" w:type="pct"/>
            <w:tcBorders>
              <w:top w:val="nil"/>
              <w:left w:val="nil"/>
              <w:bottom w:val="nil"/>
              <w:right w:val="nil"/>
            </w:tcBorders>
            <w:shd w:val="clear" w:color="000000" w:fill="FFFFFF"/>
            <w:noWrap/>
            <w:vAlign w:val="bottom"/>
            <w:hideMark/>
          </w:tcPr>
          <w:p w14:paraId="78B3EBE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70.82%</w:t>
            </w:r>
          </w:p>
        </w:tc>
        <w:tc>
          <w:tcPr>
            <w:tcW w:w="204" w:type="pct"/>
            <w:tcBorders>
              <w:top w:val="nil"/>
              <w:left w:val="nil"/>
              <w:bottom w:val="nil"/>
              <w:right w:val="nil"/>
            </w:tcBorders>
            <w:shd w:val="clear" w:color="000000" w:fill="FFFFFF"/>
            <w:noWrap/>
            <w:vAlign w:val="bottom"/>
            <w:hideMark/>
          </w:tcPr>
          <w:p w14:paraId="296DE06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70.88%</w:t>
            </w:r>
          </w:p>
        </w:tc>
        <w:tc>
          <w:tcPr>
            <w:tcW w:w="204" w:type="pct"/>
            <w:tcBorders>
              <w:top w:val="nil"/>
              <w:left w:val="nil"/>
              <w:bottom w:val="nil"/>
              <w:right w:val="nil"/>
            </w:tcBorders>
            <w:shd w:val="clear" w:color="000000" w:fill="FFFFFF"/>
            <w:noWrap/>
            <w:vAlign w:val="bottom"/>
            <w:hideMark/>
          </w:tcPr>
          <w:p w14:paraId="7747717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70.88%</w:t>
            </w:r>
          </w:p>
        </w:tc>
        <w:tc>
          <w:tcPr>
            <w:tcW w:w="204" w:type="pct"/>
            <w:tcBorders>
              <w:top w:val="nil"/>
              <w:left w:val="nil"/>
              <w:bottom w:val="nil"/>
              <w:right w:val="nil"/>
            </w:tcBorders>
            <w:shd w:val="clear" w:color="000000" w:fill="FFFFFF"/>
            <w:noWrap/>
            <w:vAlign w:val="bottom"/>
            <w:hideMark/>
          </w:tcPr>
          <w:p w14:paraId="0AD8C11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70.88%</w:t>
            </w:r>
          </w:p>
        </w:tc>
        <w:tc>
          <w:tcPr>
            <w:tcW w:w="204" w:type="pct"/>
            <w:tcBorders>
              <w:top w:val="nil"/>
              <w:left w:val="nil"/>
              <w:bottom w:val="nil"/>
              <w:right w:val="nil"/>
            </w:tcBorders>
            <w:shd w:val="clear" w:color="000000" w:fill="FFFFFF"/>
            <w:noWrap/>
            <w:vAlign w:val="bottom"/>
            <w:hideMark/>
          </w:tcPr>
          <w:p w14:paraId="387467B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4BAF76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3B2C95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CE2158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8607B2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860D62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3E74013B" w14:textId="77777777" w:rsidTr="002D2278">
        <w:trPr>
          <w:trHeight w:val="20"/>
        </w:trPr>
        <w:tc>
          <w:tcPr>
            <w:tcW w:w="867" w:type="pct"/>
            <w:tcBorders>
              <w:top w:val="nil"/>
              <w:left w:val="nil"/>
              <w:bottom w:val="nil"/>
              <w:right w:val="nil"/>
            </w:tcBorders>
            <w:shd w:val="clear" w:color="000000" w:fill="FFFFFF"/>
            <w:noWrap/>
            <w:vAlign w:val="center"/>
            <w:hideMark/>
          </w:tcPr>
          <w:p w14:paraId="25BF79CA" w14:textId="6D36DB28"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30 </w:t>
            </w:r>
            <w:r>
              <w:rPr>
                <w:rFonts w:ascii="Aptos Narrow" w:hAnsi="Aptos Narrow"/>
                <w:sz w:val="14"/>
                <w:szCs w:val="14"/>
                <w:lang w:val="de-DE" w:eastAsia="de-DE"/>
              </w:rPr>
              <w:t>June</w:t>
            </w:r>
            <w:r w:rsidRPr="002D2278">
              <w:rPr>
                <w:rFonts w:ascii="Aptos Narrow" w:hAnsi="Aptos Narrow"/>
                <w:sz w:val="14"/>
                <w:szCs w:val="14"/>
                <w:lang w:val="de-DE" w:eastAsia="de-DE"/>
              </w:rPr>
              <w:t xml:space="preserve"> 2019..........................................</w:t>
            </w:r>
          </w:p>
        </w:tc>
        <w:tc>
          <w:tcPr>
            <w:tcW w:w="452" w:type="pct"/>
            <w:tcBorders>
              <w:top w:val="nil"/>
              <w:left w:val="nil"/>
              <w:bottom w:val="nil"/>
              <w:right w:val="nil"/>
            </w:tcBorders>
            <w:shd w:val="clear" w:color="000000" w:fill="FFFFFF"/>
            <w:noWrap/>
            <w:vAlign w:val="bottom"/>
            <w:hideMark/>
          </w:tcPr>
          <w:p w14:paraId="3DAFFCB2"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2019Q2</w:t>
            </w:r>
          </w:p>
        </w:tc>
        <w:tc>
          <w:tcPr>
            <w:tcW w:w="623" w:type="pct"/>
            <w:tcBorders>
              <w:top w:val="nil"/>
              <w:left w:val="nil"/>
              <w:bottom w:val="nil"/>
              <w:right w:val="nil"/>
            </w:tcBorders>
            <w:shd w:val="clear" w:color="000000" w:fill="FFFFFF"/>
            <w:noWrap/>
            <w:vAlign w:val="center"/>
            <w:hideMark/>
          </w:tcPr>
          <w:p w14:paraId="237E08FD"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1,429 </w:t>
            </w:r>
          </w:p>
        </w:tc>
        <w:tc>
          <w:tcPr>
            <w:tcW w:w="204" w:type="pct"/>
            <w:tcBorders>
              <w:top w:val="nil"/>
              <w:left w:val="nil"/>
              <w:bottom w:val="nil"/>
              <w:right w:val="nil"/>
            </w:tcBorders>
            <w:shd w:val="clear" w:color="000000" w:fill="FFFFFF"/>
            <w:noWrap/>
            <w:vAlign w:val="bottom"/>
            <w:hideMark/>
          </w:tcPr>
          <w:p w14:paraId="352BA0F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73.58%</w:t>
            </w:r>
          </w:p>
        </w:tc>
        <w:tc>
          <w:tcPr>
            <w:tcW w:w="204" w:type="pct"/>
            <w:tcBorders>
              <w:top w:val="nil"/>
              <w:left w:val="nil"/>
              <w:bottom w:val="nil"/>
              <w:right w:val="nil"/>
            </w:tcBorders>
            <w:shd w:val="clear" w:color="000000" w:fill="FFFFFF"/>
            <w:noWrap/>
            <w:vAlign w:val="bottom"/>
            <w:hideMark/>
          </w:tcPr>
          <w:p w14:paraId="65CAC90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73.58%</w:t>
            </w:r>
          </w:p>
        </w:tc>
        <w:tc>
          <w:tcPr>
            <w:tcW w:w="204" w:type="pct"/>
            <w:tcBorders>
              <w:top w:val="nil"/>
              <w:left w:val="nil"/>
              <w:bottom w:val="nil"/>
              <w:right w:val="nil"/>
            </w:tcBorders>
            <w:shd w:val="clear" w:color="000000" w:fill="FFFFFF"/>
            <w:noWrap/>
            <w:vAlign w:val="bottom"/>
            <w:hideMark/>
          </w:tcPr>
          <w:p w14:paraId="2F8F965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73.58%</w:t>
            </w:r>
          </w:p>
        </w:tc>
        <w:tc>
          <w:tcPr>
            <w:tcW w:w="204" w:type="pct"/>
            <w:tcBorders>
              <w:top w:val="nil"/>
              <w:left w:val="nil"/>
              <w:bottom w:val="nil"/>
              <w:right w:val="nil"/>
            </w:tcBorders>
            <w:shd w:val="clear" w:color="000000" w:fill="FFFFFF"/>
            <w:noWrap/>
            <w:vAlign w:val="bottom"/>
            <w:hideMark/>
          </w:tcPr>
          <w:p w14:paraId="3288792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73.58%</w:t>
            </w:r>
          </w:p>
        </w:tc>
        <w:tc>
          <w:tcPr>
            <w:tcW w:w="204" w:type="pct"/>
            <w:tcBorders>
              <w:top w:val="nil"/>
              <w:left w:val="nil"/>
              <w:bottom w:val="nil"/>
              <w:right w:val="nil"/>
            </w:tcBorders>
            <w:shd w:val="clear" w:color="000000" w:fill="FFFFFF"/>
            <w:noWrap/>
            <w:vAlign w:val="bottom"/>
            <w:hideMark/>
          </w:tcPr>
          <w:p w14:paraId="389CA15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73.58%</w:t>
            </w:r>
          </w:p>
        </w:tc>
        <w:tc>
          <w:tcPr>
            <w:tcW w:w="204" w:type="pct"/>
            <w:tcBorders>
              <w:top w:val="nil"/>
              <w:left w:val="nil"/>
              <w:bottom w:val="nil"/>
              <w:right w:val="nil"/>
            </w:tcBorders>
            <w:shd w:val="clear" w:color="000000" w:fill="FFFFFF"/>
            <w:noWrap/>
            <w:vAlign w:val="bottom"/>
            <w:hideMark/>
          </w:tcPr>
          <w:p w14:paraId="6BE5533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73.58%</w:t>
            </w:r>
          </w:p>
        </w:tc>
        <w:tc>
          <w:tcPr>
            <w:tcW w:w="204" w:type="pct"/>
            <w:tcBorders>
              <w:top w:val="nil"/>
              <w:left w:val="nil"/>
              <w:bottom w:val="nil"/>
              <w:right w:val="nil"/>
            </w:tcBorders>
            <w:shd w:val="clear" w:color="000000" w:fill="FFFFFF"/>
            <w:noWrap/>
            <w:vAlign w:val="bottom"/>
            <w:hideMark/>
          </w:tcPr>
          <w:p w14:paraId="57B6B7C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73.58%</w:t>
            </w:r>
          </w:p>
        </w:tc>
        <w:tc>
          <w:tcPr>
            <w:tcW w:w="204" w:type="pct"/>
            <w:tcBorders>
              <w:top w:val="nil"/>
              <w:left w:val="nil"/>
              <w:bottom w:val="nil"/>
              <w:right w:val="nil"/>
            </w:tcBorders>
            <w:shd w:val="clear" w:color="000000" w:fill="FFFFFF"/>
            <w:noWrap/>
            <w:vAlign w:val="bottom"/>
            <w:hideMark/>
          </w:tcPr>
          <w:p w14:paraId="17B43F4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73.58%</w:t>
            </w:r>
          </w:p>
        </w:tc>
        <w:tc>
          <w:tcPr>
            <w:tcW w:w="204" w:type="pct"/>
            <w:tcBorders>
              <w:top w:val="nil"/>
              <w:left w:val="nil"/>
              <w:bottom w:val="nil"/>
              <w:right w:val="nil"/>
            </w:tcBorders>
            <w:shd w:val="clear" w:color="000000" w:fill="FFFFFF"/>
            <w:noWrap/>
            <w:vAlign w:val="bottom"/>
            <w:hideMark/>
          </w:tcPr>
          <w:p w14:paraId="78ED652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464E96D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4FFE3BF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74FDFA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E43F0D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F7B6CE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D0CC87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225CDBE2" w14:textId="77777777" w:rsidTr="002D2278">
        <w:trPr>
          <w:trHeight w:val="20"/>
        </w:trPr>
        <w:tc>
          <w:tcPr>
            <w:tcW w:w="867" w:type="pct"/>
            <w:tcBorders>
              <w:top w:val="nil"/>
              <w:left w:val="nil"/>
              <w:bottom w:val="nil"/>
              <w:right w:val="nil"/>
            </w:tcBorders>
            <w:shd w:val="clear" w:color="000000" w:fill="FFFFFF"/>
            <w:noWrap/>
            <w:vAlign w:val="center"/>
            <w:hideMark/>
          </w:tcPr>
          <w:p w14:paraId="03601984" w14:textId="77777777"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30 September 2019..............................</w:t>
            </w:r>
          </w:p>
        </w:tc>
        <w:tc>
          <w:tcPr>
            <w:tcW w:w="452" w:type="pct"/>
            <w:tcBorders>
              <w:top w:val="nil"/>
              <w:left w:val="nil"/>
              <w:bottom w:val="nil"/>
              <w:right w:val="nil"/>
            </w:tcBorders>
            <w:shd w:val="clear" w:color="000000" w:fill="FFFFFF"/>
            <w:noWrap/>
            <w:vAlign w:val="bottom"/>
            <w:hideMark/>
          </w:tcPr>
          <w:p w14:paraId="18BF91B5"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2019Q3</w:t>
            </w:r>
          </w:p>
        </w:tc>
        <w:tc>
          <w:tcPr>
            <w:tcW w:w="623" w:type="pct"/>
            <w:tcBorders>
              <w:top w:val="nil"/>
              <w:left w:val="nil"/>
              <w:bottom w:val="nil"/>
              <w:right w:val="nil"/>
            </w:tcBorders>
            <w:shd w:val="clear" w:color="000000" w:fill="FFFFFF"/>
            <w:noWrap/>
            <w:vAlign w:val="center"/>
            <w:hideMark/>
          </w:tcPr>
          <w:p w14:paraId="08457B70"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1,913 </w:t>
            </w:r>
          </w:p>
        </w:tc>
        <w:tc>
          <w:tcPr>
            <w:tcW w:w="204" w:type="pct"/>
            <w:tcBorders>
              <w:top w:val="nil"/>
              <w:left w:val="nil"/>
              <w:bottom w:val="nil"/>
              <w:right w:val="nil"/>
            </w:tcBorders>
            <w:shd w:val="clear" w:color="000000" w:fill="FFFFFF"/>
            <w:noWrap/>
            <w:vAlign w:val="bottom"/>
            <w:hideMark/>
          </w:tcPr>
          <w:p w14:paraId="6C9D316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76.51%</w:t>
            </w:r>
          </w:p>
        </w:tc>
        <w:tc>
          <w:tcPr>
            <w:tcW w:w="204" w:type="pct"/>
            <w:tcBorders>
              <w:top w:val="nil"/>
              <w:left w:val="nil"/>
              <w:bottom w:val="nil"/>
              <w:right w:val="nil"/>
            </w:tcBorders>
            <w:shd w:val="clear" w:color="000000" w:fill="FFFFFF"/>
            <w:noWrap/>
            <w:vAlign w:val="bottom"/>
            <w:hideMark/>
          </w:tcPr>
          <w:p w14:paraId="657C513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76.54%</w:t>
            </w:r>
          </w:p>
        </w:tc>
        <w:tc>
          <w:tcPr>
            <w:tcW w:w="204" w:type="pct"/>
            <w:tcBorders>
              <w:top w:val="nil"/>
              <w:left w:val="nil"/>
              <w:bottom w:val="nil"/>
              <w:right w:val="nil"/>
            </w:tcBorders>
            <w:shd w:val="clear" w:color="000000" w:fill="FFFFFF"/>
            <w:noWrap/>
            <w:vAlign w:val="bottom"/>
            <w:hideMark/>
          </w:tcPr>
          <w:p w14:paraId="6D43C7D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76.58%</w:t>
            </w:r>
          </w:p>
        </w:tc>
        <w:tc>
          <w:tcPr>
            <w:tcW w:w="204" w:type="pct"/>
            <w:tcBorders>
              <w:top w:val="nil"/>
              <w:left w:val="nil"/>
              <w:bottom w:val="nil"/>
              <w:right w:val="nil"/>
            </w:tcBorders>
            <w:shd w:val="clear" w:color="000000" w:fill="FFFFFF"/>
            <w:noWrap/>
            <w:vAlign w:val="bottom"/>
            <w:hideMark/>
          </w:tcPr>
          <w:p w14:paraId="5C56C41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76.61%</w:t>
            </w:r>
          </w:p>
        </w:tc>
        <w:tc>
          <w:tcPr>
            <w:tcW w:w="204" w:type="pct"/>
            <w:tcBorders>
              <w:top w:val="nil"/>
              <w:left w:val="nil"/>
              <w:bottom w:val="nil"/>
              <w:right w:val="nil"/>
            </w:tcBorders>
            <w:shd w:val="clear" w:color="000000" w:fill="FFFFFF"/>
            <w:noWrap/>
            <w:vAlign w:val="bottom"/>
            <w:hideMark/>
          </w:tcPr>
          <w:p w14:paraId="07AEAF8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76.64%</w:t>
            </w:r>
          </w:p>
        </w:tc>
        <w:tc>
          <w:tcPr>
            <w:tcW w:w="204" w:type="pct"/>
            <w:tcBorders>
              <w:top w:val="nil"/>
              <w:left w:val="nil"/>
              <w:bottom w:val="nil"/>
              <w:right w:val="nil"/>
            </w:tcBorders>
            <w:shd w:val="clear" w:color="000000" w:fill="FFFFFF"/>
            <w:noWrap/>
            <w:vAlign w:val="bottom"/>
            <w:hideMark/>
          </w:tcPr>
          <w:p w14:paraId="538FC45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76.68%</w:t>
            </w:r>
          </w:p>
        </w:tc>
        <w:tc>
          <w:tcPr>
            <w:tcW w:w="204" w:type="pct"/>
            <w:tcBorders>
              <w:top w:val="nil"/>
              <w:left w:val="nil"/>
              <w:bottom w:val="nil"/>
              <w:right w:val="nil"/>
            </w:tcBorders>
            <w:shd w:val="clear" w:color="000000" w:fill="FFFFFF"/>
            <w:noWrap/>
            <w:vAlign w:val="bottom"/>
            <w:hideMark/>
          </w:tcPr>
          <w:p w14:paraId="4D6B838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76.72%</w:t>
            </w:r>
          </w:p>
        </w:tc>
        <w:tc>
          <w:tcPr>
            <w:tcW w:w="204" w:type="pct"/>
            <w:tcBorders>
              <w:top w:val="nil"/>
              <w:left w:val="nil"/>
              <w:bottom w:val="nil"/>
              <w:right w:val="nil"/>
            </w:tcBorders>
            <w:shd w:val="clear" w:color="000000" w:fill="FFFFFF"/>
            <w:noWrap/>
            <w:vAlign w:val="bottom"/>
            <w:hideMark/>
          </w:tcPr>
          <w:p w14:paraId="30A2016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521B9B3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81E509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E059E6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899783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2A6417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F2AE18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B1BBE3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339483B5" w14:textId="77777777" w:rsidTr="002D2278">
        <w:trPr>
          <w:trHeight w:val="20"/>
        </w:trPr>
        <w:tc>
          <w:tcPr>
            <w:tcW w:w="867" w:type="pct"/>
            <w:tcBorders>
              <w:top w:val="nil"/>
              <w:left w:val="nil"/>
              <w:bottom w:val="nil"/>
              <w:right w:val="nil"/>
            </w:tcBorders>
            <w:shd w:val="clear" w:color="000000" w:fill="FFFFFF"/>
            <w:noWrap/>
            <w:vAlign w:val="center"/>
            <w:hideMark/>
          </w:tcPr>
          <w:p w14:paraId="5F6C44D7" w14:textId="32D0DE2E"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December</w:t>
            </w:r>
            <w:r w:rsidRPr="002D2278">
              <w:rPr>
                <w:rFonts w:ascii="Aptos Narrow" w:hAnsi="Aptos Narrow"/>
                <w:sz w:val="14"/>
                <w:szCs w:val="14"/>
                <w:lang w:val="de-DE" w:eastAsia="de-DE"/>
              </w:rPr>
              <w:t xml:space="preserve"> 2019...............................</w:t>
            </w:r>
          </w:p>
        </w:tc>
        <w:tc>
          <w:tcPr>
            <w:tcW w:w="452" w:type="pct"/>
            <w:tcBorders>
              <w:top w:val="nil"/>
              <w:left w:val="nil"/>
              <w:bottom w:val="nil"/>
              <w:right w:val="nil"/>
            </w:tcBorders>
            <w:shd w:val="clear" w:color="000000" w:fill="FFFFFF"/>
            <w:noWrap/>
            <w:vAlign w:val="bottom"/>
            <w:hideMark/>
          </w:tcPr>
          <w:p w14:paraId="5799E0D8"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2019Q4</w:t>
            </w:r>
          </w:p>
        </w:tc>
        <w:tc>
          <w:tcPr>
            <w:tcW w:w="623" w:type="pct"/>
            <w:tcBorders>
              <w:top w:val="nil"/>
              <w:left w:val="nil"/>
              <w:bottom w:val="nil"/>
              <w:right w:val="nil"/>
            </w:tcBorders>
            <w:shd w:val="clear" w:color="000000" w:fill="FFFFFF"/>
            <w:noWrap/>
            <w:vAlign w:val="center"/>
            <w:hideMark/>
          </w:tcPr>
          <w:p w14:paraId="45539828"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1,628 </w:t>
            </w:r>
          </w:p>
        </w:tc>
        <w:tc>
          <w:tcPr>
            <w:tcW w:w="204" w:type="pct"/>
            <w:tcBorders>
              <w:top w:val="nil"/>
              <w:left w:val="nil"/>
              <w:bottom w:val="nil"/>
              <w:right w:val="nil"/>
            </w:tcBorders>
            <w:shd w:val="clear" w:color="000000" w:fill="FFFFFF"/>
            <w:noWrap/>
            <w:vAlign w:val="bottom"/>
            <w:hideMark/>
          </w:tcPr>
          <w:p w14:paraId="330120A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70.03%</w:t>
            </w:r>
          </w:p>
        </w:tc>
        <w:tc>
          <w:tcPr>
            <w:tcW w:w="204" w:type="pct"/>
            <w:tcBorders>
              <w:top w:val="nil"/>
              <w:left w:val="nil"/>
              <w:bottom w:val="nil"/>
              <w:right w:val="nil"/>
            </w:tcBorders>
            <w:shd w:val="clear" w:color="000000" w:fill="FFFFFF"/>
            <w:noWrap/>
            <w:vAlign w:val="bottom"/>
            <w:hideMark/>
          </w:tcPr>
          <w:p w14:paraId="4D4DA21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70.03%</w:t>
            </w:r>
          </w:p>
        </w:tc>
        <w:tc>
          <w:tcPr>
            <w:tcW w:w="204" w:type="pct"/>
            <w:tcBorders>
              <w:top w:val="nil"/>
              <w:left w:val="nil"/>
              <w:bottom w:val="nil"/>
              <w:right w:val="nil"/>
            </w:tcBorders>
            <w:shd w:val="clear" w:color="000000" w:fill="FFFFFF"/>
            <w:noWrap/>
            <w:vAlign w:val="bottom"/>
            <w:hideMark/>
          </w:tcPr>
          <w:p w14:paraId="36514CB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70.03%</w:t>
            </w:r>
          </w:p>
        </w:tc>
        <w:tc>
          <w:tcPr>
            <w:tcW w:w="204" w:type="pct"/>
            <w:tcBorders>
              <w:top w:val="nil"/>
              <w:left w:val="nil"/>
              <w:bottom w:val="nil"/>
              <w:right w:val="nil"/>
            </w:tcBorders>
            <w:shd w:val="clear" w:color="000000" w:fill="FFFFFF"/>
            <w:noWrap/>
            <w:vAlign w:val="bottom"/>
            <w:hideMark/>
          </w:tcPr>
          <w:p w14:paraId="67F9C17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70.03%</w:t>
            </w:r>
          </w:p>
        </w:tc>
        <w:tc>
          <w:tcPr>
            <w:tcW w:w="204" w:type="pct"/>
            <w:tcBorders>
              <w:top w:val="nil"/>
              <w:left w:val="nil"/>
              <w:bottom w:val="nil"/>
              <w:right w:val="nil"/>
            </w:tcBorders>
            <w:shd w:val="clear" w:color="000000" w:fill="FFFFFF"/>
            <w:noWrap/>
            <w:vAlign w:val="bottom"/>
            <w:hideMark/>
          </w:tcPr>
          <w:p w14:paraId="737F745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70.03%</w:t>
            </w:r>
          </w:p>
        </w:tc>
        <w:tc>
          <w:tcPr>
            <w:tcW w:w="204" w:type="pct"/>
            <w:tcBorders>
              <w:top w:val="nil"/>
              <w:left w:val="nil"/>
              <w:bottom w:val="nil"/>
              <w:right w:val="nil"/>
            </w:tcBorders>
            <w:shd w:val="clear" w:color="000000" w:fill="FFFFFF"/>
            <w:noWrap/>
            <w:vAlign w:val="bottom"/>
            <w:hideMark/>
          </w:tcPr>
          <w:p w14:paraId="7B9E97A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70.03%</w:t>
            </w:r>
          </w:p>
        </w:tc>
        <w:tc>
          <w:tcPr>
            <w:tcW w:w="204" w:type="pct"/>
            <w:tcBorders>
              <w:top w:val="nil"/>
              <w:left w:val="nil"/>
              <w:bottom w:val="nil"/>
              <w:right w:val="nil"/>
            </w:tcBorders>
            <w:shd w:val="clear" w:color="000000" w:fill="FFFFFF"/>
            <w:noWrap/>
            <w:vAlign w:val="bottom"/>
            <w:hideMark/>
          </w:tcPr>
          <w:p w14:paraId="0E2CB31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3E04A7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E954C1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093C85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078C8B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4B8963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5867298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8B1C5D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6FF84C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54AEC28E" w14:textId="77777777" w:rsidTr="002D2278">
        <w:trPr>
          <w:trHeight w:val="20"/>
        </w:trPr>
        <w:tc>
          <w:tcPr>
            <w:tcW w:w="867" w:type="pct"/>
            <w:tcBorders>
              <w:top w:val="nil"/>
              <w:left w:val="nil"/>
              <w:bottom w:val="nil"/>
              <w:right w:val="nil"/>
            </w:tcBorders>
            <w:shd w:val="clear" w:color="000000" w:fill="FFFFFF"/>
            <w:noWrap/>
            <w:vAlign w:val="center"/>
            <w:hideMark/>
          </w:tcPr>
          <w:p w14:paraId="638D74F1" w14:textId="2979545C"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2020........................................</w:t>
            </w:r>
          </w:p>
        </w:tc>
        <w:tc>
          <w:tcPr>
            <w:tcW w:w="452" w:type="pct"/>
            <w:tcBorders>
              <w:top w:val="nil"/>
              <w:left w:val="nil"/>
              <w:bottom w:val="nil"/>
              <w:right w:val="nil"/>
            </w:tcBorders>
            <w:shd w:val="clear" w:color="000000" w:fill="FFFFFF"/>
            <w:noWrap/>
            <w:vAlign w:val="bottom"/>
            <w:hideMark/>
          </w:tcPr>
          <w:p w14:paraId="44CC389D"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2020Q1</w:t>
            </w:r>
          </w:p>
        </w:tc>
        <w:tc>
          <w:tcPr>
            <w:tcW w:w="623" w:type="pct"/>
            <w:tcBorders>
              <w:top w:val="nil"/>
              <w:left w:val="nil"/>
              <w:bottom w:val="nil"/>
              <w:right w:val="nil"/>
            </w:tcBorders>
            <w:shd w:val="clear" w:color="000000" w:fill="FFFFFF"/>
            <w:noWrap/>
            <w:vAlign w:val="center"/>
            <w:hideMark/>
          </w:tcPr>
          <w:p w14:paraId="69A4AA90"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1,724 </w:t>
            </w:r>
          </w:p>
        </w:tc>
        <w:tc>
          <w:tcPr>
            <w:tcW w:w="204" w:type="pct"/>
            <w:tcBorders>
              <w:top w:val="nil"/>
              <w:left w:val="nil"/>
              <w:bottom w:val="nil"/>
              <w:right w:val="nil"/>
            </w:tcBorders>
            <w:shd w:val="clear" w:color="000000" w:fill="FFFFFF"/>
            <w:noWrap/>
            <w:vAlign w:val="bottom"/>
            <w:hideMark/>
          </w:tcPr>
          <w:p w14:paraId="6D3033B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70.37%</w:t>
            </w:r>
          </w:p>
        </w:tc>
        <w:tc>
          <w:tcPr>
            <w:tcW w:w="204" w:type="pct"/>
            <w:tcBorders>
              <w:top w:val="nil"/>
              <w:left w:val="nil"/>
              <w:bottom w:val="nil"/>
              <w:right w:val="nil"/>
            </w:tcBorders>
            <w:shd w:val="clear" w:color="000000" w:fill="FFFFFF"/>
            <w:noWrap/>
            <w:vAlign w:val="bottom"/>
            <w:hideMark/>
          </w:tcPr>
          <w:p w14:paraId="6D3E13A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70.41%</w:t>
            </w:r>
          </w:p>
        </w:tc>
        <w:tc>
          <w:tcPr>
            <w:tcW w:w="204" w:type="pct"/>
            <w:tcBorders>
              <w:top w:val="nil"/>
              <w:left w:val="nil"/>
              <w:bottom w:val="nil"/>
              <w:right w:val="nil"/>
            </w:tcBorders>
            <w:shd w:val="clear" w:color="000000" w:fill="FFFFFF"/>
            <w:noWrap/>
            <w:vAlign w:val="bottom"/>
            <w:hideMark/>
          </w:tcPr>
          <w:p w14:paraId="0184016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70.43%</w:t>
            </w:r>
          </w:p>
        </w:tc>
        <w:tc>
          <w:tcPr>
            <w:tcW w:w="204" w:type="pct"/>
            <w:tcBorders>
              <w:top w:val="nil"/>
              <w:left w:val="nil"/>
              <w:bottom w:val="nil"/>
              <w:right w:val="nil"/>
            </w:tcBorders>
            <w:shd w:val="clear" w:color="000000" w:fill="FFFFFF"/>
            <w:noWrap/>
            <w:vAlign w:val="bottom"/>
            <w:hideMark/>
          </w:tcPr>
          <w:p w14:paraId="40366DE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70.46%</w:t>
            </w:r>
          </w:p>
        </w:tc>
        <w:tc>
          <w:tcPr>
            <w:tcW w:w="204" w:type="pct"/>
            <w:tcBorders>
              <w:top w:val="nil"/>
              <w:left w:val="nil"/>
              <w:bottom w:val="nil"/>
              <w:right w:val="nil"/>
            </w:tcBorders>
            <w:shd w:val="clear" w:color="000000" w:fill="FFFFFF"/>
            <w:noWrap/>
            <w:vAlign w:val="bottom"/>
            <w:hideMark/>
          </w:tcPr>
          <w:p w14:paraId="032364E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70.48%</w:t>
            </w:r>
          </w:p>
        </w:tc>
        <w:tc>
          <w:tcPr>
            <w:tcW w:w="204" w:type="pct"/>
            <w:tcBorders>
              <w:top w:val="nil"/>
              <w:left w:val="nil"/>
              <w:bottom w:val="nil"/>
              <w:right w:val="nil"/>
            </w:tcBorders>
            <w:shd w:val="clear" w:color="000000" w:fill="FFFFFF"/>
            <w:noWrap/>
            <w:vAlign w:val="bottom"/>
            <w:hideMark/>
          </w:tcPr>
          <w:p w14:paraId="7FE2CE6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B143EA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2B3536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49235C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826246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A50639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90919E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5D32A2E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AA073C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886566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23125DAC" w14:textId="77777777" w:rsidTr="002D2278">
        <w:trPr>
          <w:trHeight w:val="20"/>
        </w:trPr>
        <w:tc>
          <w:tcPr>
            <w:tcW w:w="867" w:type="pct"/>
            <w:tcBorders>
              <w:top w:val="nil"/>
              <w:left w:val="nil"/>
              <w:bottom w:val="nil"/>
              <w:right w:val="nil"/>
            </w:tcBorders>
            <w:shd w:val="clear" w:color="000000" w:fill="FFFFFF"/>
            <w:noWrap/>
            <w:vAlign w:val="center"/>
            <w:hideMark/>
          </w:tcPr>
          <w:p w14:paraId="4F6AA085" w14:textId="675918E8"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30 </w:t>
            </w:r>
            <w:r>
              <w:rPr>
                <w:rFonts w:ascii="Aptos Narrow" w:hAnsi="Aptos Narrow"/>
                <w:sz w:val="14"/>
                <w:szCs w:val="14"/>
                <w:lang w:val="de-DE" w:eastAsia="de-DE"/>
              </w:rPr>
              <w:t>June</w:t>
            </w:r>
            <w:r w:rsidRPr="002D2278">
              <w:rPr>
                <w:rFonts w:ascii="Aptos Narrow" w:hAnsi="Aptos Narrow"/>
                <w:sz w:val="14"/>
                <w:szCs w:val="14"/>
                <w:lang w:val="de-DE" w:eastAsia="de-DE"/>
              </w:rPr>
              <w:t xml:space="preserve"> 2020..........................................</w:t>
            </w:r>
          </w:p>
        </w:tc>
        <w:tc>
          <w:tcPr>
            <w:tcW w:w="452" w:type="pct"/>
            <w:tcBorders>
              <w:top w:val="nil"/>
              <w:left w:val="nil"/>
              <w:bottom w:val="nil"/>
              <w:right w:val="nil"/>
            </w:tcBorders>
            <w:shd w:val="clear" w:color="000000" w:fill="FFFFFF"/>
            <w:noWrap/>
            <w:vAlign w:val="bottom"/>
            <w:hideMark/>
          </w:tcPr>
          <w:p w14:paraId="489CED7A"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2020Q2</w:t>
            </w:r>
          </w:p>
        </w:tc>
        <w:tc>
          <w:tcPr>
            <w:tcW w:w="623" w:type="pct"/>
            <w:tcBorders>
              <w:top w:val="nil"/>
              <w:left w:val="nil"/>
              <w:bottom w:val="nil"/>
              <w:right w:val="nil"/>
            </w:tcBorders>
            <w:shd w:val="clear" w:color="000000" w:fill="FFFFFF"/>
            <w:noWrap/>
            <w:vAlign w:val="center"/>
            <w:hideMark/>
          </w:tcPr>
          <w:p w14:paraId="474F2F05"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1,727 </w:t>
            </w:r>
          </w:p>
        </w:tc>
        <w:tc>
          <w:tcPr>
            <w:tcW w:w="204" w:type="pct"/>
            <w:tcBorders>
              <w:top w:val="nil"/>
              <w:left w:val="nil"/>
              <w:bottom w:val="nil"/>
              <w:right w:val="nil"/>
            </w:tcBorders>
            <w:shd w:val="clear" w:color="000000" w:fill="FFFFFF"/>
            <w:noWrap/>
            <w:vAlign w:val="bottom"/>
            <w:hideMark/>
          </w:tcPr>
          <w:p w14:paraId="43CBBA8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75.37%</w:t>
            </w:r>
          </w:p>
        </w:tc>
        <w:tc>
          <w:tcPr>
            <w:tcW w:w="204" w:type="pct"/>
            <w:tcBorders>
              <w:top w:val="nil"/>
              <w:left w:val="nil"/>
              <w:bottom w:val="nil"/>
              <w:right w:val="nil"/>
            </w:tcBorders>
            <w:shd w:val="clear" w:color="000000" w:fill="FFFFFF"/>
            <w:noWrap/>
            <w:vAlign w:val="bottom"/>
            <w:hideMark/>
          </w:tcPr>
          <w:p w14:paraId="79BF42C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75.56%</w:t>
            </w:r>
          </w:p>
        </w:tc>
        <w:tc>
          <w:tcPr>
            <w:tcW w:w="204" w:type="pct"/>
            <w:tcBorders>
              <w:top w:val="nil"/>
              <w:left w:val="nil"/>
              <w:bottom w:val="nil"/>
              <w:right w:val="nil"/>
            </w:tcBorders>
            <w:shd w:val="clear" w:color="000000" w:fill="FFFFFF"/>
            <w:noWrap/>
            <w:vAlign w:val="bottom"/>
            <w:hideMark/>
          </w:tcPr>
          <w:p w14:paraId="3971AA8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75.61%</w:t>
            </w:r>
          </w:p>
        </w:tc>
        <w:tc>
          <w:tcPr>
            <w:tcW w:w="204" w:type="pct"/>
            <w:tcBorders>
              <w:top w:val="nil"/>
              <w:left w:val="nil"/>
              <w:bottom w:val="nil"/>
              <w:right w:val="nil"/>
            </w:tcBorders>
            <w:shd w:val="clear" w:color="000000" w:fill="FFFFFF"/>
            <w:noWrap/>
            <w:vAlign w:val="bottom"/>
            <w:hideMark/>
          </w:tcPr>
          <w:p w14:paraId="58A8D08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75.66%</w:t>
            </w:r>
          </w:p>
        </w:tc>
        <w:tc>
          <w:tcPr>
            <w:tcW w:w="204" w:type="pct"/>
            <w:tcBorders>
              <w:top w:val="nil"/>
              <w:left w:val="nil"/>
              <w:bottom w:val="nil"/>
              <w:right w:val="nil"/>
            </w:tcBorders>
            <w:shd w:val="clear" w:color="000000" w:fill="FFFFFF"/>
            <w:noWrap/>
            <w:vAlign w:val="bottom"/>
            <w:hideMark/>
          </w:tcPr>
          <w:p w14:paraId="5F553ED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4595A0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52DEE1A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4B82D4B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526B07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84DA6F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60B3FC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89B6EC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DF63AF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A41BC4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6E0A477"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60045016" w14:textId="77777777" w:rsidTr="002D2278">
        <w:trPr>
          <w:trHeight w:val="20"/>
        </w:trPr>
        <w:tc>
          <w:tcPr>
            <w:tcW w:w="867" w:type="pct"/>
            <w:tcBorders>
              <w:top w:val="nil"/>
              <w:left w:val="nil"/>
              <w:bottom w:val="nil"/>
              <w:right w:val="nil"/>
            </w:tcBorders>
            <w:shd w:val="clear" w:color="000000" w:fill="FFFFFF"/>
            <w:noWrap/>
            <w:vAlign w:val="center"/>
            <w:hideMark/>
          </w:tcPr>
          <w:p w14:paraId="12A04D74" w14:textId="77777777"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30 September 2020..............................</w:t>
            </w:r>
          </w:p>
        </w:tc>
        <w:tc>
          <w:tcPr>
            <w:tcW w:w="452" w:type="pct"/>
            <w:tcBorders>
              <w:top w:val="nil"/>
              <w:left w:val="nil"/>
              <w:bottom w:val="nil"/>
              <w:right w:val="nil"/>
            </w:tcBorders>
            <w:shd w:val="clear" w:color="000000" w:fill="FFFFFF"/>
            <w:noWrap/>
            <w:vAlign w:val="bottom"/>
            <w:hideMark/>
          </w:tcPr>
          <w:p w14:paraId="2AC816EF"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2020Q3</w:t>
            </w:r>
          </w:p>
        </w:tc>
        <w:tc>
          <w:tcPr>
            <w:tcW w:w="623" w:type="pct"/>
            <w:tcBorders>
              <w:top w:val="nil"/>
              <w:left w:val="nil"/>
              <w:bottom w:val="nil"/>
              <w:right w:val="nil"/>
            </w:tcBorders>
            <w:shd w:val="clear" w:color="000000" w:fill="FFFFFF"/>
            <w:noWrap/>
            <w:vAlign w:val="center"/>
            <w:hideMark/>
          </w:tcPr>
          <w:p w14:paraId="5924A6B7"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1,877 </w:t>
            </w:r>
          </w:p>
        </w:tc>
        <w:tc>
          <w:tcPr>
            <w:tcW w:w="204" w:type="pct"/>
            <w:tcBorders>
              <w:top w:val="nil"/>
              <w:left w:val="nil"/>
              <w:bottom w:val="nil"/>
              <w:right w:val="nil"/>
            </w:tcBorders>
            <w:shd w:val="clear" w:color="000000" w:fill="FFFFFF"/>
            <w:noWrap/>
            <w:vAlign w:val="bottom"/>
            <w:hideMark/>
          </w:tcPr>
          <w:p w14:paraId="6E1C96C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81.72%</w:t>
            </w:r>
          </w:p>
        </w:tc>
        <w:tc>
          <w:tcPr>
            <w:tcW w:w="204" w:type="pct"/>
            <w:tcBorders>
              <w:top w:val="nil"/>
              <w:left w:val="nil"/>
              <w:bottom w:val="nil"/>
              <w:right w:val="nil"/>
            </w:tcBorders>
            <w:shd w:val="clear" w:color="000000" w:fill="FFFFFF"/>
            <w:noWrap/>
            <w:vAlign w:val="bottom"/>
            <w:hideMark/>
          </w:tcPr>
          <w:p w14:paraId="59D1BB3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81.85%</w:t>
            </w:r>
          </w:p>
        </w:tc>
        <w:tc>
          <w:tcPr>
            <w:tcW w:w="204" w:type="pct"/>
            <w:tcBorders>
              <w:top w:val="nil"/>
              <w:left w:val="nil"/>
              <w:bottom w:val="nil"/>
              <w:right w:val="nil"/>
            </w:tcBorders>
            <w:shd w:val="clear" w:color="000000" w:fill="FFFFFF"/>
            <w:noWrap/>
            <w:vAlign w:val="bottom"/>
            <w:hideMark/>
          </w:tcPr>
          <w:p w14:paraId="5E0731B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82.01%</w:t>
            </w:r>
          </w:p>
        </w:tc>
        <w:tc>
          <w:tcPr>
            <w:tcW w:w="204" w:type="pct"/>
            <w:tcBorders>
              <w:top w:val="nil"/>
              <w:left w:val="nil"/>
              <w:bottom w:val="nil"/>
              <w:right w:val="nil"/>
            </w:tcBorders>
            <w:shd w:val="clear" w:color="000000" w:fill="FFFFFF"/>
            <w:noWrap/>
            <w:vAlign w:val="bottom"/>
            <w:hideMark/>
          </w:tcPr>
          <w:p w14:paraId="550B67C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19890B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44F46D0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007C0B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479338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8B99BA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3943925"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5861091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DA7CB7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49349E7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2AF409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84D13F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12972C70" w14:textId="77777777" w:rsidTr="002D2278">
        <w:trPr>
          <w:trHeight w:val="20"/>
        </w:trPr>
        <w:tc>
          <w:tcPr>
            <w:tcW w:w="867" w:type="pct"/>
            <w:tcBorders>
              <w:top w:val="nil"/>
              <w:left w:val="nil"/>
              <w:bottom w:val="nil"/>
              <w:right w:val="nil"/>
            </w:tcBorders>
            <w:shd w:val="clear" w:color="000000" w:fill="FFFFFF"/>
            <w:noWrap/>
            <w:vAlign w:val="center"/>
            <w:hideMark/>
          </w:tcPr>
          <w:p w14:paraId="20814CE9" w14:textId="192D2081"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December</w:t>
            </w:r>
            <w:r w:rsidRPr="002D2278">
              <w:rPr>
                <w:rFonts w:ascii="Aptos Narrow" w:hAnsi="Aptos Narrow"/>
                <w:sz w:val="14"/>
                <w:szCs w:val="14"/>
                <w:lang w:val="de-DE" w:eastAsia="de-DE"/>
              </w:rPr>
              <w:t xml:space="preserve"> 2020...............................</w:t>
            </w:r>
          </w:p>
        </w:tc>
        <w:tc>
          <w:tcPr>
            <w:tcW w:w="452" w:type="pct"/>
            <w:tcBorders>
              <w:top w:val="nil"/>
              <w:left w:val="nil"/>
              <w:bottom w:val="nil"/>
              <w:right w:val="nil"/>
            </w:tcBorders>
            <w:shd w:val="clear" w:color="000000" w:fill="FFFFFF"/>
            <w:noWrap/>
            <w:vAlign w:val="bottom"/>
            <w:hideMark/>
          </w:tcPr>
          <w:p w14:paraId="1B705639"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2020Q4</w:t>
            </w:r>
          </w:p>
        </w:tc>
        <w:tc>
          <w:tcPr>
            <w:tcW w:w="623" w:type="pct"/>
            <w:tcBorders>
              <w:top w:val="nil"/>
              <w:left w:val="nil"/>
              <w:bottom w:val="nil"/>
              <w:right w:val="nil"/>
            </w:tcBorders>
            <w:shd w:val="clear" w:color="000000" w:fill="FFFFFF"/>
            <w:noWrap/>
            <w:vAlign w:val="center"/>
            <w:hideMark/>
          </w:tcPr>
          <w:p w14:paraId="3FA87870"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1,449 </w:t>
            </w:r>
          </w:p>
        </w:tc>
        <w:tc>
          <w:tcPr>
            <w:tcW w:w="204" w:type="pct"/>
            <w:tcBorders>
              <w:top w:val="nil"/>
              <w:left w:val="nil"/>
              <w:bottom w:val="nil"/>
              <w:right w:val="nil"/>
            </w:tcBorders>
            <w:shd w:val="clear" w:color="000000" w:fill="FFFFFF"/>
            <w:noWrap/>
            <w:vAlign w:val="bottom"/>
            <w:hideMark/>
          </w:tcPr>
          <w:p w14:paraId="3D212F36"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84.49%</w:t>
            </w:r>
          </w:p>
        </w:tc>
        <w:tc>
          <w:tcPr>
            <w:tcW w:w="204" w:type="pct"/>
            <w:tcBorders>
              <w:top w:val="nil"/>
              <w:left w:val="nil"/>
              <w:bottom w:val="nil"/>
              <w:right w:val="nil"/>
            </w:tcBorders>
            <w:shd w:val="clear" w:color="000000" w:fill="FFFFFF"/>
            <w:noWrap/>
            <w:vAlign w:val="bottom"/>
            <w:hideMark/>
          </w:tcPr>
          <w:p w14:paraId="3D1D123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84.54%</w:t>
            </w:r>
          </w:p>
        </w:tc>
        <w:tc>
          <w:tcPr>
            <w:tcW w:w="204" w:type="pct"/>
            <w:tcBorders>
              <w:top w:val="nil"/>
              <w:left w:val="nil"/>
              <w:bottom w:val="nil"/>
              <w:right w:val="nil"/>
            </w:tcBorders>
            <w:shd w:val="clear" w:color="000000" w:fill="FFFFFF"/>
            <w:noWrap/>
            <w:vAlign w:val="bottom"/>
            <w:hideMark/>
          </w:tcPr>
          <w:p w14:paraId="1F51B66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CCE899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A825F32"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68AD11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685181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AFAA41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C75EFD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37F74CF"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BB0F14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E2526F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25449A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699DABE"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7696D6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r w:rsidR="002D2278" w:rsidRPr="002D2278" w14:paraId="18EB3F53" w14:textId="77777777" w:rsidTr="002D2278">
        <w:trPr>
          <w:trHeight w:val="20"/>
        </w:trPr>
        <w:tc>
          <w:tcPr>
            <w:tcW w:w="867" w:type="pct"/>
            <w:tcBorders>
              <w:top w:val="nil"/>
              <w:left w:val="nil"/>
              <w:bottom w:val="nil"/>
              <w:right w:val="nil"/>
            </w:tcBorders>
            <w:shd w:val="clear" w:color="000000" w:fill="FFFFFF"/>
            <w:noWrap/>
            <w:vAlign w:val="center"/>
            <w:hideMark/>
          </w:tcPr>
          <w:p w14:paraId="4C908F9E" w14:textId="34DBA26E" w:rsidR="002D2278" w:rsidRPr="002D2278" w:rsidRDefault="002D2278" w:rsidP="002D2278">
            <w:pPr>
              <w:spacing w:line="240" w:lineRule="auto"/>
              <w:jc w:val="center"/>
              <w:rPr>
                <w:rFonts w:ascii="Aptos Narrow" w:hAnsi="Aptos Narrow"/>
                <w:sz w:val="14"/>
                <w:szCs w:val="14"/>
                <w:lang w:val="de-DE" w:eastAsia="de-DE"/>
              </w:rPr>
            </w:pPr>
            <w:r w:rsidRPr="002D2278">
              <w:rPr>
                <w:rFonts w:ascii="Aptos Narrow" w:hAnsi="Aptos Narrow"/>
                <w:sz w:val="14"/>
                <w:szCs w:val="14"/>
                <w:lang w:val="de-DE" w:eastAsia="de-DE"/>
              </w:rPr>
              <w:t xml:space="preserve">31 </w:t>
            </w:r>
            <w:r>
              <w:rPr>
                <w:rFonts w:ascii="Aptos Narrow" w:hAnsi="Aptos Narrow"/>
                <w:sz w:val="14"/>
                <w:szCs w:val="14"/>
                <w:lang w:val="de-DE" w:eastAsia="de-DE"/>
              </w:rPr>
              <w:t>March</w:t>
            </w:r>
            <w:r w:rsidRPr="002D2278">
              <w:rPr>
                <w:rFonts w:ascii="Aptos Narrow" w:hAnsi="Aptos Narrow"/>
                <w:sz w:val="14"/>
                <w:szCs w:val="14"/>
                <w:lang w:val="de-DE" w:eastAsia="de-DE"/>
              </w:rPr>
              <w:t xml:space="preserve"> 2021........................................</w:t>
            </w:r>
          </w:p>
        </w:tc>
        <w:tc>
          <w:tcPr>
            <w:tcW w:w="452" w:type="pct"/>
            <w:tcBorders>
              <w:top w:val="nil"/>
              <w:left w:val="nil"/>
              <w:bottom w:val="nil"/>
              <w:right w:val="nil"/>
            </w:tcBorders>
            <w:shd w:val="clear" w:color="000000" w:fill="FFFFFF"/>
            <w:noWrap/>
            <w:vAlign w:val="bottom"/>
            <w:hideMark/>
          </w:tcPr>
          <w:p w14:paraId="60E26C73" w14:textId="77777777" w:rsidR="002D2278" w:rsidRPr="002D2278" w:rsidRDefault="002D2278" w:rsidP="002D2278">
            <w:pPr>
              <w:spacing w:line="240" w:lineRule="auto"/>
              <w:jc w:val="center"/>
              <w:rPr>
                <w:rFonts w:ascii="Aptos Narrow" w:hAnsi="Aptos Narrow"/>
                <w:color w:val="000000"/>
                <w:sz w:val="14"/>
                <w:szCs w:val="14"/>
                <w:lang w:val="de-DE" w:eastAsia="de-DE"/>
              </w:rPr>
            </w:pPr>
            <w:r w:rsidRPr="002D2278">
              <w:rPr>
                <w:rFonts w:ascii="Aptos Narrow" w:hAnsi="Aptos Narrow"/>
                <w:color w:val="000000"/>
                <w:sz w:val="14"/>
                <w:szCs w:val="14"/>
                <w:lang w:val="de-DE" w:eastAsia="de-DE"/>
              </w:rPr>
              <w:t>2021Q1</w:t>
            </w:r>
          </w:p>
        </w:tc>
        <w:tc>
          <w:tcPr>
            <w:tcW w:w="623" w:type="pct"/>
            <w:tcBorders>
              <w:top w:val="nil"/>
              <w:left w:val="nil"/>
              <w:bottom w:val="nil"/>
              <w:right w:val="nil"/>
            </w:tcBorders>
            <w:shd w:val="clear" w:color="000000" w:fill="FFFFFF"/>
            <w:noWrap/>
            <w:vAlign w:val="center"/>
            <w:hideMark/>
          </w:tcPr>
          <w:p w14:paraId="69675FA0" w14:textId="77777777" w:rsidR="002D2278" w:rsidRPr="002D2278" w:rsidRDefault="002D2278" w:rsidP="002D2278">
            <w:pPr>
              <w:spacing w:line="240" w:lineRule="auto"/>
              <w:jc w:val="left"/>
              <w:rPr>
                <w:rFonts w:ascii="Aptos Narrow" w:hAnsi="Aptos Narrow"/>
                <w:sz w:val="14"/>
                <w:szCs w:val="14"/>
                <w:lang w:val="de-DE" w:eastAsia="de-DE"/>
              </w:rPr>
            </w:pPr>
            <w:r w:rsidRPr="002D2278">
              <w:rPr>
                <w:rFonts w:ascii="Aptos Narrow" w:hAnsi="Aptos Narrow"/>
                <w:sz w:val="14"/>
                <w:szCs w:val="14"/>
                <w:lang w:val="de-DE" w:eastAsia="de-DE"/>
              </w:rPr>
              <w:t xml:space="preserve">                                                 1,811 </w:t>
            </w:r>
          </w:p>
        </w:tc>
        <w:tc>
          <w:tcPr>
            <w:tcW w:w="204" w:type="pct"/>
            <w:tcBorders>
              <w:top w:val="nil"/>
              <w:left w:val="nil"/>
              <w:bottom w:val="nil"/>
              <w:right w:val="nil"/>
            </w:tcBorders>
            <w:shd w:val="clear" w:color="000000" w:fill="FFFFFF"/>
            <w:noWrap/>
            <w:vAlign w:val="bottom"/>
            <w:hideMark/>
          </w:tcPr>
          <w:p w14:paraId="3DCC73E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77.29%</w:t>
            </w:r>
          </w:p>
        </w:tc>
        <w:tc>
          <w:tcPr>
            <w:tcW w:w="204" w:type="pct"/>
            <w:tcBorders>
              <w:top w:val="nil"/>
              <w:left w:val="nil"/>
              <w:bottom w:val="nil"/>
              <w:right w:val="nil"/>
            </w:tcBorders>
            <w:shd w:val="clear" w:color="000000" w:fill="FFFFFF"/>
            <w:noWrap/>
            <w:vAlign w:val="bottom"/>
            <w:hideMark/>
          </w:tcPr>
          <w:p w14:paraId="6786A17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2EDD99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69C1D4B1"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4C096BC8"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078BD90"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530CF1FC"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2AC44F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5DF5BBB"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4CEC2CA"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7B139F8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3ADB6684"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0DF8AE99"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184ED27D"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c>
          <w:tcPr>
            <w:tcW w:w="204" w:type="pct"/>
            <w:tcBorders>
              <w:top w:val="nil"/>
              <w:left w:val="nil"/>
              <w:bottom w:val="nil"/>
              <w:right w:val="nil"/>
            </w:tcBorders>
            <w:shd w:val="clear" w:color="000000" w:fill="FFFFFF"/>
            <w:noWrap/>
            <w:vAlign w:val="bottom"/>
            <w:hideMark/>
          </w:tcPr>
          <w:p w14:paraId="22EDD403" w14:textId="77777777" w:rsidR="002D2278" w:rsidRPr="002D2278" w:rsidRDefault="002D2278" w:rsidP="002D2278">
            <w:pPr>
              <w:spacing w:line="240" w:lineRule="auto"/>
              <w:jc w:val="right"/>
              <w:rPr>
                <w:rFonts w:ascii="Aptos Narrow" w:hAnsi="Aptos Narrow"/>
                <w:sz w:val="14"/>
                <w:szCs w:val="14"/>
                <w:lang w:val="de-DE" w:eastAsia="de-DE"/>
              </w:rPr>
            </w:pPr>
            <w:r w:rsidRPr="002D2278">
              <w:rPr>
                <w:rFonts w:ascii="Aptos Narrow" w:hAnsi="Aptos Narrow"/>
                <w:sz w:val="14"/>
                <w:szCs w:val="14"/>
                <w:lang w:val="de-DE" w:eastAsia="de-DE"/>
              </w:rPr>
              <w:t> </w:t>
            </w:r>
          </w:p>
        </w:tc>
      </w:tr>
    </w:tbl>
    <w:p w14:paraId="5999B1B8" w14:textId="77777777" w:rsidR="002D2278" w:rsidRDefault="002D2278" w:rsidP="00EF7333">
      <w:pPr>
        <w:pStyle w:val="Body1"/>
      </w:pPr>
    </w:p>
    <w:tbl>
      <w:tblPr>
        <w:tblW w:w="5000" w:type="pct"/>
        <w:tblCellMar>
          <w:left w:w="70" w:type="dxa"/>
          <w:right w:w="70" w:type="dxa"/>
        </w:tblCellMar>
        <w:tblLook w:val="04A0" w:firstRow="1" w:lastRow="0" w:firstColumn="1" w:lastColumn="0" w:noHBand="0" w:noVBand="1"/>
      </w:tblPr>
      <w:tblGrid>
        <w:gridCol w:w="2100"/>
        <w:gridCol w:w="1128"/>
        <w:gridCol w:w="1515"/>
        <w:gridCol w:w="515"/>
        <w:gridCol w:w="515"/>
        <w:gridCol w:w="515"/>
        <w:gridCol w:w="515"/>
        <w:gridCol w:w="515"/>
        <w:gridCol w:w="515"/>
        <w:gridCol w:w="515"/>
        <w:gridCol w:w="515"/>
        <w:gridCol w:w="515"/>
        <w:gridCol w:w="515"/>
        <w:gridCol w:w="515"/>
        <w:gridCol w:w="515"/>
        <w:gridCol w:w="515"/>
        <w:gridCol w:w="515"/>
        <w:gridCol w:w="515"/>
        <w:gridCol w:w="515"/>
        <w:gridCol w:w="515"/>
        <w:gridCol w:w="506"/>
      </w:tblGrid>
      <w:tr w:rsidR="002D2278" w:rsidRPr="002D2278" w14:paraId="5B1D692A" w14:textId="77777777" w:rsidTr="002D2278">
        <w:trPr>
          <w:trHeight w:val="20"/>
        </w:trPr>
        <w:tc>
          <w:tcPr>
            <w:tcW w:w="750" w:type="pct"/>
            <w:tcBorders>
              <w:top w:val="nil"/>
              <w:left w:val="nil"/>
              <w:bottom w:val="single" w:sz="4" w:space="0" w:color="auto"/>
              <w:right w:val="nil"/>
            </w:tcBorders>
            <w:shd w:val="clear" w:color="000000" w:fill="243782"/>
            <w:noWrap/>
            <w:vAlign w:val="center"/>
            <w:hideMark/>
          </w:tcPr>
          <w:p w14:paraId="0C40C157"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As at Month ending</w:t>
            </w:r>
          </w:p>
        </w:tc>
        <w:tc>
          <w:tcPr>
            <w:tcW w:w="403" w:type="pct"/>
            <w:tcBorders>
              <w:top w:val="nil"/>
              <w:left w:val="nil"/>
              <w:bottom w:val="single" w:sz="4" w:space="0" w:color="auto"/>
              <w:right w:val="nil"/>
            </w:tcBorders>
            <w:shd w:val="clear" w:color="000000" w:fill="243782"/>
            <w:noWrap/>
            <w:vAlign w:val="center"/>
            <w:hideMark/>
          </w:tcPr>
          <w:p w14:paraId="2B45CB66"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Origination Quarter</w:t>
            </w:r>
          </w:p>
        </w:tc>
        <w:tc>
          <w:tcPr>
            <w:tcW w:w="541" w:type="pct"/>
            <w:tcBorders>
              <w:top w:val="nil"/>
              <w:left w:val="nil"/>
              <w:bottom w:val="single" w:sz="4" w:space="0" w:color="auto"/>
              <w:right w:val="nil"/>
            </w:tcBorders>
            <w:shd w:val="clear" w:color="000000" w:fill="243782"/>
            <w:noWrap/>
            <w:vAlign w:val="center"/>
            <w:hideMark/>
          </w:tcPr>
          <w:p w14:paraId="2F98C2A6"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Defaulted Amount K€</w:t>
            </w:r>
          </w:p>
        </w:tc>
        <w:tc>
          <w:tcPr>
            <w:tcW w:w="184" w:type="pct"/>
            <w:tcBorders>
              <w:top w:val="nil"/>
              <w:left w:val="nil"/>
              <w:bottom w:val="single" w:sz="4" w:space="0" w:color="auto"/>
              <w:right w:val="nil"/>
            </w:tcBorders>
            <w:shd w:val="clear" w:color="000000" w:fill="243782"/>
            <w:noWrap/>
            <w:vAlign w:val="center"/>
            <w:hideMark/>
          </w:tcPr>
          <w:p w14:paraId="127035CC"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31</w:t>
            </w:r>
          </w:p>
        </w:tc>
        <w:tc>
          <w:tcPr>
            <w:tcW w:w="184" w:type="pct"/>
            <w:tcBorders>
              <w:top w:val="nil"/>
              <w:left w:val="nil"/>
              <w:bottom w:val="single" w:sz="4" w:space="0" w:color="auto"/>
              <w:right w:val="nil"/>
            </w:tcBorders>
            <w:shd w:val="clear" w:color="000000" w:fill="243782"/>
            <w:noWrap/>
            <w:vAlign w:val="center"/>
            <w:hideMark/>
          </w:tcPr>
          <w:p w14:paraId="75CC7E44"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32</w:t>
            </w:r>
          </w:p>
        </w:tc>
        <w:tc>
          <w:tcPr>
            <w:tcW w:w="184" w:type="pct"/>
            <w:tcBorders>
              <w:top w:val="nil"/>
              <w:left w:val="nil"/>
              <w:bottom w:val="single" w:sz="4" w:space="0" w:color="auto"/>
              <w:right w:val="nil"/>
            </w:tcBorders>
            <w:shd w:val="clear" w:color="000000" w:fill="243782"/>
            <w:noWrap/>
            <w:vAlign w:val="center"/>
            <w:hideMark/>
          </w:tcPr>
          <w:p w14:paraId="4114E885"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33</w:t>
            </w:r>
          </w:p>
        </w:tc>
        <w:tc>
          <w:tcPr>
            <w:tcW w:w="184" w:type="pct"/>
            <w:tcBorders>
              <w:top w:val="nil"/>
              <w:left w:val="nil"/>
              <w:bottom w:val="single" w:sz="4" w:space="0" w:color="auto"/>
              <w:right w:val="nil"/>
            </w:tcBorders>
            <w:shd w:val="clear" w:color="000000" w:fill="243782"/>
            <w:noWrap/>
            <w:vAlign w:val="center"/>
            <w:hideMark/>
          </w:tcPr>
          <w:p w14:paraId="5A290CDB"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34</w:t>
            </w:r>
          </w:p>
        </w:tc>
        <w:tc>
          <w:tcPr>
            <w:tcW w:w="184" w:type="pct"/>
            <w:tcBorders>
              <w:top w:val="nil"/>
              <w:left w:val="nil"/>
              <w:bottom w:val="single" w:sz="4" w:space="0" w:color="auto"/>
              <w:right w:val="nil"/>
            </w:tcBorders>
            <w:shd w:val="clear" w:color="000000" w:fill="243782"/>
            <w:noWrap/>
            <w:vAlign w:val="center"/>
            <w:hideMark/>
          </w:tcPr>
          <w:p w14:paraId="73DF25E4"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35</w:t>
            </w:r>
          </w:p>
        </w:tc>
        <w:tc>
          <w:tcPr>
            <w:tcW w:w="184" w:type="pct"/>
            <w:tcBorders>
              <w:top w:val="nil"/>
              <w:left w:val="nil"/>
              <w:bottom w:val="single" w:sz="4" w:space="0" w:color="auto"/>
              <w:right w:val="nil"/>
            </w:tcBorders>
            <w:shd w:val="clear" w:color="000000" w:fill="243782"/>
            <w:noWrap/>
            <w:vAlign w:val="center"/>
            <w:hideMark/>
          </w:tcPr>
          <w:p w14:paraId="52BD9117"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36</w:t>
            </w:r>
          </w:p>
        </w:tc>
        <w:tc>
          <w:tcPr>
            <w:tcW w:w="184" w:type="pct"/>
            <w:tcBorders>
              <w:top w:val="nil"/>
              <w:left w:val="nil"/>
              <w:bottom w:val="single" w:sz="4" w:space="0" w:color="auto"/>
              <w:right w:val="nil"/>
            </w:tcBorders>
            <w:shd w:val="clear" w:color="000000" w:fill="243782"/>
            <w:noWrap/>
            <w:vAlign w:val="center"/>
            <w:hideMark/>
          </w:tcPr>
          <w:p w14:paraId="4D740389"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37</w:t>
            </w:r>
          </w:p>
        </w:tc>
        <w:tc>
          <w:tcPr>
            <w:tcW w:w="184" w:type="pct"/>
            <w:tcBorders>
              <w:top w:val="nil"/>
              <w:left w:val="nil"/>
              <w:bottom w:val="single" w:sz="4" w:space="0" w:color="auto"/>
              <w:right w:val="nil"/>
            </w:tcBorders>
            <w:shd w:val="clear" w:color="000000" w:fill="243782"/>
            <w:noWrap/>
            <w:vAlign w:val="center"/>
            <w:hideMark/>
          </w:tcPr>
          <w:p w14:paraId="76B872FC"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38</w:t>
            </w:r>
          </w:p>
        </w:tc>
        <w:tc>
          <w:tcPr>
            <w:tcW w:w="184" w:type="pct"/>
            <w:tcBorders>
              <w:top w:val="nil"/>
              <w:left w:val="nil"/>
              <w:bottom w:val="single" w:sz="4" w:space="0" w:color="auto"/>
              <w:right w:val="nil"/>
            </w:tcBorders>
            <w:shd w:val="clear" w:color="000000" w:fill="243782"/>
            <w:noWrap/>
            <w:vAlign w:val="center"/>
            <w:hideMark/>
          </w:tcPr>
          <w:p w14:paraId="1D20340C"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39</w:t>
            </w:r>
          </w:p>
        </w:tc>
        <w:tc>
          <w:tcPr>
            <w:tcW w:w="184" w:type="pct"/>
            <w:tcBorders>
              <w:top w:val="nil"/>
              <w:left w:val="nil"/>
              <w:bottom w:val="single" w:sz="4" w:space="0" w:color="auto"/>
              <w:right w:val="nil"/>
            </w:tcBorders>
            <w:shd w:val="clear" w:color="000000" w:fill="243782"/>
            <w:noWrap/>
            <w:vAlign w:val="center"/>
            <w:hideMark/>
          </w:tcPr>
          <w:p w14:paraId="777965A1"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40</w:t>
            </w:r>
          </w:p>
        </w:tc>
        <w:tc>
          <w:tcPr>
            <w:tcW w:w="184" w:type="pct"/>
            <w:tcBorders>
              <w:top w:val="nil"/>
              <w:left w:val="nil"/>
              <w:bottom w:val="single" w:sz="4" w:space="0" w:color="auto"/>
              <w:right w:val="nil"/>
            </w:tcBorders>
            <w:shd w:val="clear" w:color="000000" w:fill="243782"/>
            <w:noWrap/>
            <w:vAlign w:val="center"/>
            <w:hideMark/>
          </w:tcPr>
          <w:p w14:paraId="073CD750"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41</w:t>
            </w:r>
          </w:p>
        </w:tc>
        <w:tc>
          <w:tcPr>
            <w:tcW w:w="184" w:type="pct"/>
            <w:tcBorders>
              <w:top w:val="nil"/>
              <w:left w:val="nil"/>
              <w:bottom w:val="single" w:sz="4" w:space="0" w:color="auto"/>
              <w:right w:val="nil"/>
            </w:tcBorders>
            <w:shd w:val="clear" w:color="000000" w:fill="243782"/>
            <w:noWrap/>
            <w:vAlign w:val="center"/>
            <w:hideMark/>
          </w:tcPr>
          <w:p w14:paraId="441CDB6C"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42</w:t>
            </w:r>
          </w:p>
        </w:tc>
        <w:tc>
          <w:tcPr>
            <w:tcW w:w="184" w:type="pct"/>
            <w:tcBorders>
              <w:top w:val="nil"/>
              <w:left w:val="nil"/>
              <w:bottom w:val="single" w:sz="4" w:space="0" w:color="auto"/>
              <w:right w:val="nil"/>
            </w:tcBorders>
            <w:shd w:val="clear" w:color="000000" w:fill="243782"/>
            <w:noWrap/>
            <w:vAlign w:val="center"/>
            <w:hideMark/>
          </w:tcPr>
          <w:p w14:paraId="221AA364"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43</w:t>
            </w:r>
          </w:p>
        </w:tc>
        <w:tc>
          <w:tcPr>
            <w:tcW w:w="184" w:type="pct"/>
            <w:tcBorders>
              <w:top w:val="nil"/>
              <w:left w:val="nil"/>
              <w:bottom w:val="single" w:sz="4" w:space="0" w:color="auto"/>
              <w:right w:val="nil"/>
            </w:tcBorders>
            <w:shd w:val="clear" w:color="000000" w:fill="243782"/>
            <w:noWrap/>
            <w:vAlign w:val="center"/>
            <w:hideMark/>
          </w:tcPr>
          <w:p w14:paraId="72FAEF0B"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44</w:t>
            </w:r>
          </w:p>
        </w:tc>
        <w:tc>
          <w:tcPr>
            <w:tcW w:w="184" w:type="pct"/>
            <w:tcBorders>
              <w:top w:val="nil"/>
              <w:left w:val="nil"/>
              <w:bottom w:val="single" w:sz="4" w:space="0" w:color="auto"/>
              <w:right w:val="nil"/>
            </w:tcBorders>
            <w:shd w:val="clear" w:color="000000" w:fill="243782"/>
            <w:noWrap/>
            <w:vAlign w:val="center"/>
            <w:hideMark/>
          </w:tcPr>
          <w:p w14:paraId="1FB17049"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45</w:t>
            </w:r>
          </w:p>
        </w:tc>
        <w:tc>
          <w:tcPr>
            <w:tcW w:w="184" w:type="pct"/>
            <w:tcBorders>
              <w:top w:val="nil"/>
              <w:left w:val="nil"/>
              <w:bottom w:val="single" w:sz="4" w:space="0" w:color="auto"/>
              <w:right w:val="nil"/>
            </w:tcBorders>
            <w:shd w:val="clear" w:color="000000" w:fill="243782"/>
            <w:noWrap/>
            <w:vAlign w:val="center"/>
            <w:hideMark/>
          </w:tcPr>
          <w:p w14:paraId="752D5A96"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46</w:t>
            </w:r>
          </w:p>
        </w:tc>
        <w:tc>
          <w:tcPr>
            <w:tcW w:w="184" w:type="pct"/>
            <w:tcBorders>
              <w:top w:val="nil"/>
              <w:left w:val="nil"/>
              <w:bottom w:val="single" w:sz="4" w:space="0" w:color="auto"/>
              <w:right w:val="nil"/>
            </w:tcBorders>
            <w:shd w:val="clear" w:color="000000" w:fill="243782"/>
            <w:noWrap/>
            <w:vAlign w:val="center"/>
            <w:hideMark/>
          </w:tcPr>
          <w:p w14:paraId="67F923ED"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47</w:t>
            </w:r>
          </w:p>
        </w:tc>
        <w:tc>
          <w:tcPr>
            <w:tcW w:w="181" w:type="pct"/>
            <w:tcBorders>
              <w:top w:val="nil"/>
              <w:left w:val="nil"/>
              <w:bottom w:val="single" w:sz="4" w:space="0" w:color="auto"/>
              <w:right w:val="nil"/>
            </w:tcBorders>
            <w:shd w:val="clear" w:color="000000" w:fill="243782"/>
            <w:noWrap/>
            <w:vAlign w:val="center"/>
            <w:hideMark/>
          </w:tcPr>
          <w:p w14:paraId="5BE4299E" w14:textId="77777777" w:rsidR="002D2278" w:rsidRPr="002D2278" w:rsidRDefault="002D2278" w:rsidP="002D2278">
            <w:pPr>
              <w:spacing w:line="240" w:lineRule="auto"/>
              <w:jc w:val="center"/>
              <w:rPr>
                <w:rFonts w:ascii="Aptos Narrow" w:hAnsi="Aptos Narrow"/>
                <w:b/>
                <w:bCs/>
                <w:color w:val="FFFFFF"/>
                <w:sz w:val="12"/>
                <w:szCs w:val="12"/>
                <w:lang w:val="de-DE" w:eastAsia="de-DE"/>
              </w:rPr>
            </w:pPr>
            <w:r w:rsidRPr="002D2278">
              <w:rPr>
                <w:rFonts w:ascii="Aptos Narrow" w:hAnsi="Aptos Narrow"/>
                <w:b/>
                <w:bCs/>
                <w:color w:val="FFFFFF"/>
                <w:sz w:val="12"/>
                <w:szCs w:val="12"/>
                <w:lang w:val="de-DE" w:eastAsia="de-DE"/>
              </w:rPr>
              <w:t>48</w:t>
            </w:r>
          </w:p>
        </w:tc>
      </w:tr>
      <w:tr w:rsidR="002D2278" w:rsidRPr="002D2278" w14:paraId="0499130C" w14:textId="77777777" w:rsidTr="002D2278">
        <w:trPr>
          <w:trHeight w:val="20"/>
        </w:trPr>
        <w:tc>
          <w:tcPr>
            <w:tcW w:w="750" w:type="pct"/>
            <w:tcBorders>
              <w:top w:val="nil"/>
              <w:left w:val="nil"/>
              <w:bottom w:val="nil"/>
              <w:right w:val="nil"/>
            </w:tcBorders>
            <w:shd w:val="clear" w:color="000000" w:fill="FFFFFF"/>
            <w:noWrap/>
            <w:vAlign w:val="center"/>
            <w:hideMark/>
          </w:tcPr>
          <w:p w14:paraId="12585723" w14:textId="531EECEC"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2013........................................</w:t>
            </w:r>
          </w:p>
        </w:tc>
        <w:tc>
          <w:tcPr>
            <w:tcW w:w="403" w:type="pct"/>
            <w:tcBorders>
              <w:top w:val="nil"/>
              <w:left w:val="nil"/>
              <w:bottom w:val="nil"/>
              <w:right w:val="nil"/>
            </w:tcBorders>
            <w:shd w:val="clear" w:color="000000" w:fill="FFFFFF"/>
            <w:noWrap/>
            <w:vAlign w:val="bottom"/>
            <w:hideMark/>
          </w:tcPr>
          <w:p w14:paraId="62139C40"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2013Q1</w:t>
            </w:r>
          </w:p>
        </w:tc>
        <w:tc>
          <w:tcPr>
            <w:tcW w:w="541" w:type="pct"/>
            <w:tcBorders>
              <w:top w:val="nil"/>
              <w:left w:val="nil"/>
              <w:bottom w:val="nil"/>
              <w:right w:val="nil"/>
            </w:tcBorders>
            <w:shd w:val="clear" w:color="000000" w:fill="FFFFFF"/>
            <w:noWrap/>
            <w:vAlign w:val="center"/>
            <w:hideMark/>
          </w:tcPr>
          <w:p w14:paraId="255E287B"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2,984 </w:t>
            </w:r>
          </w:p>
        </w:tc>
        <w:tc>
          <w:tcPr>
            <w:tcW w:w="184" w:type="pct"/>
            <w:tcBorders>
              <w:top w:val="nil"/>
              <w:left w:val="nil"/>
              <w:bottom w:val="nil"/>
              <w:right w:val="nil"/>
            </w:tcBorders>
            <w:shd w:val="clear" w:color="000000" w:fill="FFFFFF"/>
            <w:noWrap/>
            <w:vAlign w:val="bottom"/>
            <w:hideMark/>
          </w:tcPr>
          <w:p w14:paraId="2843B95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59.79%</w:t>
            </w:r>
          </w:p>
        </w:tc>
        <w:tc>
          <w:tcPr>
            <w:tcW w:w="184" w:type="pct"/>
            <w:tcBorders>
              <w:top w:val="nil"/>
              <w:left w:val="nil"/>
              <w:bottom w:val="nil"/>
              <w:right w:val="nil"/>
            </w:tcBorders>
            <w:shd w:val="clear" w:color="000000" w:fill="FFFFFF"/>
            <w:noWrap/>
            <w:vAlign w:val="bottom"/>
            <w:hideMark/>
          </w:tcPr>
          <w:p w14:paraId="492B3E5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59.79%</w:t>
            </w:r>
          </w:p>
        </w:tc>
        <w:tc>
          <w:tcPr>
            <w:tcW w:w="184" w:type="pct"/>
            <w:tcBorders>
              <w:top w:val="nil"/>
              <w:left w:val="nil"/>
              <w:bottom w:val="nil"/>
              <w:right w:val="nil"/>
            </w:tcBorders>
            <w:shd w:val="clear" w:color="000000" w:fill="FFFFFF"/>
            <w:noWrap/>
            <w:vAlign w:val="bottom"/>
            <w:hideMark/>
          </w:tcPr>
          <w:p w14:paraId="1B0263D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59.80%</w:t>
            </w:r>
          </w:p>
        </w:tc>
        <w:tc>
          <w:tcPr>
            <w:tcW w:w="184" w:type="pct"/>
            <w:tcBorders>
              <w:top w:val="nil"/>
              <w:left w:val="nil"/>
              <w:bottom w:val="nil"/>
              <w:right w:val="nil"/>
            </w:tcBorders>
            <w:shd w:val="clear" w:color="000000" w:fill="FFFFFF"/>
            <w:noWrap/>
            <w:vAlign w:val="bottom"/>
            <w:hideMark/>
          </w:tcPr>
          <w:p w14:paraId="45BE2F9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59.82%</w:t>
            </w:r>
          </w:p>
        </w:tc>
        <w:tc>
          <w:tcPr>
            <w:tcW w:w="184" w:type="pct"/>
            <w:tcBorders>
              <w:top w:val="nil"/>
              <w:left w:val="nil"/>
              <w:bottom w:val="nil"/>
              <w:right w:val="nil"/>
            </w:tcBorders>
            <w:shd w:val="clear" w:color="000000" w:fill="FFFFFF"/>
            <w:noWrap/>
            <w:vAlign w:val="bottom"/>
            <w:hideMark/>
          </w:tcPr>
          <w:p w14:paraId="2C33811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59.84%</w:t>
            </w:r>
          </w:p>
        </w:tc>
        <w:tc>
          <w:tcPr>
            <w:tcW w:w="184" w:type="pct"/>
            <w:tcBorders>
              <w:top w:val="nil"/>
              <w:left w:val="nil"/>
              <w:bottom w:val="nil"/>
              <w:right w:val="nil"/>
            </w:tcBorders>
            <w:shd w:val="clear" w:color="000000" w:fill="FFFFFF"/>
            <w:noWrap/>
            <w:vAlign w:val="bottom"/>
            <w:hideMark/>
          </w:tcPr>
          <w:p w14:paraId="4EEBA6F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59.86%</w:t>
            </w:r>
          </w:p>
        </w:tc>
        <w:tc>
          <w:tcPr>
            <w:tcW w:w="184" w:type="pct"/>
            <w:tcBorders>
              <w:top w:val="nil"/>
              <w:left w:val="nil"/>
              <w:bottom w:val="nil"/>
              <w:right w:val="nil"/>
            </w:tcBorders>
            <w:shd w:val="clear" w:color="000000" w:fill="FFFFFF"/>
            <w:noWrap/>
            <w:vAlign w:val="bottom"/>
            <w:hideMark/>
          </w:tcPr>
          <w:p w14:paraId="4171559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59.88%</w:t>
            </w:r>
          </w:p>
        </w:tc>
        <w:tc>
          <w:tcPr>
            <w:tcW w:w="184" w:type="pct"/>
            <w:tcBorders>
              <w:top w:val="nil"/>
              <w:left w:val="nil"/>
              <w:bottom w:val="nil"/>
              <w:right w:val="nil"/>
            </w:tcBorders>
            <w:shd w:val="clear" w:color="000000" w:fill="FFFFFF"/>
            <w:noWrap/>
            <w:vAlign w:val="bottom"/>
            <w:hideMark/>
          </w:tcPr>
          <w:p w14:paraId="33EDE92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59.90%</w:t>
            </w:r>
          </w:p>
        </w:tc>
        <w:tc>
          <w:tcPr>
            <w:tcW w:w="184" w:type="pct"/>
            <w:tcBorders>
              <w:top w:val="nil"/>
              <w:left w:val="nil"/>
              <w:bottom w:val="nil"/>
              <w:right w:val="nil"/>
            </w:tcBorders>
            <w:shd w:val="clear" w:color="000000" w:fill="FFFFFF"/>
            <w:noWrap/>
            <w:vAlign w:val="bottom"/>
            <w:hideMark/>
          </w:tcPr>
          <w:p w14:paraId="4916992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59.91%</w:t>
            </w:r>
          </w:p>
        </w:tc>
        <w:tc>
          <w:tcPr>
            <w:tcW w:w="184" w:type="pct"/>
            <w:tcBorders>
              <w:top w:val="nil"/>
              <w:left w:val="nil"/>
              <w:bottom w:val="nil"/>
              <w:right w:val="nil"/>
            </w:tcBorders>
            <w:shd w:val="clear" w:color="000000" w:fill="FFFFFF"/>
            <w:noWrap/>
            <w:vAlign w:val="bottom"/>
            <w:hideMark/>
          </w:tcPr>
          <w:p w14:paraId="02FEE7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59.91%</w:t>
            </w:r>
          </w:p>
        </w:tc>
        <w:tc>
          <w:tcPr>
            <w:tcW w:w="184" w:type="pct"/>
            <w:tcBorders>
              <w:top w:val="nil"/>
              <w:left w:val="nil"/>
              <w:bottom w:val="nil"/>
              <w:right w:val="nil"/>
            </w:tcBorders>
            <w:shd w:val="clear" w:color="000000" w:fill="FFFFFF"/>
            <w:noWrap/>
            <w:vAlign w:val="bottom"/>
            <w:hideMark/>
          </w:tcPr>
          <w:p w14:paraId="07F894E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59.91%</w:t>
            </w:r>
          </w:p>
        </w:tc>
        <w:tc>
          <w:tcPr>
            <w:tcW w:w="184" w:type="pct"/>
            <w:tcBorders>
              <w:top w:val="nil"/>
              <w:left w:val="nil"/>
              <w:bottom w:val="nil"/>
              <w:right w:val="nil"/>
            </w:tcBorders>
            <w:shd w:val="clear" w:color="000000" w:fill="FFFFFF"/>
            <w:noWrap/>
            <w:vAlign w:val="bottom"/>
            <w:hideMark/>
          </w:tcPr>
          <w:p w14:paraId="667521A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59.91%</w:t>
            </w:r>
          </w:p>
        </w:tc>
        <w:tc>
          <w:tcPr>
            <w:tcW w:w="184" w:type="pct"/>
            <w:tcBorders>
              <w:top w:val="nil"/>
              <w:left w:val="nil"/>
              <w:bottom w:val="nil"/>
              <w:right w:val="nil"/>
            </w:tcBorders>
            <w:shd w:val="clear" w:color="000000" w:fill="FFFFFF"/>
            <w:noWrap/>
            <w:vAlign w:val="bottom"/>
            <w:hideMark/>
          </w:tcPr>
          <w:p w14:paraId="369A172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59.91%</w:t>
            </w:r>
          </w:p>
        </w:tc>
        <w:tc>
          <w:tcPr>
            <w:tcW w:w="184" w:type="pct"/>
            <w:tcBorders>
              <w:top w:val="nil"/>
              <w:left w:val="nil"/>
              <w:bottom w:val="nil"/>
              <w:right w:val="nil"/>
            </w:tcBorders>
            <w:shd w:val="clear" w:color="000000" w:fill="FFFFFF"/>
            <w:noWrap/>
            <w:vAlign w:val="bottom"/>
            <w:hideMark/>
          </w:tcPr>
          <w:p w14:paraId="5076DC87"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59.91%</w:t>
            </w:r>
          </w:p>
        </w:tc>
        <w:tc>
          <w:tcPr>
            <w:tcW w:w="184" w:type="pct"/>
            <w:tcBorders>
              <w:top w:val="nil"/>
              <w:left w:val="nil"/>
              <w:bottom w:val="nil"/>
              <w:right w:val="nil"/>
            </w:tcBorders>
            <w:shd w:val="clear" w:color="000000" w:fill="FFFFFF"/>
            <w:noWrap/>
            <w:vAlign w:val="bottom"/>
            <w:hideMark/>
          </w:tcPr>
          <w:p w14:paraId="7AF70B1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59.91%</w:t>
            </w:r>
          </w:p>
        </w:tc>
        <w:tc>
          <w:tcPr>
            <w:tcW w:w="184" w:type="pct"/>
            <w:tcBorders>
              <w:top w:val="nil"/>
              <w:left w:val="nil"/>
              <w:bottom w:val="nil"/>
              <w:right w:val="nil"/>
            </w:tcBorders>
            <w:shd w:val="clear" w:color="000000" w:fill="FFFFFF"/>
            <w:noWrap/>
            <w:vAlign w:val="bottom"/>
            <w:hideMark/>
          </w:tcPr>
          <w:p w14:paraId="72709E2F"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59.91%</w:t>
            </w:r>
          </w:p>
        </w:tc>
        <w:tc>
          <w:tcPr>
            <w:tcW w:w="184" w:type="pct"/>
            <w:tcBorders>
              <w:top w:val="nil"/>
              <w:left w:val="nil"/>
              <w:bottom w:val="nil"/>
              <w:right w:val="nil"/>
            </w:tcBorders>
            <w:shd w:val="clear" w:color="000000" w:fill="FFFFFF"/>
            <w:noWrap/>
            <w:vAlign w:val="bottom"/>
            <w:hideMark/>
          </w:tcPr>
          <w:p w14:paraId="65715999"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59.91%</w:t>
            </w:r>
          </w:p>
        </w:tc>
        <w:tc>
          <w:tcPr>
            <w:tcW w:w="181" w:type="pct"/>
            <w:tcBorders>
              <w:top w:val="nil"/>
              <w:left w:val="nil"/>
              <w:bottom w:val="nil"/>
              <w:right w:val="nil"/>
            </w:tcBorders>
            <w:shd w:val="clear" w:color="000000" w:fill="FFFFFF"/>
            <w:noWrap/>
            <w:vAlign w:val="bottom"/>
            <w:hideMark/>
          </w:tcPr>
          <w:p w14:paraId="48872B68"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59.91%</w:t>
            </w:r>
          </w:p>
        </w:tc>
      </w:tr>
      <w:tr w:rsidR="002D2278" w:rsidRPr="002D2278" w14:paraId="18817685" w14:textId="77777777" w:rsidTr="002D2278">
        <w:trPr>
          <w:trHeight w:val="20"/>
        </w:trPr>
        <w:tc>
          <w:tcPr>
            <w:tcW w:w="750" w:type="pct"/>
            <w:tcBorders>
              <w:top w:val="nil"/>
              <w:left w:val="nil"/>
              <w:bottom w:val="nil"/>
              <w:right w:val="nil"/>
            </w:tcBorders>
            <w:shd w:val="clear" w:color="000000" w:fill="FFFFFF"/>
            <w:noWrap/>
            <w:vAlign w:val="center"/>
            <w:hideMark/>
          </w:tcPr>
          <w:p w14:paraId="7F7C53CD" w14:textId="63F30D19"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2013..........................................</w:t>
            </w:r>
          </w:p>
        </w:tc>
        <w:tc>
          <w:tcPr>
            <w:tcW w:w="403" w:type="pct"/>
            <w:tcBorders>
              <w:top w:val="nil"/>
              <w:left w:val="nil"/>
              <w:bottom w:val="nil"/>
              <w:right w:val="nil"/>
            </w:tcBorders>
            <w:shd w:val="clear" w:color="000000" w:fill="FFFFFF"/>
            <w:noWrap/>
            <w:vAlign w:val="bottom"/>
            <w:hideMark/>
          </w:tcPr>
          <w:p w14:paraId="5FA7D243"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2013Q2</w:t>
            </w:r>
          </w:p>
        </w:tc>
        <w:tc>
          <w:tcPr>
            <w:tcW w:w="541" w:type="pct"/>
            <w:tcBorders>
              <w:top w:val="nil"/>
              <w:left w:val="nil"/>
              <w:bottom w:val="nil"/>
              <w:right w:val="nil"/>
            </w:tcBorders>
            <w:shd w:val="clear" w:color="000000" w:fill="FFFFFF"/>
            <w:noWrap/>
            <w:vAlign w:val="center"/>
            <w:hideMark/>
          </w:tcPr>
          <w:p w14:paraId="443A38AB"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3,254 </w:t>
            </w:r>
          </w:p>
        </w:tc>
        <w:tc>
          <w:tcPr>
            <w:tcW w:w="184" w:type="pct"/>
            <w:tcBorders>
              <w:top w:val="nil"/>
              <w:left w:val="nil"/>
              <w:bottom w:val="nil"/>
              <w:right w:val="nil"/>
            </w:tcBorders>
            <w:shd w:val="clear" w:color="000000" w:fill="FFFFFF"/>
            <w:noWrap/>
            <w:vAlign w:val="bottom"/>
            <w:hideMark/>
          </w:tcPr>
          <w:p w14:paraId="089CDA4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62.10%</w:t>
            </w:r>
          </w:p>
        </w:tc>
        <w:tc>
          <w:tcPr>
            <w:tcW w:w="184" w:type="pct"/>
            <w:tcBorders>
              <w:top w:val="nil"/>
              <w:left w:val="nil"/>
              <w:bottom w:val="nil"/>
              <w:right w:val="nil"/>
            </w:tcBorders>
            <w:shd w:val="clear" w:color="000000" w:fill="FFFFFF"/>
            <w:noWrap/>
            <w:vAlign w:val="bottom"/>
            <w:hideMark/>
          </w:tcPr>
          <w:p w14:paraId="046EADB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62.12%</w:t>
            </w:r>
          </w:p>
        </w:tc>
        <w:tc>
          <w:tcPr>
            <w:tcW w:w="184" w:type="pct"/>
            <w:tcBorders>
              <w:top w:val="nil"/>
              <w:left w:val="nil"/>
              <w:bottom w:val="nil"/>
              <w:right w:val="nil"/>
            </w:tcBorders>
            <w:shd w:val="clear" w:color="000000" w:fill="FFFFFF"/>
            <w:noWrap/>
            <w:vAlign w:val="bottom"/>
            <w:hideMark/>
          </w:tcPr>
          <w:p w14:paraId="2509EEE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62.14%</w:t>
            </w:r>
          </w:p>
        </w:tc>
        <w:tc>
          <w:tcPr>
            <w:tcW w:w="184" w:type="pct"/>
            <w:tcBorders>
              <w:top w:val="nil"/>
              <w:left w:val="nil"/>
              <w:bottom w:val="nil"/>
              <w:right w:val="nil"/>
            </w:tcBorders>
            <w:shd w:val="clear" w:color="000000" w:fill="FFFFFF"/>
            <w:noWrap/>
            <w:vAlign w:val="bottom"/>
            <w:hideMark/>
          </w:tcPr>
          <w:p w14:paraId="091E4BE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62.17%</w:t>
            </w:r>
          </w:p>
        </w:tc>
        <w:tc>
          <w:tcPr>
            <w:tcW w:w="184" w:type="pct"/>
            <w:tcBorders>
              <w:top w:val="nil"/>
              <w:left w:val="nil"/>
              <w:bottom w:val="nil"/>
              <w:right w:val="nil"/>
            </w:tcBorders>
            <w:shd w:val="clear" w:color="000000" w:fill="FFFFFF"/>
            <w:noWrap/>
            <w:vAlign w:val="bottom"/>
            <w:hideMark/>
          </w:tcPr>
          <w:p w14:paraId="6A53147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62.18%</w:t>
            </w:r>
          </w:p>
        </w:tc>
        <w:tc>
          <w:tcPr>
            <w:tcW w:w="184" w:type="pct"/>
            <w:tcBorders>
              <w:top w:val="nil"/>
              <w:left w:val="nil"/>
              <w:bottom w:val="nil"/>
              <w:right w:val="nil"/>
            </w:tcBorders>
            <w:shd w:val="clear" w:color="000000" w:fill="FFFFFF"/>
            <w:noWrap/>
            <w:vAlign w:val="bottom"/>
            <w:hideMark/>
          </w:tcPr>
          <w:p w14:paraId="1046005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62.18%</w:t>
            </w:r>
          </w:p>
        </w:tc>
        <w:tc>
          <w:tcPr>
            <w:tcW w:w="184" w:type="pct"/>
            <w:tcBorders>
              <w:top w:val="nil"/>
              <w:left w:val="nil"/>
              <w:bottom w:val="nil"/>
              <w:right w:val="nil"/>
            </w:tcBorders>
            <w:shd w:val="clear" w:color="000000" w:fill="FFFFFF"/>
            <w:noWrap/>
            <w:vAlign w:val="bottom"/>
            <w:hideMark/>
          </w:tcPr>
          <w:p w14:paraId="6888BA6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62.19%</w:t>
            </w:r>
          </w:p>
        </w:tc>
        <w:tc>
          <w:tcPr>
            <w:tcW w:w="184" w:type="pct"/>
            <w:tcBorders>
              <w:top w:val="nil"/>
              <w:left w:val="nil"/>
              <w:bottom w:val="nil"/>
              <w:right w:val="nil"/>
            </w:tcBorders>
            <w:shd w:val="clear" w:color="000000" w:fill="FFFFFF"/>
            <w:noWrap/>
            <w:vAlign w:val="bottom"/>
            <w:hideMark/>
          </w:tcPr>
          <w:p w14:paraId="60644B0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02A003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4FBA929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439582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59B9272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2F1ED1D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4C63F493"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31AA8757"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7616E99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62.20%</w:t>
            </w:r>
          </w:p>
        </w:tc>
        <w:tc>
          <w:tcPr>
            <w:tcW w:w="184" w:type="pct"/>
            <w:tcBorders>
              <w:top w:val="nil"/>
              <w:left w:val="nil"/>
              <w:bottom w:val="nil"/>
              <w:right w:val="nil"/>
            </w:tcBorders>
            <w:shd w:val="clear" w:color="000000" w:fill="FFFFFF"/>
            <w:noWrap/>
            <w:vAlign w:val="bottom"/>
            <w:hideMark/>
          </w:tcPr>
          <w:p w14:paraId="680B857D"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62.20%</w:t>
            </w:r>
          </w:p>
        </w:tc>
        <w:tc>
          <w:tcPr>
            <w:tcW w:w="181" w:type="pct"/>
            <w:tcBorders>
              <w:top w:val="nil"/>
              <w:left w:val="nil"/>
              <w:bottom w:val="nil"/>
              <w:right w:val="nil"/>
            </w:tcBorders>
            <w:shd w:val="clear" w:color="000000" w:fill="FFFFFF"/>
            <w:noWrap/>
            <w:vAlign w:val="bottom"/>
            <w:hideMark/>
          </w:tcPr>
          <w:p w14:paraId="1D0D0B9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5287DA8B" w14:textId="77777777" w:rsidTr="002D2278">
        <w:trPr>
          <w:trHeight w:val="20"/>
        </w:trPr>
        <w:tc>
          <w:tcPr>
            <w:tcW w:w="750" w:type="pct"/>
            <w:tcBorders>
              <w:top w:val="nil"/>
              <w:left w:val="nil"/>
              <w:bottom w:val="nil"/>
              <w:right w:val="nil"/>
            </w:tcBorders>
            <w:shd w:val="clear" w:color="000000" w:fill="FFFFFF"/>
            <w:noWrap/>
            <w:vAlign w:val="center"/>
            <w:hideMark/>
          </w:tcPr>
          <w:p w14:paraId="39AC92AD"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2013..............................</w:t>
            </w:r>
          </w:p>
        </w:tc>
        <w:tc>
          <w:tcPr>
            <w:tcW w:w="403" w:type="pct"/>
            <w:tcBorders>
              <w:top w:val="nil"/>
              <w:left w:val="nil"/>
              <w:bottom w:val="nil"/>
              <w:right w:val="nil"/>
            </w:tcBorders>
            <w:shd w:val="clear" w:color="000000" w:fill="FFFFFF"/>
            <w:noWrap/>
            <w:vAlign w:val="bottom"/>
            <w:hideMark/>
          </w:tcPr>
          <w:p w14:paraId="2C83BFD4"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2013Q3</w:t>
            </w:r>
          </w:p>
        </w:tc>
        <w:tc>
          <w:tcPr>
            <w:tcW w:w="541" w:type="pct"/>
            <w:tcBorders>
              <w:top w:val="nil"/>
              <w:left w:val="nil"/>
              <w:bottom w:val="nil"/>
              <w:right w:val="nil"/>
            </w:tcBorders>
            <w:shd w:val="clear" w:color="000000" w:fill="FFFFFF"/>
            <w:noWrap/>
            <w:vAlign w:val="center"/>
            <w:hideMark/>
          </w:tcPr>
          <w:p w14:paraId="5562FEB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2,554 </w:t>
            </w:r>
          </w:p>
        </w:tc>
        <w:tc>
          <w:tcPr>
            <w:tcW w:w="184" w:type="pct"/>
            <w:tcBorders>
              <w:top w:val="nil"/>
              <w:left w:val="nil"/>
              <w:bottom w:val="nil"/>
              <w:right w:val="nil"/>
            </w:tcBorders>
            <w:shd w:val="clear" w:color="000000" w:fill="FFFFFF"/>
            <w:noWrap/>
            <w:vAlign w:val="bottom"/>
            <w:hideMark/>
          </w:tcPr>
          <w:p w14:paraId="51D245A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58.96%</w:t>
            </w:r>
          </w:p>
        </w:tc>
        <w:tc>
          <w:tcPr>
            <w:tcW w:w="184" w:type="pct"/>
            <w:tcBorders>
              <w:top w:val="nil"/>
              <w:left w:val="nil"/>
              <w:bottom w:val="nil"/>
              <w:right w:val="nil"/>
            </w:tcBorders>
            <w:shd w:val="clear" w:color="000000" w:fill="FFFFFF"/>
            <w:noWrap/>
            <w:vAlign w:val="bottom"/>
            <w:hideMark/>
          </w:tcPr>
          <w:p w14:paraId="0AC751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58.96%</w:t>
            </w:r>
          </w:p>
        </w:tc>
        <w:tc>
          <w:tcPr>
            <w:tcW w:w="184" w:type="pct"/>
            <w:tcBorders>
              <w:top w:val="nil"/>
              <w:left w:val="nil"/>
              <w:bottom w:val="nil"/>
              <w:right w:val="nil"/>
            </w:tcBorders>
            <w:shd w:val="clear" w:color="000000" w:fill="FFFFFF"/>
            <w:noWrap/>
            <w:vAlign w:val="bottom"/>
            <w:hideMark/>
          </w:tcPr>
          <w:p w14:paraId="1B8B345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58.96%</w:t>
            </w:r>
          </w:p>
        </w:tc>
        <w:tc>
          <w:tcPr>
            <w:tcW w:w="184" w:type="pct"/>
            <w:tcBorders>
              <w:top w:val="nil"/>
              <w:left w:val="nil"/>
              <w:bottom w:val="nil"/>
              <w:right w:val="nil"/>
            </w:tcBorders>
            <w:shd w:val="clear" w:color="000000" w:fill="FFFFFF"/>
            <w:noWrap/>
            <w:vAlign w:val="bottom"/>
            <w:hideMark/>
          </w:tcPr>
          <w:p w14:paraId="466499F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58.96%</w:t>
            </w:r>
          </w:p>
        </w:tc>
        <w:tc>
          <w:tcPr>
            <w:tcW w:w="184" w:type="pct"/>
            <w:tcBorders>
              <w:top w:val="nil"/>
              <w:left w:val="nil"/>
              <w:bottom w:val="nil"/>
              <w:right w:val="nil"/>
            </w:tcBorders>
            <w:shd w:val="clear" w:color="000000" w:fill="FFFFFF"/>
            <w:noWrap/>
            <w:vAlign w:val="bottom"/>
            <w:hideMark/>
          </w:tcPr>
          <w:p w14:paraId="1C7486A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3D5FA02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188F8A9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55C503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0229B8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159D546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4FBBD1A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7367DE0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72BD4F8A"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63A1465C"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58.99%</w:t>
            </w:r>
          </w:p>
        </w:tc>
        <w:tc>
          <w:tcPr>
            <w:tcW w:w="184" w:type="pct"/>
            <w:tcBorders>
              <w:top w:val="nil"/>
              <w:left w:val="nil"/>
              <w:bottom w:val="nil"/>
              <w:right w:val="nil"/>
            </w:tcBorders>
            <w:shd w:val="clear" w:color="000000" w:fill="FFFFFF"/>
            <w:noWrap/>
            <w:vAlign w:val="bottom"/>
            <w:hideMark/>
          </w:tcPr>
          <w:p w14:paraId="3D15208C"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58.99%</w:t>
            </w:r>
          </w:p>
        </w:tc>
        <w:tc>
          <w:tcPr>
            <w:tcW w:w="184" w:type="pct"/>
            <w:tcBorders>
              <w:top w:val="nil"/>
              <w:left w:val="nil"/>
              <w:bottom w:val="nil"/>
              <w:right w:val="nil"/>
            </w:tcBorders>
            <w:shd w:val="clear" w:color="000000" w:fill="FFFFFF"/>
            <w:noWrap/>
            <w:vAlign w:val="bottom"/>
            <w:hideMark/>
          </w:tcPr>
          <w:p w14:paraId="6E8E6EA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58.99%</w:t>
            </w:r>
          </w:p>
        </w:tc>
        <w:tc>
          <w:tcPr>
            <w:tcW w:w="184" w:type="pct"/>
            <w:tcBorders>
              <w:top w:val="nil"/>
              <w:left w:val="nil"/>
              <w:bottom w:val="nil"/>
              <w:right w:val="nil"/>
            </w:tcBorders>
            <w:shd w:val="clear" w:color="000000" w:fill="FFFFFF"/>
            <w:noWrap/>
            <w:vAlign w:val="bottom"/>
            <w:hideMark/>
          </w:tcPr>
          <w:p w14:paraId="6936F32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7C1BD35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04BEBF44" w14:textId="77777777" w:rsidTr="002D2278">
        <w:trPr>
          <w:trHeight w:val="20"/>
        </w:trPr>
        <w:tc>
          <w:tcPr>
            <w:tcW w:w="750" w:type="pct"/>
            <w:tcBorders>
              <w:top w:val="nil"/>
              <w:left w:val="nil"/>
              <w:bottom w:val="nil"/>
              <w:right w:val="nil"/>
            </w:tcBorders>
            <w:shd w:val="clear" w:color="000000" w:fill="FFFFFF"/>
            <w:noWrap/>
            <w:vAlign w:val="center"/>
            <w:hideMark/>
          </w:tcPr>
          <w:p w14:paraId="40D7DED6" w14:textId="2D765235"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2013...............................</w:t>
            </w:r>
          </w:p>
        </w:tc>
        <w:tc>
          <w:tcPr>
            <w:tcW w:w="403" w:type="pct"/>
            <w:tcBorders>
              <w:top w:val="nil"/>
              <w:left w:val="nil"/>
              <w:bottom w:val="nil"/>
              <w:right w:val="nil"/>
            </w:tcBorders>
            <w:shd w:val="clear" w:color="000000" w:fill="FFFFFF"/>
            <w:noWrap/>
            <w:vAlign w:val="bottom"/>
            <w:hideMark/>
          </w:tcPr>
          <w:p w14:paraId="348C9780"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2013Q4</w:t>
            </w:r>
          </w:p>
        </w:tc>
        <w:tc>
          <w:tcPr>
            <w:tcW w:w="541" w:type="pct"/>
            <w:tcBorders>
              <w:top w:val="nil"/>
              <w:left w:val="nil"/>
              <w:bottom w:val="nil"/>
              <w:right w:val="nil"/>
            </w:tcBorders>
            <w:shd w:val="clear" w:color="000000" w:fill="FFFFFF"/>
            <w:noWrap/>
            <w:vAlign w:val="center"/>
            <w:hideMark/>
          </w:tcPr>
          <w:p w14:paraId="109CE89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2,809 </w:t>
            </w:r>
          </w:p>
        </w:tc>
        <w:tc>
          <w:tcPr>
            <w:tcW w:w="184" w:type="pct"/>
            <w:tcBorders>
              <w:top w:val="nil"/>
              <w:left w:val="nil"/>
              <w:bottom w:val="nil"/>
              <w:right w:val="nil"/>
            </w:tcBorders>
            <w:shd w:val="clear" w:color="000000" w:fill="FFFFFF"/>
            <w:noWrap/>
            <w:vAlign w:val="bottom"/>
            <w:hideMark/>
          </w:tcPr>
          <w:p w14:paraId="6E93893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58.72%</w:t>
            </w:r>
          </w:p>
        </w:tc>
        <w:tc>
          <w:tcPr>
            <w:tcW w:w="184" w:type="pct"/>
            <w:tcBorders>
              <w:top w:val="nil"/>
              <w:left w:val="nil"/>
              <w:bottom w:val="nil"/>
              <w:right w:val="nil"/>
            </w:tcBorders>
            <w:shd w:val="clear" w:color="000000" w:fill="FFFFFF"/>
            <w:noWrap/>
            <w:vAlign w:val="bottom"/>
            <w:hideMark/>
          </w:tcPr>
          <w:p w14:paraId="2D043B8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58.75%</w:t>
            </w:r>
          </w:p>
        </w:tc>
        <w:tc>
          <w:tcPr>
            <w:tcW w:w="184" w:type="pct"/>
            <w:tcBorders>
              <w:top w:val="nil"/>
              <w:left w:val="nil"/>
              <w:bottom w:val="nil"/>
              <w:right w:val="nil"/>
            </w:tcBorders>
            <w:shd w:val="clear" w:color="000000" w:fill="FFFFFF"/>
            <w:noWrap/>
            <w:vAlign w:val="bottom"/>
            <w:hideMark/>
          </w:tcPr>
          <w:p w14:paraId="166C929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58.77%</w:t>
            </w:r>
          </w:p>
        </w:tc>
        <w:tc>
          <w:tcPr>
            <w:tcW w:w="184" w:type="pct"/>
            <w:tcBorders>
              <w:top w:val="nil"/>
              <w:left w:val="nil"/>
              <w:bottom w:val="nil"/>
              <w:right w:val="nil"/>
            </w:tcBorders>
            <w:shd w:val="clear" w:color="000000" w:fill="FFFFFF"/>
            <w:noWrap/>
            <w:vAlign w:val="bottom"/>
            <w:hideMark/>
          </w:tcPr>
          <w:p w14:paraId="5E3FAD6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58.79%</w:t>
            </w:r>
          </w:p>
        </w:tc>
        <w:tc>
          <w:tcPr>
            <w:tcW w:w="184" w:type="pct"/>
            <w:tcBorders>
              <w:top w:val="nil"/>
              <w:left w:val="nil"/>
              <w:bottom w:val="nil"/>
              <w:right w:val="nil"/>
            </w:tcBorders>
            <w:shd w:val="clear" w:color="000000" w:fill="FFFFFF"/>
            <w:noWrap/>
            <w:vAlign w:val="bottom"/>
            <w:hideMark/>
          </w:tcPr>
          <w:p w14:paraId="4BED05E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58.82%</w:t>
            </w:r>
          </w:p>
        </w:tc>
        <w:tc>
          <w:tcPr>
            <w:tcW w:w="184" w:type="pct"/>
            <w:tcBorders>
              <w:top w:val="nil"/>
              <w:left w:val="nil"/>
              <w:bottom w:val="nil"/>
              <w:right w:val="nil"/>
            </w:tcBorders>
            <w:shd w:val="clear" w:color="000000" w:fill="FFFFFF"/>
            <w:noWrap/>
            <w:vAlign w:val="bottom"/>
            <w:hideMark/>
          </w:tcPr>
          <w:p w14:paraId="5F07C6C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4860CC8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44933EE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5FE0A79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488A21D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764255E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69E7773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6FD50DE2"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5B828AF0"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3A19127F"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58.83%</w:t>
            </w:r>
          </w:p>
        </w:tc>
        <w:tc>
          <w:tcPr>
            <w:tcW w:w="184" w:type="pct"/>
            <w:tcBorders>
              <w:top w:val="nil"/>
              <w:left w:val="nil"/>
              <w:bottom w:val="nil"/>
              <w:right w:val="nil"/>
            </w:tcBorders>
            <w:shd w:val="clear" w:color="000000" w:fill="FFFFFF"/>
            <w:noWrap/>
            <w:vAlign w:val="bottom"/>
            <w:hideMark/>
          </w:tcPr>
          <w:p w14:paraId="6EE76EE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F96427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028007F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75C35322" w14:textId="77777777" w:rsidTr="002D2278">
        <w:trPr>
          <w:trHeight w:val="20"/>
        </w:trPr>
        <w:tc>
          <w:tcPr>
            <w:tcW w:w="750" w:type="pct"/>
            <w:tcBorders>
              <w:top w:val="nil"/>
              <w:left w:val="nil"/>
              <w:bottom w:val="nil"/>
              <w:right w:val="nil"/>
            </w:tcBorders>
            <w:shd w:val="clear" w:color="000000" w:fill="FFFFFF"/>
            <w:noWrap/>
            <w:vAlign w:val="center"/>
            <w:hideMark/>
          </w:tcPr>
          <w:p w14:paraId="24BC4516" w14:textId="4FDE19DE"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2014........................................</w:t>
            </w:r>
          </w:p>
        </w:tc>
        <w:tc>
          <w:tcPr>
            <w:tcW w:w="403" w:type="pct"/>
            <w:tcBorders>
              <w:top w:val="nil"/>
              <w:left w:val="nil"/>
              <w:bottom w:val="nil"/>
              <w:right w:val="nil"/>
            </w:tcBorders>
            <w:shd w:val="clear" w:color="000000" w:fill="FFFFFF"/>
            <w:noWrap/>
            <w:vAlign w:val="bottom"/>
            <w:hideMark/>
          </w:tcPr>
          <w:p w14:paraId="65B31BFF"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2014Q1</w:t>
            </w:r>
          </w:p>
        </w:tc>
        <w:tc>
          <w:tcPr>
            <w:tcW w:w="541" w:type="pct"/>
            <w:tcBorders>
              <w:top w:val="nil"/>
              <w:left w:val="nil"/>
              <w:bottom w:val="nil"/>
              <w:right w:val="nil"/>
            </w:tcBorders>
            <w:shd w:val="clear" w:color="000000" w:fill="FFFFFF"/>
            <w:noWrap/>
            <w:vAlign w:val="center"/>
            <w:hideMark/>
          </w:tcPr>
          <w:p w14:paraId="2345ED61"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2,575 </w:t>
            </w:r>
          </w:p>
        </w:tc>
        <w:tc>
          <w:tcPr>
            <w:tcW w:w="184" w:type="pct"/>
            <w:tcBorders>
              <w:top w:val="nil"/>
              <w:left w:val="nil"/>
              <w:bottom w:val="nil"/>
              <w:right w:val="nil"/>
            </w:tcBorders>
            <w:shd w:val="clear" w:color="000000" w:fill="FFFFFF"/>
            <w:noWrap/>
            <w:vAlign w:val="bottom"/>
            <w:hideMark/>
          </w:tcPr>
          <w:p w14:paraId="4CB0550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53.70%</w:t>
            </w:r>
          </w:p>
        </w:tc>
        <w:tc>
          <w:tcPr>
            <w:tcW w:w="184" w:type="pct"/>
            <w:tcBorders>
              <w:top w:val="nil"/>
              <w:left w:val="nil"/>
              <w:bottom w:val="nil"/>
              <w:right w:val="nil"/>
            </w:tcBorders>
            <w:shd w:val="clear" w:color="000000" w:fill="FFFFFF"/>
            <w:noWrap/>
            <w:vAlign w:val="bottom"/>
            <w:hideMark/>
          </w:tcPr>
          <w:p w14:paraId="23BB405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53.77%</w:t>
            </w:r>
          </w:p>
        </w:tc>
        <w:tc>
          <w:tcPr>
            <w:tcW w:w="184" w:type="pct"/>
            <w:tcBorders>
              <w:top w:val="nil"/>
              <w:left w:val="nil"/>
              <w:bottom w:val="nil"/>
              <w:right w:val="nil"/>
            </w:tcBorders>
            <w:shd w:val="clear" w:color="000000" w:fill="FFFFFF"/>
            <w:noWrap/>
            <w:vAlign w:val="bottom"/>
            <w:hideMark/>
          </w:tcPr>
          <w:p w14:paraId="619F3B8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53.86%</w:t>
            </w:r>
          </w:p>
        </w:tc>
        <w:tc>
          <w:tcPr>
            <w:tcW w:w="184" w:type="pct"/>
            <w:tcBorders>
              <w:top w:val="nil"/>
              <w:left w:val="nil"/>
              <w:bottom w:val="nil"/>
              <w:right w:val="nil"/>
            </w:tcBorders>
            <w:shd w:val="clear" w:color="000000" w:fill="FFFFFF"/>
            <w:noWrap/>
            <w:vAlign w:val="bottom"/>
            <w:hideMark/>
          </w:tcPr>
          <w:p w14:paraId="34BC0E5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53.87%</w:t>
            </w:r>
          </w:p>
        </w:tc>
        <w:tc>
          <w:tcPr>
            <w:tcW w:w="184" w:type="pct"/>
            <w:tcBorders>
              <w:top w:val="nil"/>
              <w:left w:val="nil"/>
              <w:bottom w:val="nil"/>
              <w:right w:val="nil"/>
            </w:tcBorders>
            <w:shd w:val="clear" w:color="000000" w:fill="FFFFFF"/>
            <w:noWrap/>
            <w:vAlign w:val="bottom"/>
            <w:hideMark/>
          </w:tcPr>
          <w:p w14:paraId="2D7F57C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0957594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770855B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15CD9A1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0B9E006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478286A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757370B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68B8902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0B7ECFF5"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1AFCAECA"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53.88%</w:t>
            </w:r>
          </w:p>
        </w:tc>
        <w:tc>
          <w:tcPr>
            <w:tcW w:w="184" w:type="pct"/>
            <w:tcBorders>
              <w:top w:val="nil"/>
              <w:left w:val="nil"/>
              <w:bottom w:val="nil"/>
              <w:right w:val="nil"/>
            </w:tcBorders>
            <w:shd w:val="clear" w:color="000000" w:fill="FFFFFF"/>
            <w:noWrap/>
            <w:vAlign w:val="bottom"/>
            <w:hideMark/>
          </w:tcPr>
          <w:p w14:paraId="6ACA4B7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DBE8E3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261C5D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3BEFB36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64034A8A" w14:textId="77777777" w:rsidTr="002D2278">
        <w:trPr>
          <w:trHeight w:val="20"/>
        </w:trPr>
        <w:tc>
          <w:tcPr>
            <w:tcW w:w="750" w:type="pct"/>
            <w:tcBorders>
              <w:top w:val="nil"/>
              <w:left w:val="nil"/>
              <w:bottom w:val="nil"/>
              <w:right w:val="nil"/>
            </w:tcBorders>
            <w:shd w:val="clear" w:color="000000" w:fill="FFFFFF"/>
            <w:noWrap/>
            <w:vAlign w:val="center"/>
            <w:hideMark/>
          </w:tcPr>
          <w:p w14:paraId="615926D3" w14:textId="0965A0A9"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2014..........................................</w:t>
            </w:r>
          </w:p>
        </w:tc>
        <w:tc>
          <w:tcPr>
            <w:tcW w:w="403" w:type="pct"/>
            <w:tcBorders>
              <w:top w:val="nil"/>
              <w:left w:val="nil"/>
              <w:bottom w:val="nil"/>
              <w:right w:val="nil"/>
            </w:tcBorders>
            <w:shd w:val="clear" w:color="000000" w:fill="FFFFFF"/>
            <w:noWrap/>
            <w:vAlign w:val="bottom"/>
            <w:hideMark/>
          </w:tcPr>
          <w:p w14:paraId="34336703"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2014Q2</w:t>
            </w:r>
          </w:p>
        </w:tc>
        <w:tc>
          <w:tcPr>
            <w:tcW w:w="541" w:type="pct"/>
            <w:tcBorders>
              <w:top w:val="nil"/>
              <w:left w:val="nil"/>
              <w:bottom w:val="nil"/>
              <w:right w:val="nil"/>
            </w:tcBorders>
            <w:shd w:val="clear" w:color="000000" w:fill="FFFFFF"/>
            <w:noWrap/>
            <w:vAlign w:val="center"/>
            <w:hideMark/>
          </w:tcPr>
          <w:p w14:paraId="3303A95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2,468 </w:t>
            </w:r>
          </w:p>
        </w:tc>
        <w:tc>
          <w:tcPr>
            <w:tcW w:w="184" w:type="pct"/>
            <w:tcBorders>
              <w:top w:val="nil"/>
              <w:left w:val="nil"/>
              <w:bottom w:val="nil"/>
              <w:right w:val="nil"/>
            </w:tcBorders>
            <w:shd w:val="clear" w:color="000000" w:fill="FFFFFF"/>
            <w:noWrap/>
            <w:vAlign w:val="bottom"/>
            <w:hideMark/>
          </w:tcPr>
          <w:p w14:paraId="2E83705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61.24%</w:t>
            </w:r>
          </w:p>
        </w:tc>
        <w:tc>
          <w:tcPr>
            <w:tcW w:w="184" w:type="pct"/>
            <w:tcBorders>
              <w:top w:val="nil"/>
              <w:left w:val="nil"/>
              <w:bottom w:val="nil"/>
              <w:right w:val="nil"/>
            </w:tcBorders>
            <w:shd w:val="clear" w:color="000000" w:fill="FFFFFF"/>
            <w:noWrap/>
            <w:vAlign w:val="bottom"/>
            <w:hideMark/>
          </w:tcPr>
          <w:p w14:paraId="037A041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61.25%</w:t>
            </w:r>
          </w:p>
        </w:tc>
        <w:tc>
          <w:tcPr>
            <w:tcW w:w="184" w:type="pct"/>
            <w:tcBorders>
              <w:top w:val="nil"/>
              <w:left w:val="nil"/>
              <w:bottom w:val="nil"/>
              <w:right w:val="nil"/>
            </w:tcBorders>
            <w:shd w:val="clear" w:color="000000" w:fill="FFFFFF"/>
            <w:noWrap/>
            <w:vAlign w:val="bottom"/>
            <w:hideMark/>
          </w:tcPr>
          <w:p w14:paraId="7AFAABB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7D9A2D0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1EBF0D9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2279007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1712DDC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49D3A06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56BE036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5294B0A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2D48C4C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5BB24AF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61F3519A" w14:textId="77777777" w:rsidR="002D2278" w:rsidRPr="002D2278" w:rsidRDefault="002D2278" w:rsidP="002D2278">
            <w:pPr>
              <w:spacing w:line="240" w:lineRule="auto"/>
              <w:jc w:val="righ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61.26%</w:t>
            </w:r>
          </w:p>
        </w:tc>
        <w:tc>
          <w:tcPr>
            <w:tcW w:w="184" w:type="pct"/>
            <w:tcBorders>
              <w:top w:val="nil"/>
              <w:left w:val="nil"/>
              <w:bottom w:val="nil"/>
              <w:right w:val="nil"/>
            </w:tcBorders>
            <w:shd w:val="clear" w:color="000000" w:fill="FFFFFF"/>
            <w:noWrap/>
            <w:vAlign w:val="bottom"/>
            <w:hideMark/>
          </w:tcPr>
          <w:p w14:paraId="4E8E79A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ADDED69"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EE9A4A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45E1D1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498DE7D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311D5660" w14:textId="77777777" w:rsidTr="002D2278">
        <w:trPr>
          <w:trHeight w:val="20"/>
        </w:trPr>
        <w:tc>
          <w:tcPr>
            <w:tcW w:w="750" w:type="pct"/>
            <w:tcBorders>
              <w:top w:val="nil"/>
              <w:left w:val="nil"/>
              <w:bottom w:val="nil"/>
              <w:right w:val="nil"/>
            </w:tcBorders>
            <w:shd w:val="clear" w:color="000000" w:fill="FFFFFF"/>
            <w:noWrap/>
            <w:vAlign w:val="center"/>
            <w:hideMark/>
          </w:tcPr>
          <w:p w14:paraId="6D4F7582"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2014..............................</w:t>
            </w:r>
          </w:p>
        </w:tc>
        <w:tc>
          <w:tcPr>
            <w:tcW w:w="403" w:type="pct"/>
            <w:tcBorders>
              <w:top w:val="nil"/>
              <w:left w:val="nil"/>
              <w:bottom w:val="nil"/>
              <w:right w:val="nil"/>
            </w:tcBorders>
            <w:shd w:val="clear" w:color="000000" w:fill="FFFFFF"/>
            <w:noWrap/>
            <w:vAlign w:val="bottom"/>
            <w:hideMark/>
          </w:tcPr>
          <w:p w14:paraId="1C5BF337"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2014Q3</w:t>
            </w:r>
          </w:p>
        </w:tc>
        <w:tc>
          <w:tcPr>
            <w:tcW w:w="541" w:type="pct"/>
            <w:tcBorders>
              <w:top w:val="nil"/>
              <w:left w:val="nil"/>
              <w:bottom w:val="nil"/>
              <w:right w:val="nil"/>
            </w:tcBorders>
            <w:shd w:val="clear" w:color="000000" w:fill="FFFFFF"/>
            <w:noWrap/>
            <w:vAlign w:val="center"/>
            <w:hideMark/>
          </w:tcPr>
          <w:p w14:paraId="0E8E498B"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2,458 </w:t>
            </w:r>
          </w:p>
        </w:tc>
        <w:tc>
          <w:tcPr>
            <w:tcW w:w="184" w:type="pct"/>
            <w:tcBorders>
              <w:top w:val="nil"/>
              <w:left w:val="nil"/>
              <w:bottom w:val="nil"/>
              <w:right w:val="nil"/>
            </w:tcBorders>
            <w:shd w:val="clear" w:color="000000" w:fill="FFFFFF"/>
            <w:noWrap/>
            <w:vAlign w:val="bottom"/>
            <w:hideMark/>
          </w:tcPr>
          <w:p w14:paraId="03A814B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63.26%</w:t>
            </w:r>
          </w:p>
        </w:tc>
        <w:tc>
          <w:tcPr>
            <w:tcW w:w="184" w:type="pct"/>
            <w:tcBorders>
              <w:top w:val="nil"/>
              <w:left w:val="nil"/>
              <w:bottom w:val="nil"/>
              <w:right w:val="nil"/>
            </w:tcBorders>
            <w:shd w:val="clear" w:color="000000" w:fill="FFFFFF"/>
            <w:noWrap/>
            <w:vAlign w:val="bottom"/>
            <w:hideMark/>
          </w:tcPr>
          <w:p w14:paraId="622E90C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2F762C1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6387495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5815BBF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54D9BEE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407CEC7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1388A7E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7C9E7A3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66C2C73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5961C7A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1735F5E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63.27%</w:t>
            </w:r>
          </w:p>
        </w:tc>
        <w:tc>
          <w:tcPr>
            <w:tcW w:w="184" w:type="pct"/>
            <w:tcBorders>
              <w:top w:val="nil"/>
              <w:left w:val="nil"/>
              <w:bottom w:val="nil"/>
              <w:right w:val="nil"/>
            </w:tcBorders>
            <w:shd w:val="clear" w:color="000000" w:fill="FFFFFF"/>
            <w:noWrap/>
            <w:vAlign w:val="bottom"/>
            <w:hideMark/>
          </w:tcPr>
          <w:p w14:paraId="0C26EE9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C9BEAA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484D8D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77E717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8D49EA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6FD74920"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49B48D29" w14:textId="77777777" w:rsidTr="002D2278">
        <w:trPr>
          <w:trHeight w:val="20"/>
        </w:trPr>
        <w:tc>
          <w:tcPr>
            <w:tcW w:w="750" w:type="pct"/>
            <w:tcBorders>
              <w:top w:val="nil"/>
              <w:left w:val="nil"/>
              <w:bottom w:val="nil"/>
              <w:right w:val="nil"/>
            </w:tcBorders>
            <w:shd w:val="clear" w:color="000000" w:fill="FFFFFF"/>
            <w:noWrap/>
            <w:vAlign w:val="center"/>
            <w:hideMark/>
          </w:tcPr>
          <w:p w14:paraId="4D875D31" w14:textId="411C97CE"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2014...............................</w:t>
            </w:r>
          </w:p>
        </w:tc>
        <w:tc>
          <w:tcPr>
            <w:tcW w:w="403" w:type="pct"/>
            <w:tcBorders>
              <w:top w:val="nil"/>
              <w:left w:val="nil"/>
              <w:bottom w:val="nil"/>
              <w:right w:val="nil"/>
            </w:tcBorders>
            <w:shd w:val="clear" w:color="000000" w:fill="FFFFFF"/>
            <w:noWrap/>
            <w:vAlign w:val="bottom"/>
            <w:hideMark/>
          </w:tcPr>
          <w:p w14:paraId="5D0F031B"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2014Q4</w:t>
            </w:r>
          </w:p>
        </w:tc>
        <w:tc>
          <w:tcPr>
            <w:tcW w:w="541" w:type="pct"/>
            <w:tcBorders>
              <w:top w:val="nil"/>
              <w:left w:val="nil"/>
              <w:bottom w:val="nil"/>
              <w:right w:val="nil"/>
            </w:tcBorders>
            <w:shd w:val="clear" w:color="000000" w:fill="FFFFFF"/>
            <w:noWrap/>
            <w:vAlign w:val="center"/>
            <w:hideMark/>
          </w:tcPr>
          <w:p w14:paraId="23F708A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2,054 </w:t>
            </w:r>
          </w:p>
        </w:tc>
        <w:tc>
          <w:tcPr>
            <w:tcW w:w="184" w:type="pct"/>
            <w:tcBorders>
              <w:top w:val="nil"/>
              <w:left w:val="nil"/>
              <w:bottom w:val="nil"/>
              <w:right w:val="nil"/>
            </w:tcBorders>
            <w:shd w:val="clear" w:color="000000" w:fill="FFFFFF"/>
            <w:noWrap/>
            <w:vAlign w:val="bottom"/>
            <w:hideMark/>
          </w:tcPr>
          <w:p w14:paraId="5713294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58.94%</w:t>
            </w:r>
          </w:p>
        </w:tc>
        <w:tc>
          <w:tcPr>
            <w:tcW w:w="184" w:type="pct"/>
            <w:tcBorders>
              <w:top w:val="nil"/>
              <w:left w:val="nil"/>
              <w:bottom w:val="nil"/>
              <w:right w:val="nil"/>
            </w:tcBorders>
            <w:shd w:val="clear" w:color="000000" w:fill="FFFFFF"/>
            <w:noWrap/>
            <w:vAlign w:val="bottom"/>
            <w:hideMark/>
          </w:tcPr>
          <w:p w14:paraId="1523A7B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13E5FB4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78E5F74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294B93B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536EAD5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57FBF47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77DE2C4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2154AE3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48ABCCA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01D6A1E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58.97%</w:t>
            </w:r>
          </w:p>
        </w:tc>
        <w:tc>
          <w:tcPr>
            <w:tcW w:w="184" w:type="pct"/>
            <w:tcBorders>
              <w:top w:val="nil"/>
              <w:left w:val="nil"/>
              <w:bottom w:val="nil"/>
              <w:right w:val="nil"/>
            </w:tcBorders>
            <w:shd w:val="clear" w:color="000000" w:fill="FFFFFF"/>
            <w:noWrap/>
            <w:vAlign w:val="bottom"/>
            <w:hideMark/>
          </w:tcPr>
          <w:p w14:paraId="220E954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480B32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8650BF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78A1E0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8AE33F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E0CE45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4FA00A3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1B38F88C" w14:textId="77777777" w:rsidTr="002D2278">
        <w:trPr>
          <w:trHeight w:val="20"/>
        </w:trPr>
        <w:tc>
          <w:tcPr>
            <w:tcW w:w="750" w:type="pct"/>
            <w:tcBorders>
              <w:top w:val="nil"/>
              <w:left w:val="nil"/>
              <w:bottom w:val="nil"/>
              <w:right w:val="nil"/>
            </w:tcBorders>
            <w:shd w:val="clear" w:color="000000" w:fill="FFFFFF"/>
            <w:noWrap/>
            <w:vAlign w:val="center"/>
            <w:hideMark/>
          </w:tcPr>
          <w:p w14:paraId="2E984C0A" w14:textId="2733DF35"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2015........................................</w:t>
            </w:r>
          </w:p>
        </w:tc>
        <w:tc>
          <w:tcPr>
            <w:tcW w:w="403" w:type="pct"/>
            <w:tcBorders>
              <w:top w:val="nil"/>
              <w:left w:val="nil"/>
              <w:bottom w:val="nil"/>
              <w:right w:val="nil"/>
            </w:tcBorders>
            <w:shd w:val="clear" w:color="000000" w:fill="FFFFFF"/>
            <w:noWrap/>
            <w:vAlign w:val="bottom"/>
            <w:hideMark/>
          </w:tcPr>
          <w:p w14:paraId="23A9F5E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2015Q1</w:t>
            </w:r>
          </w:p>
        </w:tc>
        <w:tc>
          <w:tcPr>
            <w:tcW w:w="541" w:type="pct"/>
            <w:tcBorders>
              <w:top w:val="nil"/>
              <w:left w:val="nil"/>
              <w:bottom w:val="nil"/>
              <w:right w:val="nil"/>
            </w:tcBorders>
            <w:shd w:val="clear" w:color="000000" w:fill="FFFFFF"/>
            <w:noWrap/>
            <w:vAlign w:val="center"/>
            <w:hideMark/>
          </w:tcPr>
          <w:p w14:paraId="4A4C33DA"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2,364 </w:t>
            </w:r>
          </w:p>
        </w:tc>
        <w:tc>
          <w:tcPr>
            <w:tcW w:w="184" w:type="pct"/>
            <w:tcBorders>
              <w:top w:val="nil"/>
              <w:left w:val="nil"/>
              <w:bottom w:val="nil"/>
              <w:right w:val="nil"/>
            </w:tcBorders>
            <w:shd w:val="clear" w:color="000000" w:fill="FFFFFF"/>
            <w:noWrap/>
            <w:vAlign w:val="bottom"/>
            <w:hideMark/>
          </w:tcPr>
          <w:p w14:paraId="686E193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62CA702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0B3E71B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759CA37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1537D1F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197FB4F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534D802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5F3B3D8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7EB33AB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3CDFF81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60.65%</w:t>
            </w:r>
          </w:p>
        </w:tc>
        <w:tc>
          <w:tcPr>
            <w:tcW w:w="184" w:type="pct"/>
            <w:tcBorders>
              <w:top w:val="nil"/>
              <w:left w:val="nil"/>
              <w:bottom w:val="nil"/>
              <w:right w:val="nil"/>
            </w:tcBorders>
            <w:shd w:val="clear" w:color="000000" w:fill="FFFFFF"/>
            <w:noWrap/>
            <w:vAlign w:val="bottom"/>
            <w:hideMark/>
          </w:tcPr>
          <w:p w14:paraId="773E399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934338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2A92AE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EDF41C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5EC083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B03653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C4FD7C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4E151E5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360C5766" w14:textId="77777777" w:rsidTr="002D2278">
        <w:trPr>
          <w:trHeight w:val="20"/>
        </w:trPr>
        <w:tc>
          <w:tcPr>
            <w:tcW w:w="750" w:type="pct"/>
            <w:tcBorders>
              <w:top w:val="nil"/>
              <w:left w:val="nil"/>
              <w:bottom w:val="nil"/>
              <w:right w:val="nil"/>
            </w:tcBorders>
            <w:shd w:val="clear" w:color="000000" w:fill="FFFFFF"/>
            <w:noWrap/>
            <w:vAlign w:val="center"/>
            <w:hideMark/>
          </w:tcPr>
          <w:p w14:paraId="73A3D4A5" w14:textId="66DDF2E3"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2015..........................................</w:t>
            </w:r>
          </w:p>
        </w:tc>
        <w:tc>
          <w:tcPr>
            <w:tcW w:w="403" w:type="pct"/>
            <w:tcBorders>
              <w:top w:val="nil"/>
              <w:left w:val="nil"/>
              <w:bottom w:val="nil"/>
              <w:right w:val="nil"/>
            </w:tcBorders>
            <w:shd w:val="clear" w:color="000000" w:fill="FFFFFF"/>
            <w:noWrap/>
            <w:vAlign w:val="bottom"/>
            <w:hideMark/>
          </w:tcPr>
          <w:p w14:paraId="6F21AA36"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2015Q2</w:t>
            </w:r>
          </w:p>
        </w:tc>
        <w:tc>
          <w:tcPr>
            <w:tcW w:w="541" w:type="pct"/>
            <w:tcBorders>
              <w:top w:val="nil"/>
              <w:left w:val="nil"/>
              <w:bottom w:val="nil"/>
              <w:right w:val="nil"/>
            </w:tcBorders>
            <w:shd w:val="clear" w:color="000000" w:fill="FFFFFF"/>
            <w:noWrap/>
            <w:vAlign w:val="center"/>
            <w:hideMark/>
          </w:tcPr>
          <w:p w14:paraId="798BC596"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2,113 </w:t>
            </w:r>
          </w:p>
        </w:tc>
        <w:tc>
          <w:tcPr>
            <w:tcW w:w="184" w:type="pct"/>
            <w:tcBorders>
              <w:top w:val="nil"/>
              <w:left w:val="nil"/>
              <w:bottom w:val="nil"/>
              <w:right w:val="nil"/>
            </w:tcBorders>
            <w:shd w:val="clear" w:color="000000" w:fill="FFFFFF"/>
            <w:noWrap/>
            <w:vAlign w:val="bottom"/>
            <w:hideMark/>
          </w:tcPr>
          <w:p w14:paraId="022801F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62.80%</w:t>
            </w:r>
          </w:p>
        </w:tc>
        <w:tc>
          <w:tcPr>
            <w:tcW w:w="184" w:type="pct"/>
            <w:tcBorders>
              <w:top w:val="nil"/>
              <w:left w:val="nil"/>
              <w:bottom w:val="nil"/>
              <w:right w:val="nil"/>
            </w:tcBorders>
            <w:shd w:val="clear" w:color="000000" w:fill="FFFFFF"/>
            <w:noWrap/>
            <w:vAlign w:val="bottom"/>
            <w:hideMark/>
          </w:tcPr>
          <w:p w14:paraId="53DFCE3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62.88%</w:t>
            </w:r>
          </w:p>
        </w:tc>
        <w:tc>
          <w:tcPr>
            <w:tcW w:w="184" w:type="pct"/>
            <w:tcBorders>
              <w:top w:val="nil"/>
              <w:left w:val="nil"/>
              <w:bottom w:val="nil"/>
              <w:right w:val="nil"/>
            </w:tcBorders>
            <w:shd w:val="clear" w:color="000000" w:fill="FFFFFF"/>
            <w:noWrap/>
            <w:vAlign w:val="bottom"/>
            <w:hideMark/>
          </w:tcPr>
          <w:p w14:paraId="4BF73FB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62.88%</w:t>
            </w:r>
          </w:p>
        </w:tc>
        <w:tc>
          <w:tcPr>
            <w:tcW w:w="184" w:type="pct"/>
            <w:tcBorders>
              <w:top w:val="nil"/>
              <w:left w:val="nil"/>
              <w:bottom w:val="nil"/>
              <w:right w:val="nil"/>
            </w:tcBorders>
            <w:shd w:val="clear" w:color="000000" w:fill="FFFFFF"/>
            <w:noWrap/>
            <w:vAlign w:val="bottom"/>
            <w:hideMark/>
          </w:tcPr>
          <w:p w14:paraId="67544C9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62.88%</w:t>
            </w:r>
          </w:p>
        </w:tc>
        <w:tc>
          <w:tcPr>
            <w:tcW w:w="184" w:type="pct"/>
            <w:tcBorders>
              <w:top w:val="nil"/>
              <w:left w:val="nil"/>
              <w:bottom w:val="nil"/>
              <w:right w:val="nil"/>
            </w:tcBorders>
            <w:shd w:val="clear" w:color="000000" w:fill="FFFFFF"/>
            <w:noWrap/>
            <w:vAlign w:val="bottom"/>
            <w:hideMark/>
          </w:tcPr>
          <w:p w14:paraId="280BE3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62.88%</w:t>
            </w:r>
          </w:p>
        </w:tc>
        <w:tc>
          <w:tcPr>
            <w:tcW w:w="184" w:type="pct"/>
            <w:tcBorders>
              <w:top w:val="nil"/>
              <w:left w:val="nil"/>
              <w:bottom w:val="nil"/>
              <w:right w:val="nil"/>
            </w:tcBorders>
            <w:shd w:val="clear" w:color="000000" w:fill="FFFFFF"/>
            <w:noWrap/>
            <w:vAlign w:val="bottom"/>
            <w:hideMark/>
          </w:tcPr>
          <w:p w14:paraId="6B255AC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62.88%</w:t>
            </w:r>
          </w:p>
        </w:tc>
        <w:tc>
          <w:tcPr>
            <w:tcW w:w="184" w:type="pct"/>
            <w:tcBorders>
              <w:top w:val="nil"/>
              <w:left w:val="nil"/>
              <w:bottom w:val="nil"/>
              <w:right w:val="nil"/>
            </w:tcBorders>
            <w:shd w:val="clear" w:color="000000" w:fill="FFFFFF"/>
            <w:noWrap/>
            <w:vAlign w:val="bottom"/>
            <w:hideMark/>
          </w:tcPr>
          <w:p w14:paraId="1317A9B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62.88%</w:t>
            </w:r>
          </w:p>
        </w:tc>
        <w:tc>
          <w:tcPr>
            <w:tcW w:w="184" w:type="pct"/>
            <w:tcBorders>
              <w:top w:val="nil"/>
              <w:left w:val="nil"/>
              <w:bottom w:val="nil"/>
              <w:right w:val="nil"/>
            </w:tcBorders>
            <w:shd w:val="clear" w:color="000000" w:fill="FFFFFF"/>
            <w:noWrap/>
            <w:vAlign w:val="bottom"/>
            <w:hideMark/>
          </w:tcPr>
          <w:p w14:paraId="0DD6478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62.88%</w:t>
            </w:r>
          </w:p>
        </w:tc>
        <w:tc>
          <w:tcPr>
            <w:tcW w:w="184" w:type="pct"/>
            <w:tcBorders>
              <w:top w:val="nil"/>
              <w:left w:val="nil"/>
              <w:bottom w:val="nil"/>
              <w:right w:val="nil"/>
            </w:tcBorders>
            <w:shd w:val="clear" w:color="000000" w:fill="FFFFFF"/>
            <w:noWrap/>
            <w:vAlign w:val="bottom"/>
            <w:hideMark/>
          </w:tcPr>
          <w:p w14:paraId="708266B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62.88%</w:t>
            </w:r>
          </w:p>
        </w:tc>
        <w:tc>
          <w:tcPr>
            <w:tcW w:w="184" w:type="pct"/>
            <w:tcBorders>
              <w:top w:val="nil"/>
              <w:left w:val="nil"/>
              <w:bottom w:val="nil"/>
              <w:right w:val="nil"/>
            </w:tcBorders>
            <w:shd w:val="clear" w:color="000000" w:fill="FFFFFF"/>
            <w:noWrap/>
            <w:vAlign w:val="bottom"/>
            <w:hideMark/>
          </w:tcPr>
          <w:p w14:paraId="55ABA3E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4BB5631"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1E6730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0D7126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5EAE5B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F7BA2E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5264B3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91F829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78E2F63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47A6CE38" w14:textId="77777777" w:rsidTr="002D2278">
        <w:trPr>
          <w:trHeight w:val="20"/>
        </w:trPr>
        <w:tc>
          <w:tcPr>
            <w:tcW w:w="750" w:type="pct"/>
            <w:tcBorders>
              <w:top w:val="nil"/>
              <w:left w:val="nil"/>
              <w:bottom w:val="nil"/>
              <w:right w:val="nil"/>
            </w:tcBorders>
            <w:shd w:val="clear" w:color="000000" w:fill="FFFFFF"/>
            <w:noWrap/>
            <w:vAlign w:val="center"/>
            <w:hideMark/>
          </w:tcPr>
          <w:p w14:paraId="1281BF8C"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2015..............................</w:t>
            </w:r>
          </w:p>
        </w:tc>
        <w:tc>
          <w:tcPr>
            <w:tcW w:w="403" w:type="pct"/>
            <w:tcBorders>
              <w:top w:val="nil"/>
              <w:left w:val="nil"/>
              <w:bottom w:val="nil"/>
              <w:right w:val="nil"/>
            </w:tcBorders>
            <w:shd w:val="clear" w:color="000000" w:fill="FFFFFF"/>
            <w:noWrap/>
            <w:vAlign w:val="bottom"/>
            <w:hideMark/>
          </w:tcPr>
          <w:p w14:paraId="169E0905"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2015Q3</w:t>
            </w:r>
          </w:p>
        </w:tc>
        <w:tc>
          <w:tcPr>
            <w:tcW w:w="541" w:type="pct"/>
            <w:tcBorders>
              <w:top w:val="nil"/>
              <w:left w:val="nil"/>
              <w:bottom w:val="nil"/>
              <w:right w:val="nil"/>
            </w:tcBorders>
            <w:shd w:val="clear" w:color="000000" w:fill="FFFFFF"/>
            <w:noWrap/>
            <w:vAlign w:val="center"/>
            <w:hideMark/>
          </w:tcPr>
          <w:p w14:paraId="47CCD045"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2,030 </w:t>
            </w:r>
          </w:p>
        </w:tc>
        <w:tc>
          <w:tcPr>
            <w:tcW w:w="184" w:type="pct"/>
            <w:tcBorders>
              <w:top w:val="nil"/>
              <w:left w:val="nil"/>
              <w:bottom w:val="nil"/>
              <w:right w:val="nil"/>
            </w:tcBorders>
            <w:shd w:val="clear" w:color="000000" w:fill="FFFFFF"/>
            <w:noWrap/>
            <w:vAlign w:val="bottom"/>
            <w:hideMark/>
          </w:tcPr>
          <w:p w14:paraId="175EBD8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59.25%</w:t>
            </w:r>
          </w:p>
        </w:tc>
        <w:tc>
          <w:tcPr>
            <w:tcW w:w="184" w:type="pct"/>
            <w:tcBorders>
              <w:top w:val="nil"/>
              <w:left w:val="nil"/>
              <w:bottom w:val="nil"/>
              <w:right w:val="nil"/>
            </w:tcBorders>
            <w:shd w:val="clear" w:color="000000" w:fill="FFFFFF"/>
            <w:noWrap/>
            <w:vAlign w:val="bottom"/>
            <w:hideMark/>
          </w:tcPr>
          <w:p w14:paraId="2899FBC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59.26%</w:t>
            </w:r>
          </w:p>
        </w:tc>
        <w:tc>
          <w:tcPr>
            <w:tcW w:w="184" w:type="pct"/>
            <w:tcBorders>
              <w:top w:val="nil"/>
              <w:left w:val="nil"/>
              <w:bottom w:val="nil"/>
              <w:right w:val="nil"/>
            </w:tcBorders>
            <w:shd w:val="clear" w:color="000000" w:fill="FFFFFF"/>
            <w:noWrap/>
            <w:vAlign w:val="bottom"/>
            <w:hideMark/>
          </w:tcPr>
          <w:p w14:paraId="365CADF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59.28%</w:t>
            </w:r>
          </w:p>
        </w:tc>
        <w:tc>
          <w:tcPr>
            <w:tcW w:w="184" w:type="pct"/>
            <w:tcBorders>
              <w:top w:val="nil"/>
              <w:left w:val="nil"/>
              <w:bottom w:val="nil"/>
              <w:right w:val="nil"/>
            </w:tcBorders>
            <w:shd w:val="clear" w:color="000000" w:fill="FFFFFF"/>
            <w:noWrap/>
            <w:vAlign w:val="bottom"/>
            <w:hideMark/>
          </w:tcPr>
          <w:p w14:paraId="1C8A270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59.28%</w:t>
            </w:r>
          </w:p>
        </w:tc>
        <w:tc>
          <w:tcPr>
            <w:tcW w:w="184" w:type="pct"/>
            <w:tcBorders>
              <w:top w:val="nil"/>
              <w:left w:val="nil"/>
              <w:bottom w:val="nil"/>
              <w:right w:val="nil"/>
            </w:tcBorders>
            <w:shd w:val="clear" w:color="000000" w:fill="FFFFFF"/>
            <w:noWrap/>
            <w:vAlign w:val="bottom"/>
            <w:hideMark/>
          </w:tcPr>
          <w:p w14:paraId="7B07487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59.28%</w:t>
            </w:r>
          </w:p>
        </w:tc>
        <w:tc>
          <w:tcPr>
            <w:tcW w:w="184" w:type="pct"/>
            <w:tcBorders>
              <w:top w:val="nil"/>
              <w:left w:val="nil"/>
              <w:bottom w:val="nil"/>
              <w:right w:val="nil"/>
            </w:tcBorders>
            <w:shd w:val="clear" w:color="000000" w:fill="FFFFFF"/>
            <w:noWrap/>
            <w:vAlign w:val="bottom"/>
            <w:hideMark/>
          </w:tcPr>
          <w:p w14:paraId="617528F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59.28%</w:t>
            </w:r>
          </w:p>
        </w:tc>
        <w:tc>
          <w:tcPr>
            <w:tcW w:w="184" w:type="pct"/>
            <w:tcBorders>
              <w:top w:val="nil"/>
              <w:left w:val="nil"/>
              <w:bottom w:val="nil"/>
              <w:right w:val="nil"/>
            </w:tcBorders>
            <w:shd w:val="clear" w:color="000000" w:fill="FFFFFF"/>
            <w:noWrap/>
            <w:vAlign w:val="bottom"/>
            <w:hideMark/>
          </w:tcPr>
          <w:p w14:paraId="66B2980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59.28%</w:t>
            </w:r>
          </w:p>
        </w:tc>
        <w:tc>
          <w:tcPr>
            <w:tcW w:w="184" w:type="pct"/>
            <w:tcBorders>
              <w:top w:val="nil"/>
              <w:left w:val="nil"/>
              <w:bottom w:val="nil"/>
              <w:right w:val="nil"/>
            </w:tcBorders>
            <w:shd w:val="clear" w:color="000000" w:fill="FFFFFF"/>
            <w:noWrap/>
            <w:vAlign w:val="bottom"/>
            <w:hideMark/>
          </w:tcPr>
          <w:p w14:paraId="6C7F12C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59.28%</w:t>
            </w:r>
          </w:p>
        </w:tc>
        <w:tc>
          <w:tcPr>
            <w:tcW w:w="184" w:type="pct"/>
            <w:tcBorders>
              <w:top w:val="nil"/>
              <w:left w:val="nil"/>
              <w:bottom w:val="nil"/>
              <w:right w:val="nil"/>
            </w:tcBorders>
            <w:shd w:val="clear" w:color="000000" w:fill="FFFFFF"/>
            <w:noWrap/>
            <w:vAlign w:val="bottom"/>
            <w:hideMark/>
          </w:tcPr>
          <w:p w14:paraId="61FFDB5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F8DA4D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7F9B3F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1798E6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F58DB6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EE71F3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3A6794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4872DB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0F0F98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57A09CA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393F5B72" w14:textId="77777777" w:rsidTr="002D2278">
        <w:trPr>
          <w:trHeight w:val="20"/>
        </w:trPr>
        <w:tc>
          <w:tcPr>
            <w:tcW w:w="750" w:type="pct"/>
            <w:tcBorders>
              <w:top w:val="nil"/>
              <w:left w:val="nil"/>
              <w:bottom w:val="nil"/>
              <w:right w:val="nil"/>
            </w:tcBorders>
            <w:shd w:val="clear" w:color="000000" w:fill="FFFFFF"/>
            <w:noWrap/>
            <w:vAlign w:val="center"/>
            <w:hideMark/>
          </w:tcPr>
          <w:p w14:paraId="6542177A" w14:textId="5D00D19A"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2015...............................</w:t>
            </w:r>
          </w:p>
        </w:tc>
        <w:tc>
          <w:tcPr>
            <w:tcW w:w="403" w:type="pct"/>
            <w:tcBorders>
              <w:top w:val="nil"/>
              <w:left w:val="nil"/>
              <w:bottom w:val="nil"/>
              <w:right w:val="nil"/>
            </w:tcBorders>
            <w:shd w:val="clear" w:color="000000" w:fill="FFFFFF"/>
            <w:noWrap/>
            <w:vAlign w:val="bottom"/>
            <w:hideMark/>
          </w:tcPr>
          <w:p w14:paraId="338B9B0F"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2015Q4</w:t>
            </w:r>
          </w:p>
        </w:tc>
        <w:tc>
          <w:tcPr>
            <w:tcW w:w="541" w:type="pct"/>
            <w:tcBorders>
              <w:top w:val="nil"/>
              <w:left w:val="nil"/>
              <w:bottom w:val="nil"/>
              <w:right w:val="nil"/>
            </w:tcBorders>
            <w:shd w:val="clear" w:color="000000" w:fill="FFFFFF"/>
            <w:noWrap/>
            <w:vAlign w:val="center"/>
            <w:hideMark/>
          </w:tcPr>
          <w:p w14:paraId="0DC84BF8"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2,105 </w:t>
            </w:r>
          </w:p>
        </w:tc>
        <w:tc>
          <w:tcPr>
            <w:tcW w:w="184" w:type="pct"/>
            <w:tcBorders>
              <w:top w:val="nil"/>
              <w:left w:val="nil"/>
              <w:bottom w:val="nil"/>
              <w:right w:val="nil"/>
            </w:tcBorders>
            <w:shd w:val="clear" w:color="000000" w:fill="FFFFFF"/>
            <w:noWrap/>
            <w:vAlign w:val="bottom"/>
            <w:hideMark/>
          </w:tcPr>
          <w:p w14:paraId="5817217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66.63%</w:t>
            </w:r>
          </w:p>
        </w:tc>
        <w:tc>
          <w:tcPr>
            <w:tcW w:w="184" w:type="pct"/>
            <w:tcBorders>
              <w:top w:val="nil"/>
              <w:left w:val="nil"/>
              <w:bottom w:val="nil"/>
              <w:right w:val="nil"/>
            </w:tcBorders>
            <w:shd w:val="clear" w:color="000000" w:fill="FFFFFF"/>
            <w:noWrap/>
            <w:vAlign w:val="bottom"/>
            <w:hideMark/>
          </w:tcPr>
          <w:p w14:paraId="0A6AB64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66.63%</w:t>
            </w:r>
          </w:p>
        </w:tc>
        <w:tc>
          <w:tcPr>
            <w:tcW w:w="184" w:type="pct"/>
            <w:tcBorders>
              <w:top w:val="nil"/>
              <w:left w:val="nil"/>
              <w:bottom w:val="nil"/>
              <w:right w:val="nil"/>
            </w:tcBorders>
            <w:shd w:val="clear" w:color="000000" w:fill="FFFFFF"/>
            <w:noWrap/>
            <w:vAlign w:val="bottom"/>
            <w:hideMark/>
          </w:tcPr>
          <w:p w14:paraId="3AE0A86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66.63%</w:t>
            </w:r>
          </w:p>
        </w:tc>
        <w:tc>
          <w:tcPr>
            <w:tcW w:w="184" w:type="pct"/>
            <w:tcBorders>
              <w:top w:val="nil"/>
              <w:left w:val="nil"/>
              <w:bottom w:val="nil"/>
              <w:right w:val="nil"/>
            </w:tcBorders>
            <w:shd w:val="clear" w:color="000000" w:fill="FFFFFF"/>
            <w:noWrap/>
            <w:vAlign w:val="bottom"/>
            <w:hideMark/>
          </w:tcPr>
          <w:p w14:paraId="57A937A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66.63%</w:t>
            </w:r>
          </w:p>
        </w:tc>
        <w:tc>
          <w:tcPr>
            <w:tcW w:w="184" w:type="pct"/>
            <w:tcBorders>
              <w:top w:val="nil"/>
              <w:left w:val="nil"/>
              <w:bottom w:val="nil"/>
              <w:right w:val="nil"/>
            </w:tcBorders>
            <w:shd w:val="clear" w:color="000000" w:fill="FFFFFF"/>
            <w:noWrap/>
            <w:vAlign w:val="bottom"/>
            <w:hideMark/>
          </w:tcPr>
          <w:p w14:paraId="11C80EE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66.63%</w:t>
            </w:r>
          </w:p>
        </w:tc>
        <w:tc>
          <w:tcPr>
            <w:tcW w:w="184" w:type="pct"/>
            <w:tcBorders>
              <w:top w:val="nil"/>
              <w:left w:val="nil"/>
              <w:bottom w:val="nil"/>
              <w:right w:val="nil"/>
            </w:tcBorders>
            <w:shd w:val="clear" w:color="000000" w:fill="FFFFFF"/>
            <w:noWrap/>
            <w:vAlign w:val="bottom"/>
            <w:hideMark/>
          </w:tcPr>
          <w:p w14:paraId="42EF9D1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66.63%</w:t>
            </w:r>
          </w:p>
        </w:tc>
        <w:tc>
          <w:tcPr>
            <w:tcW w:w="184" w:type="pct"/>
            <w:tcBorders>
              <w:top w:val="nil"/>
              <w:left w:val="nil"/>
              <w:bottom w:val="nil"/>
              <w:right w:val="nil"/>
            </w:tcBorders>
            <w:shd w:val="clear" w:color="000000" w:fill="FFFFFF"/>
            <w:noWrap/>
            <w:vAlign w:val="bottom"/>
            <w:hideMark/>
          </w:tcPr>
          <w:p w14:paraId="7D6A3C8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66.63%</w:t>
            </w:r>
          </w:p>
        </w:tc>
        <w:tc>
          <w:tcPr>
            <w:tcW w:w="184" w:type="pct"/>
            <w:tcBorders>
              <w:top w:val="nil"/>
              <w:left w:val="nil"/>
              <w:bottom w:val="nil"/>
              <w:right w:val="nil"/>
            </w:tcBorders>
            <w:shd w:val="clear" w:color="000000" w:fill="FFFFFF"/>
            <w:noWrap/>
            <w:vAlign w:val="bottom"/>
            <w:hideMark/>
          </w:tcPr>
          <w:p w14:paraId="6FA17B6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107452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EF5C2D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53F7BE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F804A2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7AA2EE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6D5771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646387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EF042C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23DE20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6B15AA9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4A13AD97" w14:textId="77777777" w:rsidTr="002D2278">
        <w:trPr>
          <w:trHeight w:val="20"/>
        </w:trPr>
        <w:tc>
          <w:tcPr>
            <w:tcW w:w="750" w:type="pct"/>
            <w:tcBorders>
              <w:top w:val="nil"/>
              <w:left w:val="nil"/>
              <w:bottom w:val="nil"/>
              <w:right w:val="nil"/>
            </w:tcBorders>
            <w:shd w:val="clear" w:color="000000" w:fill="FFFFFF"/>
            <w:noWrap/>
            <w:vAlign w:val="center"/>
            <w:hideMark/>
          </w:tcPr>
          <w:p w14:paraId="4EA3FB8E" w14:textId="77AAF39A"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2016........................................</w:t>
            </w:r>
          </w:p>
        </w:tc>
        <w:tc>
          <w:tcPr>
            <w:tcW w:w="403" w:type="pct"/>
            <w:tcBorders>
              <w:top w:val="nil"/>
              <w:left w:val="nil"/>
              <w:bottom w:val="nil"/>
              <w:right w:val="nil"/>
            </w:tcBorders>
            <w:shd w:val="clear" w:color="000000" w:fill="FFFFFF"/>
            <w:noWrap/>
            <w:vAlign w:val="bottom"/>
            <w:hideMark/>
          </w:tcPr>
          <w:p w14:paraId="03F659F2"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2016Q1</w:t>
            </w:r>
          </w:p>
        </w:tc>
        <w:tc>
          <w:tcPr>
            <w:tcW w:w="541" w:type="pct"/>
            <w:tcBorders>
              <w:top w:val="nil"/>
              <w:left w:val="nil"/>
              <w:bottom w:val="nil"/>
              <w:right w:val="nil"/>
            </w:tcBorders>
            <w:shd w:val="clear" w:color="000000" w:fill="FFFFFF"/>
            <w:noWrap/>
            <w:vAlign w:val="center"/>
            <w:hideMark/>
          </w:tcPr>
          <w:p w14:paraId="1CE546D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1,798 </w:t>
            </w:r>
          </w:p>
        </w:tc>
        <w:tc>
          <w:tcPr>
            <w:tcW w:w="184" w:type="pct"/>
            <w:tcBorders>
              <w:top w:val="nil"/>
              <w:left w:val="nil"/>
              <w:bottom w:val="nil"/>
              <w:right w:val="nil"/>
            </w:tcBorders>
            <w:shd w:val="clear" w:color="000000" w:fill="FFFFFF"/>
            <w:noWrap/>
            <w:vAlign w:val="bottom"/>
            <w:hideMark/>
          </w:tcPr>
          <w:p w14:paraId="22DBB39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58.56%</w:t>
            </w:r>
          </w:p>
        </w:tc>
        <w:tc>
          <w:tcPr>
            <w:tcW w:w="184" w:type="pct"/>
            <w:tcBorders>
              <w:top w:val="nil"/>
              <w:left w:val="nil"/>
              <w:bottom w:val="nil"/>
              <w:right w:val="nil"/>
            </w:tcBorders>
            <w:shd w:val="clear" w:color="000000" w:fill="FFFFFF"/>
            <w:noWrap/>
            <w:vAlign w:val="bottom"/>
            <w:hideMark/>
          </w:tcPr>
          <w:p w14:paraId="6184BF7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58.56%</w:t>
            </w:r>
          </w:p>
        </w:tc>
        <w:tc>
          <w:tcPr>
            <w:tcW w:w="184" w:type="pct"/>
            <w:tcBorders>
              <w:top w:val="nil"/>
              <w:left w:val="nil"/>
              <w:bottom w:val="nil"/>
              <w:right w:val="nil"/>
            </w:tcBorders>
            <w:shd w:val="clear" w:color="000000" w:fill="FFFFFF"/>
            <w:noWrap/>
            <w:vAlign w:val="bottom"/>
            <w:hideMark/>
          </w:tcPr>
          <w:p w14:paraId="3CB2AA8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58.56%</w:t>
            </w:r>
          </w:p>
        </w:tc>
        <w:tc>
          <w:tcPr>
            <w:tcW w:w="184" w:type="pct"/>
            <w:tcBorders>
              <w:top w:val="nil"/>
              <w:left w:val="nil"/>
              <w:bottom w:val="nil"/>
              <w:right w:val="nil"/>
            </w:tcBorders>
            <w:shd w:val="clear" w:color="000000" w:fill="FFFFFF"/>
            <w:noWrap/>
            <w:vAlign w:val="bottom"/>
            <w:hideMark/>
          </w:tcPr>
          <w:p w14:paraId="2D45A70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58.56%</w:t>
            </w:r>
          </w:p>
        </w:tc>
        <w:tc>
          <w:tcPr>
            <w:tcW w:w="184" w:type="pct"/>
            <w:tcBorders>
              <w:top w:val="nil"/>
              <w:left w:val="nil"/>
              <w:bottom w:val="nil"/>
              <w:right w:val="nil"/>
            </w:tcBorders>
            <w:shd w:val="clear" w:color="000000" w:fill="FFFFFF"/>
            <w:noWrap/>
            <w:vAlign w:val="bottom"/>
            <w:hideMark/>
          </w:tcPr>
          <w:p w14:paraId="6425C68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58.56%</w:t>
            </w:r>
          </w:p>
        </w:tc>
        <w:tc>
          <w:tcPr>
            <w:tcW w:w="184" w:type="pct"/>
            <w:tcBorders>
              <w:top w:val="nil"/>
              <w:left w:val="nil"/>
              <w:bottom w:val="nil"/>
              <w:right w:val="nil"/>
            </w:tcBorders>
            <w:shd w:val="clear" w:color="000000" w:fill="FFFFFF"/>
            <w:noWrap/>
            <w:vAlign w:val="bottom"/>
            <w:hideMark/>
          </w:tcPr>
          <w:p w14:paraId="183D329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58.56%</w:t>
            </w:r>
          </w:p>
        </w:tc>
        <w:tc>
          <w:tcPr>
            <w:tcW w:w="184" w:type="pct"/>
            <w:tcBorders>
              <w:top w:val="nil"/>
              <w:left w:val="nil"/>
              <w:bottom w:val="nil"/>
              <w:right w:val="nil"/>
            </w:tcBorders>
            <w:shd w:val="clear" w:color="000000" w:fill="FFFFFF"/>
            <w:noWrap/>
            <w:vAlign w:val="bottom"/>
            <w:hideMark/>
          </w:tcPr>
          <w:p w14:paraId="7ECA514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29DC24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932E66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0BDB14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846723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198932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551291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5A2119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589136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6BA894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D310C0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0DA690F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0D9178F9" w14:textId="77777777" w:rsidTr="002D2278">
        <w:trPr>
          <w:trHeight w:val="20"/>
        </w:trPr>
        <w:tc>
          <w:tcPr>
            <w:tcW w:w="750" w:type="pct"/>
            <w:tcBorders>
              <w:top w:val="nil"/>
              <w:left w:val="nil"/>
              <w:bottom w:val="nil"/>
              <w:right w:val="nil"/>
            </w:tcBorders>
            <w:shd w:val="clear" w:color="000000" w:fill="FFFFFF"/>
            <w:noWrap/>
            <w:vAlign w:val="center"/>
            <w:hideMark/>
          </w:tcPr>
          <w:p w14:paraId="6FF76899" w14:textId="1F47DB44"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2016..........................................</w:t>
            </w:r>
          </w:p>
        </w:tc>
        <w:tc>
          <w:tcPr>
            <w:tcW w:w="403" w:type="pct"/>
            <w:tcBorders>
              <w:top w:val="nil"/>
              <w:left w:val="nil"/>
              <w:bottom w:val="nil"/>
              <w:right w:val="nil"/>
            </w:tcBorders>
            <w:shd w:val="clear" w:color="000000" w:fill="FFFFFF"/>
            <w:noWrap/>
            <w:vAlign w:val="bottom"/>
            <w:hideMark/>
          </w:tcPr>
          <w:p w14:paraId="0174A142"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2016Q2</w:t>
            </w:r>
          </w:p>
        </w:tc>
        <w:tc>
          <w:tcPr>
            <w:tcW w:w="541" w:type="pct"/>
            <w:tcBorders>
              <w:top w:val="nil"/>
              <w:left w:val="nil"/>
              <w:bottom w:val="nil"/>
              <w:right w:val="nil"/>
            </w:tcBorders>
            <w:shd w:val="clear" w:color="000000" w:fill="FFFFFF"/>
            <w:noWrap/>
            <w:vAlign w:val="center"/>
            <w:hideMark/>
          </w:tcPr>
          <w:p w14:paraId="725B153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2,029 </w:t>
            </w:r>
          </w:p>
        </w:tc>
        <w:tc>
          <w:tcPr>
            <w:tcW w:w="184" w:type="pct"/>
            <w:tcBorders>
              <w:top w:val="nil"/>
              <w:left w:val="nil"/>
              <w:bottom w:val="nil"/>
              <w:right w:val="nil"/>
            </w:tcBorders>
            <w:shd w:val="clear" w:color="000000" w:fill="FFFFFF"/>
            <w:noWrap/>
            <w:vAlign w:val="bottom"/>
            <w:hideMark/>
          </w:tcPr>
          <w:p w14:paraId="2B49368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63.44%</w:t>
            </w:r>
          </w:p>
        </w:tc>
        <w:tc>
          <w:tcPr>
            <w:tcW w:w="184" w:type="pct"/>
            <w:tcBorders>
              <w:top w:val="nil"/>
              <w:left w:val="nil"/>
              <w:bottom w:val="nil"/>
              <w:right w:val="nil"/>
            </w:tcBorders>
            <w:shd w:val="clear" w:color="000000" w:fill="FFFFFF"/>
            <w:noWrap/>
            <w:vAlign w:val="bottom"/>
            <w:hideMark/>
          </w:tcPr>
          <w:p w14:paraId="32BD6E6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63.44%</w:t>
            </w:r>
          </w:p>
        </w:tc>
        <w:tc>
          <w:tcPr>
            <w:tcW w:w="184" w:type="pct"/>
            <w:tcBorders>
              <w:top w:val="nil"/>
              <w:left w:val="nil"/>
              <w:bottom w:val="nil"/>
              <w:right w:val="nil"/>
            </w:tcBorders>
            <w:shd w:val="clear" w:color="000000" w:fill="FFFFFF"/>
            <w:noWrap/>
            <w:vAlign w:val="bottom"/>
            <w:hideMark/>
          </w:tcPr>
          <w:p w14:paraId="28410FF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63.44%</w:t>
            </w:r>
          </w:p>
        </w:tc>
        <w:tc>
          <w:tcPr>
            <w:tcW w:w="184" w:type="pct"/>
            <w:tcBorders>
              <w:top w:val="nil"/>
              <w:left w:val="nil"/>
              <w:bottom w:val="nil"/>
              <w:right w:val="nil"/>
            </w:tcBorders>
            <w:shd w:val="clear" w:color="000000" w:fill="FFFFFF"/>
            <w:noWrap/>
            <w:vAlign w:val="bottom"/>
            <w:hideMark/>
          </w:tcPr>
          <w:p w14:paraId="630ECA40"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63.44%</w:t>
            </w:r>
          </w:p>
        </w:tc>
        <w:tc>
          <w:tcPr>
            <w:tcW w:w="184" w:type="pct"/>
            <w:tcBorders>
              <w:top w:val="nil"/>
              <w:left w:val="nil"/>
              <w:bottom w:val="nil"/>
              <w:right w:val="nil"/>
            </w:tcBorders>
            <w:shd w:val="clear" w:color="000000" w:fill="FFFFFF"/>
            <w:noWrap/>
            <w:vAlign w:val="bottom"/>
            <w:hideMark/>
          </w:tcPr>
          <w:p w14:paraId="4971F0A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63.44%</w:t>
            </w:r>
          </w:p>
        </w:tc>
        <w:tc>
          <w:tcPr>
            <w:tcW w:w="184" w:type="pct"/>
            <w:tcBorders>
              <w:top w:val="nil"/>
              <w:left w:val="nil"/>
              <w:bottom w:val="nil"/>
              <w:right w:val="nil"/>
            </w:tcBorders>
            <w:shd w:val="clear" w:color="000000" w:fill="FFFFFF"/>
            <w:noWrap/>
            <w:vAlign w:val="bottom"/>
            <w:hideMark/>
          </w:tcPr>
          <w:p w14:paraId="332B57F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0D9A7B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905132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2BC343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92C815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B6AD281"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C1A67E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C11800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6698EB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A9409C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C47B2F1"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5A8A25D"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4169A95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6B8159D6" w14:textId="77777777" w:rsidTr="002D2278">
        <w:trPr>
          <w:trHeight w:val="20"/>
        </w:trPr>
        <w:tc>
          <w:tcPr>
            <w:tcW w:w="750" w:type="pct"/>
            <w:tcBorders>
              <w:top w:val="nil"/>
              <w:left w:val="nil"/>
              <w:bottom w:val="nil"/>
              <w:right w:val="nil"/>
            </w:tcBorders>
            <w:shd w:val="clear" w:color="000000" w:fill="FFFFFF"/>
            <w:noWrap/>
            <w:vAlign w:val="center"/>
            <w:hideMark/>
          </w:tcPr>
          <w:p w14:paraId="20DA9531" w14:textId="77777777"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30 September 2016..............................</w:t>
            </w:r>
          </w:p>
        </w:tc>
        <w:tc>
          <w:tcPr>
            <w:tcW w:w="403" w:type="pct"/>
            <w:tcBorders>
              <w:top w:val="nil"/>
              <w:left w:val="nil"/>
              <w:bottom w:val="nil"/>
              <w:right w:val="nil"/>
            </w:tcBorders>
            <w:shd w:val="clear" w:color="000000" w:fill="FFFFFF"/>
            <w:noWrap/>
            <w:vAlign w:val="bottom"/>
            <w:hideMark/>
          </w:tcPr>
          <w:p w14:paraId="7C9A3D22"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2016Q3</w:t>
            </w:r>
          </w:p>
        </w:tc>
        <w:tc>
          <w:tcPr>
            <w:tcW w:w="541" w:type="pct"/>
            <w:tcBorders>
              <w:top w:val="nil"/>
              <w:left w:val="nil"/>
              <w:bottom w:val="nil"/>
              <w:right w:val="nil"/>
            </w:tcBorders>
            <w:shd w:val="clear" w:color="000000" w:fill="FFFFFF"/>
            <w:noWrap/>
            <w:vAlign w:val="center"/>
            <w:hideMark/>
          </w:tcPr>
          <w:p w14:paraId="4428345E"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1,611 </w:t>
            </w:r>
          </w:p>
        </w:tc>
        <w:tc>
          <w:tcPr>
            <w:tcW w:w="184" w:type="pct"/>
            <w:tcBorders>
              <w:top w:val="nil"/>
              <w:left w:val="nil"/>
              <w:bottom w:val="nil"/>
              <w:right w:val="nil"/>
            </w:tcBorders>
            <w:shd w:val="clear" w:color="000000" w:fill="FFFFFF"/>
            <w:noWrap/>
            <w:vAlign w:val="bottom"/>
            <w:hideMark/>
          </w:tcPr>
          <w:p w14:paraId="556DCD1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67.71%</w:t>
            </w:r>
          </w:p>
        </w:tc>
        <w:tc>
          <w:tcPr>
            <w:tcW w:w="184" w:type="pct"/>
            <w:tcBorders>
              <w:top w:val="nil"/>
              <w:left w:val="nil"/>
              <w:bottom w:val="nil"/>
              <w:right w:val="nil"/>
            </w:tcBorders>
            <w:shd w:val="clear" w:color="000000" w:fill="FFFFFF"/>
            <w:noWrap/>
            <w:vAlign w:val="bottom"/>
            <w:hideMark/>
          </w:tcPr>
          <w:p w14:paraId="7061EE7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67.71%</w:t>
            </w:r>
          </w:p>
        </w:tc>
        <w:tc>
          <w:tcPr>
            <w:tcW w:w="184" w:type="pct"/>
            <w:tcBorders>
              <w:top w:val="nil"/>
              <w:left w:val="nil"/>
              <w:bottom w:val="nil"/>
              <w:right w:val="nil"/>
            </w:tcBorders>
            <w:shd w:val="clear" w:color="000000" w:fill="FFFFFF"/>
            <w:noWrap/>
            <w:vAlign w:val="bottom"/>
            <w:hideMark/>
          </w:tcPr>
          <w:p w14:paraId="7806B99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67.71%</w:t>
            </w:r>
          </w:p>
        </w:tc>
        <w:tc>
          <w:tcPr>
            <w:tcW w:w="184" w:type="pct"/>
            <w:tcBorders>
              <w:top w:val="nil"/>
              <w:left w:val="nil"/>
              <w:bottom w:val="nil"/>
              <w:right w:val="nil"/>
            </w:tcBorders>
            <w:shd w:val="clear" w:color="000000" w:fill="FFFFFF"/>
            <w:noWrap/>
            <w:vAlign w:val="bottom"/>
            <w:hideMark/>
          </w:tcPr>
          <w:p w14:paraId="350A34F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67.71%</w:t>
            </w:r>
          </w:p>
        </w:tc>
        <w:tc>
          <w:tcPr>
            <w:tcW w:w="184" w:type="pct"/>
            <w:tcBorders>
              <w:top w:val="nil"/>
              <w:left w:val="nil"/>
              <w:bottom w:val="nil"/>
              <w:right w:val="nil"/>
            </w:tcBorders>
            <w:shd w:val="clear" w:color="000000" w:fill="FFFFFF"/>
            <w:noWrap/>
            <w:vAlign w:val="bottom"/>
            <w:hideMark/>
          </w:tcPr>
          <w:p w14:paraId="639EA53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836409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458F7D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428A6C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694136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9B9968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FD0D51F"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98CC77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8CC61A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3CB9D43"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55CD96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60CF18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99A88DC"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588117F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0EADB21A" w14:textId="77777777" w:rsidTr="002D2278">
        <w:trPr>
          <w:trHeight w:val="20"/>
        </w:trPr>
        <w:tc>
          <w:tcPr>
            <w:tcW w:w="750" w:type="pct"/>
            <w:tcBorders>
              <w:top w:val="nil"/>
              <w:left w:val="nil"/>
              <w:bottom w:val="nil"/>
              <w:right w:val="nil"/>
            </w:tcBorders>
            <w:shd w:val="clear" w:color="000000" w:fill="FFFFFF"/>
            <w:noWrap/>
            <w:vAlign w:val="center"/>
            <w:hideMark/>
          </w:tcPr>
          <w:p w14:paraId="5C60514A" w14:textId="5DE690AB"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December</w:t>
            </w:r>
            <w:r w:rsidRPr="002D2278">
              <w:rPr>
                <w:rFonts w:ascii="Aptos Narrow" w:hAnsi="Aptos Narrow"/>
                <w:sz w:val="12"/>
                <w:szCs w:val="12"/>
                <w:lang w:val="de-DE" w:eastAsia="de-DE"/>
              </w:rPr>
              <w:t xml:space="preserve"> 2016...............................</w:t>
            </w:r>
          </w:p>
        </w:tc>
        <w:tc>
          <w:tcPr>
            <w:tcW w:w="403" w:type="pct"/>
            <w:tcBorders>
              <w:top w:val="nil"/>
              <w:left w:val="nil"/>
              <w:bottom w:val="nil"/>
              <w:right w:val="nil"/>
            </w:tcBorders>
            <w:shd w:val="clear" w:color="000000" w:fill="FFFFFF"/>
            <w:noWrap/>
            <w:vAlign w:val="bottom"/>
            <w:hideMark/>
          </w:tcPr>
          <w:p w14:paraId="761B691C"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2016Q4</w:t>
            </w:r>
          </w:p>
        </w:tc>
        <w:tc>
          <w:tcPr>
            <w:tcW w:w="541" w:type="pct"/>
            <w:tcBorders>
              <w:top w:val="nil"/>
              <w:left w:val="nil"/>
              <w:bottom w:val="nil"/>
              <w:right w:val="nil"/>
            </w:tcBorders>
            <w:shd w:val="clear" w:color="000000" w:fill="FFFFFF"/>
            <w:noWrap/>
            <w:vAlign w:val="center"/>
            <w:hideMark/>
          </w:tcPr>
          <w:p w14:paraId="149C4039"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1,520 </w:t>
            </w:r>
          </w:p>
        </w:tc>
        <w:tc>
          <w:tcPr>
            <w:tcW w:w="184" w:type="pct"/>
            <w:tcBorders>
              <w:top w:val="nil"/>
              <w:left w:val="nil"/>
              <w:bottom w:val="nil"/>
              <w:right w:val="nil"/>
            </w:tcBorders>
            <w:shd w:val="clear" w:color="000000" w:fill="FFFFFF"/>
            <w:noWrap/>
            <w:vAlign w:val="bottom"/>
            <w:hideMark/>
          </w:tcPr>
          <w:p w14:paraId="495897A8"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67.68%</w:t>
            </w:r>
          </w:p>
        </w:tc>
        <w:tc>
          <w:tcPr>
            <w:tcW w:w="184" w:type="pct"/>
            <w:tcBorders>
              <w:top w:val="nil"/>
              <w:left w:val="nil"/>
              <w:bottom w:val="nil"/>
              <w:right w:val="nil"/>
            </w:tcBorders>
            <w:shd w:val="clear" w:color="000000" w:fill="FFFFFF"/>
            <w:noWrap/>
            <w:vAlign w:val="bottom"/>
            <w:hideMark/>
          </w:tcPr>
          <w:p w14:paraId="66BEF6C6"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67.68%</w:t>
            </w:r>
          </w:p>
        </w:tc>
        <w:tc>
          <w:tcPr>
            <w:tcW w:w="184" w:type="pct"/>
            <w:tcBorders>
              <w:top w:val="nil"/>
              <w:left w:val="nil"/>
              <w:bottom w:val="nil"/>
              <w:right w:val="nil"/>
            </w:tcBorders>
            <w:shd w:val="clear" w:color="000000" w:fill="FFFFFF"/>
            <w:noWrap/>
            <w:vAlign w:val="bottom"/>
            <w:hideMark/>
          </w:tcPr>
          <w:p w14:paraId="470DF59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67.68%</w:t>
            </w:r>
          </w:p>
        </w:tc>
        <w:tc>
          <w:tcPr>
            <w:tcW w:w="184" w:type="pct"/>
            <w:tcBorders>
              <w:top w:val="nil"/>
              <w:left w:val="nil"/>
              <w:bottom w:val="nil"/>
              <w:right w:val="nil"/>
            </w:tcBorders>
            <w:shd w:val="clear" w:color="000000" w:fill="FFFFFF"/>
            <w:noWrap/>
            <w:vAlign w:val="bottom"/>
            <w:hideMark/>
          </w:tcPr>
          <w:p w14:paraId="7D93EF7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F56458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BB626C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5FA9F3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ABB1C0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72E4B73"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61142A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F36221C"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AC75D2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D4E2205"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97C0D2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71099C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2E9667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F0D2CB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47792C8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2A1509BB" w14:textId="77777777" w:rsidTr="002D2278">
        <w:trPr>
          <w:trHeight w:val="20"/>
        </w:trPr>
        <w:tc>
          <w:tcPr>
            <w:tcW w:w="750" w:type="pct"/>
            <w:tcBorders>
              <w:top w:val="nil"/>
              <w:left w:val="nil"/>
              <w:bottom w:val="nil"/>
              <w:right w:val="nil"/>
            </w:tcBorders>
            <w:shd w:val="clear" w:color="000000" w:fill="FFFFFF"/>
            <w:noWrap/>
            <w:vAlign w:val="center"/>
            <w:hideMark/>
          </w:tcPr>
          <w:p w14:paraId="3896435F" w14:textId="470DF1D9"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31 </w:t>
            </w:r>
            <w:r>
              <w:rPr>
                <w:rFonts w:ascii="Aptos Narrow" w:hAnsi="Aptos Narrow"/>
                <w:sz w:val="12"/>
                <w:szCs w:val="12"/>
                <w:lang w:val="de-DE" w:eastAsia="de-DE"/>
              </w:rPr>
              <w:t>March</w:t>
            </w:r>
            <w:r w:rsidRPr="002D2278">
              <w:rPr>
                <w:rFonts w:ascii="Aptos Narrow" w:hAnsi="Aptos Narrow"/>
                <w:sz w:val="12"/>
                <w:szCs w:val="12"/>
                <w:lang w:val="de-DE" w:eastAsia="de-DE"/>
              </w:rPr>
              <w:t xml:space="preserve"> 2017........................................</w:t>
            </w:r>
          </w:p>
        </w:tc>
        <w:tc>
          <w:tcPr>
            <w:tcW w:w="403" w:type="pct"/>
            <w:tcBorders>
              <w:top w:val="nil"/>
              <w:left w:val="nil"/>
              <w:bottom w:val="nil"/>
              <w:right w:val="nil"/>
            </w:tcBorders>
            <w:shd w:val="clear" w:color="000000" w:fill="FFFFFF"/>
            <w:noWrap/>
            <w:vAlign w:val="bottom"/>
            <w:hideMark/>
          </w:tcPr>
          <w:p w14:paraId="77A368A1"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2017Q1</w:t>
            </w:r>
          </w:p>
        </w:tc>
        <w:tc>
          <w:tcPr>
            <w:tcW w:w="541" w:type="pct"/>
            <w:tcBorders>
              <w:top w:val="nil"/>
              <w:left w:val="nil"/>
              <w:bottom w:val="nil"/>
              <w:right w:val="nil"/>
            </w:tcBorders>
            <w:shd w:val="clear" w:color="000000" w:fill="FFFFFF"/>
            <w:noWrap/>
            <w:vAlign w:val="center"/>
            <w:hideMark/>
          </w:tcPr>
          <w:p w14:paraId="52F1CF84"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1,456 </w:t>
            </w:r>
          </w:p>
        </w:tc>
        <w:tc>
          <w:tcPr>
            <w:tcW w:w="184" w:type="pct"/>
            <w:tcBorders>
              <w:top w:val="nil"/>
              <w:left w:val="nil"/>
              <w:bottom w:val="nil"/>
              <w:right w:val="nil"/>
            </w:tcBorders>
            <w:shd w:val="clear" w:color="000000" w:fill="FFFFFF"/>
            <w:noWrap/>
            <w:vAlign w:val="bottom"/>
            <w:hideMark/>
          </w:tcPr>
          <w:p w14:paraId="21B2CB81"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66.16%</w:t>
            </w:r>
          </w:p>
        </w:tc>
        <w:tc>
          <w:tcPr>
            <w:tcW w:w="184" w:type="pct"/>
            <w:tcBorders>
              <w:top w:val="nil"/>
              <w:left w:val="nil"/>
              <w:bottom w:val="nil"/>
              <w:right w:val="nil"/>
            </w:tcBorders>
            <w:shd w:val="clear" w:color="000000" w:fill="FFFFFF"/>
            <w:noWrap/>
            <w:vAlign w:val="bottom"/>
            <w:hideMark/>
          </w:tcPr>
          <w:p w14:paraId="6335D17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66.16%</w:t>
            </w:r>
          </w:p>
        </w:tc>
        <w:tc>
          <w:tcPr>
            <w:tcW w:w="184" w:type="pct"/>
            <w:tcBorders>
              <w:top w:val="nil"/>
              <w:left w:val="nil"/>
              <w:bottom w:val="nil"/>
              <w:right w:val="nil"/>
            </w:tcBorders>
            <w:shd w:val="clear" w:color="000000" w:fill="FFFFFF"/>
            <w:noWrap/>
            <w:vAlign w:val="bottom"/>
            <w:hideMark/>
          </w:tcPr>
          <w:p w14:paraId="22B134D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344226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7E963A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FA1A08A"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698C3E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DA0FCE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4128DAD"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6D1C6F7"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8CAD682"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28941ED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56F908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409030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8C712C4"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827CB82"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9B7200E"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61558D27"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r w:rsidR="002D2278" w:rsidRPr="002D2278" w14:paraId="6657680D" w14:textId="77777777" w:rsidTr="002D2278">
        <w:trPr>
          <w:trHeight w:val="20"/>
        </w:trPr>
        <w:tc>
          <w:tcPr>
            <w:tcW w:w="750" w:type="pct"/>
            <w:tcBorders>
              <w:top w:val="nil"/>
              <w:left w:val="nil"/>
              <w:bottom w:val="nil"/>
              <w:right w:val="nil"/>
            </w:tcBorders>
            <w:shd w:val="clear" w:color="000000" w:fill="FFFFFF"/>
            <w:noWrap/>
            <w:vAlign w:val="center"/>
            <w:hideMark/>
          </w:tcPr>
          <w:p w14:paraId="04230861" w14:textId="5D9ACC3D" w:rsidR="002D2278" w:rsidRPr="002D2278" w:rsidRDefault="002D2278" w:rsidP="002D2278">
            <w:pPr>
              <w:spacing w:line="240" w:lineRule="auto"/>
              <w:jc w:val="center"/>
              <w:rPr>
                <w:rFonts w:ascii="Aptos Narrow" w:hAnsi="Aptos Narrow"/>
                <w:sz w:val="12"/>
                <w:szCs w:val="12"/>
                <w:lang w:val="de-DE" w:eastAsia="de-DE"/>
              </w:rPr>
            </w:pPr>
            <w:r w:rsidRPr="002D2278">
              <w:rPr>
                <w:rFonts w:ascii="Aptos Narrow" w:hAnsi="Aptos Narrow"/>
                <w:sz w:val="12"/>
                <w:szCs w:val="12"/>
                <w:lang w:val="de-DE" w:eastAsia="de-DE"/>
              </w:rPr>
              <w:t xml:space="preserve">30 </w:t>
            </w:r>
            <w:r>
              <w:rPr>
                <w:rFonts w:ascii="Aptos Narrow" w:hAnsi="Aptos Narrow"/>
                <w:sz w:val="12"/>
                <w:szCs w:val="12"/>
                <w:lang w:val="de-DE" w:eastAsia="de-DE"/>
              </w:rPr>
              <w:t>June</w:t>
            </w:r>
            <w:r w:rsidRPr="002D2278">
              <w:rPr>
                <w:rFonts w:ascii="Aptos Narrow" w:hAnsi="Aptos Narrow"/>
                <w:sz w:val="12"/>
                <w:szCs w:val="12"/>
                <w:lang w:val="de-DE" w:eastAsia="de-DE"/>
              </w:rPr>
              <w:t xml:space="preserve"> 2017..........................................</w:t>
            </w:r>
          </w:p>
        </w:tc>
        <w:tc>
          <w:tcPr>
            <w:tcW w:w="403" w:type="pct"/>
            <w:tcBorders>
              <w:top w:val="nil"/>
              <w:left w:val="nil"/>
              <w:bottom w:val="nil"/>
              <w:right w:val="nil"/>
            </w:tcBorders>
            <w:shd w:val="clear" w:color="000000" w:fill="FFFFFF"/>
            <w:noWrap/>
            <w:vAlign w:val="bottom"/>
            <w:hideMark/>
          </w:tcPr>
          <w:p w14:paraId="4F05229E" w14:textId="77777777" w:rsidR="002D2278" w:rsidRPr="002D2278" w:rsidRDefault="002D2278" w:rsidP="002D2278">
            <w:pPr>
              <w:spacing w:line="240" w:lineRule="auto"/>
              <w:jc w:val="center"/>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2017Q2</w:t>
            </w:r>
          </w:p>
        </w:tc>
        <w:tc>
          <w:tcPr>
            <w:tcW w:w="541" w:type="pct"/>
            <w:tcBorders>
              <w:top w:val="nil"/>
              <w:left w:val="nil"/>
              <w:bottom w:val="nil"/>
              <w:right w:val="nil"/>
            </w:tcBorders>
            <w:shd w:val="clear" w:color="000000" w:fill="FFFFFF"/>
            <w:noWrap/>
            <w:vAlign w:val="center"/>
            <w:hideMark/>
          </w:tcPr>
          <w:p w14:paraId="130DD5C7"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xml:space="preserve">                                                 1,510 </w:t>
            </w:r>
          </w:p>
        </w:tc>
        <w:tc>
          <w:tcPr>
            <w:tcW w:w="184" w:type="pct"/>
            <w:tcBorders>
              <w:top w:val="nil"/>
              <w:left w:val="nil"/>
              <w:bottom w:val="nil"/>
              <w:right w:val="nil"/>
            </w:tcBorders>
            <w:shd w:val="clear" w:color="000000" w:fill="FFFFFF"/>
            <w:noWrap/>
            <w:vAlign w:val="bottom"/>
            <w:hideMark/>
          </w:tcPr>
          <w:p w14:paraId="14CEE69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67.63%</w:t>
            </w:r>
          </w:p>
        </w:tc>
        <w:tc>
          <w:tcPr>
            <w:tcW w:w="184" w:type="pct"/>
            <w:tcBorders>
              <w:top w:val="nil"/>
              <w:left w:val="nil"/>
              <w:bottom w:val="nil"/>
              <w:right w:val="nil"/>
            </w:tcBorders>
            <w:shd w:val="clear" w:color="000000" w:fill="FFFFFF"/>
            <w:noWrap/>
            <w:vAlign w:val="bottom"/>
            <w:hideMark/>
          </w:tcPr>
          <w:p w14:paraId="6072257F"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6155AC5"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C48050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1F649CC"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6079BF92"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39B7212E"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180A3B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F15CB04"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021A5E5B"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48A26CF3" w14:textId="77777777" w:rsidR="002D2278" w:rsidRPr="002D2278" w:rsidRDefault="002D2278" w:rsidP="002D2278">
            <w:pPr>
              <w:spacing w:line="240" w:lineRule="auto"/>
              <w:jc w:val="lef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A3A8059" w14:textId="77777777" w:rsidR="002D2278" w:rsidRPr="002D2278" w:rsidRDefault="002D2278" w:rsidP="002D2278">
            <w:pPr>
              <w:spacing w:line="240" w:lineRule="auto"/>
              <w:jc w:val="right"/>
              <w:rPr>
                <w:rFonts w:ascii="Aptos Narrow" w:hAnsi="Aptos Narrow"/>
                <w:sz w:val="12"/>
                <w:szCs w:val="12"/>
                <w:lang w:val="de-DE" w:eastAsia="de-DE"/>
              </w:rPr>
            </w:pPr>
            <w:r w:rsidRPr="002D2278">
              <w:rPr>
                <w:rFonts w:ascii="Aptos Narrow" w:hAnsi="Aptos Narrow"/>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15A872F"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9010066"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5679193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7EC9AD8B"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4" w:type="pct"/>
            <w:tcBorders>
              <w:top w:val="nil"/>
              <w:left w:val="nil"/>
              <w:bottom w:val="nil"/>
              <w:right w:val="nil"/>
            </w:tcBorders>
            <w:shd w:val="clear" w:color="000000" w:fill="FFFFFF"/>
            <w:noWrap/>
            <w:vAlign w:val="bottom"/>
            <w:hideMark/>
          </w:tcPr>
          <w:p w14:paraId="1A13A7C8"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c>
          <w:tcPr>
            <w:tcW w:w="181" w:type="pct"/>
            <w:tcBorders>
              <w:top w:val="nil"/>
              <w:left w:val="nil"/>
              <w:bottom w:val="nil"/>
              <w:right w:val="nil"/>
            </w:tcBorders>
            <w:shd w:val="clear" w:color="000000" w:fill="FFFFFF"/>
            <w:noWrap/>
            <w:vAlign w:val="bottom"/>
            <w:hideMark/>
          </w:tcPr>
          <w:p w14:paraId="7F1867EA" w14:textId="77777777" w:rsidR="002D2278" w:rsidRPr="002D2278" w:rsidRDefault="002D2278" w:rsidP="002D2278">
            <w:pPr>
              <w:spacing w:line="240" w:lineRule="auto"/>
              <w:jc w:val="left"/>
              <w:rPr>
                <w:rFonts w:ascii="Aptos Narrow" w:hAnsi="Aptos Narrow"/>
                <w:color w:val="000000"/>
                <w:sz w:val="12"/>
                <w:szCs w:val="12"/>
                <w:lang w:val="de-DE" w:eastAsia="de-DE"/>
              </w:rPr>
            </w:pPr>
            <w:r w:rsidRPr="002D2278">
              <w:rPr>
                <w:rFonts w:ascii="Aptos Narrow" w:hAnsi="Aptos Narrow"/>
                <w:color w:val="000000"/>
                <w:sz w:val="12"/>
                <w:szCs w:val="12"/>
                <w:lang w:val="de-DE" w:eastAsia="de-DE"/>
              </w:rPr>
              <w:t> </w:t>
            </w:r>
          </w:p>
        </w:tc>
      </w:tr>
    </w:tbl>
    <w:p w14:paraId="3E750399" w14:textId="755B7553" w:rsidR="009F6E91" w:rsidRPr="00D427D8" w:rsidRDefault="002D2278" w:rsidP="00EF7333">
      <w:pPr>
        <w:pStyle w:val="Body1"/>
      </w:pPr>
      <w:r>
        <w:rPr>
          <w:noProof/>
        </w:rPr>
        <w:lastRenderedPageBreak/>
        <w:drawing>
          <wp:inline distT="0" distB="0" distL="0" distR="0" wp14:anchorId="50B0F819" wp14:editId="794BE932">
            <wp:extent cx="8892540" cy="4469130"/>
            <wp:effectExtent l="0" t="0" r="3810" b="7620"/>
            <wp:docPr id="1402167950" name="Chart 1" title="Total Portfolio">
              <a:extLst xmlns:a="http://schemas.openxmlformats.org/drawingml/2006/main">
                <a:ext uri="{FF2B5EF4-FFF2-40B4-BE49-F238E27FC236}">
                  <a16:creationId xmlns:a16="http://schemas.microsoft.com/office/drawing/2014/main" id="{EFC9EBD4-A42B-4578-8077-06707FC53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F6E91" w:rsidRPr="00D427D8">
        <w:br w:type="page"/>
      </w:r>
    </w:p>
    <w:p w14:paraId="2A17EB16" w14:textId="503EAD6A" w:rsidR="009F6E91" w:rsidRPr="00D427D8" w:rsidRDefault="005C1DB3" w:rsidP="005C1DB3">
      <w:pPr>
        <w:pStyle w:val="Body1"/>
        <w:rPr>
          <w:rStyle w:val="Heading1Text"/>
        </w:rPr>
      </w:pPr>
      <w:r w:rsidRPr="00D427D8">
        <w:rPr>
          <w:rStyle w:val="Heading1Text"/>
        </w:rPr>
        <w:lastRenderedPageBreak/>
        <w:t>Annualised Historical Prepayment Rates</w:t>
      </w:r>
    </w:p>
    <w:tbl>
      <w:tblPr>
        <w:tblW w:w="5000" w:type="pct"/>
        <w:tblCellMar>
          <w:left w:w="70" w:type="dxa"/>
          <w:right w:w="70" w:type="dxa"/>
        </w:tblCellMar>
        <w:tblLook w:val="04A0" w:firstRow="1" w:lastRow="0" w:firstColumn="1" w:lastColumn="0" w:noHBand="0" w:noVBand="1"/>
      </w:tblPr>
      <w:tblGrid>
        <w:gridCol w:w="2418"/>
        <w:gridCol w:w="424"/>
        <w:gridCol w:w="164"/>
        <w:gridCol w:w="1163"/>
        <w:gridCol w:w="1163"/>
        <w:gridCol w:w="1163"/>
        <w:gridCol w:w="614"/>
        <w:gridCol w:w="1164"/>
        <w:gridCol w:w="1164"/>
        <w:gridCol w:w="1164"/>
        <w:gridCol w:w="1164"/>
        <w:gridCol w:w="1075"/>
        <w:gridCol w:w="1164"/>
      </w:tblGrid>
      <w:tr w:rsidR="00E237E4" w:rsidRPr="006A523F" w14:paraId="660875EA" w14:textId="77777777" w:rsidTr="00E237E4">
        <w:trPr>
          <w:trHeight w:val="20"/>
          <w:tblHeader/>
        </w:trPr>
        <w:tc>
          <w:tcPr>
            <w:tcW w:w="864" w:type="pct"/>
            <w:tcBorders>
              <w:top w:val="nil"/>
              <w:left w:val="nil"/>
              <w:bottom w:val="single" w:sz="4" w:space="0" w:color="auto"/>
              <w:right w:val="nil"/>
            </w:tcBorders>
            <w:shd w:val="clear" w:color="000000" w:fill="243782"/>
            <w:noWrap/>
            <w:vAlign w:val="center"/>
            <w:hideMark/>
          </w:tcPr>
          <w:p w14:paraId="631CBC76"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As at Month ending</w:t>
            </w:r>
          </w:p>
        </w:tc>
        <w:tc>
          <w:tcPr>
            <w:tcW w:w="152" w:type="pct"/>
            <w:tcBorders>
              <w:top w:val="nil"/>
              <w:left w:val="nil"/>
              <w:bottom w:val="single" w:sz="4" w:space="0" w:color="auto"/>
              <w:right w:val="nil"/>
            </w:tcBorders>
            <w:shd w:val="clear" w:color="000000" w:fill="243782"/>
            <w:noWrap/>
            <w:vAlign w:val="center"/>
            <w:hideMark/>
          </w:tcPr>
          <w:p w14:paraId="6076DCCC"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 </w:t>
            </w:r>
          </w:p>
        </w:tc>
        <w:tc>
          <w:tcPr>
            <w:tcW w:w="52" w:type="pct"/>
            <w:tcBorders>
              <w:top w:val="nil"/>
              <w:left w:val="nil"/>
              <w:bottom w:val="single" w:sz="4" w:space="0" w:color="auto"/>
              <w:right w:val="nil"/>
            </w:tcBorders>
            <w:shd w:val="clear" w:color="000000" w:fill="243782"/>
            <w:noWrap/>
            <w:vAlign w:val="center"/>
            <w:hideMark/>
          </w:tcPr>
          <w:p w14:paraId="4B016775"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 </w:t>
            </w:r>
          </w:p>
        </w:tc>
        <w:tc>
          <w:tcPr>
            <w:tcW w:w="416" w:type="pct"/>
            <w:tcBorders>
              <w:top w:val="nil"/>
              <w:left w:val="nil"/>
              <w:bottom w:val="single" w:sz="4" w:space="0" w:color="auto"/>
              <w:right w:val="nil"/>
            </w:tcBorders>
            <w:shd w:val="clear" w:color="000000" w:fill="243782"/>
            <w:noWrap/>
            <w:vAlign w:val="center"/>
            <w:hideMark/>
          </w:tcPr>
          <w:p w14:paraId="0FEADC2F"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 xml:space="preserve">New KM </w:t>
            </w:r>
          </w:p>
        </w:tc>
        <w:tc>
          <w:tcPr>
            <w:tcW w:w="416" w:type="pct"/>
            <w:tcBorders>
              <w:top w:val="nil"/>
              <w:left w:val="nil"/>
              <w:bottom w:val="single" w:sz="4" w:space="0" w:color="auto"/>
              <w:right w:val="nil"/>
            </w:tcBorders>
            <w:shd w:val="clear" w:color="000000" w:fill="243782"/>
            <w:noWrap/>
            <w:vAlign w:val="center"/>
            <w:hideMark/>
          </w:tcPr>
          <w:p w14:paraId="400DA109"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New RW</w:t>
            </w:r>
          </w:p>
        </w:tc>
        <w:tc>
          <w:tcPr>
            <w:tcW w:w="416" w:type="pct"/>
            <w:tcBorders>
              <w:top w:val="nil"/>
              <w:left w:val="nil"/>
              <w:bottom w:val="single" w:sz="4" w:space="0" w:color="auto"/>
              <w:right w:val="nil"/>
            </w:tcBorders>
            <w:shd w:val="clear" w:color="000000" w:fill="243782"/>
            <w:noWrap/>
            <w:vAlign w:val="center"/>
            <w:hideMark/>
          </w:tcPr>
          <w:p w14:paraId="65E7A551"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Used KM</w:t>
            </w:r>
          </w:p>
        </w:tc>
        <w:tc>
          <w:tcPr>
            <w:tcW w:w="220" w:type="pct"/>
            <w:tcBorders>
              <w:top w:val="nil"/>
              <w:left w:val="nil"/>
              <w:bottom w:val="single" w:sz="4" w:space="0" w:color="auto"/>
              <w:right w:val="nil"/>
            </w:tcBorders>
            <w:shd w:val="clear" w:color="000000" w:fill="243782"/>
            <w:vAlign w:val="center"/>
            <w:hideMark/>
          </w:tcPr>
          <w:p w14:paraId="02BE0679"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Used RW</w:t>
            </w:r>
          </w:p>
        </w:tc>
        <w:tc>
          <w:tcPr>
            <w:tcW w:w="416" w:type="pct"/>
            <w:tcBorders>
              <w:top w:val="nil"/>
              <w:left w:val="nil"/>
              <w:bottom w:val="single" w:sz="4" w:space="0" w:color="auto"/>
              <w:right w:val="nil"/>
            </w:tcBorders>
            <w:shd w:val="clear" w:color="000000" w:fill="243782"/>
            <w:noWrap/>
            <w:vAlign w:val="center"/>
            <w:hideMark/>
          </w:tcPr>
          <w:p w14:paraId="4F0AEE9A"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Commercial</w:t>
            </w:r>
          </w:p>
        </w:tc>
        <w:tc>
          <w:tcPr>
            <w:tcW w:w="416" w:type="pct"/>
            <w:tcBorders>
              <w:top w:val="nil"/>
              <w:left w:val="nil"/>
              <w:bottom w:val="single" w:sz="4" w:space="0" w:color="auto"/>
              <w:right w:val="nil"/>
            </w:tcBorders>
            <w:shd w:val="clear" w:color="000000" w:fill="243782"/>
            <w:noWrap/>
            <w:vAlign w:val="center"/>
            <w:hideMark/>
          </w:tcPr>
          <w:p w14:paraId="71706EF3"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Private</w:t>
            </w:r>
          </w:p>
        </w:tc>
        <w:tc>
          <w:tcPr>
            <w:tcW w:w="416" w:type="pct"/>
            <w:tcBorders>
              <w:top w:val="nil"/>
              <w:left w:val="nil"/>
              <w:bottom w:val="single" w:sz="4" w:space="0" w:color="auto"/>
              <w:right w:val="nil"/>
            </w:tcBorders>
            <w:shd w:val="clear" w:color="000000" w:fill="243782"/>
            <w:noWrap/>
            <w:vAlign w:val="center"/>
            <w:hideMark/>
          </w:tcPr>
          <w:p w14:paraId="015D4B6E"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New</w:t>
            </w:r>
          </w:p>
        </w:tc>
        <w:tc>
          <w:tcPr>
            <w:tcW w:w="416" w:type="pct"/>
            <w:tcBorders>
              <w:top w:val="nil"/>
              <w:left w:val="nil"/>
              <w:bottom w:val="single" w:sz="4" w:space="0" w:color="FFFFFF"/>
              <w:right w:val="nil"/>
            </w:tcBorders>
            <w:shd w:val="clear" w:color="000000" w:fill="243782"/>
            <w:noWrap/>
            <w:vAlign w:val="center"/>
            <w:hideMark/>
          </w:tcPr>
          <w:p w14:paraId="732364D8"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Used</w:t>
            </w:r>
          </w:p>
        </w:tc>
        <w:tc>
          <w:tcPr>
            <w:tcW w:w="384" w:type="pct"/>
            <w:tcBorders>
              <w:top w:val="nil"/>
              <w:left w:val="nil"/>
              <w:bottom w:val="single" w:sz="4" w:space="0" w:color="auto"/>
              <w:right w:val="nil"/>
            </w:tcBorders>
            <w:shd w:val="clear" w:color="000000" w:fill="243782"/>
            <w:vAlign w:val="center"/>
            <w:hideMark/>
          </w:tcPr>
          <w:p w14:paraId="2FE0A0EA"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Total portfolio Outstanding €mn</w:t>
            </w:r>
          </w:p>
        </w:tc>
        <w:tc>
          <w:tcPr>
            <w:tcW w:w="416" w:type="pct"/>
            <w:tcBorders>
              <w:top w:val="nil"/>
              <w:left w:val="nil"/>
              <w:bottom w:val="single" w:sz="4" w:space="0" w:color="FFFFFF"/>
              <w:right w:val="nil"/>
            </w:tcBorders>
            <w:shd w:val="clear" w:color="000000" w:fill="243782"/>
            <w:noWrap/>
            <w:vAlign w:val="center"/>
            <w:hideMark/>
          </w:tcPr>
          <w:p w14:paraId="578A0C58"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r w:rsidRPr="00E237E4">
              <w:rPr>
                <w:rFonts w:ascii="Aptos Narrow" w:hAnsi="Aptos Narrow"/>
                <w:b/>
                <w:bCs/>
                <w:color w:val="FFFFFF"/>
                <w:sz w:val="13"/>
                <w:szCs w:val="13"/>
                <w:lang w:val="de-DE" w:eastAsia="de-DE"/>
              </w:rPr>
              <w:t>Total Portfolio</w:t>
            </w:r>
          </w:p>
        </w:tc>
      </w:tr>
      <w:tr w:rsidR="00E237E4" w:rsidRPr="006A523F" w14:paraId="56990783" w14:textId="77777777" w:rsidTr="00E237E4">
        <w:trPr>
          <w:trHeight w:val="20"/>
        </w:trPr>
        <w:tc>
          <w:tcPr>
            <w:tcW w:w="864" w:type="pct"/>
            <w:tcBorders>
              <w:top w:val="nil"/>
              <w:left w:val="nil"/>
              <w:bottom w:val="nil"/>
              <w:right w:val="nil"/>
            </w:tcBorders>
            <w:shd w:val="clear" w:color="auto" w:fill="auto"/>
            <w:noWrap/>
            <w:vAlign w:val="bottom"/>
            <w:hideMark/>
          </w:tcPr>
          <w:p w14:paraId="6DA08C10" w14:textId="77777777" w:rsidR="00E237E4" w:rsidRPr="00E237E4" w:rsidRDefault="00E237E4" w:rsidP="00E237E4">
            <w:pPr>
              <w:spacing w:line="240" w:lineRule="auto"/>
              <w:jc w:val="center"/>
              <w:rPr>
                <w:rFonts w:ascii="Aptos Narrow" w:hAnsi="Aptos Narrow"/>
                <w:b/>
                <w:bCs/>
                <w:color w:val="FFFFFF"/>
                <w:sz w:val="13"/>
                <w:szCs w:val="13"/>
                <w:lang w:val="de-DE" w:eastAsia="de-DE"/>
              </w:rPr>
            </w:pPr>
          </w:p>
        </w:tc>
        <w:tc>
          <w:tcPr>
            <w:tcW w:w="152" w:type="pct"/>
            <w:tcBorders>
              <w:top w:val="nil"/>
              <w:left w:val="nil"/>
              <w:bottom w:val="nil"/>
              <w:right w:val="nil"/>
            </w:tcBorders>
            <w:shd w:val="clear" w:color="auto" w:fill="auto"/>
            <w:noWrap/>
            <w:vAlign w:val="bottom"/>
            <w:hideMark/>
          </w:tcPr>
          <w:p w14:paraId="432A3DE5"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52" w:type="pct"/>
            <w:tcBorders>
              <w:top w:val="nil"/>
              <w:left w:val="nil"/>
              <w:bottom w:val="nil"/>
              <w:right w:val="nil"/>
            </w:tcBorders>
            <w:shd w:val="clear" w:color="auto" w:fill="auto"/>
            <w:noWrap/>
            <w:vAlign w:val="bottom"/>
            <w:hideMark/>
          </w:tcPr>
          <w:p w14:paraId="46954C3D"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bottom"/>
            <w:hideMark/>
          </w:tcPr>
          <w:p w14:paraId="689A9607"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bottom"/>
            <w:hideMark/>
          </w:tcPr>
          <w:p w14:paraId="0D7A6A88"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bottom"/>
            <w:hideMark/>
          </w:tcPr>
          <w:p w14:paraId="2C558AAC"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220" w:type="pct"/>
            <w:tcBorders>
              <w:top w:val="nil"/>
              <w:left w:val="nil"/>
              <w:bottom w:val="nil"/>
              <w:right w:val="nil"/>
            </w:tcBorders>
            <w:shd w:val="clear" w:color="auto" w:fill="auto"/>
            <w:noWrap/>
            <w:vAlign w:val="bottom"/>
            <w:hideMark/>
          </w:tcPr>
          <w:p w14:paraId="68B5A2DA"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bottom"/>
            <w:hideMark/>
          </w:tcPr>
          <w:p w14:paraId="1B357225"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bottom"/>
            <w:hideMark/>
          </w:tcPr>
          <w:p w14:paraId="6C68ACF6"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bottom"/>
            <w:hideMark/>
          </w:tcPr>
          <w:p w14:paraId="06C04A10"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bottom"/>
            <w:hideMark/>
          </w:tcPr>
          <w:p w14:paraId="19E6027C"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384" w:type="pct"/>
            <w:tcBorders>
              <w:top w:val="nil"/>
              <w:left w:val="nil"/>
              <w:bottom w:val="nil"/>
              <w:right w:val="nil"/>
            </w:tcBorders>
            <w:shd w:val="clear" w:color="auto" w:fill="auto"/>
            <w:noWrap/>
            <w:vAlign w:val="bottom"/>
            <w:hideMark/>
          </w:tcPr>
          <w:p w14:paraId="27FA0B24"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bottom"/>
            <w:hideMark/>
          </w:tcPr>
          <w:p w14:paraId="3E8A317B" w14:textId="77777777" w:rsidR="00E237E4" w:rsidRPr="00E237E4" w:rsidRDefault="00E237E4" w:rsidP="00E237E4">
            <w:pPr>
              <w:spacing w:line="240" w:lineRule="auto"/>
              <w:jc w:val="left"/>
              <w:rPr>
                <w:rFonts w:ascii="Times New Roman" w:hAnsi="Times New Roman"/>
                <w:sz w:val="13"/>
                <w:szCs w:val="13"/>
                <w:lang w:val="de-DE" w:eastAsia="de-DE"/>
              </w:rPr>
            </w:pPr>
          </w:p>
        </w:tc>
      </w:tr>
      <w:tr w:rsidR="00E237E4" w:rsidRPr="006A523F" w14:paraId="58EA1C5A" w14:textId="77777777" w:rsidTr="00E237E4">
        <w:trPr>
          <w:trHeight w:val="20"/>
        </w:trPr>
        <w:tc>
          <w:tcPr>
            <w:tcW w:w="864" w:type="pct"/>
            <w:tcBorders>
              <w:top w:val="nil"/>
              <w:left w:val="nil"/>
              <w:bottom w:val="nil"/>
              <w:right w:val="nil"/>
            </w:tcBorders>
            <w:shd w:val="clear" w:color="auto" w:fill="auto"/>
            <w:noWrap/>
            <w:vAlign w:val="center"/>
            <w:hideMark/>
          </w:tcPr>
          <w:p w14:paraId="47C1FF89" w14:textId="0184F34A"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2013...................................</w:t>
            </w:r>
          </w:p>
        </w:tc>
        <w:tc>
          <w:tcPr>
            <w:tcW w:w="152" w:type="pct"/>
            <w:tcBorders>
              <w:top w:val="nil"/>
              <w:left w:val="nil"/>
              <w:bottom w:val="nil"/>
              <w:right w:val="nil"/>
            </w:tcBorders>
            <w:shd w:val="clear" w:color="auto" w:fill="auto"/>
            <w:noWrap/>
            <w:vAlign w:val="bottom"/>
            <w:hideMark/>
          </w:tcPr>
          <w:p w14:paraId="78750787"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3CAEC14D"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173A792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c>
          <w:tcPr>
            <w:tcW w:w="416" w:type="pct"/>
            <w:tcBorders>
              <w:top w:val="nil"/>
              <w:left w:val="nil"/>
              <w:bottom w:val="nil"/>
              <w:right w:val="nil"/>
            </w:tcBorders>
            <w:shd w:val="clear" w:color="auto" w:fill="auto"/>
            <w:noWrap/>
            <w:vAlign w:val="center"/>
            <w:hideMark/>
          </w:tcPr>
          <w:p w14:paraId="39474A6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c>
          <w:tcPr>
            <w:tcW w:w="416" w:type="pct"/>
            <w:tcBorders>
              <w:top w:val="nil"/>
              <w:left w:val="nil"/>
              <w:bottom w:val="nil"/>
              <w:right w:val="nil"/>
            </w:tcBorders>
            <w:shd w:val="clear" w:color="auto" w:fill="auto"/>
            <w:noWrap/>
            <w:vAlign w:val="center"/>
            <w:hideMark/>
          </w:tcPr>
          <w:p w14:paraId="7EFF0F5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c>
          <w:tcPr>
            <w:tcW w:w="220" w:type="pct"/>
            <w:tcBorders>
              <w:top w:val="nil"/>
              <w:left w:val="nil"/>
              <w:bottom w:val="nil"/>
              <w:right w:val="nil"/>
            </w:tcBorders>
            <w:shd w:val="clear" w:color="auto" w:fill="auto"/>
            <w:noWrap/>
            <w:vAlign w:val="center"/>
            <w:hideMark/>
          </w:tcPr>
          <w:p w14:paraId="19FC4AF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c>
          <w:tcPr>
            <w:tcW w:w="416" w:type="pct"/>
            <w:tcBorders>
              <w:top w:val="nil"/>
              <w:left w:val="nil"/>
              <w:bottom w:val="nil"/>
              <w:right w:val="nil"/>
            </w:tcBorders>
            <w:shd w:val="clear" w:color="auto" w:fill="auto"/>
            <w:noWrap/>
            <w:vAlign w:val="center"/>
            <w:hideMark/>
          </w:tcPr>
          <w:p w14:paraId="7ED5590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c>
          <w:tcPr>
            <w:tcW w:w="416" w:type="pct"/>
            <w:tcBorders>
              <w:top w:val="nil"/>
              <w:left w:val="nil"/>
              <w:bottom w:val="nil"/>
              <w:right w:val="nil"/>
            </w:tcBorders>
            <w:shd w:val="clear" w:color="auto" w:fill="auto"/>
            <w:noWrap/>
            <w:vAlign w:val="center"/>
            <w:hideMark/>
          </w:tcPr>
          <w:p w14:paraId="59C50CD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c>
          <w:tcPr>
            <w:tcW w:w="416" w:type="pct"/>
            <w:tcBorders>
              <w:top w:val="nil"/>
              <w:left w:val="nil"/>
              <w:bottom w:val="nil"/>
              <w:right w:val="nil"/>
            </w:tcBorders>
            <w:shd w:val="clear" w:color="auto" w:fill="auto"/>
            <w:noWrap/>
            <w:vAlign w:val="center"/>
            <w:hideMark/>
          </w:tcPr>
          <w:p w14:paraId="778AE0B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c>
          <w:tcPr>
            <w:tcW w:w="416" w:type="pct"/>
            <w:tcBorders>
              <w:top w:val="nil"/>
              <w:left w:val="nil"/>
              <w:bottom w:val="nil"/>
              <w:right w:val="nil"/>
            </w:tcBorders>
            <w:shd w:val="clear" w:color="auto" w:fill="auto"/>
            <w:noWrap/>
            <w:vAlign w:val="center"/>
            <w:hideMark/>
          </w:tcPr>
          <w:p w14:paraId="25DC687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c>
          <w:tcPr>
            <w:tcW w:w="384" w:type="pct"/>
            <w:tcBorders>
              <w:top w:val="nil"/>
              <w:left w:val="nil"/>
              <w:bottom w:val="nil"/>
              <w:right w:val="nil"/>
            </w:tcBorders>
            <w:shd w:val="clear" w:color="auto" w:fill="auto"/>
            <w:noWrap/>
            <w:vAlign w:val="center"/>
            <w:hideMark/>
          </w:tcPr>
          <w:p w14:paraId="13A03A88"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1,139,398,104</w:t>
            </w:r>
          </w:p>
        </w:tc>
        <w:tc>
          <w:tcPr>
            <w:tcW w:w="416" w:type="pct"/>
            <w:tcBorders>
              <w:top w:val="nil"/>
              <w:left w:val="nil"/>
              <w:bottom w:val="nil"/>
              <w:right w:val="nil"/>
            </w:tcBorders>
            <w:shd w:val="clear" w:color="auto" w:fill="auto"/>
            <w:noWrap/>
            <w:vAlign w:val="center"/>
            <w:hideMark/>
          </w:tcPr>
          <w:p w14:paraId="04F227B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0.00%</w:t>
            </w:r>
          </w:p>
        </w:tc>
      </w:tr>
      <w:tr w:rsidR="00E237E4" w:rsidRPr="006A523F" w14:paraId="0499FB36" w14:textId="77777777" w:rsidTr="00E237E4">
        <w:trPr>
          <w:trHeight w:val="20"/>
        </w:trPr>
        <w:tc>
          <w:tcPr>
            <w:tcW w:w="864" w:type="pct"/>
            <w:tcBorders>
              <w:top w:val="nil"/>
              <w:left w:val="nil"/>
              <w:bottom w:val="nil"/>
              <w:right w:val="nil"/>
            </w:tcBorders>
            <w:shd w:val="clear" w:color="auto" w:fill="auto"/>
            <w:noWrap/>
            <w:vAlign w:val="center"/>
            <w:hideMark/>
          </w:tcPr>
          <w:p w14:paraId="284E7B1E" w14:textId="0ECA2B08"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2013.....................................</w:t>
            </w:r>
          </w:p>
        </w:tc>
        <w:tc>
          <w:tcPr>
            <w:tcW w:w="152" w:type="pct"/>
            <w:tcBorders>
              <w:top w:val="nil"/>
              <w:left w:val="nil"/>
              <w:bottom w:val="nil"/>
              <w:right w:val="nil"/>
            </w:tcBorders>
            <w:shd w:val="clear" w:color="auto" w:fill="auto"/>
            <w:noWrap/>
            <w:vAlign w:val="bottom"/>
            <w:hideMark/>
          </w:tcPr>
          <w:p w14:paraId="65D6003E"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5DD43C43"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3218CC3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9.33%</w:t>
            </w:r>
          </w:p>
        </w:tc>
        <w:tc>
          <w:tcPr>
            <w:tcW w:w="416" w:type="pct"/>
            <w:tcBorders>
              <w:top w:val="nil"/>
              <w:left w:val="nil"/>
              <w:bottom w:val="nil"/>
              <w:right w:val="nil"/>
            </w:tcBorders>
            <w:shd w:val="clear" w:color="auto" w:fill="auto"/>
            <w:noWrap/>
            <w:vAlign w:val="center"/>
            <w:hideMark/>
          </w:tcPr>
          <w:p w14:paraId="7C5EB60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9.45%</w:t>
            </w:r>
          </w:p>
        </w:tc>
        <w:tc>
          <w:tcPr>
            <w:tcW w:w="416" w:type="pct"/>
            <w:tcBorders>
              <w:top w:val="nil"/>
              <w:left w:val="nil"/>
              <w:bottom w:val="nil"/>
              <w:right w:val="nil"/>
            </w:tcBorders>
            <w:shd w:val="clear" w:color="auto" w:fill="auto"/>
            <w:noWrap/>
            <w:vAlign w:val="center"/>
            <w:hideMark/>
          </w:tcPr>
          <w:p w14:paraId="58798A1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9.76%</w:t>
            </w:r>
          </w:p>
        </w:tc>
        <w:tc>
          <w:tcPr>
            <w:tcW w:w="220" w:type="pct"/>
            <w:tcBorders>
              <w:top w:val="nil"/>
              <w:left w:val="nil"/>
              <w:bottom w:val="nil"/>
              <w:right w:val="nil"/>
            </w:tcBorders>
            <w:shd w:val="clear" w:color="auto" w:fill="auto"/>
            <w:noWrap/>
            <w:vAlign w:val="center"/>
            <w:hideMark/>
          </w:tcPr>
          <w:p w14:paraId="49B3C86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11.89%</w:t>
            </w:r>
          </w:p>
        </w:tc>
        <w:tc>
          <w:tcPr>
            <w:tcW w:w="416" w:type="pct"/>
            <w:tcBorders>
              <w:top w:val="nil"/>
              <w:left w:val="nil"/>
              <w:bottom w:val="nil"/>
              <w:right w:val="nil"/>
            </w:tcBorders>
            <w:shd w:val="clear" w:color="auto" w:fill="auto"/>
            <w:noWrap/>
            <w:vAlign w:val="center"/>
            <w:hideMark/>
          </w:tcPr>
          <w:p w14:paraId="111C2A2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9.81%</w:t>
            </w:r>
          </w:p>
        </w:tc>
        <w:tc>
          <w:tcPr>
            <w:tcW w:w="416" w:type="pct"/>
            <w:tcBorders>
              <w:top w:val="nil"/>
              <w:left w:val="nil"/>
              <w:bottom w:val="nil"/>
              <w:right w:val="nil"/>
            </w:tcBorders>
            <w:shd w:val="clear" w:color="auto" w:fill="auto"/>
            <w:noWrap/>
            <w:vAlign w:val="center"/>
            <w:hideMark/>
          </w:tcPr>
          <w:p w14:paraId="0089007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9.50%</w:t>
            </w:r>
          </w:p>
        </w:tc>
        <w:tc>
          <w:tcPr>
            <w:tcW w:w="416" w:type="pct"/>
            <w:tcBorders>
              <w:top w:val="nil"/>
              <w:left w:val="nil"/>
              <w:bottom w:val="nil"/>
              <w:right w:val="nil"/>
            </w:tcBorders>
            <w:shd w:val="clear" w:color="auto" w:fill="auto"/>
            <w:noWrap/>
            <w:vAlign w:val="center"/>
            <w:hideMark/>
          </w:tcPr>
          <w:p w14:paraId="22E4A6B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9.37%</w:t>
            </w:r>
          </w:p>
        </w:tc>
        <w:tc>
          <w:tcPr>
            <w:tcW w:w="416" w:type="pct"/>
            <w:tcBorders>
              <w:top w:val="nil"/>
              <w:left w:val="nil"/>
              <w:bottom w:val="nil"/>
              <w:right w:val="nil"/>
            </w:tcBorders>
            <w:shd w:val="clear" w:color="auto" w:fill="auto"/>
            <w:noWrap/>
            <w:vAlign w:val="center"/>
            <w:hideMark/>
          </w:tcPr>
          <w:p w14:paraId="38DC4BC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10.61%</w:t>
            </w:r>
          </w:p>
        </w:tc>
        <w:tc>
          <w:tcPr>
            <w:tcW w:w="384" w:type="pct"/>
            <w:tcBorders>
              <w:top w:val="nil"/>
              <w:left w:val="nil"/>
              <w:bottom w:val="nil"/>
              <w:right w:val="nil"/>
            </w:tcBorders>
            <w:shd w:val="clear" w:color="auto" w:fill="auto"/>
            <w:noWrap/>
            <w:vAlign w:val="center"/>
            <w:hideMark/>
          </w:tcPr>
          <w:p w14:paraId="7654682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1,115,836,604</w:t>
            </w:r>
          </w:p>
        </w:tc>
        <w:tc>
          <w:tcPr>
            <w:tcW w:w="416" w:type="pct"/>
            <w:tcBorders>
              <w:top w:val="nil"/>
              <w:left w:val="nil"/>
              <w:bottom w:val="nil"/>
              <w:right w:val="nil"/>
            </w:tcBorders>
            <w:shd w:val="clear" w:color="auto" w:fill="auto"/>
            <w:noWrap/>
            <w:vAlign w:val="center"/>
            <w:hideMark/>
          </w:tcPr>
          <w:p w14:paraId="1F2C613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9.67%</w:t>
            </w:r>
          </w:p>
        </w:tc>
      </w:tr>
      <w:tr w:rsidR="00E237E4" w:rsidRPr="006A523F" w14:paraId="631DD16D" w14:textId="77777777" w:rsidTr="00E237E4">
        <w:trPr>
          <w:trHeight w:val="20"/>
        </w:trPr>
        <w:tc>
          <w:tcPr>
            <w:tcW w:w="864" w:type="pct"/>
            <w:tcBorders>
              <w:top w:val="nil"/>
              <w:left w:val="nil"/>
              <w:bottom w:val="nil"/>
              <w:right w:val="nil"/>
            </w:tcBorders>
            <w:shd w:val="clear" w:color="auto" w:fill="auto"/>
            <w:noWrap/>
            <w:vAlign w:val="center"/>
            <w:hideMark/>
          </w:tcPr>
          <w:p w14:paraId="2246E8A3"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2013.........................</w:t>
            </w:r>
          </w:p>
        </w:tc>
        <w:tc>
          <w:tcPr>
            <w:tcW w:w="152" w:type="pct"/>
            <w:tcBorders>
              <w:top w:val="nil"/>
              <w:left w:val="nil"/>
              <w:bottom w:val="nil"/>
              <w:right w:val="nil"/>
            </w:tcBorders>
            <w:shd w:val="clear" w:color="auto" w:fill="auto"/>
            <w:noWrap/>
            <w:vAlign w:val="bottom"/>
            <w:hideMark/>
          </w:tcPr>
          <w:p w14:paraId="15577A87"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58044131"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3645DED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8.95%</w:t>
            </w:r>
          </w:p>
        </w:tc>
        <w:tc>
          <w:tcPr>
            <w:tcW w:w="416" w:type="pct"/>
            <w:tcBorders>
              <w:top w:val="nil"/>
              <w:left w:val="nil"/>
              <w:bottom w:val="nil"/>
              <w:right w:val="nil"/>
            </w:tcBorders>
            <w:shd w:val="clear" w:color="auto" w:fill="auto"/>
            <w:noWrap/>
            <w:vAlign w:val="center"/>
            <w:hideMark/>
          </w:tcPr>
          <w:p w14:paraId="31821F5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10.21%</w:t>
            </w:r>
          </w:p>
        </w:tc>
        <w:tc>
          <w:tcPr>
            <w:tcW w:w="416" w:type="pct"/>
            <w:tcBorders>
              <w:top w:val="nil"/>
              <w:left w:val="nil"/>
              <w:bottom w:val="nil"/>
              <w:right w:val="nil"/>
            </w:tcBorders>
            <w:shd w:val="clear" w:color="auto" w:fill="auto"/>
            <w:noWrap/>
            <w:vAlign w:val="center"/>
            <w:hideMark/>
          </w:tcPr>
          <w:p w14:paraId="67F8380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10.44%</w:t>
            </w:r>
          </w:p>
        </w:tc>
        <w:tc>
          <w:tcPr>
            <w:tcW w:w="220" w:type="pct"/>
            <w:tcBorders>
              <w:top w:val="nil"/>
              <w:left w:val="nil"/>
              <w:bottom w:val="nil"/>
              <w:right w:val="nil"/>
            </w:tcBorders>
            <w:shd w:val="clear" w:color="auto" w:fill="auto"/>
            <w:noWrap/>
            <w:vAlign w:val="center"/>
            <w:hideMark/>
          </w:tcPr>
          <w:p w14:paraId="388A109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12.37%</w:t>
            </w:r>
          </w:p>
        </w:tc>
        <w:tc>
          <w:tcPr>
            <w:tcW w:w="416" w:type="pct"/>
            <w:tcBorders>
              <w:top w:val="nil"/>
              <w:left w:val="nil"/>
              <w:bottom w:val="nil"/>
              <w:right w:val="nil"/>
            </w:tcBorders>
            <w:shd w:val="clear" w:color="auto" w:fill="auto"/>
            <w:noWrap/>
            <w:vAlign w:val="center"/>
            <w:hideMark/>
          </w:tcPr>
          <w:p w14:paraId="23ABB64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9.35%</w:t>
            </w:r>
          </w:p>
        </w:tc>
        <w:tc>
          <w:tcPr>
            <w:tcW w:w="416" w:type="pct"/>
            <w:tcBorders>
              <w:top w:val="nil"/>
              <w:left w:val="nil"/>
              <w:bottom w:val="nil"/>
              <w:right w:val="nil"/>
            </w:tcBorders>
            <w:shd w:val="clear" w:color="auto" w:fill="auto"/>
            <w:noWrap/>
            <w:vAlign w:val="center"/>
            <w:hideMark/>
          </w:tcPr>
          <w:p w14:paraId="0D7D26A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10.48%</w:t>
            </w:r>
          </w:p>
        </w:tc>
        <w:tc>
          <w:tcPr>
            <w:tcW w:w="416" w:type="pct"/>
            <w:tcBorders>
              <w:top w:val="nil"/>
              <w:left w:val="nil"/>
              <w:bottom w:val="nil"/>
              <w:right w:val="nil"/>
            </w:tcBorders>
            <w:shd w:val="clear" w:color="auto" w:fill="auto"/>
            <w:noWrap/>
            <w:vAlign w:val="center"/>
            <w:hideMark/>
          </w:tcPr>
          <w:p w14:paraId="153F97A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9.41%</w:t>
            </w:r>
          </w:p>
        </w:tc>
        <w:tc>
          <w:tcPr>
            <w:tcW w:w="416" w:type="pct"/>
            <w:tcBorders>
              <w:top w:val="nil"/>
              <w:left w:val="nil"/>
              <w:bottom w:val="nil"/>
              <w:right w:val="nil"/>
            </w:tcBorders>
            <w:shd w:val="clear" w:color="auto" w:fill="auto"/>
            <w:noWrap/>
            <w:vAlign w:val="center"/>
            <w:hideMark/>
          </w:tcPr>
          <w:p w14:paraId="43A8A44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11.19%</w:t>
            </w:r>
          </w:p>
        </w:tc>
        <w:tc>
          <w:tcPr>
            <w:tcW w:w="384" w:type="pct"/>
            <w:tcBorders>
              <w:top w:val="nil"/>
              <w:left w:val="nil"/>
              <w:bottom w:val="nil"/>
              <w:right w:val="nil"/>
            </w:tcBorders>
            <w:shd w:val="clear" w:color="auto" w:fill="auto"/>
            <w:noWrap/>
            <w:vAlign w:val="center"/>
            <w:hideMark/>
          </w:tcPr>
          <w:p w14:paraId="37B1FDE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1,108,460,574</w:t>
            </w:r>
          </w:p>
        </w:tc>
        <w:tc>
          <w:tcPr>
            <w:tcW w:w="416" w:type="pct"/>
            <w:tcBorders>
              <w:top w:val="nil"/>
              <w:left w:val="nil"/>
              <w:bottom w:val="nil"/>
              <w:right w:val="nil"/>
            </w:tcBorders>
            <w:shd w:val="clear" w:color="auto" w:fill="auto"/>
            <w:noWrap/>
            <w:vAlign w:val="center"/>
            <w:hideMark/>
          </w:tcPr>
          <w:p w14:paraId="4266217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9.85%</w:t>
            </w:r>
          </w:p>
        </w:tc>
      </w:tr>
      <w:tr w:rsidR="00E237E4" w:rsidRPr="006A523F" w14:paraId="590F1FD6" w14:textId="77777777" w:rsidTr="00E237E4">
        <w:trPr>
          <w:trHeight w:val="20"/>
        </w:trPr>
        <w:tc>
          <w:tcPr>
            <w:tcW w:w="864" w:type="pct"/>
            <w:tcBorders>
              <w:top w:val="nil"/>
              <w:left w:val="nil"/>
              <w:bottom w:val="nil"/>
              <w:right w:val="nil"/>
            </w:tcBorders>
            <w:shd w:val="clear" w:color="auto" w:fill="auto"/>
            <w:noWrap/>
            <w:vAlign w:val="center"/>
            <w:hideMark/>
          </w:tcPr>
          <w:p w14:paraId="09F83996" w14:textId="60DEA3D1"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2013..........................</w:t>
            </w:r>
          </w:p>
        </w:tc>
        <w:tc>
          <w:tcPr>
            <w:tcW w:w="152" w:type="pct"/>
            <w:tcBorders>
              <w:top w:val="nil"/>
              <w:left w:val="nil"/>
              <w:bottom w:val="nil"/>
              <w:right w:val="nil"/>
            </w:tcBorders>
            <w:shd w:val="clear" w:color="auto" w:fill="auto"/>
            <w:noWrap/>
            <w:vAlign w:val="bottom"/>
            <w:hideMark/>
          </w:tcPr>
          <w:p w14:paraId="12C5F40E"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4F307847"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118328A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9.83%</w:t>
            </w:r>
          </w:p>
        </w:tc>
        <w:tc>
          <w:tcPr>
            <w:tcW w:w="416" w:type="pct"/>
            <w:tcBorders>
              <w:top w:val="nil"/>
              <w:left w:val="nil"/>
              <w:bottom w:val="nil"/>
              <w:right w:val="nil"/>
            </w:tcBorders>
            <w:shd w:val="clear" w:color="auto" w:fill="auto"/>
            <w:noWrap/>
            <w:vAlign w:val="center"/>
            <w:hideMark/>
          </w:tcPr>
          <w:p w14:paraId="6FBBD8A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11.87%</w:t>
            </w:r>
          </w:p>
        </w:tc>
        <w:tc>
          <w:tcPr>
            <w:tcW w:w="416" w:type="pct"/>
            <w:tcBorders>
              <w:top w:val="nil"/>
              <w:left w:val="nil"/>
              <w:bottom w:val="nil"/>
              <w:right w:val="nil"/>
            </w:tcBorders>
            <w:shd w:val="clear" w:color="auto" w:fill="auto"/>
            <w:noWrap/>
            <w:vAlign w:val="center"/>
            <w:hideMark/>
          </w:tcPr>
          <w:p w14:paraId="1474334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9.95%</w:t>
            </w:r>
          </w:p>
        </w:tc>
        <w:tc>
          <w:tcPr>
            <w:tcW w:w="220" w:type="pct"/>
            <w:tcBorders>
              <w:top w:val="nil"/>
              <w:left w:val="nil"/>
              <w:bottom w:val="nil"/>
              <w:right w:val="nil"/>
            </w:tcBorders>
            <w:shd w:val="clear" w:color="auto" w:fill="auto"/>
            <w:noWrap/>
            <w:vAlign w:val="center"/>
            <w:hideMark/>
          </w:tcPr>
          <w:p w14:paraId="48E0CB5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13.57%</w:t>
            </w:r>
          </w:p>
        </w:tc>
        <w:tc>
          <w:tcPr>
            <w:tcW w:w="416" w:type="pct"/>
            <w:tcBorders>
              <w:top w:val="nil"/>
              <w:left w:val="nil"/>
              <w:bottom w:val="nil"/>
              <w:right w:val="nil"/>
            </w:tcBorders>
            <w:shd w:val="clear" w:color="auto" w:fill="auto"/>
            <w:noWrap/>
            <w:vAlign w:val="center"/>
            <w:hideMark/>
          </w:tcPr>
          <w:p w14:paraId="72E5B58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10.45%</w:t>
            </w:r>
          </w:p>
        </w:tc>
        <w:tc>
          <w:tcPr>
            <w:tcW w:w="416" w:type="pct"/>
            <w:tcBorders>
              <w:top w:val="nil"/>
              <w:left w:val="nil"/>
              <w:bottom w:val="nil"/>
              <w:right w:val="nil"/>
            </w:tcBorders>
            <w:shd w:val="clear" w:color="auto" w:fill="auto"/>
            <w:noWrap/>
            <w:vAlign w:val="center"/>
            <w:hideMark/>
          </w:tcPr>
          <w:p w14:paraId="7172C01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11.16%</w:t>
            </w:r>
          </w:p>
        </w:tc>
        <w:tc>
          <w:tcPr>
            <w:tcW w:w="416" w:type="pct"/>
            <w:tcBorders>
              <w:top w:val="nil"/>
              <w:left w:val="nil"/>
              <w:bottom w:val="nil"/>
              <w:right w:val="nil"/>
            </w:tcBorders>
            <w:shd w:val="clear" w:color="auto" w:fill="auto"/>
            <w:noWrap/>
            <w:vAlign w:val="center"/>
            <w:hideMark/>
          </w:tcPr>
          <w:p w14:paraId="5A40BC9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10.57%</w:t>
            </w:r>
          </w:p>
        </w:tc>
        <w:tc>
          <w:tcPr>
            <w:tcW w:w="416" w:type="pct"/>
            <w:tcBorders>
              <w:top w:val="nil"/>
              <w:left w:val="nil"/>
              <w:bottom w:val="nil"/>
              <w:right w:val="nil"/>
            </w:tcBorders>
            <w:shd w:val="clear" w:color="auto" w:fill="auto"/>
            <w:noWrap/>
            <w:vAlign w:val="center"/>
            <w:hideMark/>
          </w:tcPr>
          <w:p w14:paraId="008F3B7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11.33%</w:t>
            </w:r>
          </w:p>
        </w:tc>
        <w:tc>
          <w:tcPr>
            <w:tcW w:w="384" w:type="pct"/>
            <w:tcBorders>
              <w:top w:val="nil"/>
              <w:left w:val="nil"/>
              <w:bottom w:val="nil"/>
              <w:right w:val="nil"/>
            </w:tcBorders>
            <w:shd w:val="clear" w:color="auto" w:fill="auto"/>
            <w:noWrap/>
            <w:vAlign w:val="center"/>
            <w:hideMark/>
          </w:tcPr>
          <w:p w14:paraId="11E99CA0"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1,087,538,188</w:t>
            </w:r>
          </w:p>
        </w:tc>
        <w:tc>
          <w:tcPr>
            <w:tcW w:w="416" w:type="pct"/>
            <w:tcBorders>
              <w:top w:val="nil"/>
              <w:left w:val="nil"/>
              <w:bottom w:val="nil"/>
              <w:right w:val="nil"/>
            </w:tcBorders>
            <w:shd w:val="clear" w:color="auto" w:fill="auto"/>
            <w:noWrap/>
            <w:vAlign w:val="center"/>
            <w:hideMark/>
          </w:tcPr>
          <w:p w14:paraId="4A2A6FC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10.76%</w:t>
            </w:r>
          </w:p>
        </w:tc>
      </w:tr>
      <w:tr w:rsidR="00E237E4" w:rsidRPr="006A523F" w14:paraId="2E951ABC" w14:textId="77777777" w:rsidTr="00E237E4">
        <w:trPr>
          <w:trHeight w:val="20"/>
        </w:trPr>
        <w:tc>
          <w:tcPr>
            <w:tcW w:w="864" w:type="pct"/>
            <w:tcBorders>
              <w:top w:val="nil"/>
              <w:left w:val="nil"/>
              <w:bottom w:val="nil"/>
              <w:right w:val="nil"/>
            </w:tcBorders>
            <w:shd w:val="clear" w:color="auto" w:fill="auto"/>
            <w:noWrap/>
            <w:vAlign w:val="center"/>
            <w:hideMark/>
          </w:tcPr>
          <w:p w14:paraId="34454489" w14:textId="1E76BFC4"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2014...................................</w:t>
            </w:r>
          </w:p>
        </w:tc>
        <w:tc>
          <w:tcPr>
            <w:tcW w:w="152" w:type="pct"/>
            <w:tcBorders>
              <w:top w:val="nil"/>
              <w:left w:val="nil"/>
              <w:bottom w:val="nil"/>
              <w:right w:val="nil"/>
            </w:tcBorders>
            <w:shd w:val="clear" w:color="auto" w:fill="auto"/>
            <w:noWrap/>
            <w:vAlign w:val="bottom"/>
            <w:hideMark/>
          </w:tcPr>
          <w:p w14:paraId="606315E8"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544C52D3"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0F1257E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10.89%</w:t>
            </w:r>
          </w:p>
        </w:tc>
        <w:tc>
          <w:tcPr>
            <w:tcW w:w="416" w:type="pct"/>
            <w:tcBorders>
              <w:top w:val="nil"/>
              <w:left w:val="nil"/>
              <w:bottom w:val="nil"/>
              <w:right w:val="nil"/>
            </w:tcBorders>
            <w:shd w:val="clear" w:color="auto" w:fill="auto"/>
            <w:noWrap/>
            <w:vAlign w:val="center"/>
            <w:hideMark/>
          </w:tcPr>
          <w:p w14:paraId="4DC3C87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12.70%</w:t>
            </w:r>
          </w:p>
        </w:tc>
        <w:tc>
          <w:tcPr>
            <w:tcW w:w="416" w:type="pct"/>
            <w:tcBorders>
              <w:top w:val="nil"/>
              <w:left w:val="nil"/>
              <w:bottom w:val="nil"/>
              <w:right w:val="nil"/>
            </w:tcBorders>
            <w:shd w:val="clear" w:color="auto" w:fill="auto"/>
            <w:noWrap/>
            <w:vAlign w:val="center"/>
            <w:hideMark/>
          </w:tcPr>
          <w:p w14:paraId="6AEE148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12.89%</w:t>
            </w:r>
          </w:p>
        </w:tc>
        <w:tc>
          <w:tcPr>
            <w:tcW w:w="220" w:type="pct"/>
            <w:tcBorders>
              <w:top w:val="nil"/>
              <w:left w:val="nil"/>
              <w:bottom w:val="nil"/>
              <w:right w:val="nil"/>
            </w:tcBorders>
            <w:shd w:val="clear" w:color="auto" w:fill="auto"/>
            <w:noWrap/>
            <w:vAlign w:val="center"/>
            <w:hideMark/>
          </w:tcPr>
          <w:p w14:paraId="4A96920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16.59%</w:t>
            </w:r>
          </w:p>
        </w:tc>
        <w:tc>
          <w:tcPr>
            <w:tcW w:w="416" w:type="pct"/>
            <w:tcBorders>
              <w:top w:val="nil"/>
              <w:left w:val="nil"/>
              <w:bottom w:val="nil"/>
              <w:right w:val="nil"/>
            </w:tcBorders>
            <w:shd w:val="clear" w:color="auto" w:fill="auto"/>
            <w:noWrap/>
            <w:vAlign w:val="center"/>
            <w:hideMark/>
          </w:tcPr>
          <w:p w14:paraId="0D6DE54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10.12%</w:t>
            </w:r>
          </w:p>
        </w:tc>
        <w:tc>
          <w:tcPr>
            <w:tcW w:w="416" w:type="pct"/>
            <w:tcBorders>
              <w:top w:val="nil"/>
              <w:left w:val="nil"/>
              <w:bottom w:val="nil"/>
              <w:right w:val="nil"/>
            </w:tcBorders>
            <w:shd w:val="clear" w:color="auto" w:fill="auto"/>
            <w:noWrap/>
            <w:vAlign w:val="center"/>
            <w:hideMark/>
          </w:tcPr>
          <w:p w14:paraId="4C008AA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14.87%</w:t>
            </w:r>
          </w:p>
        </w:tc>
        <w:tc>
          <w:tcPr>
            <w:tcW w:w="416" w:type="pct"/>
            <w:tcBorders>
              <w:top w:val="nil"/>
              <w:left w:val="nil"/>
              <w:bottom w:val="nil"/>
              <w:right w:val="nil"/>
            </w:tcBorders>
            <w:shd w:val="clear" w:color="auto" w:fill="auto"/>
            <w:noWrap/>
            <w:vAlign w:val="center"/>
            <w:hideMark/>
          </w:tcPr>
          <w:p w14:paraId="4BD3668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11.54%</w:t>
            </w:r>
          </w:p>
        </w:tc>
        <w:tc>
          <w:tcPr>
            <w:tcW w:w="416" w:type="pct"/>
            <w:tcBorders>
              <w:top w:val="nil"/>
              <w:left w:val="nil"/>
              <w:bottom w:val="nil"/>
              <w:right w:val="nil"/>
            </w:tcBorders>
            <w:shd w:val="clear" w:color="auto" w:fill="auto"/>
            <w:noWrap/>
            <w:vAlign w:val="center"/>
            <w:hideMark/>
          </w:tcPr>
          <w:p w14:paraId="0810542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14.26%</w:t>
            </w:r>
          </w:p>
        </w:tc>
        <w:tc>
          <w:tcPr>
            <w:tcW w:w="384" w:type="pct"/>
            <w:tcBorders>
              <w:top w:val="nil"/>
              <w:left w:val="nil"/>
              <w:bottom w:val="nil"/>
              <w:right w:val="nil"/>
            </w:tcBorders>
            <w:shd w:val="clear" w:color="auto" w:fill="auto"/>
            <w:noWrap/>
            <w:vAlign w:val="center"/>
            <w:hideMark/>
          </w:tcPr>
          <w:p w14:paraId="75794E95"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1,050,424,486</w:t>
            </w:r>
          </w:p>
        </w:tc>
        <w:tc>
          <w:tcPr>
            <w:tcW w:w="416" w:type="pct"/>
            <w:tcBorders>
              <w:top w:val="nil"/>
              <w:left w:val="nil"/>
              <w:bottom w:val="nil"/>
              <w:right w:val="nil"/>
            </w:tcBorders>
            <w:shd w:val="clear" w:color="auto" w:fill="auto"/>
            <w:noWrap/>
            <w:vAlign w:val="center"/>
            <w:hideMark/>
          </w:tcPr>
          <w:p w14:paraId="49C891F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12.23%</w:t>
            </w:r>
          </w:p>
        </w:tc>
      </w:tr>
      <w:tr w:rsidR="00E237E4" w:rsidRPr="006A523F" w14:paraId="0C4718B2" w14:textId="77777777" w:rsidTr="00E237E4">
        <w:trPr>
          <w:trHeight w:val="20"/>
        </w:trPr>
        <w:tc>
          <w:tcPr>
            <w:tcW w:w="864" w:type="pct"/>
            <w:tcBorders>
              <w:top w:val="nil"/>
              <w:left w:val="nil"/>
              <w:bottom w:val="nil"/>
              <w:right w:val="nil"/>
            </w:tcBorders>
            <w:shd w:val="clear" w:color="auto" w:fill="auto"/>
            <w:noWrap/>
            <w:vAlign w:val="center"/>
            <w:hideMark/>
          </w:tcPr>
          <w:p w14:paraId="292F5BE4" w14:textId="71BE5E2B"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2014.....................................</w:t>
            </w:r>
          </w:p>
        </w:tc>
        <w:tc>
          <w:tcPr>
            <w:tcW w:w="152" w:type="pct"/>
            <w:tcBorders>
              <w:top w:val="nil"/>
              <w:left w:val="nil"/>
              <w:bottom w:val="nil"/>
              <w:right w:val="nil"/>
            </w:tcBorders>
            <w:shd w:val="clear" w:color="auto" w:fill="auto"/>
            <w:noWrap/>
            <w:vAlign w:val="bottom"/>
            <w:hideMark/>
          </w:tcPr>
          <w:p w14:paraId="18E4F925"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2336C694"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076CCFD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12.65%</w:t>
            </w:r>
          </w:p>
        </w:tc>
        <w:tc>
          <w:tcPr>
            <w:tcW w:w="416" w:type="pct"/>
            <w:tcBorders>
              <w:top w:val="nil"/>
              <w:left w:val="nil"/>
              <w:bottom w:val="nil"/>
              <w:right w:val="nil"/>
            </w:tcBorders>
            <w:shd w:val="clear" w:color="auto" w:fill="auto"/>
            <w:noWrap/>
            <w:vAlign w:val="center"/>
            <w:hideMark/>
          </w:tcPr>
          <w:p w14:paraId="746E4E2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15.43%</w:t>
            </w:r>
          </w:p>
        </w:tc>
        <w:tc>
          <w:tcPr>
            <w:tcW w:w="416" w:type="pct"/>
            <w:tcBorders>
              <w:top w:val="nil"/>
              <w:left w:val="nil"/>
              <w:bottom w:val="nil"/>
              <w:right w:val="nil"/>
            </w:tcBorders>
            <w:shd w:val="clear" w:color="auto" w:fill="auto"/>
            <w:noWrap/>
            <w:vAlign w:val="center"/>
            <w:hideMark/>
          </w:tcPr>
          <w:p w14:paraId="46B959A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13.30%</w:t>
            </w:r>
          </w:p>
        </w:tc>
        <w:tc>
          <w:tcPr>
            <w:tcW w:w="220" w:type="pct"/>
            <w:tcBorders>
              <w:top w:val="nil"/>
              <w:left w:val="nil"/>
              <w:bottom w:val="nil"/>
              <w:right w:val="nil"/>
            </w:tcBorders>
            <w:shd w:val="clear" w:color="auto" w:fill="auto"/>
            <w:noWrap/>
            <w:vAlign w:val="center"/>
            <w:hideMark/>
          </w:tcPr>
          <w:p w14:paraId="4FB2398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16.66%</w:t>
            </w:r>
          </w:p>
        </w:tc>
        <w:tc>
          <w:tcPr>
            <w:tcW w:w="416" w:type="pct"/>
            <w:tcBorders>
              <w:top w:val="nil"/>
              <w:left w:val="nil"/>
              <w:bottom w:val="nil"/>
              <w:right w:val="nil"/>
            </w:tcBorders>
            <w:shd w:val="clear" w:color="auto" w:fill="auto"/>
            <w:noWrap/>
            <w:vAlign w:val="center"/>
            <w:hideMark/>
          </w:tcPr>
          <w:p w14:paraId="03550D2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11.45%</w:t>
            </w:r>
          </w:p>
        </w:tc>
        <w:tc>
          <w:tcPr>
            <w:tcW w:w="416" w:type="pct"/>
            <w:tcBorders>
              <w:top w:val="nil"/>
              <w:left w:val="nil"/>
              <w:bottom w:val="nil"/>
              <w:right w:val="nil"/>
            </w:tcBorders>
            <w:shd w:val="clear" w:color="auto" w:fill="auto"/>
            <w:noWrap/>
            <w:vAlign w:val="center"/>
            <w:hideMark/>
          </w:tcPr>
          <w:p w14:paraId="70E5DA8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16.88%</w:t>
            </w:r>
          </w:p>
        </w:tc>
        <w:tc>
          <w:tcPr>
            <w:tcW w:w="416" w:type="pct"/>
            <w:tcBorders>
              <w:top w:val="nil"/>
              <w:left w:val="nil"/>
              <w:bottom w:val="nil"/>
              <w:right w:val="nil"/>
            </w:tcBorders>
            <w:shd w:val="clear" w:color="auto" w:fill="auto"/>
            <w:noWrap/>
            <w:vAlign w:val="center"/>
            <w:hideMark/>
          </w:tcPr>
          <w:p w14:paraId="3CFDF6B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13.63%</w:t>
            </w:r>
          </w:p>
        </w:tc>
        <w:tc>
          <w:tcPr>
            <w:tcW w:w="416" w:type="pct"/>
            <w:tcBorders>
              <w:top w:val="nil"/>
              <w:left w:val="nil"/>
              <w:bottom w:val="nil"/>
              <w:right w:val="nil"/>
            </w:tcBorders>
            <w:shd w:val="clear" w:color="auto" w:fill="auto"/>
            <w:noWrap/>
            <w:vAlign w:val="center"/>
            <w:hideMark/>
          </w:tcPr>
          <w:p w14:paraId="75EFA55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14.51%</w:t>
            </w:r>
          </w:p>
        </w:tc>
        <w:tc>
          <w:tcPr>
            <w:tcW w:w="384" w:type="pct"/>
            <w:tcBorders>
              <w:top w:val="nil"/>
              <w:left w:val="nil"/>
              <w:bottom w:val="nil"/>
              <w:right w:val="nil"/>
            </w:tcBorders>
            <w:shd w:val="clear" w:color="auto" w:fill="auto"/>
            <w:noWrap/>
            <w:vAlign w:val="center"/>
            <w:hideMark/>
          </w:tcPr>
          <w:p w14:paraId="05A633E1"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1,009,843,690</w:t>
            </w:r>
          </w:p>
        </w:tc>
        <w:tc>
          <w:tcPr>
            <w:tcW w:w="416" w:type="pct"/>
            <w:tcBorders>
              <w:top w:val="nil"/>
              <w:left w:val="nil"/>
              <w:bottom w:val="nil"/>
              <w:right w:val="nil"/>
            </w:tcBorders>
            <w:shd w:val="clear" w:color="auto" w:fill="auto"/>
            <w:noWrap/>
            <w:vAlign w:val="center"/>
            <w:hideMark/>
          </w:tcPr>
          <w:p w14:paraId="5420E03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13.85%</w:t>
            </w:r>
          </w:p>
        </w:tc>
      </w:tr>
      <w:tr w:rsidR="00E237E4" w:rsidRPr="006A523F" w14:paraId="5E099734" w14:textId="77777777" w:rsidTr="00E237E4">
        <w:trPr>
          <w:trHeight w:val="20"/>
        </w:trPr>
        <w:tc>
          <w:tcPr>
            <w:tcW w:w="864" w:type="pct"/>
            <w:tcBorders>
              <w:top w:val="nil"/>
              <w:left w:val="nil"/>
              <w:bottom w:val="nil"/>
              <w:right w:val="nil"/>
            </w:tcBorders>
            <w:shd w:val="clear" w:color="auto" w:fill="auto"/>
            <w:noWrap/>
            <w:vAlign w:val="center"/>
            <w:hideMark/>
          </w:tcPr>
          <w:p w14:paraId="1E8B0F4D"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2014.........................</w:t>
            </w:r>
          </w:p>
        </w:tc>
        <w:tc>
          <w:tcPr>
            <w:tcW w:w="152" w:type="pct"/>
            <w:tcBorders>
              <w:top w:val="nil"/>
              <w:left w:val="nil"/>
              <w:bottom w:val="nil"/>
              <w:right w:val="nil"/>
            </w:tcBorders>
            <w:shd w:val="clear" w:color="auto" w:fill="auto"/>
            <w:noWrap/>
            <w:vAlign w:val="bottom"/>
            <w:hideMark/>
          </w:tcPr>
          <w:p w14:paraId="57D6BE02"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6444460A"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2A3FDC6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11.24%</w:t>
            </w:r>
          </w:p>
        </w:tc>
        <w:tc>
          <w:tcPr>
            <w:tcW w:w="416" w:type="pct"/>
            <w:tcBorders>
              <w:top w:val="nil"/>
              <w:left w:val="nil"/>
              <w:bottom w:val="nil"/>
              <w:right w:val="nil"/>
            </w:tcBorders>
            <w:shd w:val="clear" w:color="auto" w:fill="auto"/>
            <w:noWrap/>
            <w:vAlign w:val="center"/>
            <w:hideMark/>
          </w:tcPr>
          <w:p w14:paraId="6EF63A8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13.24%</w:t>
            </w:r>
          </w:p>
        </w:tc>
        <w:tc>
          <w:tcPr>
            <w:tcW w:w="416" w:type="pct"/>
            <w:tcBorders>
              <w:top w:val="nil"/>
              <w:left w:val="nil"/>
              <w:bottom w:val="nil"/>
              <w:right w:val="nil"/>
            </w:tcBorders>
            <w:shd w:val="clear" w:color="auto" w:fill="auto"/>
            <w:noWrap/>
            <w:vAlign w:val="center"/>
            <w:hideMark/>
          </w:tcPr>
          <w:p w14:paraId="7730E75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12.40%</w:t>
            </w:r>
          </w:p>
        </w:tc>
        <w:tc>
          <w:tcPr>
            <w:tcW w:w="220" w:type="pct"/>
            <w:tcBorders>
              <w:top w:val="nil"/>
              <w:left w:val="nil"/>
              <w:bottom w:val="nil"/>
              <w:right w:val="nil"/>
            </w:tcBorders>
            <w:shd w:val="clear" w:color="auto" w:fill="auto"/>
            <w:noWrap/>
            <w:vAlign w:val="center"/>
            <w:hideMark/>
          </w:tcPr>
          <w:p w14:paraId="2A29118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16.83%</w:t>
            </w:r>
          </w:p>
        </w:tc>
        <w:tc>
          <w:tcPr>
            <w:tcW w:w="416" w:type="pct"/>
            <w:tcBorders>
              <w:top w:val="nil"/>
              <w:left w:val="nil"/>
              <w:bottom w:val="nil"/>
              <w:right w:val="nil"/>
            </w:tcBorders>
            <w:shd w:val="clear" w:color="auto" w:fill="auto"/>
            <w:noWrap/>
            <w:vAlign w:val="center"/>
            <w:hideMark/>
          </w:tcPr>
          <w:p w14:paraId="04928F8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9.82%</w:t>
            </w:r>
          </w:p>
        </w:tc>
        <w:tc>
          <w:tcPr>
            <w:tcW w:w="416" w:type="pct"/>
            <w:tcBorders>
              <w:top w:val="nil"/>
              <w:left w:val="nil"/>
              <w:bottom w:val="nil"/>
              <w:right w:val="nil"/>
            </w:tcBorders>
            <w:shd w:val="clear" w:color="auto" w:fill="auto"/>
            <w:noWrap/>
            <w:vAlign w:val="center"/>
            <w:hideMark/>
          </w:tcPr>
          <w:p w14:paraId="059846C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15.81%</w:t>
            </w:r>
          </w:p>
        </w:tc>
        <w:tc>
          <w:tcPr>
            <w:tcW w:w="416" w:type="pct"/>
            <w:tcBorders>
              <w:top w:val="nil"/>
              <w:left w:val="nil"/>
              <w:bottom w:val="nil"/>
              <w:right w:val="nil"/>
            </w:tcBorders>
            <w:shd w:val="clear" w:color="auto" w:fill="auto"/>
            <w:noWrap/>
            <w:vAlign w:val="center"/>
            <w:hideMark/>
          </w:tcPr>
          <w:p w14:paraId="3DE0A80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11.93%</w:t>
            </w:r>
          </w:p>
        </w:tc>
        <w:tc>
          <w:tcPr>
            <w:tcW w:w="416" w:type="pct"/>
            <w:tcBorders>
              <w:top w:val="nil"/>
              <w:left w:val="nil"/>
              <w:bottom w:val="nil"/>
              <w:right w:val="nil"/>
            </w:tcBorders>
            <w:shd w:val="clear" w:color="auto" w:fill="auto"/>
            <w:noWrap/>
            <w:vAlign w:val="center"/>
            <w:hideMark/>
          </w:tcPr>
          <w:p w14:paraId="6E9BA71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13.98%</w:t>
            </w:r>
          </w:p>
        </w:tc>
        <w:tc>
          <w:tcPr>
            <w:tcW w:w="384" w:type="pct"/>
            <w:tcBorders>
              <w:top w:val="nil"/>
              <w:left w:val="nil"/>
              <w:bottom w:val="nil"/>
              <w:right w:val="nil"/>
            </w:tcBorders>
            <w:shd w:val="clear" w:color="auto" w:fill="auto"/>
            <w:noWrap/>
            <w:vAlign w:val="center"/>
            <w:hideMark/>
          </w:tcPr>
          <w:p w14:paraId="6465987C"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965,878,868</w:t>
            </w:r>
          </w:p>
        </w:tc>
        <w:tc>
          <w:tcPr>
            <w:tcW w:w="416" w:type="pct"/>
            <w:tcBorders>
              <w:top w:val="nil"/>
              <w:left w:val="nil"/>
              <w:bottom w:val="nil"/>
              <w:right w:val="nil"/>
            </w:tcBorders>
            <w:shd w:val="clear" w:color="auto" w:fill="auto"/>
            <w:noWrap/>
            <w:vAlign w:val="center"/>
            <w:hideMark/>
          </w:tcPr>
          <w:p w14:paraId="2897AE6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12.45%</w:t>
            </w:r>
          </w:p>
        </w:tc>
      </w:tr>
      <w:tr w:rsidR="00E237E4" w:rsidRPr="006A523F" w14:paraId="5286835F" w14:textId="77777777" w:rsidTr="00E237E4">
        <w:trPr>
          <w:trHeight w:val="20"/>
        </w:trPr>
        <w:tc>
          <w:tcPr>
            <w:tcW w:w="864" w:type="pct"/>
            <w:tcBorders>
              <w:top w:val="nil"/>
              <w:left w:val="nil"/>
              <w:bottom w:val="nil"/>
              <w:right w:val="nil"/>
            </w:tcBorders>
            <w:shd w:val="clear" w:color="auto" w:fill="auto"/>
            <w:noWrap/>
            <w:vAlign w:val="center"/>
            <w:hideMark/>
          </w:tcPr>
          <w:p w14:paraId="30FA892C" w14:textId="162C6EC5"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2014..........................</w:t>
            </w:r>
          </w:p>
        </w:tc>
        <w:tc>
          <w:tcPr>
            <w:tcW w:w="152" w:type="pct"/>
            <w:tcBorders>
              <w:top w:val="nil"/>
              <w:left w:val="nil"/>
              <w:bottom w:val="nil"/>
              <w:right w:val="nil"/>
            </w:tcBorders>
            <w:shd w:val="clear" w:color="auto" w:fill="auto"/>
            <w:noWrap/>
            <w:vAlign w:val="bottom"/>
            <w:hideMark/>
          </w:tcPr>
          <w:p w14:paraId="166D2A50"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74FD03EB"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298C4BC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12.48%</w:t>
            </w:r>
          </w:p>
        </w:tc>
        <w:tc>
          <w:tcPr>
            <w:tcW w:w="416" w:type="pct"/>
            <w:tcBorders>
              <w:top w:val="nil"/>
              <w:left w:val="nil"/>
              <w:bottom w:val="nil"/>
              <w:right w:val="nil"/>
            </w:tcBorders>
            <w:shd w:val="clear" w:color="auto" w:fill="auto"/>
            <w:noWrap/>
            <w:vAlign w:val="center"/>
            <w:hideMark/>
          </w:tcPr>
          <w:p w14:paraId="0644D40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15.69%</w:t>
            </w:r>
          </w:p>
        </w:tc>
        <w:tc>
          <w:tcPr>
            <w:tcW w:w="416" w:type="pct"/>
            <w:tcBorders>
              <w:top w:val="nil"/>
              <w:left w:val="nil"/>
              <w:bottom w:val="nil"/>
              <w:right w:val="nil"/>
            </w:tcBorders>
            <w:shd w:val="clear" w:color="auto" w:fill="auto"/>
            <w:noWrap/>
            <w:vAlign w:val="center"/>
            <w:hideMark/>
          </w:tcPr>
          <w:p w14:paraId="1986371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13.49%</w:t>
            </w:r>
          </w:p>
        </w:tc>
        <w:tc>
          <w:tcPr>
            <w:tcW w:w="220" w:type="pct"/>
            <w:tcBorders>
              <w:top w:val="nil"/>
              <w:left w:val="nil"/>
              <w:bottom w:val="nil"/>
              <w:right w:val="nil"/>
            </w:tcBorders>
            <w:shd w:val="clear" w:color="auto" w:fill="auto"/>
            <w:noWrap/>
            <w:vAlign w:val="center"/>
            <w:hideMark/>
          </w:tcPr>
          <w:p w14:paraId="4CFBD8C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17.81%</w:t>
            </w:r>
          </w:p>
        </w:tc>
        <w:tc>
          <w:tcPr>
            <w:tcW w:w="416" w:type="pct"/>
            <w:tcBorders>
              <w:top w:val="nil"/>
              <w:left w:val="nil"/>
              <w:bottom w:val="nil"/>
              <w:right w:val="nil"/>
            </w:tcBorders>
            <w:shd w:val="clear" w:color="auto" w:fill="auto"/>
            <w:noWrap/>
            <w:vAlign w:val="center"/>
            <w:hideMark/>
          </w:tcPr>
          <w:p w14:paraId="74B7197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12.10%</w:t>
            </w:r>
          </w:p>
        </w:tc>
        <w:tc>
          <w:tcPr>
            <w:tcW w:w="416" w:type="pct"/>
            <w:tcBorders>
              <w:top w:val="nil"/>
              <w:left w:val="nil"/>
              <w:bottom w:val="nil"/>
              <w:right w:val="nil"/>
            </w:tcBorders>
            <w:shd w:val="clear" w:color="auto" w:fill="auto"/>
            <w:noWrap/>
            <w:vAlign w:val="center"/>
            <w:hideMark/>
          </w:tcPr>
          <w:p w14:paraId="2F58AA4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16.37%</w:t>
            </w:r>
          </w:p>
        </w:tc>
        <w:tc>
          <w:tcPr>
            <w:tcW w:w="416" w:type="pct"/>
            <w:tcBorders>
              <w:top w:val="nil"/>
              <w:left w:val="nil"/>
              <w:bottom w:val="nil"/>
              <w:right w:val="nil"/>
            </w:tcBorders>
            <w:shd w:val="clear" w:color="auto" w:fill="auto"/>
            <w:noWrap/>
            <w:vAlign w:val="center"/>
            <w:hideMark/>
          </w:tcPr>
          <w:p w14:paraId="7789E4C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13.58%</w:t>
            </w:r>
          </w:p>
        </w:tc>
        <w:tc>
          <w:tcPr>
            <w:tcW w:w="416" w:type="pct"/>
            <w:tcBorders>
              <w:top w:val="nil"/>
              <w:left w:val="nil"/>
              <w:bottom w:val="nil"/>
              <w:right w:val="nil"/>
            </w:tcBorders>
            <w:shd w:val="clear" w:color="auto" w:fill="auto"/>
            <w:noWrap/>
            <w:vAlign w:val="center"/>
            <w:hideMark/>
          </w:tcPr>
          <w:p w14:paraId="001A5E7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15.00%</w:t>
            </w:r>
          </w:p>
        </w:tc>
        <w:tc>
          <w:tcPr>
            <w:tcW w:w="384" w:type="pct"/>
            <w:tcBorders>
              <w:top w:val="nil"/>
              <w:left w:val="nil"/>
              <w:bottom w:val="nil"/>
              <w:right w:val="nil"/>
            </w:tcBorders>
            <w:shd w:val="clear" w:color="auto" w:fill="auto"/>
            <w:noWrap/>
            <w:vAlign w:val="center"/>
            <w:hideMark/>
          </w:tcPr>
          <w:p w14:paraId="0EA7C43E"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937,823,993</w:t>
            </w:r>
          </w:p>
        </w:tc>
        <w:tc>
          <w:tcPr>
            <w:tcW w:w="416" w:type="pct"/>
            <w:tcBorders>
              <w:top w:val="nil"/>
              <w:left w:val="nil"/>
              <w:bottom w:val="nil"/>
              <w:right w:val="nil"/>
            </w:tcBorders>
            <w:shd w:val="clear" w:color="auto" w:fill="auto"/>
            <w:noWrap/>
            <w:vAlign w:val="center"/>
            <w:hideMark/>
          </w:tcPr>
          <w:p w14:paraId="5520486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13.94%</w:t>
            </w:r>
          </w:p>
        </w:tc>
      </w:tr>
      <w:tr w:rsidR="00E237E4" w:rsidRPr="006A523F" w14:paraId="03DAB680" w14:textId="77777777" w:rsidTr="00E237E4">
        <w:trPr>
          <w:trHeight w:val="20"/>
        </w:trPr>
        <w:tc>
          <w:tcPr>
            <w:tcW w:w="864" w:type="pct"/>
            <w:tcBorders>
              <w:top w:val="nil"/>
              <w:left w:val="nil"/>
              <w:bottom w:val="nil"/>
              <w:right w:val="nil"/>
            </w:tcBorders>
            <w:shd w:val="clear" w:color="auto" w:fill="auto"/>
            <w:noWrap/>
            <w:vAlign w:val="center"/>
            <w:hideMark/>
          </w:tcPr>
          <w:p w14:paraId="0D6AAB68" w14:textId="4F09E981"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2015...................................</w:t>
            </w:r>
          </w:p>
        </w:tc>
        <w:tc>
          <w:tcPr>
            <w:tcW w:w="152" w:type="pct"/>
            <w:tcBorders>
              <w:top w:val="nil"/>
              <w:left w:val="nil"/>
              <w:bottom w:val="nil"/>
              <w:right w:val="nil"/>
            </w:tcBorders>
            <w:shd w:val="clear" w:color="auto" w:fill="auto"/>
            <w:noWrap/>
            <w:vAlign w:val="bottom"/>
            <w:hideMark/>
          </w:tcPr>
          <w:p w14:paraId="503E6ABB"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05915962"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341EC91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12.01%</w:t>
            </w:r>
          </w:p>
        </w:tc>
        <w:tc>
          <w:tcPr>
            <w:tcW w:w="416" w:type="pct"/>
            <w:tcBorders>
              <w:top w:val="nil"/>
              <w:left w:val="nil"/>
              <w:bottom w:val="nil"/>
              <w:right w:val="nil"/>
            </w:tcBorders>
            <w:shd w:val="clear" w:color="auto" w:fill="auto"/>
            <w:noWrap/>
            <w:vAlign w:val="center"/>
            <w:hideMark/>
          </w:tcPr>
          <w:p w14:paraId="1C152B9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14.77%</w:t>
            </w:r>
          </w:p>
        </w:tc>
        <w:tc>
          <w:tcPr>
            <w:tcW w:w="416" w:type="pct"/>
            <w:tcBorders>
              <w:top w:val="nil"/>
              <w:left w:val="nil"/>
              <w:bottom w:val="nil"/>
              <w:right w:val="nil"/>
            </w:tcBorders>
            <w:shd w:val="clear" w:color="auto" w:fill="auto"/>
            <w:noWrap/>
            <w:vAlign w:val="center"/>
            <w:hideMark/>
          </w:tcPr>
          <w:p w14:paraId="7335BDC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12.47%</w:t>
            </w:r>
          </w:p>
        </w:tc>
        <w:tc>
          <w:tcPr>
            <w:tcW w:w="220" w:type="pct"/>
            <w:tcBorders>
              <w:top w:val="nil"/>
              <w:left w:val="nil"/>
              <w:bottom w:val="nil"/>
              <w:right w:val="nil"/>
            </w:tcBorders>
            <w:shd w:val="clear" w:color="auto" w:fill="auto"/>
            <w:noWrap/>
            <w:vAlign w:val="center"/>
            <w:hideMark/>
          </w:tcPr>
          <w:p w14:paraId="6FBD920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17.73%</w:t>
            </w:r>
          </w:p>
        </w:tc>
        <w:tc>
          <w:tcPr>
            <w:tcW w:w="416" w:type="pct"/>
            <w:tcBorders>
              <w:top w:val="nil"/>
              <w:left w:val="nil"/>
              <w:bottom w:val="nil"/>
              <w:right w:val="nil"/>
            </w:tcBorders>
            <w:shd w:val="clear" w:color="auto" w:fill="auto"/>
            <w:noWrap/>
            <w:vAlign w:val="center"/>
            <w:hideMark/>
          </w:tcPr>
          <w:p w14:paraId="56979BD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11.01%</w:t>
            </w:r>
          </w:p>
        </w:tc>
        <w:tc>
          <w:tcPr>
            <w:tcW w:w="416" w:type="pct"/>
            <w:tcBorders>
              <w:top w:val="nil"/>
              <w:left w:val="nil"/>
              <w:bottom w:val="nil"/>
              <w:right w:val="nil"/>
            </w:tcBorders>
            <w:shd w:val="clear" w:color="auto" w:fill="auto"/>
            <w:noWrap/>
            <w:vAlign w:val="center"/>
            <w:hideMark/>
          </w:tcPr>
          <w:p w14:paraId="1143433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16.26%</w:t>
            </w:r>
          </w:p>
        </w:tc>
        <w:tc>
          <w:tcPr>
            <w:tcW w:w="416" w:type="pct"/>
            <w:tcBorders>
              <w:top w:val="nil"/>
              <w:left w:val="nil"/>
              <w:bottom w:val="nil"/>
              <w:right w:val="nil"/>
            </w:tcBorders>
            <w:shd w:val="clear" w:color="auto" w:fill="auto"/>
            <w:noWrap/>
            <w:vAlign w:val="center"/>
            <w:hideMark/>
          </w:tcPr>
          <w:p w14:paraId="5C76EF0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12.94%</w:t>
            </w:r>
          </w:p>
        </w:tc>
        <w:tc>
          <w:tcPr>
            <w:tcW w:w="416" w:type="pct"/>
            <w:tcBorders>
              <w:top w:val="nil"/>
              <w:left w:val="nil"/>
              <w:bottom w:val="nil"/>
              <w:right w:val="nil"/>
            </w:tcBorders>
            <w:shd w:val="clear" w:color="auto" w:fill="auto"/>
            <w:noWrap/>
            <w:vAlign w:val="center"/>
            <w:hideMark/>
          </w:tcPr>
          <w:p w14:paraId="59BC82A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14.32%</w:t>
            </w:r>
          </w:p>
        </w:tc>
        <w:tc>
          <w:tcPr>
            <w:tcW w:w="384" w:type="pct"/>
            <w:tcBorders>
              <w:top w:val="nil"/>
              <w:left w:val="nil"/>
              <w:bottom w:val="nil"/>
              <w:right w:val="nil"/>
            </w:tcBorders>
            <w:shd w:val="clear" w:color="auto" w:fill="auto"/>
            <w:noWrap/>
            <w:vAlign w:val="center"/>
            <w:hideMark/>
          </w:tcPr>
          <w:p w14:paraId="2FEE54AF"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919,208,398</w:t>
            </w:r>
          </w:p>
        </w:tc>
        <w:tc>
          <w:tcPr>
            <w:tcW w:w="416" w:type="pct"/>
            <w:tcBorders>
              <w:top w:val="nil"/>
              <w:left w:val="nil"/>
              <w:bottom w:val="nil"/>
              <w:right w:val="nil"/>
            </w:tcBorders>
            <w:shd w:val="clear" w:color="auto" w:fill="auto"/>
            <w:noWrap/>
            <w:vAlign w:val="center"/>
            <w:hideMark/>
          </w:tcPr>
          <w:p w14:paraId="653380A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13.29%</w:t>
            </w:r>
          </w:p>
        </w:tc>
      </w:tr>
      <w:tr w:rsidR="00E237E4" w:rsidRPr="006A523F" w14:paraId="303273E7" w14:textId="77777777" w:rsidTr="00E237E4">
        <w:trPr>
          <w:trHeight w:val="20"/>
        </w:trPr>
        <w:tc>
          <w:tcPr>
            <w:tcW w:w="864" w:type="pct"/>
            <w:tcBorders>
              <w:top w:val="nil"/>
              <w:left w:val="nil"/>
              <w:bottom w:val="nil"/>
              <w:right w:val="nil"/>
            </w:tcBorders>
            <w:shd w:val="clear" w:color="auto" w:fill="auto"/>
            <w:noWrap/>
            <w:vAlign w:val="center"/>
            <w:hideMark/>
          </w:tcPr>
          <w:p w14:paraId="7897F256" w14:textId="4F2853AD"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2015.....................................</w:t>
            </w:r>
          </w:p>
        </w:tc>
        <w:tc>
          <w:tcPr>
            <w:tcW w:w="152" w:type="pct"/>
            <w:tcBorders>
              <w:top w:val="nil"/>
              <w:left w:val="nil"/>
              <w:bottom w:val="nil"/>
              <w:right w:val="nil"/>
            </w:tcBorders>
            <w:shd w:val="clear" w:color="auto" w:fill="auto"/>
            <w:noWrap/>
            <w:vAlign w:val="bottom"/>
            <w:hideMark/>
          </w:tcPr>
          <w:p w14:paraId="7838C307"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349ED210"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4BED86A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12.23%</w:t>
            </w:r>
          </w:p>
        </w:tc>
        <w:tc>
          <w:tcPr>
            <w:tcW w:w="416" w:type="pct"/>
            <w:tcBorders>
              <w:top w:val="nil"/>
              <w:left w:val="nil"/>
              <w:bottom w:val="nil"/>
              <w:right w:val="nil"/>
            </w:tcBorders>
            <w:shd w:val="clear" w:color="auto" w:fill="auto"/>
            <w:noWrap/>
            <w:vAlign w:val="center"/>
            <w:hideMark/>
          </w:tcPr>
          <w:p w14:paraId="7253A28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14.08%</w:t>
            </w:r>
          </w:p>
        </w:tc>
        <w:tc>
          <w:tcPr>
            <w:tcW w:w="416" w:type="pct"/>
            <w:tcBorders>
              <w:top w:val="nil"/>
              <w:left w:val="nil"/>
              <w:bottom w:val="nil"/>
              <w:right w:val="nil"/>
            </w:tcBorders>
            <w:shd w:val="clear" w:color="auto" w:fill="auto"/>
            <w:noWrap/>
            <w:vAlign w:val="center"/>
            <w:hideMark/>
          </w:tcPr>
          <w:p w14:paraId="0D8E605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15.22%</w:t>
            </w:r>
          </w:p>
        </w:tc>
        <w:tc>
          <w:tcPr>
            <w:tcW w:w="220" w:type="pct"/>
            <w:tcBorders>
              <w:top w:val="nil"/>
              <w:left w:val="nil"/>
              <w:bottom w:val="nil"/>
              <w:right w:val="nil"/>
            </w:tcBorders>
            <w:shd w:val="clear" w:color="auto" w:fill="auto"/>
            <w:noWrap/>
            <w:vAlign w:val="center"/>
            <w:hideMark/>
          </w:tcPr>
          <w:p w14:paraId="2A13DBD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16.86%</w:t>
            </w:r>
          </w:p>
        </w:tc>
        <w:tc>
          <w:tcPr>
            <w:tcW w:w="416" w:type="pct"/>
            <w:tcBorders>
              <w:top w:val="nil"/>
              <w:left w:val="nil"/>
              <w:bottom w:val="nil"/>
              <w:right w:val="nil"/>
            </w:tcBorders>
            <w:shd w:val="clear" w:color="auto" w:fill="auto"/>
            <w:noWrap/>
            <w:vAlign w:val="center"/>
            <w:hideMark/>
          </w:tcPr>
          <w:p w14:paraId="56E51A2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11.13%</w:t>
            </w:r>
          </w:p>
        </w:tc>
        <w:tc>
          <w:tcPr>
            <w:tcW w:w="416" w:type="pct"/>
            <w:tcBorders>
              <w:top w:val="nil"/>
              <w:left w:val="nil"/>
              <w:bottom w:val="nil"/>
              <w:right w:val="nil"/>
            </w:tcBorders>
            <w:shd w:val="clear" w:color="auto" w:fill="auto"/>
            <w:noWrap/>
            <w:vAlign w:val="center"/>
            <w:hideMark/>
          </w:tcPr>
          <w:p w14:paraId="2E28FE3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16.82%</w:t>
            </w:r>
          </w:p>
        </w:tc>
        <w:tc>
          <w:tcPr>
            <w:tcW w:w="416" w:type="pct"/>
            <w:tcBorders>
              <w:top w:val="nil"/>
              <w:left w:val="nil"/>
              <w:bottom w:val="nil"/>
              <w:right w:val="nil"/>
            </w:tcBorders>
            <w:shd w:val="clear" w:color="auto" w:fill="auto"/>
            <w:noWrap/>
            <w:vAlign w:val="center"/>
            <w:hideMark/>
          </w:tcPr>
          <w:p w14:paraId="75AE739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12.86%</w:t>
            </w:r>
          </w:p>
        </w:tc>
        <w:tc>
          <w:tcPr>
            <w:tcW w:w="416" w:type="pct"/>
            <w:tcBorders>
              <w:top w:val="nil"/>
              <w:left w:val="nil"/>
              <w:bottom w:val="nil"/>
              <w:right w:val="nil"/>
            </w:tcBorders>
            <w:shd w:val="clear" w:color="auto" w:fill="auto"/>
            <w:noWrap/>
            <w:vAlign w:val="center"/>
            <w:hideMark/>
          </w:tcPr>
          <w:p w14:paraId="4094D38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15.79%</w:t>
            </w:r>
          </w:p>
        </w:tc>
        <w:tc>
          <w:tcPr>
            <w:tcW w:w="384" w:type="pct"/>
            <w:tcBorders>
              <w:top w:val="nil"/>
              <w:left w:val="nil"/>
              <w:bottom w:val="nil"/>
              <w:right w:val="nil"/>
            </w:tcBorders>
            <w:shd w:val="clear" w:color="auto" w:fill="auto"/>
            <w:noWrap/>
            <w:vAlign w:val="center"/>
            <w:hideMark/>
          </w:tcPr>
          <w:p w14:paraId="2884998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912,954,043</w:t>
            </w:r>
          </w:p>
        </w:tc>
        <w:tc>
          <w:tcPr>
            <w:tcW w:w="416" w:type="pct"/>
            <w:tcBorders>
              <w:top w:val="nil"/>
              <w:left w:val="nil"/>
              <w:bottom w:val="nil"/>
              <w:right w:val="nil"/>
            </w:tcBorders>
            <w:shd w:val="clear" w:color="auto" w:fill="auto"/>
            <w:noWrap/>
            <w:vAlign w:val="center"/>
            <w:hideMark/>
          </w:tcPr>
          <w:p w14:paraId="0202603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13.61%</w:t>
            </w:r>
          </w:p>
        </w:tc>
      </w:tr>
      <w:tr w:rsidR="00E237E4" w:rsidRPr="006A523F" w14:paraId="74962DCA" w14:textId="77777777" w:rsidTr="00E237E4">
        <w:trPr>
          <w:trHeight w:val="20"/>
        </w:trPr>
        <w:tc>
          <w:tcPr>
            <w:tcW w:w="864" w:type="pct"/>
            <w:tcBorders>
              <w:top w:val="nil"/>
              <w:left w:val="nil"/>
              <w:bottom w:val="nil"/>
              <w:right w:val="nil"/>
            </w:tcBorders>
            <w:shd w:val="clear" w:color="auto" w:fill="auto"/>
            <w:noWrap/>
            <w:vAlign w:val="center"/>
            <w:hideMark/>
          </w:tcPr>
          <w:p w14:paraId="1A952ECD"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2015.........................</w:t>
            </w:r>
          </w:p>
        </w:tc>
        <w:tc>
          <w:tcPr>
            <w:tcW w:w="152" w:type="pct"/>
            <w:tcBorders>
              <w:top w:val="nil"/>
              <w:left w:val="nil"/>
              <w:bottom w:val="nil"/>
              <w:right w:val="nil"/>
            </w:tcBorders>
            <w:shd w:val="clear" w:color="auto" w:fill="auto"/>
            <w:noWrap/>
            <w:vAlign w:val="bottom"/>
            <w:hideMark/>
          </w:tcPr>
          <w:p w14:paraId="68313CB2"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43F26AC8"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45F746A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11.72%</w:t>
            </w:r>
          </w:p>
        </w:tc>
        <w:tc>
          <w:tcPr>
            <w:tcW w:w="416" w:type="pct"/>
            <w:tcBorders>
              <w:top w:val="nil"/>
              <w:left w:val="nil"/>
              <w:bottom w:val="nil"/>
              <w:right w:val="nil"/>
            </w:tcBorders>
            <w:shd w:val="clear" w:color="auto" w:fill="auto"/>
            <w:noWrap/>
            <w:vAlign w:val="center"/>
            <w:hideMark/>
          </w:tcPr>
          <w:p w14:paraId="3A5D95B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11.43%</w:t>
            </w:r>
          </w:p>
        </w:tc>
        <w:tc>
          <w:tcPr>
            <w:tcW w:w="416" w:type="pct"/>
            <w:tcBorders>
              <w:top w:val="nil"/>
              <w:left w:val="nil"/>
              <w:bottom w:val="nil"/>
              <w:right w:val="nil"/>
            </w:tcBorders>
            <w:shd w:val="clear" w:color="auto" w:fill="auto"/>
            <w:noWrap/>
            <w:vAlign w:val="center"/>
            <w:hideMark/>
          </w:tcPr>
          <w:p w14:paraId="334621D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15.12%</w:t>
            </w:r>
          </w:p>
        </w:tc>
        <w:tc>
          <w:tcPr>
            <w:tcW w:w="220" w:type="pct"/>
            <w:tcBorders>
              <w:top w:val="nil"/>
              <w:left w:val="nil"/>
              <w:bottom w:val="nil"/>
              <w:right w:val="nil"/>
            </w:tcBorders>
            <w:shd w:val="clear" w:color="auto" w:fill="auto"/>
            <w:noWrap/>
            <w:vAlign w:val="center"/>
            <w:hideMark/>
          </w:tcPr>
          <w:p w14:paraId="248C249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14.52%</w:t>
            </w:r>
          </w:p>
        </w:tc>
        <w:tc>
          <w:tcPr>
            <w:tcW w:w="416" w:type="pct"/>
            <w:tcBorders>
              <w:top w:val="nil"/>
              <w:left w:val="nil"/>
              <w:bottom w:val="nil"/>
              <w:right w:val="nil"/>
            </w:tcBorders>
            <w:shd w:val="clear" w:color="auto" w:fill="auto"/>
            <w:noWrap/>
            <w:vAlign w:val="center"/>
            <w:hideMark/>
          </w:tcPr>
          <w:p w14:paraId="2F63C01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11.22%</w:t>
            </w:r>
          </w:p>
        </w:tc>
        <w:tc>
          <w:tcPr>
            <w:tcW w:w="416" w:type="pct"/>
            <w:tcBorders>
              <w:top w:val="nil"/>
              <w:left w:val="nil"/>
              <w:bottom w:val="nil"/>
              <w:right w:val="nil"/>
            </w:tcBorders>
            <w:shd w:val="clear" w:color="auto" w:fill="auto"/>
            <w:noWrap/>
            <w:vAlign w:val="center"/>
            <w:hideMark/>
          </w:tcPr>
          <w:p w14:paraId="20CE18E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14.04%</w:t>
            </w:r>
          </w:p>
        </w:tc>
        <w:tc>
          <w:tcPr>
            <w:tcW w:w="416" w:type="pct"/>
            <w:tcBorders>
              <w:top w:val="nil"/>
              <w:left w:val="nil"/>
              <w:bottom w:val="nil"/>
              <w:right w:val="nil"/>
            </w:tcBorders>
            <w:shd w:val="clear" w:color="auto" w:fill="auto"/>
            <w:noWrap/>
            <w:vAlign w:val="center"/>
            <w:hideMark/>
          </w:tcPr>
          <w:p w14:paraId="1D9D9C1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11.62%</w:t>
            </w:r>
          </w:p>
        </w:tc>
        <w:tc>
          <w:tcPr>
            <w:tcW w:w="416" w:type="pct"/>
            <w:tcBorders>
              <w:top w:val="nil"/>
              <w:left w:val="nil"/>
              <w:bottom w:val="nil"/>
              <w:right w:val="nil"/>
            </w:tcBorders>
            <w:shd w:val="clear" w:color="auto" w:fill="auto"/>
            <w:noWrap/>
            <w:vAlign w:val="center"/>
            <w:hideMark/>
          </w:tcPr>
          <w:p w14:paraId="4279560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14.90%</w:t>
            </w:r>
          </w:p>
        </w:tc>
        <w:tc>
          <w:tcPr>
            <w:tcW w:w="384" w:type="pct"/>
            <w:tcBorders>
              <w:top w:val="nil"/>
              <w:left w:val="nil"/>
              <w:bottom w:val="nil"/>
              <w:right w:val="nil"/>
            </w:tcBorders>
            <w:shd w:val="clear" w:color="auto" w:fill="auto"/>
            <w:noWrap/>
            <w:vAlign w:val="center"/>
            <w:hideMark/>
          </w:tcPr>
          <w:p w14:paraId="43E6FFB2"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908,150,414</w:t>
            </w:r>
          </w:p>
        </w:tc>
        <w:tc>
          <w:tcPr>
            <w:tcW w:w="416" w:type="pct"/>
            <w:tcBorders>
              <w:top w:val="nil"/>
              <w:left w:val="nil"/>
              <w:bottom w:val="nil"/>
              <w:right w:val="nil"/>
            </w:tcBorders>
            <w:shd w:val="clear" w:color="auto" w:fill="auto"/>
            <w:noWrap/>
            <w:vAlign w:val="center"/>
            <w:hideMark/>
          </w:tcPr>
          <w:p w14:paraId="0FEC3AB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12.46%</w:t>
            </w:r>
          </w:p>
        </w:tc>
      </w:tr>
      <w:tr w:rsidR="00E237E4" w:rsidRPr="006A523F" w14:paraId="6FCC3542" w14:textId="77777777" w:rsidTr="00E237E4">
        <w:trPr>
          <w:trHeight w:val="20"/>
        </w:trPr>
        <w:tc>
          <w:tcPr>
            <w:tcW w:w="864" w:type="pct"/>
            <w:tcBorders>
              <w:top w:val="nil"/>
              <w:left w:val="nil"/>
              <w:bottom w:val="nil"/>
              <w:right w:val="nil"/>
            </w:tcBorders>
            <w:shd w:val="clear" w:color="auto" w:fill="auto"/>
            <w:noWrap/>
            <w:vAlign w:val="center"/>
            <w:hideMark/>
          </w:tcPr>
          <w:p w14:paraId="40678303" w14:textId="056C70C0"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2015..........................</w:t>
            </w:r>
          </w:p>
        </w:tc>
        <w:tc>
          <w:tcPr>
            <w:tcW w:w="152" w:type="pct"/>
            <w:tcBorders>
              <w:top w:val="nil"/>
              <w:left w:val="nil"/>
              <w:bottom w:val="nil"/>
              <w:right w:val="nil"/>
            </w:tcBorders>
            <w:shd w:val="clear" w:color="auto" w:fill="auto"/>
            <w:noWrap/>
            <w:vAlign w:val="bottom"/>
            <w:hideMark/>
          </w:tcPr>
          <w:p w14:paraId="5E19E1D4"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21F976C2"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7A4DA3C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11.60%</w:t>
            </w:r>
          </w:p>
        </w:tc>
        <w:tc>
          <w:tcPr>
            <w:tcW w:w="416" w:type="pct"/>
            <w:tcBorders>
              <w:top w:val="nil"/>
              <w:left w:val="nil"/>
              <w:bottom w:val="nil"/>
              <w:right w:val="nil"/>
            </w:tcBorders>
            <w:shd w:val="clear" w:color="auto" w:fill="auto"/>
            <w:noWrap/>
            <w:vAlign w:val="center"/>
            <w:hideMark/>
          </w:tcPr>
          <w:p w14:paraId="0F91D99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10.68%</w:t>
            </w:r>
          </w:p>
        </w:tc>
        <w:tc>
          <w:tcPr>
            <w:tcW w:w="416" w:type="pct"/>
            <w:tcBorders>
              <w:top w:val="nil"/>
              <w:left w:val="nil"/>
              <w:bottom w:val="nil"/>
              <w:right w:val="nil"/>
            </w:tcBorders>
            <w:shd w:val="clear" w:color="auto" w:fill="auto"/>
            <w:noWrap/>
            <w:vAlign w:val="center"/>
            <w:hideMark/>
          </w:tcPr>
          <w:p w14:paraId="695497A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12.50%</w:t>
            </w:r>
          </w:p>
        </w:tc>
        <w:tc>
          <w:tcPr>
            <w:tcW w:w="220" w:type="pct"/>
            <w:tcBorders>
              <w:top w:val="nil"/>
              <w:left w:val="nil"/>
              <w:bottom w:val="nil"/>
              <w:right w:val="nil"/>
            </w:tcBorders>
            <w:shd w:val="clear" w:color="auto" w:fill="auto"/>
            <w:noWrap/>
            <w:vAlign w:val="center"/>
            <w:hideMark/>
          </w:tcPr>
          <w:p w14:paraId="6D4B6EF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13.96%</w:t>
            </w:r>
          </w:p>
        </w:tc>
        <w:tc>
          <w:tcPr>
            <w:tcW w:w="416" w:type="pct"/>
            <w:tcBorders>
              <w:top w:val="nil"/>
              <w:left w:val="nil"/>
              <w:bottom w:val="nil"/>
              <w:right w:val="nil"/>
            </w:tcBorders>
            <w:shd w:val="clear" w:color="auto" w:fill="auto"/>
            <w:noWrap/>
            <w:vAlign w:val="center"/>
            <w:hideMark/>
          </w:tcPr>
          <w:p w14:paraId="01ECA62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10.89%</w:t>
            </w:r>
          </w:p>
        </w:tc>
        <w:tc>
          <w:tcPr>
            <w:tcW w:w="416" w:type="pct"/>
            <w:tcBorders>
              <w:top w:val="nil"/>
              <w:left w:val="nil"/>
              <w:bottom w:val="nil"/>
              <w:right w:val="nil"/>
            </w:tcBorders>
            <w:shd w:val="clear" w:color="auto" w:fill="auto"/>
            <w:noWrap/>
            <w:vAlign w:val="center"/>
            <w:hideMark/>
          </w:tcPr>
          <w:p w14:paraId="6EAF682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12.78%</w:t>
            </w:r>
          </w:p>
        </w:tc>
        <w:tc>
          <w:tcPr>
            <w:tcW w:w="416" w:type="pct"/>
            <w:tcBorders>
              <w:top w:val="nil"/>
              <w:left w:val="nil"/>
              <w:bottom w:val="nil"/>
              <w:right w:val="nil"/>
            </w:tcBorders>
            <w:shd w:val="clear" w:color="auto" w:fill="auto"/>
            <w:noWrap/>
            <w:vAlign w:val="center"/>
            <w:hideMark/>
          </w:tcPr>
          <w:p w14:paraId="5A3BAAA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11.28%</w:t>
            </w:r>
          </w:p>
        </w:tc>
        <w:tc>
          <w:tcPr>
            <w:tcW w:w="416" w:type="pct"/>
            <w:tcBorders>
              <w:top w:val="nil"/>
              <w:left w:val="nil"/>
              <w:bottom w:val="nil"/>
              <w:right w:val="nil"/>
            </w:tcBorders>
            <w:shd w:val="clear" w:color="auto" w:fill="auto"/>
            <w:noWrap/>
            <w:vAlign w:val="center"/>
            <w:hideMark/>
          </w:tcPr>
          <w:p w14:paraId="3E0E138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13.05%</w:t>
            </w:r>
          </w:p>
        </w:tc>
        <w:tc>
          <w:tcPr>
            <w:tcW w:w="384" w:type="pct"/>
            <w:tcBorders>
              <w:top w:val="nil"/>
              <w:left w:val="nil"/>
              <w:bottom w:val="nil"/>
              <w:right w:val="nil"/>
            </w:tcBorders>
            <w:shd w:val="clear" w:color="auto" w:fill="auto"/>
            <w:noWrap/>
            <w:vAlign w:val="center"/>
            <w:hideMark/>
          </w:tcPr>
          <w:p w14:paraId="3D109DA7"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905,586,212</w:t>
            </w:r>
          </w:p>
        </w:tc>
        <w:tc>
          <w:tcPr>
            <w:tcW w:w="416" w:type="pct"/>
            <w:tcBorders>
              <w:top w:val="nil"/>
              <w:left w:val="nil"/>
              <w:bottom w:val="nil"/>
              <w:right w:val="nil"/>
            </w:tcBorders>
            <w:shd w:val="clear" w:color="auto" w:fill="auto"/>
            <w:noWrap/>
            <w:vAlign w:val="center"/>
            <w:hideMark/>
          </w:tcPr>
          <w:p w14:paraId="417CE78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11.73%</w:t>
            </w:r>
          </w:p>
        </w:tc>
      </w:tr>
      <w:tr w:rsidR="00E237E4" w:rsidRPr="006A523F" w14:paraId="5E1AFC6B" w14:textId="77777777" w:rsidTr="00E237E4">
        <w:trPr>
          <w:trHeight w:val="20"/>
        </w:trPr>
        <w:tc>
          <w:tcPr>
            <w:tcW w:w="864" w:type="pct"/>
            <w:tcBorders>
              <w:top w:val="nil"/>
              <w:left w:val="nil"/>
              <w:bottom w:val="nil"/>
              <w:right w:val="nil"/>
            </w:tcBorders>
            <w:shd w:val="clear" w:color="auto" w:fill="auto"/>
            <w:noWrap/>
            <w:vAlign w:val="center"/>
            <w:hideMark/>
          </w:tcPr>
          <w:p w14:paraId="08241CCA" w14:textId="7373B251"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2016...................................</w:t>
            </w:r>
          </w:p>
        </w:tc>
        <w:tc>
          <w:tcPr>
            <w:tcW w:w="152" w:type="pct"/>
            <w:tcBorders>
              <w:top w:val="nil"/>
              <w:left w:val="nil"/>
              <w:bottom w:val="nil"/>
              <w:right w:val="nil"/>
            </w:tcBorders>
            <w:shd w:val="clear" w:color="auto" w:fill="auto"/>
            <w:noWrap/>
            <w:vAlign w:val="bottom"/>
            <w:hideMark/>
          </w:tcPr>
          <w:p w14:paraId="6C7135F1"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4E2F401B"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05BB38D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10.20%</w:t>
            </w:r>
          </w:p>
        </w:tc>
        <w:tc>
          <w:tcPr>
            <w:tcW w:w="416" w:type="pct"/>
            <w:tcBorders>
              <w:top w:val="nil"/>
              <w:left w:val="nil"/>
              <w:bottom w:val="nil"/>
              <w:right w:val="nil"/>
            </w:tcBorders>
            <w:shd w:val="clear" w:color="auto" w:fill="auto"/>
            <w:noWrap/>
            <w:vAlign w:val="center"/>
            <w:hideMark/>
          </w:tcPr>
          <w:p w14:paraId="7A8001D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9.78%</w:t>
            </w:r>
          </w:p>
        </w:tc>
        <w:tc>
          <w:tcPr>
            <w:tcW w:w="416" w:type="pct"/>
            <w:tcBorders>
              <w:top w:val="nil"/>
              <w:left w:val="nil"/>
              <w:bottom w:val="nil"/>
              <w:right w:val="nil"/>
            </w:tcBorders>
            <w:shd w:val="clear" w:color="auto" w:fill="auto"/>
            <w:noWrap/>
            <w:vAlign w:val="center"/>
            <w:hideMark/>
          </w:tcPr>
          <w:p w14:paraId="1BD48E3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13.62%</w:t>
            </w:r>
          </w:p>
        </w:tc>
        <w:tc>
          <w:tcPr>
            <w:tcW w:w="220" w:type="pct"/>
            <w:tcBorders>
              <w:top w:val="nil"/>
              <w:left w:val="nil"/>
              <w:bottom w:val="nil"/>
              <w:right w:val="nil"/>
            </w:tcBorders>
            <w:shd w:val="clear" w:color="auto" w:fill="auto"/>
            <w:noWrap/>
            <w:vAlign w:val="center"/>
            <w:hideMark/>
          </w:tcPr>
          <w:p w14:paraId="4460DBD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13.67%</w:t>
            </w:r>
          </w:p>
        </w:tc>
        <w:tc>
          <w:tcPr>
            <w:tcW w:w="416" w:type="pct"/>
            <w:tcBorders>
              <w:top w:val="nil"/>
              <w:left w:val="nil"/>
              <w:bottom w:val="nil"/>
              <w:right w:val="nil"/>
            </w:tcBorders>
            <w:shd w:val="clear" w:color="auto" w:fill="auto"/>
            <w:noWrap/>
            <w:vAlign w:val="center"/>
            <w:hideMark/>
          </w:tcPr>
          <w:p w14:paraId="52DE138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9.62%</w:t>
            </w:r>
          </w:p>
        </w:tc>
        <w:tc>
          <w:tcPr>
            <w:tcW w:w="416" w:type="pct"/>
            <w:tcBorders>
              <w:top w:val="nil"/>
              <w:left w:val="nil"/>
              <w:bottom w:val="nil"/>
              <w:right w:val="nil"/>
            </w:tcBorders>
            <w:shd w:val="clear" w:color="auto" w:fill="auto"/>
            <w:noWrap/>
            <w:vAlign w:val="center"/>
            <w:hideMark/>
          </w:tcPr>
          <w:p w14:paraId="2CA109A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12.64%</w:t>
            </w:r>
          </w:p>
        </w:tc>
        <w:tc>
          <w:tcPr>
            <w:tcW w:w="416" w:type="pct"/>
            <w:tcBorders>
              <w:top w:val="nil"/>
              <w:left w:val="nil"/>
              <w:bottom w:val="nil"/>
              <w:right w:val="nil"/>
            </w:tcBorders>
            <w:shd w:val="clear" w:color="auto" w:fill="auto"/>
            <w:noWrap/>
            <w:vAlign w:val="center"/>
            <w:hideMark/>
          </w:tcPr>
          <w:p w14:paraId="38FB0D3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10.05%</w:t>
            </w:r>
          </w:p>
        </w:tc>
        <w:tc>
          <w:tcPr>
            <w:tcW w:w="416" w:type="pct"/>
            <w:tcBorders>
              <w:top w:val="nil"/>
              <w:left w:val="nil"/>
              <w:bottom w:val="nil"/>
              <w:right w:val="nil"/>
            </w:tcBorders>
            <w:shd w:val="clear" w:color="auto" w:fill="auto"/>
            <w:noWrap/>
            <w:vAlign w:val="center"/>
            <w:hideMark/>
          </w:tcPr>
          <w:p w14:paraId="123641B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13.64%</w:t>
            </w:r>
          </w:p>
        </w:tc>
        <w:tc>
          <w:tcPr>
            <w:tcW w:w="384" w:type="pct"/>
            <w:tcBorders>
              <w:top w:val="nil"/>
              <w:left w:val="nil"/>
              <w:bottom w:val="nil"/>
              <w:right w:val="nil"/>
            </w:tcBorders>
            <w:shd w:val="clear" w:color="auto" w:fill="auto"/>
            <w:noWrap/>
            <w:vAlign w:val="center"/>
            <w:hideMark/>
          </w:tcPr>
          <w:p w14:paraId="468390F9"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878,337,027</w:t>
            </w:r>
          </w:p>
        </w:tc>
        <w:tc>
          <w:tcPr>
            <w:tcW w:w="416" w:type="pct"/>
            <w:tcBorders>
              <w:top w:val="nil"/>
              <w:left w:val="nil"/>
              <w:bottom w:val="nil"/>
              <w:right w:val="nil"/>
            </w:tcBorders>
            <w:shd w:val="clear" w:color="auto" w:fill="auto"/>
            <w:noWrap/>
            <w:vAlign w:val="center"/>
            <w:hideMark/>
          </w:tcPr>
          <w:p w14:paraId="405D809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10.95%</w:t>
            </w:r>
          </w:p>
        </w:tc>
      </w:tr>
      <w:tr w:rsidR="00E237E4" w:rsidRPr="006A523F" w14:paraId="00AA7C1E" w14:textId="77777777" w:rsidTr="00E237E4">
        <w:trPr>
          <w:trHeight w:val="20"/>
        </w:trPr>
        <w:tc>
          <w:tcPr>
            <w:tcW w:w="864" w:type="pct"/>
            <w:tcBorders>
              <w:top w:val="nil"/>
              <w:left w:val="nil"/>
              <w:bottom w:val="nil"/>
              <w:right w:val="nil"/>
            </w:tcBorders>
            <w:shd w:val="clear" w:color="auto" w:fill="auto"/>
            <w:noWrap/>
            <w:vAlign w:val="center"/>
            <w:hideMark/>
          </w:tcPr>
          <w:p w14:paraId="4C526D5C" w14:textId="12D367A3"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2016.....................................</w:t>
            </w:r>
          </w:p>
        </w:tc>
        <w:tc>
          <w:tcPr>
            <w:tcW w:w="152" w:type="pct"/>
            <w:tcBorders>
              <w:top w:val="nil"/>
              <w:left w:val="nil"/>
              <w:bottom w:val="nil"/>
              <w:right w:val="nil"/>
            </w:tcBorders>
            <w:shd w:val="clear" w:color="auto" w:fill="auto"/>
            <w:noWrap/>
            <w:vAlign w:val="bottom"/>
            <w:hideMark/>
          </w:tcPr>
          <w:p w14:paraId="113A501F"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052065BF"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46EBF18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11.54%</w:t>
            </w:r>
          </w:p>
        </w:tc>
        <w:tc>
          <w:tcPr>
            <w:tcW w:w="416" w:type="pct"/>
            <w:tcBorders>
              <w:top w:val="nil"/>
              <w:left w:val="nil"/>
              <w:bottom w:val="nil"/>
              <w:right w:val="nil"/>
            </w:tcBorders>
            <w:shd w:val="clear" w:color="auto" w:fill="auto"/>
            <w:noWrap/>
            <w:vAlign w:val="center"/>
            <w:hideMark/>
          </w:tcPr>
          <w:p w14:paraId="649CC6A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11.04%</w:t>
            </w:r>
          </w:p>
        </w:tc>
        <w:tc>
          <w:tcPr>
            <w:tcW w:w="416" w:type="pct"/>
            <w:tcBorders>
              <w:top w:val="nil"/>
              <w:left w:val="nil"/>
              <w:bottom w:val="nil"/>
              <w:right w:val="nil"/>
            </w:tcBorders>
            <w:shd w:val="clear" w:color="auto" w:fill="auto"/>
            <w:noWrap/>
            <w:vAlign w:val="center"/>
            <w:hideMark/>
          </w:tcPr>
          <w:p w14:paraId="6D7D672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14.30%</w:t>
            </w:r>
          </w:p>
        </w:tc>
        <w:tc>
          <w:tcPr>
            <w:tcW w:w="220" w:type="pct"/>
            <w:tcBorders>
              <w:top w:val="nil"/>
              <w:left w:val="nil"/>
              <w:bottom w:val="nil"/>
              <w:right w:val="nil"/>
            </w:tcBorders>
            <w:shd w:val="clear" w:color="auto" w:fill="auto"/>
            <w:noWrap/>
            <w:vAlign w:val="center"/>
            <w:hideMark/>
          </w:tcPr>
          <w:p w14:paraId="7EEC353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15.42%</w:t>
            </w:r>
          </w:p>
        </w:tc>
        <w:tc>
          <w:tcPr>
            <w:tcW w:w="416" w:type="pct"/>
            <w:tcBorders>
              <w:top w:val="nil"/>
              <w:left w:val="nil"/>
              <w:bottom w:val="nil"/>
              <w:right w:val="nil"/>
            </w:tcBorders>
            <w:shd w:val="clear" w:color="auto" w:fill="auto"/>
            <w:noWrap/>
            <w:vAlign w:val="center"/>
            <w:hideMark/>
          </w:tcPr>
          <w:p w14:paraId="46C343C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10.24%</w:t>
            </w:r>
          </w:p>
        </w:tc>
        <w:tc>
          <w:tcPr>
            <w:tcW w:w="416" w:type="pct"/>
            <w:tcBorders>
              <w:top w:val="nil"/>
              <w:left w:val="nil"/>
              <w:bottom w:val="nil"/>
              <w:right w:val="nil"/>
            </w:tcBorders>
            <w:shd w:val="clear" w:color="auto" w:fill="auto"/>
            <w:noWrap/>
            <w:vAlign w:val="center"/>
            <w:hideMark/>
          </w:tcPr>
          <w:p w14:paraId="4C0CAC7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14.70%</w:t>
            </w:r>
          </w:p>
        </w:tc>
        <w:tc>
          <w:tcPr>
            <w:tcW w:w="416" w:type="pct"/>
            <w:tcBorders>
              <w:top w:val="nil"/>
              <w:left w:val="nil"/>
              <w:bottom w:val="nil"/>
              <w:right w:val="nil"/>
            </w:tcBorders>
            <w:shd w:val="clear" w:color="auto" w:fill="auto"/>
            <w:noWrap/>
            <w:vAlign w:val="center"/>
            <w:hideMark/>
          </w:tcPr>
          <w:p w14:paraId="1D415CC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11.36%</w:t>
            </w:r>
          </w:p>
        </w:tc>
        <w:tc>
          <w:tcPr>
            <w:tcW w:w="416" w:type="pct"/>
            <w:tcBorders>
              <w:top w:val="nil"/>
              <w:left w:val="nil"/>
              <w:bottom w:val="nil"/>
              <w:right w:val="nil"/>
            </w:tcBorders>
            <w:shd w:val="clear" w:color="auto" w:fill="auto"/>
            <w:noWrap/>
            <w:vAlign w:val="center"/>
            <w:hideMark/>
          </w:tcPr>
          <w:p w14:paraId="6F8FED7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14.73%</w:t>
            </w:r>
          </w:p>
        </w:tc>
        <w:tc>
          <w:tcPr>
            <w:tcW w:w="384" w:type="pct"/>
            <w:tcBorders>
              <w:top w:val="nil"/>
              <w:left w:val="nil"/>
              <w:bottom w:val="nil"/>
              <w:right w:val="nil"/>
            </w:tcBorders>
            <w:shd w:val="clear" w:color="auto" w:fill="auto"/>
            <w:noWrap/>
            <w:vAlign w:val="center"/>
            <w:hideMark/>
          </w:tcPr>
          <w:p w14:paraId="7F95E583"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848,823,009</w:t>
            </w:r>
          </w:p>
        </w:tc>
        <w:tc>
          <w:tcPr>
            <w:tcW w:w="416" w:type="pct"/>
            <w:tcBorders>
              <w:top w:val="nil"/>
              <w:left w:val="nil"/>
              <w:bottom w:val="nil"/>
              <w:right w:val="nil"/>
            </w:tcBorders>
            <w:shd w:val="clear" w:color="auto" w:fill="auto"/>
            <w:noWrap/>
            <w:vAlign w:val="center"/>
            <w:hideMark/>
          </w:tcPr>
          <w:p w14:paraId="3492D96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12.19%</w:t>
            </w:r>
          </w:p>
        </w:tc>
      </w:tr>
      <w:tr w:rsidR="00E237E4" w:rsidRPr="006A523F" w14:paraId="093AAD5D" w14:textId="77777777" w:rsidTr="00E237E4">
        <w:trPr>
          <w:trHeight w:val="20"/>
        </w:trPr>
        <w:tc>
          <w:tcPr>
            <w:tcW w:w="864" w:type="pct"/>
            <w:tcBorders>
              <w:top w:val="nil"/>
              <w:left w:val="nil"/>
              <w:bottom w:val="nil"/>
              <w:right w:val="nil"/>
            </w:tcBorders>
            <w:shd w:val="clear" w:color="auto" w:fill="auto"/>
            <w:noWrap/>
            <w:vAlign w:val="center"/>
            <w:hideMark/>
          </w:tcPr>
          <w:p w14:paraId="27683383"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2016.........................</w:t>
            </w:r>
          </w:p>
        </w:tc>
        <w:tc>
          <w:tcPr>
            <w:tcW w:w="152" w:type="pct"/>
            <w:tcBorders>
              <w:top w:val="nil"/>
              <w:left w:val="nil"/>
              <w:bottom w:val="nil"/>
              <w:right w:val="nil"/>
            </w:tcBorders>
            <w:shd w:val="clear" w:color="auto" w:fill="auto"/>
            <w:noWrap/>
            <w:vAlign w:val="bottom"/>
            <w:hideMark/>
          </w:tcPr>
          <w:p w14:paraId="638CED4C"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3078779B"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1891423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10.58%</w:t>
            </w:r>
          </w:p>
        </w:tc>
        <w:tc>
          <w:tcPr>
            <w:tcW w:w="416" w:type="pct"/>
            <w:tcBorders>
              <w:top w:val="nil"/>
              <w:left w:val="nil"/>
              <w:bottom w:val="nil"/>
              <w:right w:val="nil"/>
            </w:tcBorders>
            <w:shd w:val="clear" w:color="auto" w:fill="auto"/>
            <w:noWrap/>
            <w:vAlign w:val="center"/>
            <w:hideMark/>
          </w:tcPr>
          <w:p w14:paraId="17A4ECD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9.05%</w:t>
            </w:r>
          </w:p>
        </w:tc>
        <w:tc>
          <w:tcPr>
            <w:tcW w:w="416" w:type="pct"/>
            <w:tcBorders>
              <w:top w:val="nil"/>
              <w:left w:val="nil"/>
              <w:bottom w:val="nil"/>
              <w:right w:val="nil"/>
            </w:tcBorders>
            <w:shd w:val="clear" w:color="auto" w:fill="auto"/>
            <w:noWrap/>
            <w:vAlign w:val="center"/>
            <w:hideMark/>
          </w:tcPr>
          <w:p w14:paraId="2D1F30A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14.87%</w:t>
            </w:r>
          </w:p>
        </w:tc>
        <w:tc>
          <w:tcPr>
            <w:tcW w:w="220" w:type="pct"/>
            <w:tcBorders>
              <w:top w:val="nil"/>
              <w:left w:val="nil"/>
              <w:bottom w:val="nil"/>
              <w:right w:val="nil"/>
            </w:tcBorders>
            <w:shd w:val="clear" w:color="auto" w:fill="auto"/>
            <w:noWrap/>
            <w:vAlign w:val="center"/>
            <w:hideMark/>
          </w:tcPr>
          <w:p w14:paraId="2099444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13.70%</w:t>
            </w:r>
          </w:p>
        </w:tc>
        <w:tc>
          <w:tcPr>
            <w:tcW w:w="416" w:type="pct"/>
            <w:tcBorders>
              <w:top w:val="nil"/>
              <w:left w:val="nil"/>
              <w:bottom w:val="nil"/>
              <w:right w:val="nil"/>
            </w:tcBorders>
            <w:shd w:val="clear" w:color="auto" w:fill="auto"/>
            <w:noWrap/>
            <w:vAlign w:val="center"/>
            <w:hideMark/>
          </w:tcPr>
          <w:p w14:paraId="32DCABE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9.44%</w:t>
            </w:r>
          </w:p>
        </w:tc>
        <w:tc>
          <w:tcPr>
            <w:tcW w:w="416" w:type="pct"/>
            <w:tcBorders>
              <w:top w:val="nil"/>
              <w:left w:val="nil"/>
              <w:bottom w:val="nil"/>
              <w:right w:val="nil"/>
            </w:tcBorders>
            <w:shd w:val="clear" w:color="auto" w:fill="auto"/>
            <w:noWrap/>
            <w:vAlign w:val="center"/>
            <w:hideMark/>
          </w:tcPr>
          <w:p w14:paraId="56BAEC5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13.27%</w:t>
            </w:r>
          </w:p>
        </w:tc>
        <w:tc>
          <w:tcPr>
            <w:tcW w:w="416" w:type="pct"/>
            <w:tcBorders>
              <w:top w:val="nil"/>
              <w:left w:val="nil"/>
              <w:bottom w:val="nil"/>
              <w:right w:val="nil"/>
            </w:tcBorders>
            <w:shd w:val="clear" w:color="auto" w:fill="auto"/>
            <w:noWrap/>
            <w:vAlign w:val="center"/>
            <w:hideMark/>
          </w:tcPr>
          <w:p w14:paraId="5C0AC83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10.03%</w:t>
            </w:r>
          </w:p>
        </w:tc>
        <w:tc>
          <w:tcPr>
            <w:tcW w:w="416" w:type="pct"/>
            <w:tcBorders>
              <w:top w:val="nil"/>
              <w:left w:val="nil"/>
              <w:bottom w:val="nil"/>
              <w:right w:val="nil"/>
            </w:tcBorders>
            <w:shd w:val="clear" w:color="auto" w:fill="auto"/>
            <w:noWrap/>
            <w:vAlign w:val="center"/>
            <w:hideMark/>
          </w:tcPr>
          <w:p w14:paraId="24B089D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14.42%</w:t>
            </w:r>
          </w:p>
        </w:tc>
        <w:tc>
          <w:tcPr>
            <w:tcW w:w="384" w:type="pct"/>
            <w:tcBorders>
              <w:top w:val="nil"/>
              <w:left w:val="nil"/>
              <w:bottom w:val="nil"/>
              <w:right w:val="nil"/>
            </w:tcBorders>
            <w:shd w:val="clear" w:color="auto" w:fill="auto"/>
            <w:noWrap/>
            <w:vAlign w:val="center"/>
            <w:hideMark/>
          </w:tcPr>
          <w:p w14:paraId="23A4504D"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824,229,608</w:t>
            </w:r>
          </w:p>
        </w:tc>
        <w:tc>
          <w:tcPr>
            <w:tcW w:w="416" w:type="pct"/>
            <w:tcBorders>
              <w:top w:val="nil"/>
              <w:left w:val="nil"/>
              <w:bottom w:val="nil"/>
              <w:right w:val="nil"/>
            </w:tcBorders>
            <w:shd w:val="clear" w:color="auto" w:fill="auto"/>
            <w:noWrap/>
            <w:vAlign w:val="center"/>
            <w:hideMark/>
          </w:tcPr>
          <w:p w14:paraId="71A95BF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11.08%</w:t>
            </w:r>
          </w:p>
        </w:tc>
      </w:tr>
      <w:tr w:rsidR="00E237E4" w:rsidRPr="006A523F" w14:paraId="586978D2" w14:textId="77777777" w:rsidTr="00E237E4">
        <w:trPr>
          <w:trHeight w:val="20"/>
        </w:trPr>
        <w:tc>
          <w:tcPr>
            <w:tcW w:w="864" w:type="pct"/>
            <w:tcBorders>
              <w:top w:val="nil"/>
              <w:left w:val="nil"/>
              <w:bottom w:val="nil"/>
              <w:right w:val="nil"/>
            </w:tcBorders>
            <w:shd w:val="clear" w:color="auto" w:fill="auto"/>
            <w:noWrap/>
            <w:vAlign w:val="center"/>
            <w:hideMark/>
          </w:tcPr>
          <w:p w14:paraId="2B1981F5" w14:textId="0227054A"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2016..........................</w:t>
            </w:r>
          </w:p>
        </w:tc>
        <w:tc>
          <w:tcPr>
            <w:tcW w:w="152" w:type="pct"/>
            <w:tcBorders>
              <w:top w:val="nil"/>
              <w:left w:val="nil"/>
              <w:bottom w:val="nil"/>
              <w:right w:val="nil"/>
            </w:tcBorders>
            <w:shd w:val="clear" w:color="auto" w:fill="auto"/>
            <w:noWrap/>
            <w:vAlign w:val="bottom"/>
            <w:hideMark/>
          </w:tcPr>
          <w:p w14:paraId="0C9B5E30"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3F79042C"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20A1D05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11.02%</w:t>
            </w:r>
          </w:p>
        </w:tc>
        <w:tc>
          <w:tcPr>
            <w:tcW w:w="416" w:type="pct"/>
            <w:tcBorders>
              <w:top w:val="nil"/>
              <w:left w:val="nil"/>
              <w:bottom w:val="nil"/>
              <w:right w:val="nil"/>
            </w:tcBorders>
            <w:shd w:val="clear" w:color="auto" w:fill="auto"/>
            <w:noWrap/>
            <w:vAlign w:val="center"/>
            <w:hideMark/>
          </w:tcPr>
          <w:p w14:paraId="7AC1A67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10.07%</w:t>
            </w:r>
          </w:p>
        </w:tc>
        <w:tc>
          <w:tcPr>
            <w:tcW w:w="416" w:type="pct"/>
            <w:tcBorders>
              <w:top w:val="nil"/>
              <w:left w:val="nil"/>
              <w:bottom w:val="nil"/>
              <w:right w:val="nil"/>
            </w:tcBorders>
            <w:shd w:val="clear" w:color="auto" w:fill="auto"/>
            <w:noWrap/>
            <w:vAlign w:val="center"/>
            <w:hideMark/>
          </w:tcPr>
          <w:p w14:paraId="721B0FE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15.08%</w:t>
            </w:r>
          </w:p>
        </w:tc>
        <w:tc>
          <w:tcPr>
            <w:tcW w:w="220" w:type="pct"/>
            <w:tcBorders>
              <w:top w:val="nil"/>
              <w:left w:val="nil"/>
              <w:bottom w:val="nil"/>
              <w:right w:val="nil"/>
            </w:tcBorders>
            <w:shd w:val="clear" w:color="auto" w:fill="auto"/>
            <w:noWrap/>
            <w:vAlign w:val="center"/>
            <w:hideMark/>
          </w:tcPr>
          <w:p w14:paraId="133EA6A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14.44%</w:t>
            </w:r>
          </w:p>
        </w:tc>
        <w:tc>
          <w:tcPr>
            <w:tcW w:w="416" w:type="pct"/>
            <w:tcBorders>
              <w:top w:val="nil"/>
              <w:left w:val="nil"/>
              <w:bottom w:val="nil"/>
              <w:right w:val="nil"/>
            </w:tcBorders>
            <w:shd w:val="clear" w:color="auto" w:fill="auto"/>
            <w:noWrap/>
            <w:vAlign w:val="center"/>
            <w:hideMark/>
          </w:tcPr>
          <w:p w14:paraId="658D21D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10.70%</w:t>
            </w:r>
          </w:p>
        </w:tc>
        <w:tc>
          <w:tcPr>
            <w:tcW w:w="416" w:type="pct"/>
            <w:tcBorders>
              <w:top w:val="nil"/>
              <w:left w:val="nil"/>
              <w:bottom w:val="nil"/>
              <w:right w:val="nil"/>
            </w:tcBorders>
            <w:shd w:val="clear" w:color="auto" w:fill="auto"/>
            <w:noWrap/>
            <w:vAlign w:val="center"/>
            <w:hideMark/>
          </w:tcPr>
          <w:p w14:paraId="72595ED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12.98%</w:t>
            </w:r>
          </w:p>
        </w:tc>
        <w:tc>
          <w:tcPr>
            <w:tcW w:w="416" w:type="pct"/>
            <w:tcBorders>
              <w:top w:val="nil"/>
              <w:left w:val="nil"/>
              <w:bottom w:val="nil"/>
              <w:right w:val="nil"/>
            </w:tcBorders>
            <w:shd w:val="clear" w:color="auto" w:fill="auto"/>
            <w:noWrap/>
            <w:vAlign w:val="center"/>
            <w:hideMark/>
          </w:tcPr>
          <w:p w14:paraId="699887D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10.68%</w:t>
            </w:r>
          </w:p>
        </w:tc>
        <w:tc>
          <w:tcPr>
            <w:tcW w:w="416" w:type="pct"/>
            <w:tcBorders>
              <w:top w:val="nil"/>
              <w:left w:val="nil"/>
              <w:bottom w:val="nil"/>
              <w:right w:val="nil"/>
            </w:tcBorders>
            <w:shd w:val="clear" w:color="auto" w:fill="auto"/>
            <w:noWrap/>
            <w:vAlign w:val="center"/>
            <w:hideMark/>
          </w:tcPr>
          <w:p w14:paraId="1B9F46C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14.84%</w:t>
            </w:r>
          </w:p>
        </w:tc>
        <w:tc>
          <w:tcPr>
            <w:tcW w:w="384" w:type="pct"/>
            <w:tcBorders>
              <w:top w:val="nil"/>
              <w:left w:val="nil"/>
              <w:bottom w:val="nil"/>
              <w:right w:val="nil"/>
            </w:tcBorders>
            <w:shd w:val="clear" w:color="auto" w:fill="auto"/>
            <w:noWrap/>
            <w:vAlign w:val="center"/>
            <w:hideMark/>
          </w:tcPr>
          <w:p w14:paraId="486BF333"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808,521,321</w:t>
            </w:r>
          </w:p>
        </w:tc>
        <w:tc>
          <w:tcPr>
            <w:tcW w:w="416" w:type="pct"/>
            <w:tcBorders>
              <w:top w:val="nil"/>
              <w:left w:val="nil"/>
              <w:bottom w:val="nil"/>
              <w:right w:val="nil"/>
            </w:tcBorders>
            <w:shd w:val="clear" w:color="auto" w:fill="auto"/>
            <w:noWrap/>
            <w:vAlign w:val="center"/>
            <w:hideMark/>
          </w:tcPr>
          <w:p w14:paraId="705DC55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11.65%</w:t>
            </w:r>
          </w:p>
        </w:tc>
      </w:tr>
      <w:tr w:rsidR="00E237E4" w:rsidRPr="006A523F" w14:paraId="421DC242" w14:textId="77777777" w:rsidTr="00E237E4">
        <w:trPr>
          <w:trHeight w:val="20"/>
        </w:trPr>
        <w:tc>
          <w:tcPr>
            <w:tcW w:w="864" w:type="pct"/>
            <w:tcBorders>
              <w:top w:val="nil"/>
              <w:left w:val="nil"/>
              <w:bottom w:val="nil"/>
              <w:right w:val="nil"/>
            </w:tcBorders>
            <w:shd w:val="clear" w:color="auto" w:fill="auto"/>
            <w:noWrap/>
            <w:vAlign w:val="center"/>
            <w:hideMark/>
          </w:tcPr>
          <w:p w14:paraId="614CE9D4" w14:textId="0DE45DCA"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2017...................................</w:t>
            </w:r>
          </w:p>
        </w:tc>
        <w:tc>
          <w:tcPr>
            <w:tcW w:w="152" w:type="pct"/>
            <w:tcBorders>
              <w:top w:val="nil"/>
              <w:left w:val="nil"/>
              <w:bottom w:val="nil"/>
              <w:right w:val="nil"/>
            </w:tcBorders>
            <w:shd w:val="clear" w:color="auto" w:fill="auto"/>
            <w:noWrap/>
            <w:vAlign w:val="bottom"/>
            <w:hideMark/>
          </w:tcPr>
          <w:p w14:paraId="5EB3462D"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1E981639"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4B99556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6.38%</w:t>
            </w:r>
          </w:p>
        </w:tc>
        <w:tc>
          <w:tcPr>
            <w:tcW w:w="416" w:type="pct"/>
            <w:tcBorders>
              <w:top w:val="nil"/>
              <w:left w:val="nil"/>
              <w:bottom w:val="nil"/>
              <w:right w:val="nil"/>
            </w:tcBorders>
            <w:shd w:val="clear" w:color="auto" w:fill="auto"/>
            <w:noWrap/>
            <w:vAlign w:val="center"/>
            <w:hideMark/>
          </w:tcPr>
          <w:p w14:paraId="546F5D2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7.84%</w:t>
            </w:r>
          </w:p>
        </w:tc>
        <w:tc>
          <w:tcPr>
            <w:tcW w:w="416" w:type="pct"/>
            <w:tcBorders>
              <w:top w:val="nil"/>
              <w:left w:val="nil"/>
              <w:bottom w:val="nil"/>
              <w:right w:val="nil"/>
            </w:tcBorders>
            <w:shd w:val="clear" w:color="auto" w:fill="auto"/>
            <w:noWrap/>
            <w:vAlign w:val="center"/>
            <w:hideMark/>
          </w:tcPr>
          <w:p w14:paraId="4F55E5E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10.81%</w:t>
            </w:r>
          </w:p>
        </w:tc>
        <w:tc>
          <w:tcPr>
            <w:tcW w:w="220" w:type="pct"/>
            <w:tcBorders>
              <w:top w:val="nil"/>
              <w:left w:val="nil"/>
              <w:bottom w:val="nil"/>
              <w:right w:val="nil"/>
            </w:tcBorders>
            <w:shd w:val="clear" w:color="auto" w:fill="auto"/>
            <w:noWrap/>
            <w:vAlign w:val="center"/>
            <w:hideMark/>
          </w:tcPr>
          <w:p w14:paraId="2D62B4D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11.02%</w:t>
            </w:r>
          </w:p>
        </w:tc>
        <w:tc>
          <w:tcPr>
            <w:tcW w:w="416" w:type="pct"/>
            <w:tcBorders>
              <w:top w:val="nil"/>
              <w:left w:val="nil"/>
              <w:bottom w:val="nil"/>
              <w:right w:val="nil"/>
            </w:tcBorders>
            <w:shd w:val="clear" w:color="auto" w:fill="auto"/>
            <w:noWrap/>
            <w:vAlign w:val="center"/>
            <w:hideMark/>
          </w:tcPr>
          <w:p w14:paraId="3EC0DD6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6.49%</w:t>
            </w:r>
          </w:p>
        </w:tc>
        <w:tc>
          <w:tcPr>
            <w:tcW w:w="416" w:type="pct"/>
            <w:tcBorders>
              <w:top w:val="nil"/>
              <w:left w:val="nil"/>
              <w:bottom w:val="nil"/>
              <w:right w:val="nil"/>
            </w:tcBorders>
            <w:shd w:val="clear" w:color="auto" w:fill="auto"/>
            <w:noWrap/>
            <w:vAlign w:val="center"/>
            <w:hideMark/>
          </w:tcPr>
          <w:p w14:paraId="07FB43F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9.69%</w:t>
            </w:r>
          </w:p>
        </w:tc>
        <w:tc>
          <w:tcPr>
            <w:tcW w:w="416" w:type="pct"/>
            <w:tcBorders>
              <w:top w:val="nil"/>
              <w:left w:val="nil"/>
              <w:bottom w:val="nil"/>
              <w:right w:val="nil"/>
            </w:tcBorders>
            <w:shd w:val="clear" w:color="auto" w:fill="auto"/>
            <w:noWrap/>
            <w:vAlign w:val="center"/>
            <w:hideMark/>
          </w:tcPr>
          <w:p w14:paraId="4D6C0CE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6.90%</w:t>
            </w:r>
          </w:p>
        </w:tc>
        <w:tc>
          <w:tcPr>
            <w:tcW w:w="416" w:type="pct"/>
            <w:tcBorders>
              <w:top w:val="nil"/>
              <w:left w:val="nil"/>
              <w:bottom w:val="nil"/>
              <w:right w:val="nil"/>
            </w:tcBorders>
            <w:shd w:val="clear" w:color="auto" w:fill="auto"/>
            <w:noWrap/>
            <w:vAlign w:val="center"/>
            <w:hideMark/>
          </w:tcPr>
          <w:p w14:paraId="4537415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10.89%</w:t>
            </w:r>
          </w:p>
        </w:tc>
        <w:tc>
          <w:tcPr>
            <w:tcW w:w="384" w:type="pct"/>
            <w:tcBorders>
              <w:top w:val="nil"/>
              <w:left w:val="nil"/>
              <w:bottom w:val="nil"/>
              <w:right w:val="nil"/>
            </w:tcBorders>
            <w:shd w:val="clear" w:color="auto" w:fill="auto"/>
            <w:noWrap/>
            <w:vAlign w:val="center"/>
            <w:hideMark/>
          </w:tcPr>
          <w:p w14:paraId="73D2C7D9"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812,162,682</w:t>
            </w:r>
          </w:p>
        </w:tc>
        <w:tc>
          <w:tcPr>
            <w:tcW w:w="416" w:type="pct"/>
            <w:tcBorders>
              <w:top w:val="nil"/>
              <w:left w:val="nil"/>
              <w:bottom w:val="nil"/>
              <w:right w:val="nil"/>
            </w:tcBorders>
            <w:shd w:val="clear" w:color="auto" w:fill="auto"/>
            <w:noWrap/>
            <w:vAlign w:val="center"/>
            <w:hideMark/>
          </w:tcPr>
          <w:p w14:paraId="7849CBD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7.80%</w:t>
            </w:r>
          </w:p>
        </w:tc>
      </w:tr>
      <w:tr w:rsidR="00E237E4" w:rsidRPr="006A523F" w14:paraId="6BE86B29" w14:textId="77777777" w:rsidTr="00E237E4">
        <w:trPr>
          <w:trHeight w:val="20"/>
        </w:trPr>
        <w:tc>
          <w:tcPr>
            <w:tcW w:w="864" w:type="pct"/>
            <w:tcBorders>
              <w:top w:val="nil"/>
              <w:left w:val="nil"/>
              <w:bottom w:val="nil"/>
              <w:right w:val="nil"/>
            </w:tcBorders>
            <w:shd w:val="clear" w:color="auto" w:fill="auto"/>
            <w:noWrap/>
            <w:vAlign w:val="center"/>
            <w:hideMark/>
          </w:tcPr>
          <w:p w14:paraId="0AB23F03" w14:textId="316494B4"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2017.....................................</w:t>
            </w:r>
          </w:p>
        </w:tc>
        <w:tc>
          <w:tcPr>
            <w:tcW w:w="152" w:type="pct"/>
            <w:tcBorders>
              <w:top w:val="nil"/>
              <w:left w:val="nil"/>
              <w:bottom w:val="nil"/>
              <w:right w:val="nil"/>
            </w:tcBorders>
            <w:shd w:val="clear" w:color="auto" w:fill="auto"/>
            <w:noWrap/>
            <w:vAlign w:val="bottom"/>
            <w:hideMark/>
          </w:tcPr>
          <w:p w14:paraId="7328122E"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634E6279"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5124AE3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6.12%</w:t>
            </w:r>
          </w:p>
        </w:tc>
        <w:tc>
          <w:tcPr>
            <w:tcW w:w="416" w:type="pct"/>
            <w:tcBorders>
              <w:top w:val="nil"/>
              <w:left w:val="nil"/>
              <w:bottom w:val="nil"/>
              <w:right w:val="nil"/>
            </w:tcBorders>
            <w:shd w:val="clear" w:color="auto" w:fill="auto"/>
            <w:noWrap/>
            <w:vAlign w:val="center"/>
            <w:hideMark/>
          </w:tcPr>
          <w:p w14:paraId="073C9AA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6.99%</w:t>
            </w:r>
          </w:p>
        </w:tc>
        <w:tc>
          <w:tcPr>
            <w:tcW w:w="416" w:type="pct"/>
            <w:tcBorders>
              <w:top w:val="nil"/>
              <w:left w:val="nil"/>
              <w:bottom w:val="nil"/>
              <w:right w:val="nil"/>
            </w:tcBorders>
            <w:shd w:val="clear" w:color="auto" w:fill="auto"/>
            <w:noWrap/>
            <w:vAlign w:val="center"/>
            <w:hideMark/>
          </w:tcPr>
          <w:p w14:paraId="3B049E6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8.64%</w:t>
            </w:r>
          </w:p>
        </w:tc>
        <w:tc>
          <w:tcPr>
            <w:tcW w:w="220" w:type="pct"/>
            <w:tcBorders>
              <w:top w:val="nil"/>
              <w:left w:val="nil"/>
              <w:bottom w:val="nil"/>
              <w:right w:val="nil"/>
            </w:tcBorders>
            <w:shd w:val="clear" w:color="auto" w:fill="auto"/>
            <w:noWrap/>
            <w:vAlign w:val="center"/>
            <w:hideMark/>
          </w:tcPr>
          <w:p w14:paraId="3B3DAAB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10.40%</w:t>
            </w:r>
          </w:p>
        </w:tc>
        <w:tc>
          <w:tcPr>
            <w:tcW w:w="416" w:type="pct"/>
            <w:tcBorders>
              <w:top w:val="nil"/>
              <w:left w:val="nil"/>
              <w:bottom w:val="nil"/>
              <w:right w:val="nil"/>
            </w:tcBorders>
            <w:shd w:val="clear" w:color="auto" w:fill="auto"/>
            <w:noWrap/>
            <w:vAlign w:val="center"/>
            <w:hideMark/>
          </w:tcPr>
          <w:p w14:paraId="47C9F08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5.41%</w:t>
            </w:r>
          </w:p>
        </w:tc>
        <w:tc>
          <w:tcPr>
            <w:tcW w:w="416" w:type="pct"/>
            <w:tcBorders>
              <w:top w:val="nil"/>
              <w:left w:val="nil"/>
              <w:bottom w:val="nil"/>
              <w:right w:val="nil"/>
            </w:tcBorders>
            <w:shd w:val="clear" w:color="auto" w:fill="auto"/>
            <w:noWrap/>
            <w:vAlign w:val="center"/>
            <w:hideMark/>
          </w:tcPr>
          <w:p w14:paraId="291DA65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9.44%</w:t>
            </w:r>
          </w:p>
        </w:tc>
        <w:tc>
          <w:tcPr>
            <w:tcW w:w="416" w:type="pct"/>
            <w:tcBorders>
              <w:top w:val="nil"/>
              <w:left w:val="nil"/>
              <w:bottom w:val="nil"/>
              <w:right w:val="nil"/>
            </w:tcBorders>
            <w:shd w:val="clear" w:color="auto" w:fill="auto"/>
            <w:noWrap/>
            <w:vAlign w:val="center"/>
            <w:hideMark/>
          </w:tcPr>
          <w:p w14:paraId="71841B8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6.43%</w:t>
            </w:r>
          </w:p>
        </w:tc>
        <w:tc>
          <w:tcPr>
            <w:tcW w:w="416" w:type="pct"/>
            <w:tcBorders>
              <w:top w:val="nil"/>
              <w:left w:val="nil"/>
              <w:bottom w:val="nil"/>
              <w:right w:val="nil"/>
            </w:tcBorders>
            <w:shd w:val="clear" w:color="auto" w:fill="auto"/>
            <w:noWrap/>
            <w:vAlign w:val="center"/>
            <w:hideMark/>
          </w:tcPr>
          <w:p w14:paraId="7420A01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9.30%</w:t>
            </w:r>
          </w:p>
        </w:tc>
        <w:tc>
          <w:tcPr>
            <w:tcW w:w="384" w:type="pct"/>
            <w:tcBorders>
              <w:top w:val="nil"/>
              <w:left w:val="nil"/>
              <w:bottom w:val="nil"/>
              <w:right w:val="nil"/>
            </w:tcBorders>
            <w:shd w:val="clear" w:color="auto" w:fill="auto"/>
            <w:noWrap/>
            <w:vAlign w:val="center"/>
            <w:hideMark/>
          </w:tcPr>
          <w:p w14:paraId="22A9BBF7"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835,272,358</w:t>
            </w:r>
          </w:p>
        </w:tc>
        <w:tc>
          <w:tcPr>
            <w:tcW w:w="416" w:type="pct"/>
            <w:tcBorders>
              <w:top w:val="nil"/>
              <w:left w:val="nil"/>
              <w:bottom w:val="nil"/>
              <w:right w:val="nil"/>
            </w:tcBorders>
            <w:shd w:val="clear" w:color="auto" w:fill="auto"/>
            <w:noWrap/>
            <w:vAlign w:val="center"/>
            <w:hideMark/>
          </w:tcPr>
          <w:p w14:paraId="649CBC1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7.06%</w:t>
            </w:r>
          </w:p>
        </w:tc>
      </w:tr>
      <w:tr w:rsidR="00E237E4" w:rsidRPr="006A523F" w14:paraId="4959F18A" w14:textId="77777777" w:rsidTr="00E237E4">
        <w:trPr>
          <w:trHeight w:val="20"/>
        </w:trPr>
        <w:tc>
          <w:tcPr>
            <w:tcW w:w="864" w:type="pct"/>
            <w:tcBorders>
              <w:top w:val="nil"/>
              <w:left w:val="nil"/>
              <w:bottom w:val="nil"/>
              <w:right w:val="nil"/>
            </w:tcBorders>
            <w:shd w:val="clear" w:color="auto" w:fill="auto"/>
            <w:noWrap/>
            <w:vAlign w:val="center"/>
            <w:hideMark/>
          </w:tcPr>
          <w:p w14:paraId="4E63F58F"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2017.........................</w:t>
            </w:r>
          </w:p>
        </w:tc>
        <w:tc>
          <w:tcPr>
            <w:tcW w:w="152" w:type="pct"/>
            <w:tcBorders>
              <w:top w:val="nil"/>
              <w:left w:val="nil"/>
              <w:bottom w:val="nil"/>
              <w:right w:val="nil"/>
            </w:tcBorders>
            <w:shd w:val="clear" w:color="auto" w:fill="auto"/>
            <w:noWrap/>
            <w:vAlign w:val="bottom"/>
            <w:hideMark/>
          </w:tcPr>
          <w:p w14:paraId="6BD05DEA"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33AFDA96"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7C617AA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5.37%</w:t>
            </w:r>
          </w:p>
        </w:tc>
        <w:tc>
          <w:tcPr>
            <w:tcW w:w="416" w:type="pct"/>
            <w:tcBorders>
              <w:top w:val="nil"/>
              <w:left w:val="nil"/>
              <w:bottom w:val="nil"/>
              <w:right w:val="nil"/>
            </w:tcBorders>
            <w:shd w:val="clear" w:color="auto" w:fill="auto"/>
            <w:noWrap/>
            <w:vAlign w:val="center"/>
            <w:hideMark/>
          </w:tcPr>
          <w:p w14:paraId="42AAD0B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6.38%</w:t>
            </w:r>
          </w:p>
        </w:tc>
        <w:tc>
          <w:tcPr>
            <w:tcW w:w="416" w:type="pct"/>
            <w:tcBorders>
              <w:top w:val="nil"/>
              <w:left w:val="nil"/>
              <w:bottom w:val="nil"/>
              <w:right w:val="nil"/>
            </w:tcBorders>
            <w:shd w:val="clear" w:color="auto" w:fill="auto"/>
            <w:noWrap/>
            <w:vAlign w:val="center"/>
            <w:hideMark/>
          </w:tcPr>
          <w:p w14:paraId="2E163FD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7.64%</w:t>
            </w:r>
          </w:p>
        </w:tc>
        <w:tc>
          <w:tcPr>
            <w:tcW w:w="220" w:type="pct"/>
            <w:tcBorders>
              <w:top w:val="nil"/>
              <w:left w:val="nil"/>
              <w:bottom w:val="nil"/>
              <w:right w:val="nil"/>
            </w:tcBorders>
            <w:shd w:val="clear" w:color="auto" w:fill="auto"/>
            <w:noWrap/>
            <w:vAlign w:val="center"/>
            <w:hideMark/>
          </w:tcPr>
          <w:p w14:paraId="269B235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9.13%</w:t>
            </w:r>
          </w:p>
        </w:tc>
        <w:tc>
          <w:tcPr>
            <w:tcW w:w="416" w:type="pct"/>
            <w:tcBorders>
              <w:top w:val="nil"/>
              <w:left w:val="nil"/>
              <w:bottom w:val="nil"/>
              <w:right w:val="nil"/>
            </w:tcBorders>
            <w:shd w:val="clear" w:color="auto" w:fill="auto"/>
            <w:noWrap/>
            <w:vAlign w:val="center"/>
            <w:hideMark/>
          </w:tcPr>
          <w:p w14:paraId="28A8C35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5.54%</w:t>
            </w:r>
          </w:p>
        </w:tc>
        <w:tc>
          <w:tcPr>
            <w:tcW w:w="416" w:type="pct"/>
            <w:tcBorders>
              <w:top w:val="nil"/>
              <w:left w:val="nil"/>
              <w:bottom w:val="nil"/>
              <w:right w:val="nil"/>
            </w:tcBorders>
            <w:shd w:val="clear" w:color="auto" w:fill="auto"/>
            <w:noWrap/>
            <w:vAlign w:val="center"/>
            <w:hideMark/>
          </w:tcPr>
          <w:p w14:paraId="6D5998B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7.25%</w:t>
            </w:r>
          </w:p>
        </w:tc>
        <w:tc>
          <w:tcPr>
            <w:tcW w:w="416" w:type="pct"/>
            <w:tcBorders>
              <w:top w:val="nil"/>
              <w:left w:val="nil"/>
              <w:bottom w:val="nil"/>
              <w:right w:val="nil"/>
            </w:tcBorders>
            <w:shd w:val="clear" w:color="auto" w:fill="auto"/>
            <w:noWrap/>
            <w:vAlign w:val="center"/>
            <w:hideMark/>
          </w:tcPr>
          <w:p w14:paraId="2143CD3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5.72%</w:t>
            </w:r>
          </w:p>
        </w:tc>
        <w:tc>
          <w:tcPr>
            <w:tcW w:w="416" w:type="pct"/>
            <w:tcBorders>
              <w:top w:val="nil"/>
              <w:left w:val="nil"/>
              <w:bottom w:val="nil"/>
              <w:right w:val="nil"/>
            </w:tcBorders>
            <w:shd w:val="clear" w:color="auto" w:fill="auto"/>
            <w:noWrap/>
            <w:vAlign w:val="center"/>
            <w:hideMark/>
          </w:tcPr>
          <w:p w14:paraId="4123934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8.19%</w:t>
            </w:r>
          </w:p>
        </w:tc>
        <w:tc>
          <w:tcPr>
            <w:tcW w:w="384" w:type="pct"/>
            <w:tcBorders>
              <w:top w:val="nil"/>
              <w:left w:val="nil"/>
              <w:bottom w:val="nil"/>
              <w:right w:val="nil"/>
            </w:tcBorders>
            <w:shd w:val="clear" w:color="auto" w:fill="auto"/>
            <w:noWrap/>
            <w:vAlign w:val="center"/>
            <w:hideMark/>
          </w:tcPr>
          <w:p w14:paraId="0CD54F9A"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868,089,681</w:t>
            </w:r>
          </w:p>
        </w:tc>
        <w:tc>
          <w:tcPr>
            <w:tcW w:w="416" w:type="pct"/>
            <w:tcBorders>
              <w:top w:val="nil"/>
              <w:left w:val="nil"/>
              <w:bottom w:val="nil"/>
              <w:right w:val="nil"/>
            </w:tcBorders>
            <w:shd w:val="clear" w:color="auto" w:fill="auto"/>
            <w:noWrap/>
            <w:vAlign w:val="center"/>
            <w:hideMark/>
          </w:tcPr>
          <w:p w14:paraId="6E5B8DC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6.25%</w:t>
            </w:r>
          </w:p>
        </w:tc>
      </w:tr>
      <w:tr w:rsidR="00E237E4" w:rsidRPr="006A523F" w14:paraId="61ECCEAB" w14:textId="77777777" w:rsidTr="00E237E4">
        <w:trPr>
          <w:trHeight w:val="20"/>
        </w:trPr>
        <w:tc>
          <w:tcPr>
            <w:tcW w:w="864" w:type="pct"/>
            <w:tcBorders>
              <w:top w:val="nil"/>
              <w:left w:val="nil"/>
              <w:bottom w:val="nil"/>
              <w:right w:val="nil"/>
            </w:tcBorders>
            <w:shd w:val="clear" w:color="auto" w:fill="auto"/>
            <w:noWrap/>
            <w:vAlign w:val="center"/>
            <w:hideMark/>
          </w:tcPr>
          <w:p w14:paraId="1A941F77" w14:textId="34C14D9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2017..........................</w:t>
            </w:r>
          </w:p>
        </w:tc>
        <w:tc>
          <w:tcPr>
            <w:tcW w:w="152" w:type="pct"/>
            <w:tcBorders>
              <w:top w:val="nil"/>
              <w:left w:val="nil"/>
              <w:bottom w:val="nil"/>
              <w:right w:val="nil"/>
            </w:tcBorders>
            <w:shd w:val="clear" w:color="auto" w:fill="auto"/>
            <w:noWrap/>
            <w:vAlign w:val="bottom"/>
            <w:hideMark/>
          </w:tcPr>
          <w:p w14:paraId="3F87D406"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58DDC212"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4E6B08D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4.93%</w:t>
            </w:r>
          </w:p>
        </w:tc>
        <w:tc>
          <w:tcPr>
            <w:tcW w:w="416" w:type="pct"/>
            <w:tcBorders>
              <w:top w:val="nil"/>
              <w:left w:val="nil"/>
              <w:bottom w:val="nil"/>
              <w:right w:val="nil"/>
            </w:tcBorders>
            <w:shd w:val="clear" w:color="auto" w:fill="auto"/>
            <w:noWrap/>
            <w:vAlign w:val="center"/>
            <w:hideMark/>
          </w:tcPr>
          <w:p w14:paraId="7B3F64A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6.74%</w:t>
            </w:r>
          </w:p>
        </w:tc>
        <w:tc>
          <w:tcPr>
            <w:tcW w:w="416" w:type="pct"/>
            <w:tcBorders>
              <w:top w:val="nil"/>
              <w:left w:val="nil"/>
              <w:bottom w:val="nil"/>
              <w:right w:val="nil"/>
            </w:tcBorders>
            <w:shd w:val="clear" w:color="auto" w:fill="auto"/>
            <w:noWrap/>
            <w:vAlign w:val="center"/>
            <w:hideMark/>
          </w:tcPr>
          <w:p w14:paraId="4A04D26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8.13%</w:t>
            </w:r>
          </w:p>
        </w:tc>
        <w:tc>
          <w:tcPr>
            <w:tcW w:w="220" w:type="pct"/>
            <w:tcBorders>
              <w:top w:val="nil"/>
              <w:left w:val="nil"/>
              <w:bottom w:val="nil"/>
              <w:right w:val="nil"/>
            </w:tcBorders>
            <w:shd w:val="clear" w:color="auto" w:fill="auto"/>
            <w:noWrap/>
            <w:vAlign w:val="center"/>
            <w:hideMark/>
          </w:tcPr>
          <w:p w14:paraId="36097A5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7.98%</w:t>
            </w:r>
          </w:p>
        </w:tc>
        <w:tc>
          <w:tcPr>
            <w:tcW w:w="416" w:type="pct"/>
            <w:tcBorders>
              <w:top w:val="nil"/>
              <w:left w:val="nil"/>
              <w:bottom w:val="nil"/>
              <w:right w:val="nil"/>
            </w:tcBorders>
            <w:shd w:val="clear" w:color="auto" w:fill="auto"/>
            <w:noWrap/>
            <w:vAlign w:val="center"/>
            <w:hideMark/>
          </w:tcPr>
          <w:p w14:paraId="24A70DC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5.26%</w:t>
            </w:r>
          </w:p>
        </w:tc>
        <w:tc>
          <w:tcPr>
            <w:tcW w:w="416" w:type="pct"/>
            <w:tcBorders>
              <w:top w:val="nil"/>
              <w:left w:val="nil"/>
              <w:bottom w:val="nil"/>
              <w:right w:val="nil"/>
            </w:tcBorders>
            <w:shd w:val="clear" w:color="auto" w:fill="auto"/>
            <w:noWrap/>
            <w:vAlign w:val="center"/>
            <w:hideMark/>
          </w:tcPr>
          <w:p w14:paraId="37C98C8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7.27%</w:t>
            </w:r>
          </w:p>
        </w:tc>
        <w:tc>
          <w:tcPr>
            <w:tcW w:w="416" w:type="pct"/>
            <w:tcBorders>
              <w:top w:val="nil"/>
              <w:left w:val="nil"/>
              <w:bottom w:val="nil"/>
              <w:right w:val="nil"/>
            </w:tcBorders>
            <w:shd w:val="clear" w:color="auto" w:fill="auto"/>
            <w:noWrap/>
            <w:vAlign w:val="center"/>
            <w:hideMark/>
          </w:tcPr>
          <w:p w14:paraId="4A1FDD3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5.57%</w:t>
            </w:r>
          </w:p>
        </w:tc>
        <w:tc>
          <w:tcPr>
            <w:tcW w:w="416" w:type="pct"/>
            <w:tcBorders>
              <w:top w:val="nil"/>
              <w:left w:val="nil"/>
              <w:bottom w:val="nil"/>
              <w:right w:val="nil"/>
            </w:tcBorders>
            <w:shd w:val="clear" w:color="auto" w:fill="auto"/>
            <w:noWrap/>
            <w:vAlign w:val="center"/>
            <w:hideMark/>
          </w:tcPr>
          <w:p w14:paraId="43769B9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8.07%</w:t>
            </w:r>
          </w:p>
        </w:tc>
        <w:tc>
          <w:tcPr>
            <w:tcW w:w="384" w:type="pct"/>
            <w:tcBorders>
              <w:top w:val="nil"/>
              <w:left w:val="nil"/>
              <w:bottom w:val="nil"/>
              <w:right w:val="nil"/>
            </w:tcBorders>
            <w:shd w:val="clear" w:color="auto" w:fill="auto"/>
            <w:noWrap/>
            <w:vAlign w:val="center"/>
            <w:hideMark/>
          </w:tcPr>
          <w:p w14:paraId="383AC492"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898,900,843</w:t>
            </w:r>
          </w:p>
        </w:tc>
        <w:tc>
          <w:tcPr>
            <w:tcW w:w="416" w:type="pct"/>
            <w:tcBorders>
              <w:top w:val="nil"/>
              <w:left w:val="nil"/>
              <w:bottom w:val="nil"/>
              <w:right w:val="nil"/>
            </w:tcBorders>
            <w:shd w:val="clear" w:color="auto" w:fill="auto"/>
            <w:noWrap/>
            <w:vAlign w:val="center"/>
            <w:hideMark/>
          </w:tcPr>
          <w:p w14:paraId="4193E60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6.10%</w:t>
            </w:r>
          </w:p>
        </w:tc>
      </w:tr>
      <w:tr w:rsidR="00E237E4" w:rsidRPr="006A523F" w14:paraId="3BDD6749" w14:textId="77777777" w:rsidTr="00E237E4">
        <w:trPr>
          <w:trHeight w:val="20"/>
        </w:trPr>
        <w:tc>
          <w:tcPr>
            <w:tcW w:w="864" w:type="pct"/>
            <w:tcBorders>
              <w:top w:val="nil"/>
              <w:left w:val="nil"/>
              <w:bottom w:val="nil"/>
              <w:right w:val="nil"/>
            </w:tcBorders>
            <w:shd w:val="clear" w:color="auto" w:fill="auto"/>
            <w:noWrap/>
            <w:vAlign w:val="center"/>
            <w:hideMark/>
          </w:tcPr>
          <w:p w14:paraId="54C1696F" w14:textId="3E8D06B9"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2018...................................</w:t>
            </w:r>
          </w:p>
        </w:tc>
        <w:tc>
          <w:tcPr>
            <w:tcW w:w="152" w:type="pct"/>
            <w:tcBorders>
              <w:top w:val="nil"/>
              <w:left w:val="nil"/>
              <w:bottom w:val="nil"/>
              <w:right w:val="nil"/>
            </w:tcBorders>
            <w:shd w:val="clear" w:color="auto" w:fill="auto"/>
            <w:noWrap/>
            <w:vAlign w:val="bottom"/>
            <w:hideMark/>
          </w:tcPr>
          <w:p w14:paraId="1AF6B612"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05B395DA"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5588805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4.88%</w:t>
            </w:r>
          </w:p>
        </w:tc>
        <w:tc>
          <w:tcPr>
            <w:tcW w:w="416" w:type="pct"/>
            <w:tcBorders>
              <w:top w:val="nil"/>
              <w:left w:val="nil"/>
              <w:bottom w:val="nil"/>
              <w:right w:val="nil"/>
            </w:tcBorders>
            <w:shd w:val="clear" w:color="auto" w:fill="auto"/>
            <w:noWrap/>
            <w:vAlign w:val="center"/>
            <w:hideMark/>
          </w:tcPr>
          <w:p w14:paraId="70B099F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6.90%</w:t>
            </w:r>
          </w:p>
        </w:tc>
        <w:tc>
          <w:tcPr>
            <w:tcW w:w="416" w:type="pct"/>
            <w:tcBorders>
              <w:top w:val="nil"/>
              <w:left w:val="nil"/>
              <w:bottom w:val="nil"/>
              <w:right w:val="nil"/>
            </w:tcBorders>
            <w:shd w:val="clear" w:color="auto" w:fill="auto"/>
            <w:noWrap/>
            <w:vAlign w:val="center"/>
            <w:hideMark/>
          </w:tcPr>
          <w:p w14:paraId="42107FF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7.84%</w:t>
            </w:r>
          </w:p>
        </w:tc>
        <w:tc>
          <w:tcPr>
            <w:tcW w:w="220" w:type="pct"/>
            <w:tcBorders>
              <w:top w:val="nil"/>
              <w:left w:val="nil"/>
              <w:bottom w:val="nil"/>
              <w:right w:val="nil"/>
            </w:tcBorders>
            <w:shd w:val="clear" w:color="auto" w:fill="auto"/>
            <w:noWrap/>
            <w:vAlign w:val="center"/>
            <w:hideMark/>
          </w:tcPr>
          <w:p w14:paraId="0E08EBF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8.70%</w:t>
            </w:r>
          </w:p>
        </w:tc>
        <w:tc>
          <w:tcPr>
            <w:tcW w:w="416" w:type="pct"/>
            <w:tcBorders>
              <w:top w:val="nil"/>
              <w:left w:val="nil"/>
              <w:bottom w:val="nil"/>
              <w:right w:val="nil"/>
            </w:tcBorders>
            <w:shd w:val="clear" w:color="auto" w:fill="auto"/>
            <w:noWrap/>
            <w:vAlign w:val="center"/>
            <w:hideMark/>
          </w:tcPr>
          <w:p w14:paraId="0750103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5.47%</w:t>
            </w:r>
          </w:p>
        </w:tc>
        <w:tc>
          <w:tcPr>
            <w:tcW w:w="416" w:type="pct"/>
            <w:tcBorders>
              <w:top w:val="nil"/>
              <w:left w:val="nil"/>
              <w:bottom w:val="nil"/>
              <w:right w:val="nil"/>
            </w:tcBorders>
            <w:shd w:val="clear" w:color="auto" w:fill="auto"/>
            <w:noWrap/>
            <w:vAlign w:val="center"/>
            <w:hideMark/>
          </w:tcPr>
          <w:p w14:paraId="2589A52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7.03%</w:t>
            </w:r>
          </w:p>
        </w:tc>
        <w:tc>
          <w:tcPr>
            <w:tcW w:w="416" w:type="pct"/>
            <w:tcBorders>
              <w:top w:val="nil"/>
              <w:left w:val="nil"/>
              <w:bottom w:val="nil"/>
              <w:right w:val="nil"/>
            </w:tcBorders>
            <w:shd w:val="clear" w:color="auto" w:fill="auto"/>
            <w:noWrap/>
            <w:vAlign w:val="center"/>
            <w:hideMark/>
          </w:tcPr>
          <w:p w14:paraId="2C92A1D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5.59%</w:t>
            </w:r>
          </w:p>
        </w:tc>
        <w:tc>
          <w:tcPr>
            <w:tcW w:w="416" w:type="pct"/>
            <w:tcBorders>
              <w:top w:val="nil"/>
              <w:left w:val="nil"/>
              <w:bottom w:val="nil"/>
              <w:right w:val="nil"/>
            </w:tcBorders>
            <w:shd w:val="clear" w:color="auto" w:fill="auto"/>
            <w:noWrap/>
            <w:vAlign w:val="center"/>
            <w:hideMark/>
          </w:tcPr>
          <w:p w14:paraId="10577D9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8.15%</w:t>
            </w:r>
          </w:p>
        </w:tc>
        <w:tc>
          <w:tcPr>
            <w:tcW w:w="384" w:type="pct"/>
            <w:tcBorders>
              <w:top w:val="nil"/>
              <w:left w:val="nil"/>
              <w:bottom w:val="nil"/>
              <w:right w:val="nil"/>
            </w:tcBorders>
            <w:shd w:val="clear" w:color="auto" w:fill="auto"/>
            <w:noWrap/>
            <w:vAlign w:val="center"/>
            <w:hideMark/>
          </w:tcPr>
          <w:p w14:paraId="0778C998"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956,390,957</w:t>
            </w:r>
          </w:p>
        </w:tc>
        <w:tc>
          <w:tcPr>
            <w:tcW w:w="416" w:type="pct"/>
            <w:tcBorders>
              <w:top w:val="nil"/>
              <w:left w:val="nil"/>
              <w:bottom w:val="nil"/>
              <w:right w:val="nil"/>
            </w:tcBorders>
            <w:shd w:val="clear" w:color="auto" w:fill="auto"/>
            <w:noWrap/>
            <w:vAlign w:val="center"/>
            <w:hideMark/>
          </w:tcPr>
          <w:p w14:paraId="3FDA7C4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6.12%</w:t>
            </w:r>
          </w:p>
        </w:tc>
      </w:tr>
      <w:tr w:rsidR="00E237E4" w:rsidRPr="006A523F" w14:paraId="18DEECB4" w14:textId="77777777" w:rsidTr="00E237E4">
        <w:trPr>
          <w:trHeight w:val="20"/>
        </w:trPr>
        <w:tc>
          <w:tcPr>
            <w:tcW w:w="864" w:type="pct"/>
            <w:tcBorders>
              <w:top w:val="nil"/>
              <w:left w:val="nil"/>
              <w:bottom w:val="nil"/>
              <w:right w:val="nil"/>
            </w:tcBorders>
            <w:shd w:val="clear" w:color="auto" w:fill="auto"/>
            <w:noWrap/>
            <w:vAlign w:val="center"/>
            <w:hideMark/>
          </w:tcPr>
          <w:p w14:paraId="37D032A9" w14:textId="545B43CA"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2018.....................................</w:t>
            </w:r>
          </w:p>
        </w:tc>
        <w:tc>
          <w:tcPr>
            <w:tcW w:w="152" w:type="pct"/>
            <w:tcBorders>
              <w:top w:val="nil"/>
              <w:left w:val="nil"/>
              <w:bottom w:val="nil"/>
              <w:right w:val="nil"/>
            </w:tcBorders>
            <w:shd w:val="clear" w:color="auto" w:fill="auto"/>
            <w:noWrap/>
            <w:vAlign w:val="bottom"/>
            <w:hideMark/>
          </w:tcPr>
          <w:p w14:paraId="493460C0"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79707A0B"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6B06DF1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5.15%</w:t>
            </w:r>
          </w:p>
        </w:tc>
        <w:tc>
          <w:tcPr>
            <w:tcW w:w="416" w:type="pct"/>
            <w:tcBorders>
              <w:top w:val="nil"/>
              <w:left w:val="nil"/>
              <w:bottom w:val="nil"/>
              <w:right w:val="nil"/>
            </w:tcBorders>
            <w:shd w:val="clear" w:color="auto" w:fill="auto"/>
            <w:noWrap/>
            <w:vAlign w:val="center"/>
            <w:hideMark/>
          </w:tcPr>
          <w:p w14:paraId="01A9998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7.15%</w:t>
            </w:r>
          </w:p>
        </w:tc>
        <w:tc>
          <w:tcPr>
            <w:tcW w:w="416" w:type="pct"/>
            <w:tcBorders>
              <w:top w:val="nil"/>
              <w:left w:val="nil"/>
              <w:bottom w:val="nil"/>
              <w:right w:val="nil"/>
            </w:tcBorders>
            <w:shd w:val="clear" w:color="auto" w:fill="auto"/>
            <w:noWrap/>
            <w:vAlign w:val="center"/>
            <w:hideMark/>
          </w:tcPr>
          <w:p w14:paraId="6273829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8.03%</w:t>
            </w:r>
          </w:p>
        </w:tc>
        <w:tc>
          <w:tcPr>
            <w:tcW w:w="220" w:type="pct"/>
            <w:tcBorders>
              <w:top w:val="nil"/>
              <w:left w:val="nil"/>
              <w:bottom w:val="nil"/>
              <w:right w:val="nil"/>
            </w:tcBorders>
            <w:shd w:val="clear" w:color="auto" w:fill="auto"/>
            <w:noWrap/>
            <w:vAlign w:val="center"/>
            <w:hideMark/>
          </w:tcPr>
          <w:p w14:paraId="0466D88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9.64%</w:t>
            </w:r>
          </w:p>
        </w:tc>
        <w:tc>
          <w:tcPr>
            <w:tcW w:w="416" w:type="pct"/>
            <w:tcBorders>
              <w:top w:val="nil"/>
              <w:left w:val="nil"/>
              <w:bottom w:val="nil"/>
              <w:right w:val="nil"/>
            </w:tcBorders>
            <w:shd w:val="clear" w:color="auto" w:fill="auto"/>
            <w:noWrap/>
            <w:vAlign w:val="center"/>
            <w:hideMark/>
          </w:tcPr>
          <w:p w14:paraId="788E161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5.21%</w:t>
            </w:r>
          </w:p>
        </w:tc>
        <w:tc>
          <w:tcPr>
            <w:tcW w:w="416" w:type="pct"/>
            <w:tcBorders>
              <w:top w:val="nil"/>
              <w:left w:val="nil"/>
              <w:bottom w:val="nil"/>
              <w:right w:val="nil"/>
            </w:tcBorders>
            <w:shd w:val="clear" w:color="auto" w:fill="auto"/>
            <w:noWrap/>
            <w:vAlign w:val="center"/>
            <w:hideMark/>
          </w:tcPr>
          <w:p w14:paraId="7DF1BEF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7.91%</w:t>
            </w:r>
          </w:p>
        </w:tc>
        <w:tc>
          <w:tcPr>
            <w:tcW w:w="416" w:type="pct"/>
            <w:tcBorders>
              <w:top w:val="nil"/>
              <w:left w:val="nil"/>
              <w:bottom w:val="nil"/>
              <w:right w:val="nil"/>
            </w:tcBorders>
            <w:shd w:val="clear" w:color="auto" w:fill="auto"/>
            <w:noWrap/>
            <w:vAlign w:val="center"/>
            <w:hideMark/>
          </w:tcPr>
          <w:p w14:paraId="3E38623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5.84%</w:t>
            </w:r>
          </w:p>
        </w:tc>
        <w:tc>
          <w:tcPr>
            <w:tcW w:w="416" w:type="pct"/>
            <w:tcBorders>
              <w:top w:val="nil"/>
              <w:left w:val="nil"/>
              <w:bottom w:val="nil"/>
              <w:right w:val="nil"/>
            </w:tcBorders>
            <w:shd w:val="clear" w:color="auto" w:fill="auto"/>
            <w:noWrap/>
            <w:vAlign w:val="center"/>
            <w:hideMark/>
          </w:tcPr>
          <w:p w14:paraId="141C0F3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8.61%</w:t>
            </w:r>
          </w:p>
        </w:tc>
        <w:tc>
          <w:tcPr>
            <w:tcW w:w="384" w:type="pct"/>
            <w:tcBorders>
              <w:top w:val="nil"/>
              <w:left w:val="nil"/>
              <w:bottom w:val="nil"/>
              <w:right w:val="nil"/>
            </w:tcBorders>
            <w:shd w:val="clear" w:color="auto" w:fill="auto"/>
            <w:noWrap/>
            <w:vAlign w:val="center"/>
            <w:hideMark/>
          </w:tcPr>
          <w:p w14:paraId="1380EF9A"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1,023,710,045</w:t>
            </w:r>
          </w:p>
        </w:tc>
        <w:tc>
          <w:tcPr>
            <w:tcW w:w="416" w:type="pct"/>
            <w:tcBorders>
              <w:top w:val="nil"/>
              <w:left w:val="nil"/>
              <w:bottom w:val="nil"/>
              <w:right w:val="nil"/>
            </w:tcBorders>
            <w:shd w:val="clear" w:color="auto" w:fill="auto"/>
            <w:noWrap/>
            <w:vAlign w:val="center"/>
            <w:hideMark/>
          </w:tcPr>
          <w:p w14:paraId="54749E0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6.38%</w:t>
            </w:r>
          </w:p>
        </w:tc>
      </w:tr>
      <w:tr w:rsidR="00E237E4" w:rsidRPr="006A523F" w14:paraId="0B88FA1C" w14:textId="77777777" w:rsidTr="00E237E4">
        <w:trPr>
          <w:trHeight w:val="20"/>
        </w:trPr>
        <w:tc>
          <w:tcPr>
            <w:tcW w:w="864" w:type="pct"/>
            <w:tcBorders>
              <w:top w:val="nil"/>
              <w:left w:val="nil"/>
              <w:bottom w:val="nil"/>
              <w:right w:val="nil"/>
            </w:tcBorders>
            <w:shd w:val="clear" w:color="auto" w:fill="auto"/>
            <w:noWrap/>
            <w:vAlign w:val="center"/>
            <w:hideMark/>
          </w:tcPr>
          <w:p w14:paraId="3B2B626C"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2018.........................</w:t>
            </w:r>
          </w:p>
        </w:tc>
        <w:tc>
          <w:tcPr>
            <w:tcW w:w="152" w:type="pct"/>
            <w:tcBorders>
              <w:top w:val="nil"/>
              <w:left w:val="nil"/>
              <w:bottom w:val="nil"/>
              <w:right w:val="nil"/>
            </w:tcBorders>
            <w:shd w:val="clear" w:color="auto" w:fill="auto"/>
            <w:noWrap/>
            <w:vAlign w:val="bottom"/>
            <w:hideMark/>
          </w:tcPr>
          <w:p w14:paraId="0A6BA972"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5F503694"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234AC68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4.90%</w:t>
            </w:r>
          </w:p>
        </w:tc>
        <w:tc>
          <w:tcPr>
            <w:tcW w:w="416" w:type="pct"/>
            <w:tcBorders>
              <w:top w:val="nil"/>
              <w:left w:val="nil"/>
              <w:bottom w:val="nil"/>
              <w:right w:val="nil"/>
            </w:tcBorders>
            <w:shd w:val="clear" w:color="auto" w:fill="auto"/>
            <w:noWrap/>
            <w:vAlign w:val="center"/>
            <w:hideMark/>
          </w:tcPr>
          <w:p w14:paraId="06ADE43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6.36%</w:t>
            </w:r>
          </w:p>
        </w:tc>
        <w:tc>
          <w:tcPr>
            <w:tcW w:w="416" w:type="pct"/>
            <w:tcBorders>
              <w:top w:val="nil"/>
              <w:left w:val="nil"/>
              <w:bottom w:val="nil"/>
              <w:right w:val="nil"/>
            </w:tcBorders>
            <w:shd w:val="clear" w:color="auto" w:fill="auto"/>
            <w:noWrap/>
            <w:vAlign w:val="center"/>
            <w:hideMark/>
          </w:tcPr>
          <w:p w14:paraId="5818989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6.76%</w:t>
            </w:r>
          </w:p>
        </w:tc>
        <w:tc>
          <w:tcPr>
            <w:tcW w:w="220" w:type="pct"/>
            <w:tcBorders>
              <w:top w:val="nil"/>
              <w:left w:val="nil"/>
              <w:bottom w:val="nil"/>
              <w:right w:val="nil"/>
            </w:tcBorders>
            <w:shd w:val="clear" w:color="auto" w:fill="auto"/>
            <w:noWrap/>
            <w:vAlign w:val="center"/>
            <w:hideMark/>
          </w:tcPr>
          <w:p w14:paraId="42A218A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10.63%</w:t>
            </w:r>
          </w:p>
        </w:tc>
        <w:tc>
          <w:tcPr>
            <w:tcW w:w="416" w:type="pct"/>
            <w:tcBorders>
              <w:top w:val="nil"/>
              <w:left w:val="nil"/>
              <w:bottom w:val="nil"/>
              <w:right w:val="nil"/>
            </w:tcBorders>
            <w:shd w:val="clear" w:color="auto" w:fill="auto"/>
            <w:noWrap/>
            <w:vAlign w:val="center"/>
            <w:hideMark/>
          </w:tcPr>
          <w:p w14:paraId="5F98323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5.06%</w:t>
            </w:r>
          </w:p>
        </w:tc>
        <w:tc>
          <w:tcPr>
            <w:tcW w:w="416" w:type="pct"/>
            <w:tcBorders>
              <w:top w:val="nil"/>
              <w:left w:val="nil"/>
              <w:bottom w:val="nil"/>
              <w:right w:val="nil"/>
            </w:tcBorders>
            <w:shd w:val="clear" w:color="auto" w:fill="auto"/>
            <w:noWrap/>
            <w:vAlign w:val="center"/>
            <w:hideMark/>
          </w:tcPr>
          <w:p w14:paraId="6CCBD56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7.01%</w:t>
            </w:r>
          </w:p>
        </w:tc>
        <w:tc>
          <w:tcPr>
            <w:tcW w:w="416" w:type="pct"/>
            <w:tcBorders>
              <w:top w:val="nil"/>
              <w:left w:val="nil"/>
              <w:bottom w:val="nil"/>
              <w:right w:val="nil"/>
            </w:tcBorders>
            <w:shd w:val="clear" w:color="auto" w:fill="auto"/>
            <w:noWrap/>
            <w:vAlign w:val="center"/>
            <w:hideMark/>
          </w:tcPr>
          <w:p w14:paraId="62C7A83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5.40%</w:t>
            </w:r>
          </w:p>
        </w:tc>
        <w:tc>
          <w:tcPr>
            <w:tcW w:w="416" w:type="pct"/>
            <w:tcBorders>
              <w:top w:val="nil"/>
              <w:left w:val="nil"/>
              <w:bottom w:val="nil"/>
              <w:right w:val="nil"/>
            </w:tcBorders>
            <w:shd w:val="clear" w:color="auto" w:fill="auto"/>
            <w:noWrap/>
            <w:vAlign w:val="center"/>
            <w:hideMark/>
          </w:tcPr>
          <w:p w14:paraId="208C215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8.15%</w:t>
            </w:r>
          </w:p>
        </w:tc>
        <w:tc>
          <w:tcPr>
            <w:tcW w:w="384" w:type="pct"/>
            <w:tcBorders>
              <w:top w:val="nil"/>
              <w:left w:val="nil"/>
              <w:bottom w:val="nil"/>
              <w:right w:val="nil"/>
            </w:tcBorders>
            <w:shd w:val="clear" w:color="auto" w:fill="auto"/>
            <w:noWrap/>
            <w:vAlign w:val="center"/>
            <w:hideMark/>
          </w:tcPr>
          <w:p w14:paraId="3AE8C427"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1,108,497,079</w:t>
            </w:r>
          </w:p>
        </w:tc>
        <w:tc>
          <w:tcPr>
            <w:tcW w:w="416" w:type="pct"/>
            <w:tcBorders>
              <w:top w:val="nil"/>
              <w:left w:val="nil"/>
              <w:bottom w:val="nil"/>
              <w:right w:val="nil"/>
            </w:tcBorders>
            <w:shd w:val="clear" w:color="auto" w:fill="auto"/>
            <w:noWrap/>
            <w:vAlign w:val="center"/>
            <w:hideMark/>
          </w:tcPr>
          <w:p w14:paraId="0EB9DE1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5.93%</w:t>
            </w:r>
          </w:p>
        </w:tc>
      </w:tr>
      <w:tr w:rsidR="00E237E4" w:rsidRPr="006A523F" w14:paraId="7B4CB7C4" w14:textId="77777777" w:rsidTr="00E237E4">
        <w:trPr>
          <w:trHeight w:val="20"/>
        </w:trPr>
        <w:tc>
          <w:tcPr>
            <w:tcW w:w="864" w:type="pct"/>
            <w:tcBorders>
              <w:top w:val="nil"/>
              <w:left w:val="nil"/>
              <w:bottom w:val="nil"/>
              <w:right w:val="nil"/>
            </w:tcBorders>
            <w:shd w:val="clear" w:color="auto" w:fill="auto"/>
            <w:noWrap/>
            <w:vAlign w:val="center"/>
            <w:hideMark/>
          </w:tcPr>
          <w:p w14:paraId="20EFC609" w14:textId="4CD42738"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2018..........................</w:t>
            </w:r>
          </w:p>
        </w:tc>
        <w:tc>
          <w:tcPr>
            <w:tcW w:w="152" w:type="pct"/>
            <w:tcBorders>
              <w:top w:val="nil"/>
              <w:left w:val="nil"/>
              <w:bottom w:val="nil"/>
              <w:right w:val="nil"/>
            </w:tcBorders>
            <w:shd w:val="clear" w:color="auto" w:fill="auto"/>
            <w:noWrap/>
            <w:vAlign w:val="bottom"/>
            <w:hideMark/>
          </w:tcPr>
          <w:p w14:paraId="298D1426"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244AB738"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6163A8C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4.93%</w:t>
            </w:r>
          </w:p>
        </w:tc>
        <w:tc>
          <w:tcPr>
            <w:tcW w:w="416" w:type="pct"/>
            <w:tcBorders>
              <w:top w:val="nil"/>
              <w:left w:val="nil"/>
              <w:bottom w:val="nil"/>
              <w:right w:val="nil"/>
            </w:tcBorders>
            <w:shd w:val="clear" w:color="auto" w:fill="auto"/>
            <w:noWrap/>
            <w:vAlign w:val="center"/>
            <w:hideMark/>
          </w:tcPr>
          <w:p w14:paraId="474E8E1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5.66%</w:t>
            </w:r>
          </w:p>
        </w:tc>
        <w:tc>
          <w:tcPr>
            <w:tcW w:w="416" w:type="pct"/>
            <w:tcBorders>
              <w:top w:val="nil"/>
              <w:left w:val="nil"/>
              <w:bottom w:val="nil"/>
              <w:right w:val="nil"/>
            </w:tcBorders>
            <w:shd w:val="clear" w:color="auto" w:fill="auto"/>
            <w:noWrap/>
            <w:vAlign w:val="center"/>
            <w:hideMark/>
          </w:tcPr>
          <w:p w14:paraId="2BAD0FB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6.07%</w:t>
            </w:r>
          </w:p>
        </w:tc>
        <w:tc>
          <w:tcPr>
            <w:tcW w:w="220" w:type="pct"/>
            <w:tcBorders>
              <w:top w:val="nil"/>
              <w:left w:val="nil"/>
              <w:bottom w:val="nil"/>
              <w:right w:val="nil"/>
            </w:tcBorders>
            <w:shd w:val="clear" w:color="auto" w:fill="auto"/>
            <w:noWrap/>
            <w:vAlign w:val="center"/>
            <w:hideMark/>
          </w:tcPr>
          <w:p w14:paraId="2940F51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9.41%</w:t>
            </w:r>
          </w:p>
        </w:tc>
        <w:tc>
          <w:tcPr>
            <w:tcW w:w="416" w:type="pct"/>
            <w:tcBorders>
              <w:top w:val="nil"/>
              <w:left w:val="nil"/>
              <w:bottom w:val="nil"/>
              <w:right w:val="nil"/>
            </w:tcBorders>
            <w:shd w:val="clear" w:color="auto" w:fill="auto"/>
            <w:noWrap/>
            <w:vAlign w:val="center"/>
            <w:hideMark/>
          </w:tcPr>
          <w:p w14:paraId="3C08294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4.96%</w:t>
            </w:r>
          </w:p>
        </w:tc>
        <w:tc>
          <w:tcPr>
            <w:tcW w:w="416" w:type="pct"/>
            <w:tcBorders>
              <w:top w:val="nil"/>
              <w:left w:val="nil"/>
              <w:bottom w:val="nil"/>
              <w:right w:val="nil"/>
            </w:tcBorders>
            <w:shd w:val="clear" w:color="auto" w:fill="auto"/>
            <w:noWrap/>
            <w:vAlign w:val="center"/>
            <w:hideMark/>
          </w:tcPr>
          <w:p w14:paraId="2023AD0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6.27%</w:t>
            </w:r>
          </w:p>
        </w:tc>
        <w:tc>
          <w:tcPr>
            <w:tcW w:w="416" w:type="pct"/>
            <w:tcBorders>
              <w:top w:val="nil"/>
              <w:left w:val="nil"/>
              <w:bottom w:val="nil"/>
              <w:right w:val="nil"/>
            </w:tcBorders>
            <w:shd w:val="clear" w:color="auto" w:fill="auto"/>
            <w:noWrap/>
            <w:vAlign w:val="center"/>
            <w:hideMark/>
          </w:tcPr>
          <w:p w14:paraId="13B0EC0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5.18%</w:t>
            </w:r>
          </w:p>
        </w:tc>
        <w:tc>
          <w:tcPr>
            <w:tcW w:w="416" w:type="pct"/>
            <w:tcBorders>
              <w:top w:val="nil"/>
              <w:left w:val="nil"/>
              <w:bottom w:val="nil"/>
              <w:right w:val="nil"/>
            </w:tcBorders>
            <w:shd w:val="clear" w:color="auto" w:fill="auto"/>
            <w:noWrap/>
            <w:vAlign w:val="center"/>
            <w:hideMark/>
          </w:tcPr>
          <w:p w14:paraId="055AF11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7.24%</w:t>
            </w:r>
          </w:p>
        </w:tc>
        <w:tc>
          <w:tcPr>
            <w:tcW w:w="384" w:type="pct"/>
            <w:tcBorders>
              <w:top w:val="nil"/>
              <w:left w:val="nil"/>
              <w:bottom w:val="nil"/>
              <w:right w:val="nil"/>
            </w:tcBorders>
            <w:shd w:val="clear" w:color="auto" w:fill="auto"/>
            <w:noWrap/>
            <w:vAlign w:val="center"/>
            <w:hideMark/>
          </w:tcPr>
          <w:p w14:paraId="0CE04D43"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1,181,476,829</w:t>
            </w:r>
          </w:p>
        </w:tc>
        <w:tc>
          <w:tcPr>
            <w:tcW w:w="416" w:type="pct"/>
            <w:tcBorders>
              <w:top w:val="nil"/>
              <w:left w:val="nil"/>
              <w:bottom w:val="nil"/>
              <w:right w:val="nil"/>
            </w:tcBorders>
            <w:shd w:val="clear" w:color="auto" w:fill="auto"/>
            <w:noWrap/>
            <w:vAlign w:val="center"/>
            <w:hideMark/>
          </w:tcPr>
          <w:p w14:paraId="1400BC8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5.56%</w:t>
            </w:r>
          </w:p>
        </w:tc>
      </w:tr>
      <w:tr w:rsidR="00E237E4" w:rsidRPr="006A523F" w14:paraId="7FAAA6B7" w14:textId="77777777" w:rsidTr="00E237E4">
        <w:trPr>
          <w:trHeight w:val="20"/>
        </w:trPr>
        <w:tc>
          <w:tcPr>
            <w:tcW w:w="864" w:type="pct"/>
            <w:tcBorders>
              <w:top w:val="nil"/>
              <w:left w:val="nil"/>
              <w:bottom w:val="nil"/>
              <w:right w:val="nil"/>
            </w:tcBorders>
            <w:shd w:val="clear" w:color="auto" w:fill="auto"/>
            <w:noWrap/>
            <w:vAlign w:val="center"/>
            <w:hideMark/>
          </w:tcPr>
          <w:p w14:paraId="4932D3A9" w14:textId="335294B2"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2019...................................</w:t>
            </w:r>
          </w:p>
        </w:tc>
        <w:tc>
          <w:tcPr>
            <w:tcW w:w="152" w:type="pct"/>
            <w:tcBorders>
              <w:top w:val="nil"/>
              <w:left w:val="nil"/>
              <w:bottom w:val="nil"/>
              <w:right w:val="nil"/>
            </w:tcBorders>
            <w:shd w:val="clear" w:color="auto" w:fill="auto"/>
            <w:noWrap/>
            <w:vAlign w:val="bottom"/>
            <w:hideMark/>
          </w:tcPr>
          <w:p w14:paraId="3DEEE52B"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10DA763F"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27F6F74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4.69%</w:t>
            </w:r>
          </w:p>
        </w:tc>
        <w:tc>
          <w:tcPr>
            <w:tcW w:w="416" w:type="pct"/>
            <w:tcBorders>
              <w:top w:val="nil"/>
              <w:left w:val="nil"/>
              <w:bottom w:val="nil"/>
              <w:right w:val="nil"/>
            </w:tcBorders>
            <w:shd w:val="clear" w:color="auto" w:fill="auto"/>
            <w:noWrap/>
            <w:vAlign w:val="center"/>
            <w:hideMark/>
          </w:tcPr>
          <w:p w14:paraId="48790E9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6.08%</w:t>
            </w:r>
          </w:p>
        </w:tc>
        <w:tc>
          <w:tcPr>
            <w:tcW w:w="416" w:type="pct"/>
            <w:tcBorders>
              <w:top w:val="nil"/>
              <w:left w:val="nil"/>
              <w:bottom w:val="nil"/>
              <w:right w:val="nil"/>
            </w:tcBorders>
            <w:shd w:val="clear" w:color="auto" w:fill="auto"/>
            <w:noWrap/>
            <w:vAlign w:val="center"/>
            <w:hideMark/>
          </w:tcPr>
          <w:p w14:paraId="6731D91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5.40%</w:t>
            </w:r>
          </w:p>
        </w:tc>
        <w:tc>
          <w:tcPr>
            <w:tcW w:w="220" w:type="pct"/>
            <w:tcBorders>
              <w:top w:val="nil"/>
              <w:left w:val="nil"/>
              <w:bottom w:val="nil"/>
              <w:right w:val="nil"/>
            </w:tcBorders>
            <w:shd w:val="clear" w:color="auto" w:fill="auto"/>
            <w:noWrap/>
            <w:vAlign w:val="center"/>
            <w:hideMark/>
          </w:tcPr>
          <w:p w14:paraId="7E61916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9.65%</w:t>
            </w:r>
          </w:p>
        </w:tc>
        <w:tc>
          <w:tcPr>
            <w:tcW w:w="416" w:type="pct"/>
            <w:tcBorders>
              <w:top w:val="nil"/>
              <w:left w:val="nil"/>
              <w:bottom w:val="nil"/>
              <w:right w:val="nil"/>
            </w:tcBorders>
            <w:shd w:val="clear" w:color="auto" w:fill="auto"/>
            <w:noWrap/>
            <w:vAlign w:val="center"/>
            <w:hideMark/>
          </w:tcPr>
          <w:p w14:paraId="0014250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5.32%</w:t>
            </w:r>
          </w:p>
        </w:tc>
        <w:tc>
          <w:tcPr>
            <w:tcW w:w="416" w:type="pct"/>
            <w:tcBorders>
              <w:top w:val="nil"/>
              <w:left w:val="nil"/>
              <w:bottom w:val="nil"/>
              <w:right w:val="nil"/>
            </w:tcBorders>
            <w:shd w:val="clear" w:color="auto" w:fill="auto"/>
            <w:noWrap/>
            <w:vAlign w:val="center"/>
            <w:hideMark/>
          </w:tcPr>
          <w:p w14:paraId="1FDCC30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5.61%</w:t>
            </w:r>
          </w:p>
        </w:tc>
        <w:tc>
          <w:tcPr>
            <w:tcW w:w="416" w:type="pct"/>
            <w:tcBorders>
              <w:top w:val="nil"/>
              <w:left w:val="nil"/>
              <w:bottom w:val="nil"/>
              <w:right w:val="nil"/>
            </w:tcBorders>
            <w:shd w:val="clear" w:color="auto" w:fill="auto"/>
            <w:noWrap/>
            <w:vAlign w:val="center"/>
            <w:hideMark/>
          </w:tcPr>
          <w:p w14:paraId="73329C5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5.15%</w:t>
            </w:r>
          </w:p>
        </w:tc>
        <w:tc>
          <w:tcPr>
            <w:tcW w:w="416" w:type="pct"/>
            <w:tcBorders>
              <w:top w:val="nil"/>
              <w:left w:val="nil"/>
              <w:bottom w:val="nil"/>
              <w:right w:val="nil"/>
            </w:tcBorders>
            <w:shd w:val="clear" w:color="auto" w:fill="auto"/>
            <w:noWrap/>
            <w:vAlign w:val="center"/>
            <w:hideMark/>
          </w:tcPr>
          <w:p w14:paraId="77A490F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6.86%</w:t>
            </w:r>
          </w:p>
        </w:tc>
        <w:tc>
          <w:tcPr>
            <w:tcW w:w="384" w:type="pct"/>
            <w:tcBorders>
              <w:top w:val="nil"/>
              <w:left w:val="nil"/>
              <w:bottom w:val="nil"/>
              <w:right w:val="nil"/>
            </w:tcBorders>
            <w:shd w:val="clear" w:color="auto" w:fill="auto"/>
            <w:noWrap/>
            <w:vAlign w:val="center"/>
            <w:hideMark/>
          </w:tcPr>
          <w:p w14:paraId="7F595792"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1,266,387,844</w:t>
            </w:r>
          </w:p>
        </w:tc>
        <w:tc>
          <w:tcPr>
            <w:tcW w:w="416" w:type="pct"/>
            <w:tcBorders>
              <w:top w:val="nil"/>
              <w:left w:val="nil"/>
              <w:bottom w:val="nil"/>
              <w:right w:val="nil"/>
            </w:tcBorders>
            <w:shd w:val="clear" w:color="auto" w:fill="auto"/>
            <w:noWrap/>
            <w:vAlign w:val="center"/>
            <w:hideMark/>
          </w:tcPr>
          <w:p w14:paraId="21817D2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5.46%</w:t>
            </w:r>
          </w:p>
        </w:tc>
      </w:tr>
      <w:tr w:rsidR="00E237E4" w:rsidRPr="006A523F" w14:paraId="2A51E561" w14:textId="77777777" w:rsidTr="00E237E4">
        <w:trPr>
          <w:trHeight w:val="20"/>
        </w:trPr>
        <w:tc>
          <w:tcPr>
            <w:tcW w:w="864" w:type="pct"/>
            <w:tcBorders>
              <w:top w:val="nil"/>
              <w:left w:val="nil"/>
              <w:bottom w:val="nil"/>
              <w:right w:val="nil"/>
            </w:tcBorders>
            <w:shd w:val="clear" w:color="auto" w:fill="auto"/>
            <w:noWrap/>
            <w:vAlign w:val="center"/>
            <w:hideMark/>
          </w:tcPr>
          <w:p w14:paraId="50CAB61D" w14:textId="7B3E65F1"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2019.....................................</w:t>
            </w:r>
          </w:p>
        </w:tc>
        <w:tc>
          <w:tcPr>
            <w:tcW w:w="152" w:type="pct"/>
            <w:tcBorders>
              <w:top w:val="nil"/>
              <w:left w:val="nil"/>
              <w:bottom w:val="nil"/>
              <w:right w:val="nil"/>
            </w:tcBorders>
            <w:shd w:val="clear" w:color="auto" w:fill="auto"/>
            <w:noWrap/>
            <w:vAlign w:val="bottom"/>
            <w:hideMark/>
          </w:tcPr>
          <w:p w14:paraId="0BB9454A"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5DA3D7B0"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7196506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4.84%</w:t>
            </w:r>
          </w:p>
        </w:tc>
        <w:tc>
          <w:tcPr>
            <w:tcW w:w="416" w:type="pct"/>
            <w:tcBorders>
              <w:top w:val="nil"/>
              <w:left w:val="nil"/>
              <w:bottom w:val="nil"/>
              <w:right w:val="nil"/>
            </w:tcBorders>
            <w:shd w:val="clear" w:color="auto" w:fill="auto"/>
            <w:noWrap/>
            <w:vAlign w:val="center"/>
            <w:hideMark/>
          </w:tcPr>
          <w:p w14:paraId="2E986F7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5.24%</w:t>
            </w:r>
          </w:p>
        </w:tc>
        <w:tc>
          <w:tcPr>
            <w:tcW w:w="416" w:type="pct"/>
            <w:tcBorders>
              <w:top w:val="nil"/>
              <w:left w:val="nil"/>
              <w:bottom w:val="nil"/>
              <w:right w:val="nil"/>
            </w:tcBorders>
            <w:shd w:val="clear" w:color="auto" w:fill="auto"/>
            <w:noWrap/>
            <w:vAlign w:val="center"/>
            <w:hideMark/>
          </w:tcPr>
          <w:p w14:paraId="28F90A7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5.85%</w:t>
            </w:r>
          </w:p>
        </w:tc>
        <w:tc>
          <w:tcPr>
            <w:tcW w:w="220" w:type="pct"/>
            <w:tcBorders>
              <w:top w:val="nil"/>
              <w:left w:val="nil"/>
              <w:bottom w:val="nil"/>
              <w:right w:val="nil"/>
            </w:tcBorders>
            <w:shd w:val="clear" w:color="auto" w:fill="auto"/>
            <w:noWrap/>
            <w:vAlign w:val="center"/>
            <w:hideMark/>
          </w:tcPr>
          <w:p w14:paraId="75132FB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9.71%</w:t>
            </w:r>
          </w:p>
        </w:tc>
        <w:tc>
          <w:tcPr>
            <w:tcW w:w="416" w:type="pct"/>
            <w:tcBorders>
              <w:top w:val="nil"/>
              <w:left w:val="nil"/>
              <w:bottom w:val="nil"/>
              <w:right w:val="nil"/>
            </w:tcBorders>
            <w:shd w:val="clear" w:color="auto" w:fill="auto"/>
            <w:noWrap/>
            <w:vAlign w:val="center"/>
            <w:hideMark/>
          </w:tcPr>
          <w:p w14:paraId="7C1ACAC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5.22%</w:t>
            </w:r>
          </w:p>
        </w:tc>
        <w:tc>
          <w:tcPr>
            <w:tcW w:w="416" w:type="pct"/>
            <w:tcBorders>
              <w:top w:val="nil"/>
              <w:left w:val="nil"/>
              <w:bottom w:val="nil"/>
              <w:right w:val="nil"/>
            </w:tcBorders>
            <w:shd w:val="clear" w:color="auto" w:fill="auto"/>
            <w:noWrap/>
            <w:vAlign w:val="center"/>
            <w:hideMark/>
          </w:tcPr>
          <w:p w14:paraId="2AE16CB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5.49%</w:t>
            </w:r>
          </w:p>
        </w:tc>
        <w:tc>
          <w:tcPr>
            <w:tcW w:w="416" w:type="pct"/>
            <w:tcBorders>
              <w:top w:val="nil"/>
              <w:left w:val="nil"/>
              <w:bottom w:val="nil"/>
              <w:right w:val="nil"/>
            </w:tcBorders>
            <w:shd w:val="clear" w:color="auto" w:fill="auto"/>
            <w:noWrap/>
            <w:vAlign w:val="center"/>
            <w:hideMark/>
          </w:tcPr>
          <w:p w14:paraId="251556A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4.97%</w:t>
            </w:r>
          </w:p>
        </w:tc>
        <w:tc>
          <w:tcPr>
            <w:tcW w:w="416" w:type="pct"/>
            <w:tcBorders>
              <w:top w:val="nil"/>
              <w:left w:val="nil"/>
              <w:bottom w:val="nil"/>
              <w:right w:val="nil"/>
            </w:tcBorders>
            <w:shd w:val="clear" w:color="auto" w:fill="auto"/>
            <w:noWrap/>
            <w:vAlign w:val="center"/>
            <w:hideMark/>
          </w:tcPr>
          <w:p w14:paraId="3EAAA6F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7.17%</w:t>
            </w:r>
          </w:p>
        </w:tc>
        <w:tc>
          <w:tcPr>
            <w:tcW w:w="384" w:type="pct"/>
            <w:tcBorders>
              <w:top w:val="nil"/>
              <w:left w:val="nil"/>
              <w:bottom w:val="nil"/>
              <w:right w:val="nil"/>
            </w:tcBorders>
            <w:shd w:val="clear" w:color="auto" w:fill="auto"/>
            <w:noWrap/>
            <w:vAlign w:val="center"/>
            <w:hideMark/>
          </w:tcPr>
          <w:p w14:paraId="33D3A76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1,366,917,182</w:t>
            </w:r>
          </w:p>
        </w:tc>
        <w:tc>
          <w:tcPr>
            <w:tcW w:w="416" w:type="pct"/>
            <w:tcBorders>
              <w:top w:val="nil"/>
              <w:left w:val="nil"/>
              <w:bottom w:val="nil"/>
              <w:right w:val="nil"/>
            </w:tcBorders>
            <w:shd w:val="clear" w:color="auto" w:fill="auto"/>
            <w:noWrap/>
            <w:vAlign w:val="center"/>
            <w:hideMark/>
          </w:tcPr>
          <w:p w14:paraId="59C9B5D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5.35%</w:t>
            </w:r>
          </w:p>
        </w:tc>
      </w:tr>
      <w:tr w:rsidR="00E237E4" w:rsidRPr="006A523F" w14:paraId="3EBE0843" w14:textId="77777777" w:rsidTr="00E237E4">
        <w:trPr>
          <w:trHeight w:val="20"/>
        </w:trPr>
        <w:tc>
          <w:tcPr>
            <w:tcW w:w="864" w:type="pct"/>
            <w:tcBorders>
              <w:top w:val="nil"/>
              <w:left w:val="nil"/>
              <w:bottom w:val="nil"/>
              <w:right w:val="nil"/>
            </w:tcBorders>
            <w:shd w:val="clear" w:color="auto" w:fill="auto"/>
            <w:noWrap/>
            <w:vAlign w:val="center"/>
            <w:hideMark/>
          </w:tcPr>
          <w:p w14:paraId="22D97FC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2019.........................</w:t>
            </w:r>
          </w:p>
        </w:tc>
        <w:tc>
          <w:tcPr>
            <w:tcW w:w="152" w:type="pct"/>
            <w:tcBorders>
              <w:top w:val="nil"/>
              <w:left w:val="nil"/>
              <w:bottom w:val="nil"/>
              <w:right w:val="nil"/>
            </w:tcBorders>
            <w:shd w:val="clear" w:color="auto" w:fill="auto"/>
            <w:noWrap/>
            <w:vAlign w:val="bottom"/>
            <w:hideMark/>
          </w:tcPr>
          <w:p w14:paraId="0D0797FD"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775E7C34"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7ECFD90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3.97%</w:t>
            </w:r>
          </w:p>
        </w:tc>
        <w:tc>
          <w:tcPr>
            <w:tcW w:w="416" w:type="pct"/>
            <w:tcBorders>
              <w:top w:val="nil"/>
              <w:left w:val="nil"/>
              <w:bottom w:val="nil"/>
              <w:right w:val="nil"/>
            </w:tcBorders>
            <w:shd w:val="clear" w:color="auto" w:fill="auto"/>
            <w:noWrap/>
            <w:vAlign w:val="center"/>
            <w:hideMark/>
          </w:tcPr>
          <w:p w14:paraId="06C6421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4.87%</w:t>
            </w:r>
          </w:p>
        </w:tc>
        <w:tc>
          <w:tcPr>
            <w:tcW w:w="416" w:type="pct"/>
            <w:tcBorders>
              <w:top w:val="nil"/>
              <w:left w:val="nil"/>
              <w:bottom w:val="nil"/>
              <w:right w:val="nil"/>
            </w:tcBorders>
            <w:shd w:val="clear" w:color="auto" w:fill="auto"/>
            <w:noWrap/>
            <w:vAlign w:val="center"/>
            <w:hideMark/>
          </w:tcPr>
          <w:p w14:paraId="7EE2C7D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6.61%</w:t>
            </w:r>
          </w:p>
        </w:tc>
        <w:tc>
          <w:tcPr>
            <w:tcW w:w="220" w:type="pct"/>
            <w:tcBorders>
              <w:top w:val="nil"/>
              <w:left w:val="nil"/>
              <w:bottom w:val="nil"/>
              <w:right w:val="nil"/>
            </w:tcBorders>
            <w:shd w:val="clear" w:color="auto" w:fill="auto"/>
            <w:noWrap/>
            <w:vAlign w:val="center"/>
            <w:hideMark/>
          </w:tcPr>
          <w:p w14:paraId="5D189E1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7.00%</w:t>
            </w:r>
          </w:p>
        </w:tc>
        <w:tc>
          <w:tcPr>
            <w:tcW w:w="416" w:type="pct"/>
            <w:tcBorders>
              <w:top w:val="nil"/>
              <w:left w:val="nil"/>
              <w:bottom w:val="nil"/>
              <w:right w:val="nil"/>
            </w:tcBorders>
            <w:shd w:val="clear" w:color="auto" w:fill="auto"/>
            <w:noWrap/>
            <w:vAlign w:val="center"/>
            <w:hideMark/>
          </w:tcPr>
          <w:p w14:paraId="14762AF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4.53%</w:t>
            </w:r>
          </w:p>
        </w:tc>
        <w:tc>
          <w:tcPr>
            <w:tcW w:w="416" w:type="pct"/>
            <w:tcBorders>
              <w:top w:val="nil"/>
              <w:left w:val="nil"/>
              <w:bottom w:val="nil"/>
              <w:right w:val="nil"/>
            </w:tcBorders>
            <w:shd w:val="clear" w:color="auto" w:fill="auto"/>
            <w:noWrap/>
            <w:vAlign w:val="center"/>
            <w:hideMark/>
          </w:tcPr>
          <w:p w14:paraId="145BA95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4.85%</w:t>
            </w:r>
          </w:p>
        </w:tc>
        <w:tc>
          <w:tcPr>
            <w:tcW w:w="416" w:type="pct"/>
            <w:tcBorders>
              <w:top w:val="nil"/>
              <w:left w:val="nil"/>
              <w:bottom w:val="nil"/>
              <w:right w:val="nil"/>
            </w:tcBorders>
            <w:shd w:val="clear" w:color="auto" w:fill="auto"/>
            <w:noWrap/>
            <w:vAlign w:val="center"/>
            <w:hideMark/>
          </w:tcPr>
          <w:p w14:paraId="1B7D27E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4.27%</w:t>
            </w:r>
          </w:p>
        </w:tc>
        <w:tc>
          <w:tcPr>
            <w:tcW w:w="416" w:type="pct"/>
            <w:tcBorders>
              <w:top w:val="nil"/>
              <w:left w:val="nil"/>
              <w:bottom w:val="nil"/>
              <w:right w:val="nil"/>
            </w:tcBorders>
            <w:shd w:val="clear" w:color="auto" w:fill="auto"/>
            <w:noWrap/>
            <w:vAlign w:val="center"/>
            <w:hideMark/>
          </w:tcPr>
          <w:p w14:paraId="2B6FCD7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6.74%</w:t>
            </w:r>
          </w:p>
        </w:tc>
        <w:tc>
          <w:tcPr>
            <w:tcW w:w="384" w:type="pct"/>
            <w:tcBorders>
              <w:top w:val="nil"/>
              <w:left w:val="nil"/>
              <w:bottom w:val="nil"/>
              <w:right w:val="nil"/>
            </w:tcBorders>
            <w:shd w:val="clear" w:color="auto" w:fill="auto"/>
            <w:noWrap/>
            <w:vAlign w:val="center"/>
            <w:hideMark/>
          </w:tcPr>
          <w:p w14:paraId="7B290E5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1,443,005,534</w:t>
            </w:r>
          </w:p>
        </w:tc>
        <w:tc>
          <w:tcPr>
            <w:tcW w:w="416" w:type="pct"/>
            <w:tcBorders>
              <w:top w:val="nil"/>
              <w:left w:val="nil"/>
              <w:bottom w:val="nil"/>
              <w:right w:val="nil"/>
            </w:tcBorders>
            <w:shd w:val="clear" w:color="auto" w:fill="auto"/>
            <w:noWrap/>
            <w:vAlign w:val="center"/>
            <w:hideMark/>
          </w:tcPr>
          <w:p w14:paraId="7117F27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4.68%</w:t>
            </w:r>
          </w:p>
        </w:tc>
      </w:tr>
      <w:tr w:rsidR="00E237E4" w:rsidRPr="006A523F" w14:paraId="7A6D304D" w14:textId="77777777" w:rsidTr="00E237E4">
        <w:trPr>
          <w:trHeight w:val="20"/>
        </w:trPr>
        <w:tc>
          <w:tcPr>
            <w:tcW w:w="864" w:type="pct"/>
            <w:tcBorders>
              <w:top w:val="nil"/>
              <w:left w:val="nil"/>
              <w:bottom w:val="nil"/>
              <w:right w:val="nil"/>
            </w:tcBorders>
            <w:shd w:val="clear" w:color="auto" w:fill="auto"/>
            <w:noWrap/>
            <w:vAlign w:val="center"/>
            <w:hideMark/>
          </w:tcPr>
          <w:p w14:paraId="1B4FD95E" w14:textId="262078F4"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2019..........................</w:t>
            </w:r>
          </w:p>
        </w:tc>
        <w:tc>
          <w:tcPr>
            <w:tcW w:w="152" w:type="pct"/>
            <w:tcBorders>
              <w:top w:val="nil"/>
              <w:left w:val="nil"/>
              <w:bottom w:val="nil"/>
              <w:right w:val="nil"/>
            </w:tcBorders>
            <w:shd w:val="clear" w:color="auto" w:fill="auto"/>
            <w:noWrap/>
            <w:vAlign w:val="bottom"/>
            <w:hideMark/>
          </w:tcPr>
          <w:p w14:paraId="6152BB9F"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3DF49FC0"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6CA14C2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4.56%</w:t>
            </w:r>
          </w:p>
        </w:tc>
        <w:tc>
          <w:tcPr>
            <w:tcW w:w="416" w:type="pct"/>
            <w:tcBorders>
              <w:top w:val="nil"/>
              <w:left w:val="nil"/>
              <w:bottom w:val="nil"/>
              <w:right w:val="nil"/>
            </w:tcBorders>
            <w:shd w:val="clear" w:color="auto" w:fill="auto"/>
            <w:noWrap/>
            <w:vAlign w:val="center"/>
            <w:hideMark/>
          </w:tcPr>
          <w:p w14:paraId="02F4933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5.33%</w:t>
            </w:r>
          </w:p>
        </w:tc>
        <w:tc>
          <w:tcPr>
            <w:tcW w:w="416" w:type="pct"/>
            <w:tcBorders>
              <w:top w:val="nil"/>
              <w:left w:val="nil"/>
              <w:bottom w:val="nil"/>
              <w:right w:val="nil"/>
            </w:tcBorders>
            <w:shd w:val="clear" w:color="auto" w:fill="auto"/>
            <w:noWrap/>
            <w:vAlign w:val="center"/>
            <w:hideMark/>
          </w:tcPr>
          <w:p w14:paraId="7BBFC33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5.77%</w:t>
            </w:r>
          </w:p>
        </w:tc>
        <w:tc>
          <w:tcPr>
            <w:tcW w:w="220" w:type="pct"/>
            <w:tcBorders>
              <w:top w:val="nil"/>
              <w:left w:val="nil"/>
              <w:bottom w:val="nil"/>
              <w:right w:val="nil"/>
            </w:tcBorders>
            <w:shd w:val="clear" w:color="auto" w:fill="auto"/>
            <w:noWrap/>
            <w:vAlign w:val="center"/>
            <w:hideMark/>
          </w:tcPr>
          <w:p w14:paraId="06B053C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7.04%</w:t>
            </w:r>
          </w:p>
        </w:tc>
        <w:tc>
          <w:tcPr>
            <w:tcW w:w="416" w:type="pct"/>
            <w:tcBorders>
              <w:top w:val="nil"/>
              <w:left w:val="nil"/>
              <w:bottom w:val="nil"/>
              <w:right w:val="nil"/>
            </w:tcBorders>
            <w:shd w:val="clear" w:color="auto" w:fill="auto"/>
            <w:noWrap/>
            <w:vAlign w:val="center"/>
            <w:hideMark/>
          </w:tcPr>
          <w:p w14:paraId="358B829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5.25%</w:t>
            </w:r>
          </w:p>
        </w:tc>
        <w:tc>
          <w:tcPr>
            <w:tcW w:w="416" w:type="pct"/>
            <w:tcBorders>
              <w:top w:val="nil"/>
              <w:left w:val="nil"/>
              <w:bottom w:val="nil"/>
              <w:right w:val="nil"/>
            </w:tcBorders>
            <w:shd w:val="clear" w:color="auto" w:fill="auto"/>
            <w:noWrap/>
            <w:vAlign w:val="center"/>
            <w:hideMark/>
          </w:tcPr>
          <w:p w14:paraId="441EA22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4.85%</w:t>
            </w:r>
          </w:p>
        </w:tc>
        <w:tc>
          <w:tcPr>
            <w:tcW w:w="416" w:type="pct"/>
            <w:tcBorders>
              <w:top w:val="nil"/>
              <w:left w:val="nil"/>
              <w:bottom w:val="nil"/>
              <w:right w:val="nil"/>
            </w:tcBorders>
            <w:shd w:val="clear" w:color="auto" w:fill="auto"/>
            <w:noWrap/>
            <w:vAlign w:val="center"/>
            <w:hideMark/>
          </w:tcPr>
          <w:p w14:paraId="663F288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4.82%</w:t>
            </w:r>
          </w:p>
        </w:tc>
        <w:tc>
          <w:tcPr>
            <w:tcW w:w="416" w:type="pct"/>
            <w:tcBorders>
              <w:top w:val="nil"/>
              <w:left w:val="nil"/>
              <w:bottom w:val="nil"/>
              <w:right w:val="nil"/>
            </w:tcBorders>
            <w:shd w:val="clear" w:color="auto" w:fill="auto"/>
            <w:noWrap/>
            <w:vAlign w:val="center"/>
            <w:hideMark/>
          </w:tcPr>
          <w:p w14:paraId="2001A62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6.21%</w:t>
            </w:r>
          </w:p>
        </w:tc>
        <w:tc>
          <w:tcPr>
            <w:tcW w:w="384" w:type="pct"/>
            <w:tcBorders>
              <w:top w:val="nil"/>
              <w:left w:val="nil"/>
              <w:bottom w:val="nil"/>
              <w:right w:val="nil"/>
            </w:tcBorders>
            <w:shd w:val="clear" w:color="auto" w:fill="auto"/>
            <w:noWrap/>
            <w:vAlign w:val="center"/>
            <w:hideMark/>
          </w:tcPr>
          <w:p w14:paraId="7A4FA5A4"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1,544,591,015</w:t>
            </w:r>
          </w:p>
        </w:tc>
        <w:tc>
          <w:tcPr>
            <w:tcW w:w="416" w:type="pct"/>
            <w:tcBorders>
              <w:top w:val="nil"/>
              <w:left w:val="nil"/>
              <w:bottom w:val="nil"/>
              <w:right w:val="nil"/>
            </w:tcBorders>
            <w:shd w:val="clear" w:color="auto" w:fill="auto"/>
            <w:noWrap/>
            <w:vAlign w:val="center"/>
            <w:hideMark/>
          </w:tcPr>
          <w:p w14:paraId="5C927A5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5.05%</w:t>
            </w:r>
          </w:p>
        </w:tc>
      </w:tr>
      <w:tr w:rsidR="00E237E4" w:rsidRPr="006A523F" w14:paraId="7AEE8114" w14:textId="77777777" w:rsidTr="00E237E4">
        <w:trPr>
          <w:trHeight w:val="20"/>
        </w:trPr>
        <w:tc>
          <w:tcPr>
            <w:tcW w:w="864" w:type="pct"/>
            <w:tcBorders>
              <w:top w:val="nil"/>
              <w:left w:val="nil"/>
              <w:bottom w:val="nil"/>
              <w:right w:val="nil"/>
            </w:tcBorders>
            <w:shd w:val="clear" w:color="auto" w:fill="auto"/>
            <w:noWrap/>
            <w:vAlign w:val="center"/>
            <w:hideMark/>
          </w:tcPr>
          <w:p w14:paraId="49E2F71A" w14:textId="03E4BAC6"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2020...................................</w:t>
            </w:r>
          </w:p>
        </w:tc>
        <w:tc>
          <w:tcPr>
            <w:tcW w:w="152" w:type="pct"/>
            <w:tcBorders>
              <w:top w:val="nil"/>
              <w:left w:val="nil"/>
              <w:bottom w:val="nil"/>
              <w:right w:val="nil"/>
            </w:tcBorders>
            <w:shd w:val="clear" w:color="auto" w:fill="auto"/>
            <w:noWrap/>
            <w:vAlign w:val="bottom"/>
            <w:hideMark/>
          </w:tcPr>
          <w:p w14:paraId="232E8779"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4B0FFD6E"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3F7A41F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4.31%</w:t>
            </w:r>
          </w:p>
        </w:tc>
        <w:tc>
          <w:tcPr>
            <w:tcW w:w="416" w:type="pct"/>
            <w:tcBorders>
              <w:top w:val="nil"/>
              <w:left w:val="nil"/>
              <w:bottom w:val="nil"/>
              <w:right w:val="nil"/>
            </w:tcBorders>
            <w:shd w:val="clear" w:color="auto" w:fill="auto"/>
            <w:noWrap/>
            <w:vAlign w:val="center"/>
            <w:hideMark/>
          </w:tcPr>
          <w:p w14:paraId="5040CAB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4.73%</w:t>
            </w:r>
          </w:p>
        </w:tc>
        <w:tc>
          <w:tcPr>
            <w:tcW w:w="416" w:type="pct"/>
            <w:tcBorders>
              <w:top w:val="nil"/>
              <w:left w:val="nil"/>
              <w:bottom w:val="nil"/>
              <w:right w:val="nil"/>
            </w:tcBorders>
            <w:shd w:val="clear" w:color="auto" w:fill="auto"/>
            <w:noWrap/>
            <w:vAlign w:val="center"/>
            <w:hideMark/>
          </w:tcPr>
          <w:p w14:paraId="60AD943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4.27%</w:t>
            </w:r>
          </w:p>
        </w:tc>
        <w:tc>
          <w:tcPr>
            <w:tcW w:w="220" w:type="pct"/>
            <w:tcBorders>
              <w:top w:val="nil"/>
              <w:left w:val="nil"/>
              <w:bottom w:val="nil"/>
              <w:right w:val="nil"/>
            </w:tcBorders>
            <w:shd w:val="clear" w:color="auto" w:fill="auto"/>
            <w:noWrap/>
            <w:vAlign w:val="center"/>
            <w:hideMark/>
          </w:tcPr>
          <w:p w14:paraId="7E1CC61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6.32%</w:t>
            </w:r>
          </w:p>
        </w:tc>
        <w:tc>
          <w:tcPr>
            <w:tcW w:w="416" w:type="pct"/>
            <w:tcBorders>
              <w:top w:val="nil"/>
              <w:left w:val="nil"/>
              <w:bottom w:val="nil"/>
              <w:right w:val="nil"/>
            </w:tcBorders>
            <w:shd w:val="clear" w:color="auto" w:fill="auto"/>
            <w:noWrap/>
            <w:vAlign w:val="center"/>
            <w:hideMark/>
          </w:tcPr>
          <w:p w14:paraId="30E9648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5.05%</w:t>
            </w:r>
          </w:p>
        </w:tc>
        <w:tc>
          <w:tcPr>
            <w:tcW w:w="416" w:type="pct"/>
            <w:tcBorders>
              <w:top w:val="nil"/>
              <w:left w:val="nil"/>
              <w:bottom w:val="nil"/>
              <w:right w:val="nil"/>
            </w:tcBorders>
            <w:shd w:val="clear" w:color="auto" w:fill="auto"/>
            <w:noWrap/>
            <w:vAlign w:val="center"/>
            <w:hideMark/>
          </w:tcPr>
          <w:p w14:paraId="04C39EF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4.02%</w:t>
            </w:r>
          </w:p>
        </w:tc>
        <w:tc>
          <w:tcPr>
            <w:tcW w:w="416" w:type="pct"/>
            <w:tcBorders>
              <w:top w:val="nil"/>
              <w:left w:val="nil"/>
              <w:bottom w:val="nil"/>
              <w:right w:val="nil"/>
            </w:tcBorders>
            <w:shd w:val="clear" w:color="auto" w:fill="auto"/>
            <w:noWrap/>
            <w:vAlign w:val="center"/>
            <w:hideMark/>
          </w:tcPr>
          <w:p w14:paraId="5FB5209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4.45%</w:t>
            </w:r>
          </w:p>
        </w:tc>
        <w:tc>
          <w:tcPr>
            <w:tcW w:w="416" w:type="pct"/>
            <w:tcBorders>
              <w:top w:val="nil"/>
              <w:left w:val="nil"/>
              <w:bottom w:val="nil"/>
              <w:right w:val="nil"/>
            </w:tcBorders>
            <w:shd w:val="clear" w:color="auto" w:fill="auto"/>
            <w:noWrap/>
            <w:vAlign w:val="center"/>
            <w:hideMark/>
          </w:tcPr>
          <w:p w14:paraId="42B15FE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4.99%</w:t>
            </w:r>
          </w:p>
        </w:tc>
        <w:tc>
          <w:tcPr>
            <w:tcW w:w="384" w:type="pct"/>
            <w:tcBorders>
              <w:top w:val="nil"/>
              <w:left w:val="nil"/>
              <w:bottom w:val="nil"/>
              <w:right w:val="nil"/>
            </w:tcBorders>
            <w:shd w:val="clear" w:color="auto" w:fill="auto"/>
            <w:noWrap/>
            <w:vAlign w:val="center"/>
            <w:hideMark/>
          </w:tcPr>
          <w:p w14:paraId="29B83F10"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1,626,930,164</w:t>
            </w:r>
          </w:p>
        </w:tc>
        <w:tc>
          <w:tcPr>
            <w:tcW w:w="416" w:type="pct"/>
            <w:tcBorders>
              <w:top w:val="nil"/>
              <w:left w:val="nil"/>
              <w:bottom w:val="nil"/>
              <w:right w:val="nil"/>
            </w:tcBorders>
            <w:shd w:val="clear" w:color="auto" w:fill="auto"/>
            <w:noWrap/>
            <w:vAlign w:val="center"/>
            <w:hideMark/>
          </w:tcPr>
          <w:p w14:paraId="1C581A1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4.54%</w:t>
            </w:r>
          </w:p>
        </w:tc>
      </w:tr>
      <w:tr w:rsidR="00E237E4" w:rsidRPr="006A523F" w14:paraId="27E0F6E8" w14:textId="77777777" w:rsidTr="00E237E4">
        <w:trPr>
          <w:trHeight w:val="20"/>
        </w:trPr>
        <w:tc>
          <w:tcPr>
            <w:tcW w:w="864" w:type="pct"/>
            <w:tcBorders>
              <w:top w:val="nil"/>
              <w:left w:val="nil"/>
              <w:bottom w:val="nil"/>
              <w:right w:val="nil"/>
            </w:tcBorders>
            <w:shd w:val="clear" w:color="auto" w:fill="auto"/>
            <w:noWrap/>
            <w:vAlign w:val="center"/>
            <w:hideMark/>
          </w:tcPr>
          <w:p w14:paraId="2ADAE576" w14:textId="75F492D3"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2020.....................................</w:t>
            </w:r>
          </w:p>
        </w:tc>
        <w:tc>
          <w:tcPr>
            <w:tcW w:w="152" w:type="pct"/>
            <w:tcBorders>
              <w:top w:val="nil"/>
              <w:left w:val="nil"/>
              <w:bottom w:val="nil"/>
              <w:right w:val="nil"/>
            </w:tcBorders>
            <w:shd w:val="clear" w:color="auto" w:fill="auto"/>
            <w:noWrap/>
            <w:vAlign w:val="bottom"/>
            <w:hideMark/>
          </w:tcPr>
          <w:p w14:paraId="2AA1A9D3"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16FCC1D8"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79A54C2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3.49%</w:t>
            </w:r>
          </w:p>
        </w:tc>
        <w:tc>
          <w:tcPr>
            <w:tcW w:w="416" w:type="pct"/>
            <w:tcBorders>
              <w:top w:val="nil"/>
              <w:left w:val="nil"/>
              <w:bottom w:val="nil"/>
              <w:right w:val="nil"/>
            </w:tcBorders>
            <w:shd w:val="clear" w:color="auto" w:fill="auto"/>
            <w:noWrap/>
            <w:vAlign w:val="center"/>
            <w:hideMark/>
          </w:tcPr>
          <w:p w14:paraId="5567D92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3.92%</w:t>
            </w:r>
          </w:p>
        </w:tc>
        <w:tc>
          <w:tcPr>
            <w:tcW w:w="416" w:type="pct"/>
            <w:tcBorders>
              <w:top w:val="nil"/>
              <w:left w:val="nil"/>
              <w:bottom w:val="nil"/>
              <w:right w:val="nil"/>
            </w:tcBorders>
            <w:shd w:val="clear" w:color="auto" w:fill="auto"/>
            <w:noWrap/>
            <w:vAlign w:val="center"/>
            <w:hideMark/>
          </w:tcPr>
          <w:p w14:paraId="0C02643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4.84%</w:t>
            </w:r>
          </w:p>
        </w:tc>
        <w:tc>
          <w:tcPr>
            <w:tcW w:w="220" w:type="pct"/>
            <w:tcBorders>
              <w:top w:val="nil"/>
              <w:left w:val="nil"/>
              <w:bottom w:val="nil"/>
              <w:right w:val="nil"/>
            </w:tcBorders>
            <w:shd w:val="clear" w:color="auto" w:fill="auto"/>
            <w:noWrap/>
            <w:vAlign w:val="center"/>
            <w:hideMark/>
          </w:tcPr>
          <w:p w14:paraId="52CC656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5.17%</w:t>
            </w:r>
          </w:p>
        </w:tc>
        <w:tc>
          <w:tcPr>
            <w:tcW w:w="416" w:type="pct"/>
            <w:tcBorders>
              <w:top w:val="nil"/>
              <w:left w:val="nil"/>
              <w:bottom w:val="nil"/>
              <w:right w:val="nil"/>
            </w:tcBorders>
            <w:shd w:val="clear" w:color="auto" w:fill="auto"/>
            <w:noWrap/>
            <w:vAlign w:val="center"/>
            <w:hideMark/>
          </w:tcPr>
          <w:p w14:paraId="065B1A2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3.88%</w:t>
            </w:r>
          </w:p>
        </w:tc>
        <w:tc>
          <w:tcPr>
            <w:tcW w:w="416" w:type="pct"/>
            <w:tcBorders>
              <w:top w:val="nil"/>
              <w:left w:val="nil"/>
              <w:bottom w:val="nil"/>
              <w:right w:val="nil"/>
            </w:tcBorders>
            <w:shd w:val="clear" w:color="auto" w:fill="auto"/>
            <w:noWrap/>
            <w:vAlign w:val="center"/>
            <w:hideMark/>
          </w:tcPr>
          <w:p w14:paraId="7008108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3.85%</w:t>
            </w:r>
          </w:p>
        </w:tc>
        <w:tc>
          <w:tcPr>
            <w:tcW w:w="416" w:type="pct"/>
            <w:tcBorders>
              <w:top w:val="nil"/>
              <w:left w:val="nil"/>
              <w:bottom w:val="nil"/>
              <w:right w:val="nil"/>
            </w:tcBorders>
            <w:shd w:val="clear" w:color="auto" w:fill="auto"/>
            <w:noWrap/>
            <w:vAlign w:val="center"/>
            <w:hideMark/>
          </w:tcPr>
          <w:p w14:paraId="006FFA1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3.62%</w:t>
            </w:r>
          </w:p>
        </w:tc>
        <w:tc>
          <w:tcPr>
            <w:tcW w:w="416" w:type="pct"/>
            <w:tcBorders>
              <w:top w:val="nil"/>
              <w:left w:val="nil"/>
              <w:bottom w:val="nil"/>
              <w:right w:val="nil"/>
            </w:tcBorders>
            <w:shd w:val="clear" w:color="auto" w:fill="auto"/>
            <w:noWrap/>
            <w:vAlign w:val="center"/>
            <w:hideMark/>
          </w:tcPr>
          <w:p w14:paraId="62DB255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4.96%</w:t>
            </w:r>
          </w:p>
        </w:tc>
        <w:tc>
          <w:tcPr>
            <w:tcW w:w="384" w:type="pct"/>
            <w:tcBorders>
              <w:top w:val="nil"/>
              <w:left w:val="nil"/>
              <w:bottom w:val="nil"/>
              <w:right w:val="nil"/>
            </w:tcBorders>
            <w:shd w:val="clear" w:color="auto" w:fill="auto"/>
            <w:noWrap/>
            <w:vAlign w:val="center"/>
            <w:hideMark/>
          </w:tcPr>
          <w:p w14:paraId="0C346FA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1,666,259,707</w:t>
            </w:r>
          </w:p>
        </w:tc>
        <w:tc>
          <w:tcPr>
            <w:tcW w:w="416" w:type="pct"/>
            <w:tcBorders>
              <w:top w:val="nil"/>
              <w:left w:val="nil"/>
              <w:bottom w:val="nil"/>
              <w:right w:val="nil"/>
            </w:tcBorders>
            <w:shd w:val="clear" w:color="auto" w:fill="auto"/>
            <w:noWrap/>
            <w:vAlign w:val="center"/>
            <w:hideMark/>
          </w:tcPr>
          <w:p w14:paraId="52ABE79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3.86%</w:t>
            </w:r>
          </w:p>
        </w:tc>
      </w:tr>
      <w:tr w:rsidR="00E237E4" w:rsidRPr="006A523F" w14:paraId="04C183BD" w14:textId="77777777" w:rsidTr="00E237E4">
        <w:trPr>
          <w:trHeight w:val="20"/>
        </w:trPr>
        <w:tc>
          <w:tcPr>
            <w:tcW w:w="864" w:type="pct"/>
            <w:tcBorders>
              <w:top w:val="nil"/>
              <w:left w:val="nil"/>
              <w:bottom w:val="nil"/>
              <w:right w:val="nil"/>
            </w:tcBorders>
            <w:shd w:val="clear" w:color="auto" w:fill="auto"/>
            <w:noWrap/>
            <w:vAlign w:val="center"/>
            <w:hideMark/>
          </w:tcPr>
          <w:p w14:paraId="7C6CF4B3"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2020.........................</w:t>
            </w:r>
          </w:p>
        </w:tc>
        <w:tc>
          <w:tcPr>
            <w:tcW w:w="152" w:type="pct"/>
            <w:tcBorders>
              <w:top w:val="nil"/>
              <w:left w:val="nil"/>
              <w:bottom w:val="nil"/>
              <w:right w:val="nil"/>
            </w:tcBorders>
            <w:shd w:val="clear" w:color="auto" w:fill="auto"/>
            <w:noWrap/>
            <w:vAlign w:val="bottom"/>
            <w:hideMark/>
          </w:tcPr>
          <w:p w14:paraId="7AF46FBC"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0E6F711E"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64533C1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4.32%</w:t>
            </w:r>
          </w:p>
        </w:tc>
        <w:tc>
          <w:tcPr>
            <w:tcW w:w="416" w:type="pct"/>
            <w:tcBorders>
              <w:top w:val="nil"/>
              <w:left w:val="nil"/>
              <w:bottom w:val="nil"/>
              <w:right w:val="nil"/>
            </w:tcBorders>
            <w:shd w:val="clear" w:color="auto" w:fill="auto"/>
            <w:noWrap/>
            <w:vAlign w:val="center"/>
            <w:hideMark/>
          </w:tcPr>
          <w:p w14:paraId="68349D3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5.05%</w:t>
            </w:r>
          </w:p>
        </w:tc>
        <w:tc>
          <w:tcPr>
            <w:tcW w:w="416" w:type="pct"/>
            <w:tcBorders>
              <w:top w:val="nil"/>
              <w:left w:val="nil"/>
              <w:bottom w:val="nil"/>
              <w:right w:val="nil"/>
            </w:tcBorders>
            <w:shd w:val="clear" w:color="auto" w:fill="auto"/>
            <w:noWrap/>
            <w:vAlign w:val="center"/>
            <w:hideMark/>
          </w:tcPr>
          <w:p w14:paraId="4580FC0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4.96%</w:t>
            </w:r>
          </w:p>
        </w:tc>
        <w:tc>
          <w:tcPr>
            <w:tcW w:w="220" w:type="pct"/>
            <w:tcBorders>
              <w:top w:val="nil"/>
              <w:left w:val="nil"/>
              <w:bottom w:val="nil"/>
              <w:right w:val="nil"/>
            </w:tcBorders>
            <w:shd w:val="clear" w:color="auto" w:fill="auto"/>
            <w:noWrap/>
            <w:vAlign w:val="center"/>
            <w:hideMark/>
          </w:tcPr>
          <w:p w14:paraId="0052AF8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5.97%</w:t>
            </w:r>
          </w:p>
        </w:tc>
        <w:tc>
          <w:tcPr>
            <w:tcW w:w="416" w:type="pct"/>
            <w:tcBorders>
              <w:top w:val="nil"/>
              <w:left w:val="nil"/>
              <w:bottom w:val="nil"/>
              <w:right w:val="nil"/>
            </w:tcBorders>
            <w:shd w:val="clear" w:color="auto" w:fill="auto"/>
            <w:noWrap/>
            <w:vAlign w:val="center"/>
            <w:hideMark/>
          </w:tcPr>
          <w:p w14:paraId="7F25A7D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4.56%</w:t>
            </w:r>
          </w:p>
        </w:tc>
        <w:tc>
          <w:tcPr>
            <w:tcW w:w="416" w:type="pct"/>
            <w:tcBorders>
              <w:top w:val="nil"/>
              <w:left w:val="nil"/>
              <w:bottom w:val="nil"/>
              <w:right w:val="nil"/>
            </w:tcBorders>
            <w:shd w:val="clear" w:color="auto" w:fill="auto"/>
            <w:noWrap/>
            <w:vAlign w:val="center"/>
            <w:hideMark/>
          </w:tcPr>
          <w:p w14:paraId="62A4A0F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4.83%</w:t>
            </w:r>
          </w:p>
        </w:tc>
        <w:tc>
          <w:tcPr>
            <w:tcW w:w="416" w:type="pct"/>
            <w:tcBorders>
              <w:top w:val="nil"/>
              <w:left w:val="nil"/>
              <w:bottom w:val="nil"/>
              <w:right w:val="nil"/>
            </w:tcBorders>
            <w:shd w:val="clear" w:color="auto" w:fill="auto"/>
            <w:noWrap/>
            <w:vAlign w:val="center"/>
            <w:hideMark/>
          </w:tcPr>
          <w:p w14:paraId="60C1403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4.55%</w:t>
            </w:r>
          </w:p>
        </w:tc>
        <w:tc>
          <w:tcPr>
            <w:tcW w:w="416" w:type="pct"/>
            <w:tcBorders>
              <w:top w:val="nil"/>
              <w:left w:val="nil"/>
              <w:bottom w:val="nil"/>
              <w:right w:val="nil"/>
            </w:tcBorders>
            <w:shd w:val="clear" w:color="auto" w:fill="auto"/>
            <w:noWrap/>
            <w:vAlign w:val="center"/>
            <w:hideMark/>
          </w:tcPr>
          <w:p w14:paraId="70C92ED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5.31%</w:t>
            </w:r>
          </w:p>
        </w:tc>
        <w:tc>
          <w:tcPr>
            <w:tcW w:w="384" w:type="pct"/>
            <w:tcBorders>
              <w:top w:val="nil"/>
              <w:left w:val="nil"/>
              <w:bottom w:val="nil"/>
              <w:right w:val="nil"/>
            </w:tcBorders>
            <w:shd w:val="clear" w:color="auto" w:fill="auto"/>
            <w:noWrap/>
            <w:vAlign w:val="center"/>
            <w:hideMark/>
          </w:tcPr>
          <w:p w14:paraId="71168BB3"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1,722,557,773</w:t>
            </w:r>
          </w:p>
        </w:tc>
        <w:tc>
          <w:tcPr>
            <w:tcW w:w="416" w:type="pct"/>
            <w:tcBorders>
              <w:top w:val="nil"/>
              <w:left w:val="nil"/>
              <w:bottom w:val="nil"/>
              <w:right w:val="nil"/>
            </w:tcBorders>
            <w:shd w:val="clear" w:color="auto" w:fill="auto"/>
            <w:noWrap/>
            <w:vAlign w:val="center"/>
            <w:hideMark/>
          </w:tcPr>
          <w:p w14:paraId="08FA48A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4.69%</w:t>
            </w:r>
          </w:p>
        </w:tc>
      </w:tr>
      <w:tr w:rsidR="00E237E4" w:rsidRPr="006A523F" w14:paraId="0DADF8E3" w14:textId="77777777" w:rsidTr="00E237E4">
        <w:trPr>
          <w:trHeight w:val="20"/>
        </w:trPr>
        <w:tc>
          <w:tcPr>
            <w:tcW w:w="864" w:type="pct"/>
            <w:tcBorders>
              <w:top w:val="nil"/>
              <w:left w:val="nil"/>
              <w:bottom w:val="nil"/>
              <w:right w:val="nil"/>
            </w:tcBorders>
            <w:shd w:val="clear" w:color="auto" w:fill="auto"/>
            <w:noWrap/>
            <w:vAlign w:val="center"/>
            <w:hideMark/>
          </w:tcPr>
          <w:p w14:paraId="0EE79A11" w14:textId="4013664F"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2020..........................</w:t>
            </w:r>
          </w:p>
        </w:tc>
        <w:tc>
          <w:tcPr>
            <w:tcW w:w="152" w:type="pct"/>
            <w:tcBorders>
              <w:top w:val="nil"/>
              <w:left w:val="nil"/>
              <w:bottom w:val="nil"/>
              <w:right w:val="nil"/>
            </w:tcBorders>
            <w:shd w:val="clear" w:color="auto" w:fill="auto"/>
            <w:noWrap/>
            <w:vAlign w:val="bottom"/>
            <w:hideMark/>
          </w:tcPr>
          <w:p w14:paraId="660E3EB0"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4B87CED6"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3416CCF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5.04%</w:t>
            </w:r>
          </w:p>
        </w:tc>
        <w:tc>
          <w:tcPr>
            <w:tcW w:w="416" w:type="pct"/>
            <w:tcBorders>
              <w:top w:val="nil"/>
              <w:left w:val="nil"/>
              <w:bottom w:val="nil"/>
              <w:right w:val="nil"/>
            </w:tcBorders>
            <w:shd w:val="clear" w:color="auto" w:fill="auto"/>
            <w:noWrap/>
            <w:vAlign w:val="center"/>
            <w:hideMark/>
          </w:tcPr>
          <w:p w14:paraId="69C22F2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6.30%</w:t>
            </w:r>
          </w:p>
        </w:tc>
        <w:tc>
          <w:tcPr>
            <w:tcW w:w="416" w:type="pct"/>
            <w:tcBorders>
              <w:top w:val="nil"/>
              <w:left w:val="nil"/>
              <w:bottom w:val="nil"/>
              <w:right w:val="nil"/>
            </w:tcBorders>
            <w:shd w:val="clear" w:color="auto" w:fill="auto"/>
            <w:noWrap/>
            <w:vAlign w:val="center"/>
            <w:hideMark/>
          </w:tcPr>
          <w:p w14:paraId="59976B3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5.88%</w:t>
            </w:r>
          </w:p>
        </w:tc>
        <w:tc>
          <w:tcPr>
            <w:tcW w:w="220" w:type="pct"/>
            <w:tcBorders>
              <w:top w:val="nil"/>
              <w:left w:val="nil"/>
              <w:bottom w:val="nil"/>
              <w:right w:val="nil"/>
            </w:tcBorders>
            <w:shd w:val="clear" w:color="auto" w:fill="auto"/>
            <w:noWrap/>
            <w:vAlign w:val="center"/>
            <w:hideMark/>
          </w:tcPr>
          <w:p w14:paraId="20FA0A5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6.33%</w:t>
            </w:r>
          </w:p>
        </w:tc>
        <w:tc>
          <w:tcPr>
            <w:tcW w:w="416" w:type="pct"/>
            <w:tcBorders>
              <w:top w:val="nil"/>
              <w:left w:val="nil"/>
              <w:bottom w:val="nil"/>
              <w:right w:val="nil"/>
            </w:tcBorders>
            <w:shd w:val="clear" w:color="auto" w:fill="auto"/>
            <w:noWrap/>
            <w:vAlign w:val="center"/>
            <w:hideMark/>
          </w:tcPr>
          <w:p w14:paraId="336B2C6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5.18%</w:t>
            </w:r>
          </w:p>
        </w:tc>
        <w:tc>
          <w:tcPr>
            <w:tcW w:w="416" w:type="pct"/>
            <w:tcBorders>
              <w:top w:val="nil"/>
              <w:left w:val="nil"/>
              <w:bottom w:val="nil"/>
              <w:right w:val="nil"/>
            </w:tcBorders>
            <w:shd w:val="clear" w:color="auto" w:fill="auto"/>
            <w:noWrap/>
            <w:vAlign w:val="center"/>
            <w:hideMark/>
          </w:tcPr>
          <w:p w14:paraId="319451B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5.90%</w:t>
            </w:r>
          </w:p>
        </w:tc>
        <w:tc>
          <w:tcPr>
            <w:tcW w:w="416" w:type="pct"/>
            <w:tcBorders>
              <w:top w:val="nil"/>
              <w:left w:val="nil"/>
              <w:bottom w:val="nil"/>
              <w:right w:val="nil"/>
            </w:tcBorders>
            <w:shd w:val="clear" w:color="auto" w:fill="auto"/>
            <w:noWrap/>
            <w:vAlign w:val="center"/>
            <w:hideMark/>
          </w:tcPr>
          <w:p w14:paraId="2210174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5.43%</w:t>
            </w:r>
          </w:p>
        </w:tc>
        <w:tc>
          <w:tcPr>
            <w:tcW w:w="416" w:type="pct"/>
            <w:tcBorders>
              <w:top w:val="nil"/>
              <w:left w:val="nil"/>
              <w:bottom w:val="nil"/>
              <w:right w:val="nil"/>
            </w:tcBorders>
            <w:shd w:val="clear" w:color="auto" w:fill="auto"/>
            <w:noWrap/>
            <w:vAlign w:val="center"/>
            <w:hideMark/>
          </w:tcPr>
          <w:p w14:paraId="5E59B5F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6.04%</w:t>
            </w:r>
          </w:p>
        </w:tc>
        <w:tc>
          <w:tcPr>
            <w:tcW w:w="384" w:type="pct"/>
            <w:tcBorders>
              <w:top w:val="nil"/>
              <w:left w:val="nil"/>
              <w:bottom w:val="nil"/>
              <w:right w:val="nil"/>
            </w:tcBorders>
            <w:shd w:val="clear" w:color="auto" w:fill="auto"/>
            <w:noWrap/>
            <w:vAlign w:val="center"/>
            <w:hideMark/>
          </w:tcPr>
          <w:p w14:paraId="32A5AC67"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1,800,369,988</w:t>
            </w:r>
          </w:p>
        </w:tc>
        <w:tc>
          <w:tcPr>
            <w:tcW w:w="416" w:type="pct"/>
            <w:tcBorders>
              <w:top w:val="nil"/>
              <w:left w:val="nil"/>
              <w:bottom w:val="nil"/>
              <w:right w:val="nil"/>
            </w:tcBorders>
            <w:shd w:val="clear" w:color="auto" w:fill="auto"/>
            <w:noWrap/>
            <w:vAlign w:val="center"/>
            <w:hideMark/>
          </w:tcPr>
          <w:p w14:paraId="18D3BAB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5.55%</w:t>
            </w:r>
          </w:p>
        </w:tc>
      </w:tr>
      <w:tr w:rsidR="00E237E4" w:rsidRPr="006A523F" w14:paraId="75F98F68" w14:textId="77777777" w:rsidTr="00E237E4">
        <w:trPr>
          <w:trHeight w:val="20"/>
        </w:trPr>
        <w:tc>
          <w:tcPr>
            <w:tcW w:w="864" w:type="pct"/>
            <w:tcBorders>
              <w:top w:val="nil"/>
              <w:left w:val="nil"/>
              <w:bottom w:val="nil"/>
              <w:right w:val="nil"/>
            </w:tcBorders>
            <w:shd w:val="clear" w:color="auto" w:fill="auto"/>
            <w:noWrap/>
            <w:vAlign w:val="center"/>
            <w:hideMark/>
          </w:tcPr>
          <w:p w14:paraId="6631D51C" w14:textId="76496285"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2021...................................</w:t>
            </w:r>
          </w:p>
        </w:tc>
        <w:tc>
          <w:tcPr>
            <w:tcW w:w="152" w:type="pct"/>
            <w:tcBorders>
              <w:top w:val="nil"/>
              <w:left w:val="nil"/>
              <w:bottom w:val="nil"/>
              <w:right w:val="nil"/>
            </w:tcBorders>
            <w:shd w:val="clear" w:color="auto" w:fill="auto"/>
            <w:noWrap/>
            <w:vAlign w:val="bottom"/>
            <w:hideMark/>
          </w:tcPr>
          <w:p w14:paraId="20C9794D"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6C3F488D"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52CF314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4.18%</w:t>
            </w:r>
          </w:p>
        </w:tc>
        <w:tc>
          <w:tcPr>
            <w:tcW w:w="416" w:type="pct"/>
            <w:tcBorders>
              <w:top w:val="nil"/>
              <w:left w:val="nil"/>
              <w:bottom w:val="nil"/>
              <w:right w:val="nil"/>
            </w:tcBorders>
            <w:shd w:val="clear" w:color="auto" w:fill="auto"/>
            <w:noWrap/>
            <w:vAlign w:val="center"/>
            <w:hideMark/>
          </w:tcPr>
          <w:p w14:paraId="71A315F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5.05%</w:t>
            </w:r>
          </w:p>
        </w:tc>
        <w:tc>
          <w:tcPr>
            <w:tcW w:w="416" w:type="pct"/>
            <w:tcBorders>
              <w:top w:val="nil"/>
              <w:left w:val="nil"/>
              <w:bottom w:val="nil"/>
              <w:right w:val="nil"/>
            </w:tcBorders>
            <w:shd w:val="clear" w:color="auto" w:fill="auto"/>
            <w:noWrap/>
            <w:vAlign w:val="center"/>
            <w:hideMark/>
          </w:tcPr>
          <w:p w14:paraId="188F5B8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4.08%</w:t>
            </w:r>
          </w:p>
        </w:tc>
        <w:tc>
          <w:tcPr>
            <w:tcW w:w="220" w:type="pct"/>
            <w:tcBorders>
              <w:top w:val="nil"/>
              <w:left w:val="nil"/>
              <w:bottom w:val="nil"/>
              <w:right w:val="nil"/>
            </w:tcBorders>
            <w:shd w:val="clear" w:color="auto" w:fill="auto"/>
            <w:noWrap/>
            <w:vAlign w:val="center"/>
            <w:hideMark/>
          </w:tcPr>
          <w:p w14:paraId="4EB75B5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4.57%</w:t>
            </w:r>
          </w:p>
        </w:tc>
        <w:tc>
          <w:tcPr>
            <w:tcW w:w="416" w:type="pct"/>
            <w:tcBorders>
              <w:top w:val="nil"/>
              <w:left w:val="nil"/>
              <w:bottom w:val="nil"/>
              <w:right w:val="nil"/>
            </w:tcBorders>
            <w:shd w:val="clear" w:color="auto" w:fill="auto"/>
            <w:noWrap/>
            <w:vAlign w:val="center"/>
            <w:hideMark/>
          </w:tcPr>
          <w:p w14:paraId="6B37871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4.81%</w:t>
            </w:r>
          </w:p>
        </w:tc>
        <w:tc>
          <w:tcPr>
            <w:tcW w:w="416" w:type="pct"/>
            <w:tcBorders>
              <w:top w:val="nil"/>
              <w:left w:val="nil"/>
              <w:bottom w:val="nil"/>
              <w:right w:val="nil"/>
            </w:tcBorders>
            <w:shd w:val="clear" w:color="auto" w:fill="auto"/>
            <w:noWrap/>
            <w:vAlign w:val="center"/>
            <w:hideMark/>
          </w:tcPr>
          <w:p w14:paraId="4C45AA6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4.03%</w:t>
            </w:r>
          </w:p>
        </w:tc>
        <w:tc>
          <w:tcPr>
            <w:tcW w:w="416" w:type="pct"/>
            <w:tcBorders>
              <w:top w:val="nil"/>
              <w:left w:val="nil"/>
              <w:bottom w:val="nil"/>
              <w:right w:val="nil"/>
            </w:tcBorders>
            <w:shd w:val="clear" w:color="auto" w:fill="auto"/>
            <w:noWrap/>
            <w:vAlign w:val="center"/>
            <w:hideMark/>
          </w:tcPr>
          <w:p w14:paraId="27A7552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4.45%</w:t>
            </w:r>
          </w:p>
        </w:tc>
        <w:tc>
          <w:tcPr>
            <w:tcW w:w="416" w:type="pct"/>
            <w:tcBorders>
              <w:top w:val="nil"/>
              <w:left w:val="nil"/>
              <w:bottom w:val="nil"/>
              <w:right w:val="nil"/>
            </w:tcBorders>
            <w:shd w:val="clear" w:color="auto" w:fill="auto"/>
            <w:noWrap/>
            <w:vAlign w:val="center"/>
            <w:hideMark/>
          </w:tcPr>
          <w:p w14:paraId="5979F52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4.26%</w:t>
            </w:r>
          </w:p>
        </w:tc>
        <w:tc>
          <w:tcPr>
            <w:tcW w:w="384" w:type="pct"/>
            <w:tcBorders>
              <w:top w:val="nil"/>
              <w:left w:val="nil"/>
              <w:bottom w:val="nil"/>
              <w:right w:val="nil"/>
            </w:tcBorders>
            <w:shd w:val="clear" w:color="auto" w:fill="auto"/>
            <w:noWrap/>
            <w:vAlign w:val="center"/>
            <w:hideMark/>
          </w:tcPr>
          <w:p w14:paraId="36BDF5E4"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1,805,571,709</w:t>
            </w:r>
          </w:p>
        </w:tc>
        <w:tc>
          <w:tcPr>
            <w:tcW w:w="416" w:type="pct"/>
            <w:tcBorders>
              <w:top w:val="nil"/>
              <w:left w:val="nil"/>
              <w:bottom w:val="nil"/>
              <w:right w:val="nil"/>
            </w:tcBorders>
            <w:shd w:val="clear" w:color="auto" w:fill="auto"/>
            <w:noWrap/>
            <w:vAlign w:val="center"/>
            <w:hideMark/>
          </w:tcPr>
          <w:p w14:paraId="308EEBD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4.41%</w:t>
            </w:r>
          </w:p>
        </w:tc>
      </w:tr>
      <w:tr w:rsidR="00E237E4" w:rsidRPr="006A523F" w14:paraId="285E1C5A" w14:textId="77777777" w:rsidTr="00E237E4">
        <w:trPr>
          <w:trHeight w:val="20"/>
        </w:trPr>
        <w:tc>
          <w:tcPr>
            <w:tcW w:w="864" w:type="pct"/>
            <w:tcBorders>
              <w:top w:val="nil"/>
              <w:left w:val="nil"/>
              <w:bottom w:val="nil"/>
              <w:right w:val="nil"/>
            </w:tcBorders>
            <w:shd w:val="clear" w:color="auto" w:fill="auto"/>
            <w:noWrap/>
            <w:vAlign w:val="center"/>
            <w:hideMark/>
          </w:tcPr>
          <w:p w14:paraId="01FF8ADC" w14:textId="30B0F909"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2021.....................................</w:t>
            </w:r>
          </w:p>
        </w:tc>
        <w:tc>
          <w:tcPr>
            <w:tcW w:w="152" w:type="pct"/>
            <w:tcBorders>
              <w:top w:val="nil"/>
              <w:left w:val="nil"/>
              <w:bottom w:val="nil"/>
              <w:right w:val="nil"/>
            </w:tcBorders>
            <w:shd w:val="clear" w:color="auto" w:fill="auto"/>
            <w:noWrap/>
            <w:vAlign w:val="bottom"/>
            <w:hideMark/>
          </w:tcPr>
          <w:p w14:paraId="437ED9FC"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747D7E00"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0D57B49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4.52%</w:t>
            </w:r>
          </w:p>
        </w:tc>
        <w:tc>
          <w:tcPr>
            <w:tcW w:w="416" w:type="pct"/>
            <w:tcBorders>
              <w:top w:val="nil"/>
              <w:left w:val="nil"/>
              <w:bottom w:val="nil"/>
              <w:right w:val="nil"/>
            </w:tcBorders>
            <w:shd w:val="clear" w:color="auto" w:fill="auto"/>
            <w:noWrap/>
            <w:vAlign w:val="center"/>
            <w:hideMark/>
          </w:tcPr>
          <w:p w14:paraId="78B808F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5.76%</w:t>
            </w:r>
          </w:p>
        </w:tc>
        <w:tc>
          <w:tcPr>
            <w:tcW w:w="416" w:type="pct"/>
            <w:tcBorders>
              <w:top w:val="nil"/>
              <w:left w:val="nil"/>
              <w:bottom w:val="nil"/>
              <w:right w:val="nil"/>
            </w:tcBorders>
            <w:shd w:val="clear" w:color="auto" w:fill="auto"/>
            <w:noWrap/>
            <w:vAlign w:val="center"/>
            <w:hideMark/>
          </w:tcPr>
          <w:p w14:paraId="473C5B6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5.85%</w:t>
            </w:r>
          </w:p>
        </w:tc>
        <w:tc>
          <w:tcPr>
            <w:tcW w:w="220" w:type="pct"/>
            <w:tcBorders>
              <w:top w:val="nil"/>
              <w:left w:val="nil"/>
              <w:bottom w:val="nil"/>
              <w:right w:val="nil"/>
            </w:tcBorders>
            <w:shd w:val="clear" w:color="auto" w:fill="auto"/>
            <w:noWrap/>
            <w:vAlign w:val="center"/>
            <w:hideMark/>
          </w:tcPr>
          <w:p w14:paraId="718B1B1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7.08%</w:t>
            </w:r>
          </w:p>
        </w:tc>
        <w:tc>
          <w:tcPr>
            <w:tcW w:w="416" w:type="pct"/>
            <w:tcBorders>
              <w:top w:val="nil"/>
              <w:left w:val="nil"/>
              <w:bottom w:val="nil"/>
              <w:right w:val="nil"/>
            </w:tcBorders>
            <w:shd w:val="clear" w:color="auto" w:fill="auto"/>
            <w:noWrap/>
            <w:vAlign w:val="center"/>
            <w:hideMark/>
          </w:tcPr>
          <w:p w14:paraId="009C172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4.94%</w:t>
            </w:r>
          </w:p>
        </w:tc>
        <w:tc>
          <w:tcPr>
            <w:tcW w:w="416" w:type="pct"/>
            <w:tcBorders>
              <w:top w:val="nil"/>
              <w:left w:val="nil"/>
              <w:bottom w:val="nil"/>
              <w:right w:val="nil"/>
            </w:tcBorders>
            <w:shd w:val="clear" w:color="auto" w:fill="auto"/>
            <w:noWrap/>
            <w:vAlign w:val="center"/>
            <w:hideMark/>
          </w:tcPr>
          <w:p w14:paraId="7F320C0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5.38%</w:t>
            </w:r>
          </w:p>
        </w:tc>
        <w:tc>
          <w:tcPr>
            <w:tcW w:w="416" w:type="pct"/>
            <w:tcBorders>
              <w:top w:val="nil"/>
              <w:left w:val="nil"/>
              <w:bottom w:val="nil"/>
              <w:right w:val="nil"/>
            </w:tcBorders>
            <w:shd w:val="clear" w:color="auto" w:fill="auto"/>
            <w:noWrap/>
            <w:vAlign w:val="center"/>
            <w:hideMark/>
          </w:tcPr>
          <w:p w14:paraId="3E059F2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4.90%</w:t>
            </w:r>
          </w:p>
        </w:tc>
        <w:tc>
          <w:tcPr>
            <w:tcW w:w="416" w:type="pct"/>
            <w:tcBorders>
              <w:top w:val="nil"/>
              <w:left w:val="nil"/>
              <w:bottom w:val="nil"/>
              <w:right w:val="nil"/>
            </w:tcBorders>
            <w:shd w:val="clear" w:color="auto" w:fill="auto"/>
            <w:noWrap/>
            <w:vAlign w:val="center"/>
            <w:hideMark/>
          </w:tcPr>
          <w:p w14:paraId="78B84CC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6.29%</w:t>
            </w:r>
          </w:p>
        </w:tc>
        <w:tc>
          <w:tcPr>
            <w:tcW w:w="384" w:type="pct"/>
            <w:tcBorders>
              <w:top w:val="nil"/>
              <w:left w:val="nil"/>
              <w:bottom w:val="nil"/>
              <w:right w:val="nil"/>
            </w:tcBorders>
            <w:shd w:val="clear" w:color="auto" w:fill="auto"/>
            <w:noWrap/>
            <w:vAlign w:val="center"/>
            <w:hideMark/>
          </w:tcPr>
          <w:p w14:paraId="51672AF0"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1,883,783,714</w:t>
            </w:r>
          </w:p>
        </w:tc>
        <w:tc>
          <w:tcPr>
            <w:tcW w:w="416" w:type="pct"/>
            <w:tcBorders>
              <w:top w:val="nil"/>
              <w:left w:val="nil"/>
              <w:bottom w:val="nil"/>
              <w:right w:val="nil"/>
            </w:tcBorders>
            <w:shd w:val="clear" w:color="auto" w:fill="auto"/>
            <w:noWrap/>
            <w:vAlign w:val="center"/>
            <w:hideMark/>
          </w:tcPr>
          <w:p w14:paraId="7DE72AB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5.17%</w:t>
            </w:r>
          </w:p>
        </w:tc>
      </w:tr>
      <w:tr w:rsidR="00E237E4" w:rsidRPr="006A523F" w14:paraId="03D2334B" w14:textId="77777777" w:rsidTr="00E237E4">
        <w:trPr>
          <w:trHeight w:val="20"/>
        </w:trPr>
        <w:tc>
          <w:tcPr>
            <w:tcW w:w="864" w:type="pct"/>
            <w:tcBorders>
              <w:top w:val="nil"/>
              <w:left w:val="nil"/>
              <w:bottom w:val="nil"/>
              <w:right w:val="nil"/>
            </w:tcBorders>
            <w:shd w:val="clear" w:color="auto" w:fill="auto"/>
            <w:noWrap/>
            <w:vAlign w:val="center"/>
            <w:hideMark/>
          </w:tcPr>
          <w:p w14:paraId="3D725DF8"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2021.........................</w:t>
            </w:r>
          </w:p>
        </w:tc>
        <w:tc>
          <w:tcPr>
            <w:tcW w:w="152" w:type="pct"/>
            <w:tcBorders>
              <w:top w:val="nil"/>
              <w:left w:val="nil"/>
              <w:bottom w:val="nil"/>
              <w:right w:val="nil"/>
            </w:tcBorders>
            <w:shd w:val="clear" w:color="auto" w:fill="auto"/>
            <w:noWrap/>
            <w:vAlign w:val="bottom"/>
            <w:hideMark/>
          </w:tcPr>
          <w:p w14:paraId="678BD28D"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7A1954CB"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38D6ED5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4.70%</w:t>
            </w:r>
          </w:p>
        </w:tc>
        <w:tc>
          <w:tcPr>
            <w:tcW w:w="416" w:type="pct"/>
            <w:tcBorders>
              <w:top w:val="nil"/>
              <w:left w:val="nil"/>
              <w:bottom w:val="nil"/>
              <w:right w:val="nil"/>
            </w:tcBorders>
            <w:shd w:val="clear" w:color="auto" w:fill="auto"/>
            <w:noWrap/>
            <w:vAlign w:val="center"/>
            <w:hideMark/>
          </w:tcPr>
          <w:p w14:paraId="285B737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5.23%</w:t>
            </w:r>
          </w:p>
        </w:tc>
        <w:tc>
          <w:tcPr>
            <w:tcW w:w="416" w:type="pct"/>
            <w:tcBorders>
              <w:top w:val="nil"/>
              <w:left w:val="nil"/>
              <w:bottom w:val="nil"/>
              <w:right w:val="nil"/>
            </w:tcBorders>
            <w:shd w:val="clear" w:color="auto" w:fill="auto"/>
            <w:noWrap/>
            <w:vAlign w:val="center"/>
            <w:hideMark/>
          </w:tcPr>
          <w:p w14:paraId="5769DF7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6.08%</w:t>
            </w:r>
          </w:p>
        </w:tc>
        <w:tc>
          <w:tcPr>
            <w:tcW w:w="220" w:type="pct"/>
            <w:tcBorders>
              <w:top w:val="nil"/>
              <w:left w:val="nil"/>
              <w:bottom w:val="nil"/>
              <w:right w:val="nil"/>
            </w:tcBorders>
            <w:shd w:val="clear" w:color="auto" w:fill="auto"/>
            <w:noWrap/>
            <w:vAlign w:val="center"/>
            <w:hideMark/>
          </w:tcPr>
          <w:p w14:paraId="13AFCC4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7.04%</w:t>
            </w:r>
          </w:p>
        </w:tc>
        <w:tc>
          <w:tcPr>
            <w:tcW w:w="416" w:type="pct"/>
            <w:tcBorders>
              <w:top w:val="nil"/>
              <w:left w:val="nil"/>
              <w:bottom w:val="nil"/>
              <w:right w:val="nil"/>
            </w:tcBorders>
            <w:shd w:val="clear" w:color="auto" w:fill="auto"/>
            <w:noWrap/>
            <w:vAlign w:val="center"/>
            <w:hideMark/>
          </w:tcPr>
          <w:p w14:paraId="5A3B872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4.84%</w:t>
            </w:r>
          </w:p>
        </w:tc>
        <w:tc>
          <w:tcPr>
            <w:tcW w:w="416" w:type="pct"/>
            <w:tcBorders>
              <w:top w:val="nil"/>
              <w:left w:val="nil"/>
              <w:bottom w:val="nil"/>
              <w:right w:val="nil"/>
            </w:tcBorders>
            <w:shd w:val="clear" w:color="auto" w:fill="auto"/>
            <w:noWrap/>
            <w:vAlign w:val="center"/>
            <w:hideMark/>
          </w:tcPr>
          <w:p w14:paraId="38BD673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5.44%</w:t>
            </w:r>
          </w:p>
        </w:tc>
        <w:tc>
          <w:tcPr>
            <w:tcW w:w="416" w:type="pct"/>
            <w:tcBorders>
              <w:top w:val="nil"/>
              <w:left w:val="nil"/>
              <w:bottom w:val="nil"/>
              <w:right w:val="nil"/>
            </w:tcBorders>
            <w:shd w:val="clear" w:color="auto" w:fill="auto"/>
            <w:noWrap/>
            <w:vAlign w:val="center"/>
            <w:hideMark/>
          </w:tcPr>
          <w:p w14:paraId="552EA19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4.85%</w:t>
            </w:r>
          </w:p>
        </w:tc>
        <w:tc>
          <w:tcPr>
            <w:tcW w:w="416" w:type="pct"/>
            <w:tcBorders>
              <w:top w:val="nil"/>
              <w:left w:val="nil"/>
              <w:bottom w:val="nil"/>
              <w:right w:val="nil"/>
            </w:tcBorders>
            <w:shd w:val="clear" w:color="auto" w:fill="auto"/>
            <w:noWrap/>
            <w:vAlign w:val="center"/>
            <w:hideMark/>
          </w:tcPr>
          <w:p w14:paraId="78F9350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6.43%</w:t>
            </w:r>
          </w:p>
        </w:tc>
        <w:tc>
          <w:tcPr>
            <w:tcW w:w="384" w:type="pct"/>
            <w:tcBorders>
              <w:top w:val="nil"/>
              <w:left w:val="nil"/>
              <w:bottom w:val="nil"/>
              <w:right w:val="nil"/>
            </w:tcBorders>
            <w:shd w:val="clear" w:color="auto" w:fill="auto"/>
            <w:noWrap/>
            <w:vAlign w:val="center"/>
            <w:hideMark/>
          </w:tcPr>
          <w:p w14:paraId="0B744954"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1,915,729,793</w:t>
            </w:r>
          </w:p>
        </w:tc>
        <w:tc>
          <w:tcPr>
            <w:tcW w:w="416" w:type="pct"/>
            <w:tcBorders>
              <w:top w:val="nil"/>
              <w:left w:val="nil"/>
              <w:bottom w:val="nil"/>
              <w:right w:val="nil"/>
            </w:tcBorders>
            <w:shd w:val="clear" w:color="auto" w:fill="auto"/>
            <w:noWrap/>
            <w:vAlign w:val="center"/>
            <w:hideMark/>
          </w:tcPr>
          <w:p w14:paraId="072DD1B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5.15%</w:t>
            </w:r>
          </w:p>
        </w:tc>
      </w:tr>
      <w:tr w:rsidR="00E237E4" w:rsidRPr="006A523F" w14:paraId="56A377D6" w14:textId="77777777" w:rsidTr="00E237E4">
        <w:trPr>
          <w:trHeight w:val="20"/>
        </w:trPr>
        <w:tc>
          <w:tcPr>
            <w:tcW w:w="864" w:type="pct"/>
            <w:tcBorders>
              <w:top w:val="nil"/>
              <w:left w:val="nil"/>
              <w:bottom w:val="nil"/>
              <w:right w:val="nil"/>
            </w:tcBorders>
            <w:shd w:val="clear" w:color="auto" w:fill="auto"/>
            <w:noWrap/>
            <w:vAlign w:val="center"/>
            <w:hideMark/>
          </w:tcPr>
          <w:p w14:paraId="32067C5E" w14:textId="59A59B96"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2021..........................</w:t>
            </w:r>
          </w:p>
        </w:tc>
        <w:tc>
          <w:tcPr>
            <w:tcW w:w="152" w:type="pct"/>
            <w:tcBorders>
              <w:top w:val="nil"/>
              <w:left w:val="nil"/>
              <w:bottom w:val="nil"/>
              <w:right w:val="nil"/>
            </w:tcBorders>
            <w:shd w:val="clear" w:color="auto" w:fill="auto"/>
            <w:noWrap/>
            <w:vAlign w:val="bottom"/>
            <w:hideMark/>
          </w:tcPr>
          <w:p w14:paraId="3DDDFDDC"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0860C75A"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03CC86C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6.47%</w:t>
            </w:r>
          </w:p>
        </w:tc>
        <w:tc>
          <w:tcPr>
            <w:tcW w:w="416" w:type="pct"/>
            <w:tcBorders>
              <w:top w:val="nil"/>
              <w:left w:val="nil"/>
              <w:bottom w:val="nil"/>
              <w:right w:val="nil"/>
            </w:tcBorders>
            <w:shd w:val="clear" w:color="auto" w:fill="auto"/>
            <w:noWrap/>
            <w:vAlign w:val="center"/>
            <w:hideMark/>
          </w:tcPr>
          <w:p w14:paraId="585BA49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5.68%</w:t>
            </w:r>
          </w:p>
        </w:tc>
        <w:tc>
          <w:tcPr>
            <w:tcW w:w="416" w:type="pct"/>
            <w:tcBorders>
              <w:top w:val="nil"/>
              <w:left w:val="nil"/>
              <w:bottom w:val="nil"/>
              <w:right w:val="nil"/>
            </w:tcBorders>
            <w:shd w:val="clear" w:color="auto" w:fill="auto"/>
            <w:noWrap/>
            <w:vAlign w:val="center"/>
            <w:hideMark/>
          </w:tcPr>
          <w:p w14:paraId="4EC6DB7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5.60%</w:t>
            </w:r>
          </w:p>
        </w:tc>
        <w:tc>
          <w:tcPr>
            <w:tcW w:w="220" w:type="pct"/>
            <w:tcBorders>
              <w:top w:val="nil"/>
              <w:left w:val="nil"/>
              <w:bottom w:val="nil"/>
              <w:right w:val="nil"/>
            </w:tcBorders>
            <w:shd w:val="clear" w:color="auto" w:fill="auto"/>
            <w:noWrap/>
            <w:vAlign w:val="center"/>
            <w:hideMark/>
          </w:tcPr>
          <w:p w14:paraId="3DDE92E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6.22%</w:t>
            </w:r>
          </w:p>
        </w:tc>
        <w:tc>
          <w:tcPr>
            <w:tcW w:w="416" w:type="pct"/>
            <w:tcBorders>
              <w:top w:val="nil"/>
              <w:left w:val="nil"/>
              <w:bottom w:val="nil"/>
              <w:right w:val="nil"/>
            </w:tcBorders>
            <w:shd w:val="clear" w:color="auto" w:fill="auto"/>
            <w:noWrap/>
            <w:vAlign w:val="center"/>
            <w:hideMark/>
          </w:tcPr>
          <w:p w14:paraId="1EB5F7D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7.44%</w:t>
            </w:r>
          </w:p>
        </w:tc>
        <w:tc>
          <w:tcPr>
            <w:tcW w:w="416" w:type="pct"/>
            <w:tcBorders>
              <w:top w:val="nil"/>
              <w:left w:val="nil"/>
              <w:bottom w:val="nil"/>
              <w:right w:val="nil"/>
            </w:tcBorders>
            <w:shd w:val="clear" w:color="auto" w:fill="auto"/>
            <w:noWrap/>
            <w:vAlign w:val="center"/>
            <w:hideMark/>
          </w:tcPr>
          <w:p w14:paraId="45F0CF3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5.00%</w:t>
            </w:r>
          </w:p>
        </w:tc>
        <w:tc>
          <w:tcPr>
            <w:tcW w:w="416" w:type="pct"/>
            <w:tcBorders>
              <w:top w:val="nil"/>
              <w:left w:val="nil"/>
              <w:bottom w:val="nil"/>
              <w:right w:val="nil"/>
            </w:tcBorders>
            <w:shd w:val="clear" w:color="auto" w:fill="auto"/>
            <w:noWrap/>
            <w:vAlign w:val="center"/>
            <w:hideMark/>
          </w:tcPr>
          <w:p w14:paraId="424B277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6.25%</w:t>
            </w:r>
          </w:p>
        </w:tc>
        <w:tc>
          <w:tcPr>
            <w:tcW w:w="416" w:type="pct"/>
            <w:tcBorders>
              <w:top w:val="nil"/>
              <w:left w:val="nil"/>
              <w:bottom w:val="nil"/>
              <w:right w:val="nil"/>
            </w:tcBorders>
            <w:shd w:val="clear" w:color="auto" w:fill="auto"/>
            <w:noWrap/>
            <w:vAlign w:val="center"/>
            <w:hideMark/>
          </w:tcPr>
          <w:p w14:paraId="58368F1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5.82%</w:t>
            </w:r>
          </w:p>
        </w:tc>
        <w:tc>
          <w:tcPr>
            <w:tcW w:w="384" w:type="pct"/>
            <w:tcBorders>
              <w:top w:val="nil"/>
              <w:left w:val="nil"/>
              <w:bottom w:val="nil"/>
              <w:right w:val="nil"/>
            </w:tcBorders>
            <w:shd w:val="clear" w:color="auto" w:fill="auto"/>
            <w:noWrap/>
            <w:vAlign w:val="center"/>
            <w:hideMark/>
          </w:tcPr>
          <w:p w14:paraId="401C7DC3"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1,965,110,884</w:t>
            </w:r>
          </w:p>
        </w:tc>
        <w:tc>
          <w:tcPr>
            <w:tcW w:w="416" w:type="pct"/>
            <w:tcBorders>
              <w:top w:val="nil"/>
              <w:left w:val="nil"/>
              <w:bottom w:val="nil"/>
              <w:right w:val="nil"/>
            </w:tcBorders>
            <w:shd w:val="clear" w:color="auto" w:fill="auto"/>
            <w:noWrap/>
            <w:vAlign w:val="center"/>
            <w:hideMark/>
          </w:tcPr>
          <w:p w14:paraId="201166D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6.17%</w:t>
            </w:r>
          </w:p>
        </w:tc>
      </w:tr>
      <w:tr w:rsidR="00E237E4" w:rsidRPr="006A523F" w14:paraId="233C713E" w14:textId="77777777" w:rsidTr="00E237E4">
        <w:trPr>
          <w:trHeight w:val="20"/>
        </w:trPr>
        <w:tc>
          <w:tcPr>
            <w:tcW w:w="864" w:type="pct"/>
            <w:tcBorders>
              <w:top w:val="nil"/>
              <w:left w:val="nil"/>
              <w:bottom w:val="nil"/>
              <w:right w:val="nil"/>
            </w:tcBorders>
            <w:shd w:val="clear" w:color="auto" w:fill="auto"/>
            <w:noWrap/>
            <w:vAlign w:val="center"/>
            <w:hideMark/>
          </w:tcPr>
          <w:p w14:paraId="583920E3" w14:textId="0412ABB0"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2022...................................</w:t>
            </w:r>
          </w:p>
        </w:tc>
        <w:tc>
          <w:tcPr>
            <w:tcW w:w="152" w:type="pct"/>
            <w:tcBorders>
              <w:top w:val="nil"/>
              <w:left w:val="nil"/>
              <w:bottom w:val="nil"/>
              <w:right w:val="nil"/>
            </w:tcBorders>
            <w:shd w:val="clear" w:color="auto" w:fill="auto"/>
            <w:noWrap/>
            <w:vAlign w:val="bottom"/>
            <w:hideMark/>
          </w:tcPr>
          <w:p w14:paraId="22AF7DA2"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4173692C"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0396951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6.73%</w:t>
            </w:r>
          </w:p>
        </w:tc>
        <w:tc>
          <w:tcPr>
            <w:tcW w:w="416" w:type="pct"/>
            <w:tcBorders>
              <w:top w:val="nil"/>
              <w:left w:val="nil"/>
              <w:bottom w:val="nil"/>
              <w:right w:val="nil"/>
            </w:tcBorders>
            <w:shd w:val="clear" w:color="auto" w:fill="auto"/>
            <w:noWrap/>
            <w:vAlign w:val="center"/>
            <w:hideMark/>
          </w:tcPr>
          <w:p w14:paraId="42E2D14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6.78%</w:t>
            </w:r>
          </w:p>
        </w:tc>
        <w:tc>
          <w:tcPr>
            <w:tcW w:w="416" w:type="pct"/>
            <w:tcBorders>
              <w:top w:val="nil"/>
              <w:left w:val="nil"/>
              <w:bottom w:val="nil"/>
              <w:right w:val="nil"/>
            </w:tcBorders>
            <w:shd w:val="clear" w:color="auto" w:fill="auto"/>
            <w:noWrap/>
            <w:vAlign w:val="center"/>
            <w:hideMark/>
          </w:tcPr>
          <w:p w14:paraId="12843C0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6.78%</w:t>
            </w:r>
          </w:p>
        </w:tc>
        <w:tc>
          <w:tcPr>
            <w:tcW w:w="220" w:type="pct"/>
            <w:tcBorders>
              <w:top w:val="nil"/>
              <w:left w:val="nil"/>
              <w:bottom w:val="nil"/>
              <w:right w:val="nil"/>
            </w:tcBorders>
            <w:shd w:val="clear" w:color="auto" w:fill="auto"/>
            <w:noWrap/>
            <w:vAlign w:val="center"/>
            <w:hideMark/>
          </w:tcPr>
          <w:p w14:paraId="7600D10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7.26%</w:t>
            </w:r>
          </w:p>
        </w:tc>
        <w:tc>
          <w:tcPr>
            <w:tcW w:w="416" w:type="pct"/>
            <w:tcBorders>
              <w:top w:val="nil"/>
              <w:left w:val="nil"/>
              <w:bottom w:val="nil"/>
              <w:right w:val="nil"/>
            </w:tcBorders>
            <w:shd w:val="clear" w:color="auto" w:fill="auto"/>
            <w:noWrap/>
            <w:vAlign w:val="center"/>
            <w:hideMark/>
          </w:tcPr>
          <w:p w14:paraId="1860FC7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8.44%</w:t>
            </w:r>
          </w:p>
        </w:tc>
        <w:tc>
          <w:tcPr>
            <w:tcW w:w="416" w:type="pct"/>
            <w:tcBorders>
              <w:top w:val="nil"/>
              <w:left w:val="nil"/>
              <w:bottom w:val="nil"/>
              <w:right w:val="nil"/>
            </w:tcBorders>
            <w:shd w:val="clear" w:color="auto" w:fill="auto"/>
            <w:noWrap/>
            <w:vAlign w:val="center"/>
            <w:hideMark/>
          </w:tcPr>
          <w:p w14:paraId="5BC2877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5.36%</w:t>
            </w:r>
          </w:p>
        </w:tc>
        <w:tc>
          <w:tcPr>
            <w:tcW w:w="416" w:type="pct"/>
            <w:tcBorders>
              <w:top w:val="nil"/>
              <w:left w:val="nil"/>
              <w:bottom w:val="nil"/>
              <w:right w:val="nil"/>
            </w:tcBorders>
            <w:shd w:val="clear" w:color="auto" w:fill="auto"/>
            <w:noWrap/>
            <w:vAlign w:val="center"/>
            <w:hideMark/>
          </w:tcPr>
          <w:p w14:paraId="50D4EF4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6.74%</w:t>
            </w:r>
          </w:p>
        </w:tc>
        <w:tc>
          <w:tcPr>
            <w:tcW w:w="416" w:type="pct"/>
            <w:tcBorders>
              <w:top w:val="nil"/>
              <w:left w:val="nil"/>
              <w:bottom w:val="nil"/>
              <w:right w:val="nil"/>
            </w:tcBorders>
            <w:shd w:val="clear" w:color="auto" w:fill="auto"/>
            <w:noWrap/>
            <w:vAlign w:val="center"/>
            <w:hideMark/>
          </w:tcPr>
          <w:p w14:paraId="13ED207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6.96%</w:t>
            </w:r>
          </w:p>
        </w:tc>
        <w:tc>
          <w:tcPr>
            <w:tcW w:w="384" w:type="pct"/>
            <w:tcBorders>
              <w:top w:val="nil"/>
              <w:left w:val="nil"/>
              <w:bottom w:val="nil"/>
              <w:right w:val="nil"/>
            </w:tcBorders>
            <w:shd w:val="clear" w:color="auto" w:fill="auto"/>
            <w:noWrap/>
            <w:vAlign w:val="center"/>
            <w:hideMark/>
          </w:tcPr>
          <w:p w14:paraId="0B0401C7"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1,979,479,056</w:t>
            </w:r>
          </w:p>
        </w:tc>
        <w:tc>
          <w:tcPr>
            <w:tcW w:w="416" w:type="pct"/>
            <w:tcBorders>
              <w:top w:val="nil"/>
              <w:left w:val="nil"/>
              <w:bottom w:val="nil"/>
              <w:right w:val="nil"/>
            </w:tcBorders>
            <w:shd w:val="clear" w:color="auto" w:fill="auto"/>
            <w:noWrap/>
            <w:vAlign w:val="center"/>
            <w:hideMark/>
          </w:tcPr>
          <w:p w14:paraId="33C4E2C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6.78%</w:t>
            </w:r>
          </w:p>
        </w:tc>
      </w:tr>
      <w:tr w:rsidR="00E237E4" w:rsidRPr="006A523F" w14:paraId="2330806F" w14:textId="77777777" w:rsidTr="00E237E4">
        <w:trPr>
          <w:trHeight w:val="20"/>
        </w:trPr>
        <w:tc>
          <w:tcPr>
            <w:tcW w:w="864" w:type="pct"/>
            <w:tcBorders>
              <w:top w:val="nil"/>
              <w:left w:val="nil"/>
              <w:bottom w:val="nil"/>
              <w:right w:val="nil"/>
            </w:tcBorders>
            <w:shd w:val="clear" w:color="auto" w:fill="auto"/>
            <w:noWrap/>
            <w:vAlign w:val="center"/>
            <w:hideMark/>
          </w:tcPr>
          <w:p w14:paraId="60D10A8C" w14:textId="3063DC15"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2022.....................................</w:t>
            </w:r>
          </w:p>
        </w:tc>
        <w:tc>
          <w:tcPr>
            <w:tcW w:w="152" w:type="pct"/>
            <w:tcBorders>
              <w:top w:val="nil"/>
              <w:left w:val="nil"/>
              <w:bottom w:val="nil"/>
              <w:right w:val="nil"/>
            </w:tcBorders>
            <w:shd w:val="clear" w:color="auto" w:fill="auto"/>
            <w:noWrap/>
            <w:vAlign w:val="bottom"/>
            <w:hideMark/>
          </w:tcPr>
          <w:p w14:paraId="4E8E9172"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4E6EB487"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0810916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7.71%</w:t>
            </w:r>
          </w:p>
        </w:tc>
        <w:tc>
          <w:tcPr>
            <w:tcW w:w="416" w:type="pct"/>
            <w:tcBorders>
              <w:top w:val="nil"/>
              <w:left w:val="nil"/>
              <w:bottom w:val="nil"/>
              <w:right w:val="nil"/>
            </w:tcBorders>
            <w:shd w:val="clear" w:color="auto" w:fill="auto"/>
            <w:noWrap/>
            <w:vAlign w:val="center"/>
            <w:hideMark/>
          </w:tcPr>
          <w:p w14:paraId="7EA63D7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6.16%</w:t>
            </w:r>
          </w:p>
        </w:tc>
        <w:tc>
          <w:tcPr>
            <w:tcW w:w="416" w:type="pct"/>
            <w:tcBorders>
              <w:top w:val="nil"/>
              <w:left w:val="nil"/>
              <w:bottom w:val="nil"/>
              <w:right w:val="nil"/>
            </w:tcBorders>
            <w:shd w:val="clear" w:color="auto" w:fill="auto"/>
            <w:noWrap/>
            <w:vAlign w:val="center"/>
            <w:hideMark/>
          </w:tcPr>
          <w:p w14:paraId="4A91929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7.61%</w:t>
            </w:r>
          </w:p>
        </w:tc>
        <w:tc>
          <w:tcPr>
            <w:tcW w:w="220" w:type="pct"/>
            <w:tcBorders>
              <w:top w:val="nil"/>
              <w:left w:val="nil"/>
              <w:bottom w:val="nil"/>
              <w:right w:val="nil"/>
            </w:tcBorders>
            <w:shd w:val="clear" w:color="auto" w:fill="auto"/>
            <w:noWrap/>
            <w:vAlign w:val="center"/>
            <w:hideMark/>
          </w:tcPr>
          <w:p w14:paraId="4DB09A5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7.89%</w:t>
            </w:r>
          </w:p>
        </w:tc>
        <w:tc>
          <w:tcPr>
            <w:tcW w:w="416" w:type="pct"/>
            <w:tcBorders>
              <w:top w:val="nil"/>
              <w:left w:val="nil"/>
              <w:bottom w:val="nil"/>
              <w:right w:val="nil"/>
            </w:tcBorders>
            <w:shd w:val="clear" w:color="auto" w:fill="auto"/>
            <w:noWrap/>
            <w:vAlign w:val="center"/>
            <w:hideMark/>
          </w:tcPr>
          <w:p w14:paraId="0B1D06D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9.86%</w:t>
            </w:r>
          </w:p>
        </w:tc>
        <w:tc>
          <w:tcPr>
            <w:tcW w:w="416" w:type="pct"/>
            <w:tcBorders>
              <w:top w:val="nil"/>
              <w:left w:val="nil"/>
              <w:bottom w:val="nil"/>
              <w:right w:val="nil"/>
            </w:tcBorders>
            <w:shd w:val="clear" w:color="auto" w:fill="auto"/>
            <w:noWrap/>
            <w:vAlign w:val="center"/>
            <w:hideMark/>
          </w:tcPr>
          <w:p w14:paraId="739D4CA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5.29%</w:t>
            </w:r>
          </w:p>
        </w:tc>
        <w:tc>
          <w:tcPr>
            <w:tcW w:w="416" w:type="pct"/>
            <w:tcBorders>
              <w:top w:val="nil"/>
              <w:left w:val="nil"/>
              <w:bottom w:val="nil"/>
              <w:right w:val="nil"/>
            </w:tcBorders>
            <w:shd w:val="clear" w:color="auto" w:fill="auto"/>
            <w:noWrap/>
            <w:vAlign w:val="center"/>
            <w:hideMark/>
          </w:tcPr>
          <w:p w14:paraId="7491E8D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7.32%</w:t>
            </w:r>
          </w:p>
        </w:tc>
        <w:tc>
          <w:tcPr>
            <w:tcW w:w="416" w:type="pct"/>
            <w:tcBorders>
              <w:top w:val="nil"/>
              <w:left w:val="nil"/>
              <w:bottom w:val="nil"/>
              <w:right w:val="nil"/>
            </w:tcBorders>
            <w:shd w:val="clear" w:color="auto" w:fill="auto"/>
            <w:noWrap/>
            <w:vAlign w:val="center"/>
            <w:hideMark/>
          </w:tcPr>
          <w:p w14:paraId="1C9DB7C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7.72%</w:t>
            </w:r>
          </w:p>
        </w:tc>
        <w:tc>
          <w:tcPr>
            <w:tcW w:w="384" w:type="pct"/>
            <w:tcBorders>
              <w:top w:val="nil"/>
              <w:left w:val="nil"/>
              <w:bottom w:val="nil"/>
              <w:right w:val="nil"/>
            </w:tcBorders>
            <w:shd w:val="clear" w:color="auto" w:fill="auto"/>
            <w:noWrap/>
            <w:vAlign w:val="center"/>
            <w:hideMark/>
          </w:tcPr>
          <w:p w14:paraId="69A10285"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1,949,454,646</w:t>
            </w:r>
          </w:p>
        </w:tc>
        <w:tc>
          <w:tcPr>
            <w:tcW w:w="416" w:type="pct"/>
            <w:tcBorders>
              <w:top w:val="nil"/>
              <w:left w:val="nil"/>
              <w:bottom w:val="nil"/>
              <w:right w:val="nil"/>
            </w:tcBorders>
            <w:shd w:val="clear" w:color="auto" w:fill="auto"/>
            <w:noWrap/>
            <w:vAlign w:val="center"/>
            <w:hideMark/>
          </w:tcPr>
          <w:p w14:paraId="60EA9A5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7.39%</w:t>
            </w:r>
          </w:p>
        </w:tc>
      </w:tr>
      <w:tr w:rsidR="00E237E4" w:rsidRPr="006A523F" w14:paraId="196DCF5F" w14:textId="77777777" w:rsidTr="00E237E4">
        <w:trPr>
          <w:trHeight w:val="20"/>
        </w:trPr>
        <w:tc>
          <w:tcPr>
            <w:tcW w:w="864" w:type="pct"/>
            <w:tcBorders>
              <w:top w:val="nil"/>
              <w:left w:val="nil"/>
              <w:bottom w:val="nil"/>
              <w:right w:val="nil"/>
            </w:tcBorders>
            <w:shd w:val="clear" w:color="auto" w:fill="auto"/>
            <w:noWrap/>
            <w:vAlign w:val="center"/>
            <w:hideMark/>
          </w:tcPr>
          <w:p w14:paraId="16BBE0F8"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2022.........................</w:t>
            </w:r>
          </w:p>
        </w:tc>
        <w:tc>
          <w:tcPr>
            <w:tcW w:w="152" w:type="pct"/>
            <w:tcBorders>
              <w:top w:val="nil"/>
              <w:left w:val="nil"/>
              <w:bottom w:val="nil"/>
              <w:right w:val="nil"/>
            </w:tcBorders>
            <w:shd w:val="clear" w:color="auto" w:fill="auto"/>
            <w:noWrap/>
            <w:vAlign w:val="bottom"/>
            <w:hideMark/>
          </w:tcPr>
          <w:p w14:paraId="40B237E0"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1016658B"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46423ED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6.97%</w:t>
            </w:r>
          </w:p>
        </w:tc>
        <w:tc>
          <w:tcPr>
            <w:tcW w:w="416" w:type="pct"/>
            <w:tcBorders>
              <w:top w:val="nil"/>
              <w:left w:val="nil"/>
              <w:bottom w:val="nil"/>
              <w:right w:val="nil"/>
            </w:tcBorders>
            <w:shd w:val="clear" w:color="auto" w:fill="auto"/>
            <w:noWrap/>
            <w:vAlign w:val="center"/>
            <w:hideMark/>
          </w:tcPr>
          <w:p w14:paraId="7670B00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6.51%</w:t>
            </w:r>
          </w:p>
        </w:tc>
        <w:tc>
          <w:tcPr>
            <w:tcW w:w="416" w:type="pct"/>
            <w:tcBorders>
              <w:top w:val="nil"/>
              <w:left w:val="nil"/>
              <w:bottom w:val="nil"/>
              <w:right w:val="nil"/>
            </w:tcBorders>
            <w:shd w:val="clear" w:color="auto" w:fill="auto"/>
            <w:noWrap/>
            <w:vAlign w:val="center"/>
            <w:hideMark/>
          </w:tcPr>
          <w:p w14:paraId="5C1E60D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8.60%</w:t>
            </w:r>
          </w:p>
        </w:tc>
        <w:tc>
          <w:tcPr>
            <w:tcW w:w="220" w:type="pct"/>
            <w:tcBorders>
              <w:top w:val="nil"/>
              <w:left w:val="nil"/>
              <w:bottom w:val="nil"/>
              <w:right w:val="nil"/>
            </w:tcBorders>
            <w:shd w:val="clear" w:color="auto" w:fill="auto"/>
            <w:noWrap/>
            <w:vAlign w:val="center"/>
            <w:hideMark/>
          </w:tcPr>
          <w:p w14:paraId="1476505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8.80%</w:t>
            </w:r>
          </w:p>
        </w:tc>
        <w:tc>
          <w:tcPr>
            <w:tcW w:w="416" w:type="pct"/>
            <w:tcBorders>
              <w:top w:val="nil"/>
              <w:left w:val="nil"/>
              <w:bottom w:val="nil"/>
              <w:right w:val="nil"/>
            </w:tcBorders>
            <w:shd w:val="clear" w:color="auto" w:fill="auto"/>
            <w:noWrap/>
            <w:vAlign w:val="center"/>
            <w:hideMark/>
          </w:tcPr>
          <w:p w14:paraId="19F57FA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9.16%</w:t>
            </w:r>
          </w:p>
        </w:tc>
        <w:tc>
          <w:tcPr>
            <w:tcW w:w="416" w:type="pct"/>
            <w:tcBorders>
              <w:top w:val="nil"/>
              <w:left w:val="nil"/>
              <w:bottom w:val="nil"/>
              <w:right w:val="nil"/>
            </w:tcBorders>
            <w:shd w:val="clear" w:color="auto" w:fill="auto"/>
            <w:noWrap/>
            <w:vAlign w:val="center"/>
            <w:hideMark/>
          </w:tcPr>
          <w:p w14:paraId="7A2E5C1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5.53%</w:t>
            </w:r>
          </w:p>
        </w:tc>
        <w:tc>
          <w:tcPr>
            <w:tcW w:w="416" w:type="pct"/>
            <w:tcBorders>
              <w:top w:val="nil"/>
              <w:left w:val="nil"/>
              <w:bottom w:val="nil"/>
              <w:right w:val="nil"/>
            </w:tcBorders>
            <w:shd w:val="clear" w:color="auto" w:fill="auto"/>
            <w:noWrap/>
            <w:vAlign w:val="center"/>
            <w:hideMark/>
          </w:tcPr>
          <w:p w14:paraId="5F90C4D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6.86%</w:t>
            </w:r>
          </w:p>
        </w:tc>
        <w:tc>
          <w:tcPr>
            <w:tcW w:w="416" w:type="pct"/>
            <w:tcBorders>
              <w:top w:val="nil"/>
              <w:left w:val="nil"/>
              <w:bottom w:val="nil"/>
              <w:right w:val="nil"/>
            </w:tcBorders>
            <w:shd w:val="clear" w:color="auto" w:fill="auto"/>
            <w:noWrap/>
            <w:vAlign w:val="center"/>
            <w:hideMark/>
          </w:tcPr>
          <w:p w14:paraId="4FDB383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8.67%</w:t>
            </w:r>
          </w:p>
        </w:tc>
        <w:tc>
          <w:tcPr>
            <w:tcW w:w="384" w:type="pct"/>
            <w:tcBorders>
              <w:top w:val="nil"/>
              <w:left w:val="nil"/>
              <w:bottom w:val="nil"/>
              <w:right w:val="nil"/>
            </w:tcBorders>
            <w:shd w:val="clear" w:color="auto" w:fill="auto"/>
            <w:noWrap/>
            <w:vAlign w:val="center"/>
            <w:hideMark/>
          </w:tcPr>
          <w:p w14:paraId="2807F829"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1,905,703,326</w:t>
            </w:r>
          </w:p>
        </w:tc>
        <w:tc>
          <w:tcPr>
            <w:tcW w:w="416" w:type="pct"/>
            <w:tcBorders>
              <w:top w:val="nil"/>
              <w:left w:val="nil"/>
              <w:bottom w:val="nil"/>
              <w:right w:val="nil"/>
            </w:tcBorders>
            <w:shd w:val="clear" w:color="auto" w:fill="auto"/>
            <w:noWrap/>
            <w:vAlign w:val="center"/>
            <w:hideMark/>
          </w:tcPr>
          <w:p w14:paraId="54C80B7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7.18%</w:t>
            </w:r>
          </w:p>
        </w:tc>
      </w:tr>
      <w:tr w:rsidR="00E237E4" w:rsidRPr="006A523F" w14:paraId="7E70930E" w14:textId="77777777" w:rsidTr="00E237E4">
        <w:trPr>
          <w:trHeight w:val="20"/>
        </w:trPr>
        <w:tc>
          <w:tcPr>
            <w:tcW w:w="864" w:type="pct"/>
            <w:tcBorders>
              <w:top w:val="nil"/>
              <w:left w:val="nil"/>
              <w:bottom w:val="nil"/>
              <w:right w:val="nil"/>
            </w:tcBorders>
            <w:shd w:val="clear" w:color="auto" w:fill="auto"/>
            <w:noWrap/>
            <w:vAlign w:val="center"/>
            <w:hideMark/>
          </w:tcPr>
          <w:p w14:paraId="24B926E3" w14:textId="03BF8451"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2022..........................</w:t>
            </w:r>
          </w:p>
        </w:tc>
        <w:tc>
          <w:tcPr>
            <w:tcW w:w="152" w:type="pct"/>
            <w:tcBorders>
              <w:top w:val="nil"/>
              <w:left w:val="nil"/>
              <w:bottom w:val="nil"/>
              <w:right w:val="nil"/>
            </w:tcBorders>
            <w:shd w:val="clear" w:color="auto" w:fill="auto"/>
            <w:noWrap/>
            <w:vAlign w:val="bottom"/>
            <w:hideMark/>
          </w:tcPr>
          <w:p w14:paraId="6E158EDB"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4C1650D5"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0F27DD2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8.42%</w:t>
            </w:r>
          </w:p>
        </w:tc>
        <w:tc>
          <w:tcPr>
            <w:tcW w:w="416" w:type="pct"/>
            <w:tcBorders>
              <w:top w:val="nil"/>
              <w:left w:val="nil"/>
              <w:bottom w:val="nil"/>
              <w:right w:val="nil"/>
            </w:tcBorders>
            <w:shd w:val="clear" w:color="auto" w:fill="auto"/>
            <w:noWrap/>
            <w:vAlign w:val="center"/>
            <w:hideMark/>
          </w:tcPr>
          <w:p w14:paraId="075C495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7.19%</w:t>
            </w:r>
          </w:p>
        </w:tc>
        <w:tc>
          <w:tcPr>
            <w:tcW w:w="416" w:type="pct"/>
            <w:tcBorders>
              <w:top w:val="nil"/>
              <w:left w:val="nil"/>
              <w:bottom w:val="nil"/>
              <w:right w:val="nil"/>
            </w:tcBorders>
            <w:shd w:val="clear" w:color="auto" w:fill="auto"/>
            <w:noWrap/>
            <w:vAlign w:val="center"/>
            <w:hideMark/>
          </w:tcPr>
          <w:p w14:paraId="7A75264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8.74%</w:t>
            </w:r>
          </w:p>
        </w:tc>
        <w:tc>
          <w:tcPr>
            <w:tcW w:w="220" w:type="pct"/>
            <w:tcBorders>
              <w:top w:val="nil"/>
              <w:left w:val="nil"/>
              <w:bottom w:val="nil"/>
              <w:right w:val="nil"/>
            </w:tcBorders>
            <w:shd w:val="clear" w:color="auto" w:fill="auto"/>
            <w:noWrap/>
            <w:vAlign w:val="center"/>
            <w:hideMark/>
          </w:tcPr>
          <w:p w14:paraId="7B495B2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8.70%</w:t>
            </w:r>
          </w:p>
        </w:tc>
        <w:tc>
          <w:tcPr>
            <w:tcW w:w="416" w:type="pct"/>
            <w:tcBorders>
              <w:top w:val="nil"/>
              <w:left w:val="nil"/>
              <w:bottom w:val="nil"/>
              <w:right w:val="nil"/>
            </w:tcBorders>
            <w:shd w:val="clear" w:color="auto" w:fill="auto"/>
            <w:noWrap/>
            <w:vAlign w:val="center"/>
            <w:hideMark/>
          </w:tcPr>
          <w:p w14:paraId="483C16A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11.33%</w:t>
            </w:r>
          </w:p>
        </w:tc>
        <w:tc>
          <w:tcPr>
            <w:tcW w:w="416" w:type="pct"/>
            <w:tcBorders>
              <w:top w:val="nil"/>
              <w:left w:val="nil"/>
              <w:bottom w:val="nil"/>
              <w:right w:val="nil"/>
            </w:tcBorders>
            <w:shd w:val="clear" w:color="auto" w:fill="auto"/>
            <w:noWrap/>
            <w:vAlign w:val="center"/>
            <w:hideMark/>
          </w:tcPr>
          <w:p w14:paraId="443EEDB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5.63%</w:t>
            </w:r>
          </w:p>
        </w:tc>
        <w:tc>
          <w:tcPr>
            <w:tcW w:w="416" w:type="pct"/>
            <w:tcBorders>
              <w:top w:val="nil"/>
              <w:left w:val="nil"/>
              <w:bottom w:val="nil"/>
              <w:right w:val="nil"/>
            </w:tcBorders>
            <w:shd w:val="clear" w:color="auto" w:fill="auto"/>
            <w:noWrap/>
            <w:vAlign w:val="center"/>
            <w:hideMark/>
          </w:tcPr>
          <w:p w14:paraId="3D339EB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8.13%</w:t>
            </w:r>
          </w:p>
        </w:tc>
        <w:tc>
          <w:tcPr>
            <w:tcW w:w="416" w:type="pct"/>
            <w:tcBorders>
              <w:top w:val="nil"/>
              <w:left w:val="nil"/>
              <w:bottom w:val="nil"/>
              <w:right w:val="nil"/>
            </w:tcBorders>
            <w:shd w:val="clear" w:color="auto" w:fill="auto"/>
            <w:noWrap/>
            <w:vAlign w:val="center"/>
            <w:hideMark/>
          </w:tcPr>
          <w:p w14:paraId="005D972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8.72%</w:t>
            </w:r>
          </w:p>
        </w:tc>
        <w:tc>
          <w:tcPr>
            <w:tcW w:w="384" w:type="pct"/>
            <w:tcBorders>
              <w:top w:val="nil"/>
              <w:left w:val="nil"/>
              <w:bottom w:val="nil"/>
              <w:right w:val="nil"/>
            </w:tcBorders>
            <w:shd w:val="clear" w:color="auto" w:fill="auto"/>
            <w:noWrap/>
            <w:vAlign w:val="center"/>
            <w:hideMark/>
          </w:tcPr>
          <w:p w14:paraId="217C4228"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1,909,382,871</w:t>
            </w:r>
          </w:p>
        </w:tc>
        <w:tc>
          <w:tcPr>
            <w:tcW w:w="416" w:type="pct"/>
            <w:tcBorders>
              <w:top w:val="nil"/>
              <w:left w:val="nil"/>
              <w:bottom w:val="nil"/>
              <w:right w:val="nil"/>
            </w:tcBorders>
            <w:shd w:val="clear" w:color="auto" w:fill="auto"/>
            <w:noWrap/>
            <w:vAlign w:val="center"/>
            <w:hideMark/>
          </w:tcPr>
          <w:p w14:paraId="3702B89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8.24%</w:t>
            </w:r>
          </w:p>
        </w:tc>
      </w:tr>
      <w:tr w:rsidR="00E237E4" w:rsidRPr="006A523F" w14:paraId="763767D0" w14:textId="77777777" w:rsidTr="00E237E4">
        <w:trPr>
          <w:trHeight w:val="20"/>
        </w:trPr>
        <w:tc>
          <w:tcPr>
            <w:tcW w:w="864" w:type="pct"/>
            <w:tcBorders>
              <w:top w:val="nil"/>
              <w:left w:val="nil"/>
              <w:bottom w:val="nil"/>
              <w:right w:val="nil"/>
            </w:tcBorders>
            <w:shd w:val="clear" w:color="auto" w:fill="auto"/>
            <w:noWrap/>
            <w:vAlign w:val="center"/>
            <w:hideMark/>
          </w:tcPr>
          <w:p w14:paraId="3FC6793F" w14:textId="56105248"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2023...................................</w:t>
            </w:r>
          </w:p>
        </w:tc>
        <w:tc>
          <w:tcPr>
            <w:tcW w:w="152" w:type="pct"/>
            <w:tcBorders>
              <w:top w:val="nil"/>
              <w:left w:val="nil"/>
              <w:bottom w:val="nil"/>
              <w:right w:val="nil"/>
            </w:tcBorders>
            <w:shd w:val="clear" w:color="auto" w:fill="auto"/>
            <w:noWrap/>
            <w:vAlign w:val="bottom"/>
            <w:hideMark/>
          </w:tcPr>
          <w:p w14:paraId="3C2634C9"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20C3E720"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168683E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6.65%</w:t>
            </w:r>
          </w:p>
        </w:tc>
        <w:tc>
          <w:tcPr>
            <w:tcW w:w="416" w:type="pct"/>
            <w:tcBorders>
              <w:top w:val="nil"/>
              <w:left w:val="nil"/>
              <w:bottom w:val="nil"/>
              <w:right w:val="nil"/>
            </w:tcBorders>
            <w:shd w:val="clear" w:color="auto" w:fill="auto"/>
            <w:noWrap/>
            <w:vAlign w:val="center"/>
            <w:hideMark/>
          </w:tcPr>
          <w:p w14:paraId="417E0CA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6.50%</w:t>
            </w:r>
          </w:p>
        </w:tc>
        <w:tc>
          <w:tcPr>
            <w:tcW w:w="416" w:type="pct"/>
            <w:tcBorders>
              <w:top w:val="nil"/>
              <w:left w:val="nil"/>
              <w:bottom w:val="nil"/>
              <w:right w:val="nil"/>
            </w:tcBorders>
            <w:shd w:val="clear" w:color="auto" w:fill="auto"/>
            <w:noWrap/>
            <w:vAlign w:val="center"/>
            <w:hideMark/>
          </w:tcPr>
          <w:p w14:paraId="1BB757A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10.02%</w:t>
            </w:r>
          </w:p>
        </w:tc>
        <w:tc>
          <w:tcPr>
            <w:tcW w:w="220" w:type="pct"/>
            <w:tcBorders>
              <w:top w:val="nil"/>
              <w:left w:val="nil"/>
              <w:bottom w:val="nil"/>
              <w:right w:val="nil"/>
            </w:tcBorders>
            <w:shd w:val="clear" w:color="auto" w:fill="auto"/>
            <w:noWrap/>
            <w:vAlign w:val="center"/>
            <w:hideMark/>
          </w:tcPr>
          <w:p w14:paraId="63AB63D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9.74%</w:t>
            </w:r>
          </w:p>
        </w:tc>
        <w:tc>
          <w:tcPr>
            <w:tcW w:w="416" w:type="pct"/>
            <w:tcBorders>
              <w:top w:val="nil"/>
              <w:left w:val="nil"/>
              <w:bottom w:val="nil"/>
              <w:right w:val="nil"/>
            </w:tcBorders>
            <w:shd w:val="clear" w:color="auto" w:fill="auto"/>
            <w:noWrap/>
            <w:vAlign w:val="center"/>
            <w:hideMark/>
          </w:tcPr>
          <w:p w14:paraId="4122CAD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8.72%</w:t>
            </w:r>
          </w:p>
        </w:tc>
        <w:tc>
          <w:tcPr>
            <w:tcW w:w="416" w:type="pct"/>
            <w:tcBorders>
              <w:top w:val="nil"/>
              <w:left w:val="nil"/>
              <w:bottom w:val="nil"/>
              <w:right w:val="nil"/>
            </w:tcBorders>
            <w:shd w:val="clear" w:color="auto" w:fill="auto"/>
            <w:noWrap/>
            <w:vAlign w:val="center"/>
            <w:hideMark/>
          </w:tcPr>
          <w:p w14:paraId="6ECD2EE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5.88%</w:t>
            </w:r>
          </w:p>
        </w:tc>
        <w:tc>
          <w:tcPr>
            <w:tcW w:w="416" w:type="pct"/>
            <w:tcBorders>
              <w:top w:val="nil"/>
              <w:left w:val="nil"/>
              <w:bottom w:val="nil"/>
              <w:right w:val="nil"/>
            </w:tcBorders>
            <w:shd w:val="clear" w:color="auto" w:fill="auto"/>
            <w:noWrap/>
            <w:vAlign w:val="center"/>
            <w:hideMark/>
          </w:tcPr>
          <w:p w14:paraId="508CB9E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6.61%</w:t>
            </w:r>
          </w:p>
        </w:tc>
        <w:tc>
          <w:tcPr>
            <w:tcW w:w="416" w:type="pct"/>
            <w:tcBorders>
              <w:top w:val="nil"/>
              <w:left w:val="nil"/>
              <w:bottom w:val="nil"/>
              <w:right w:val="nil"/>
            </w:tcBorders>
            <w:shd w:val="clear" w:color="auto" w:fill="auto"/>
            <w:noWrap/>
            <w:vAlign w:val="center"/>
            <w:hideMark/>
          </w:tcPr>
          <w:p w14:paraId="41C5452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9.92%</w:t>
            </w:r>
          </w:p>
        </w:tc>
        <w:tc>
          <w:tcPr>
            <w:tcW w:w="384" w:type="pct"/>
            <w:tcBorders>
              <w:top w:val="nil"/>
              <w:left w:val="nil"/>
              <w:bottom w:val="nil"/>
              <w:right w:val="nil"/>
            </w:tcBorders>
            <w:shd w:val="clear" w:color="auto" w:fill="auto"/>
            <w:noWrap/>
            <w:vAlign w:val="center"/>
            <w:hideMark/>
          </w:tcPr>
          <w:p w14:paraId="47FB1919"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1,882,072,409</w:t>
            </w:r>
          </w:p>
        </w:tc>
        <w:tc>
          <w:tcPr>
            <w:tcW w:w="416" w:type="pct"/>
            <w:tcBorders>
              <w:top w:val="nil"/>
              <w:left w:val="nil"/>
              <w:bottom w:val="nil"/>
              <w:right w:val="nil"/>
            </w:tcBorders>
            <w:shd w:val="clear" w:color="auto" w:fill="auto"/>
            <w:noWrap/>
            <w:vAlign w:val="center"/>
            <w:hideMark/>
          </w:tcPr>
          <w:p w14:paraId="06FEC0C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7.18%</w:t>
            </w:r>
          </w:p>
        </w:tc>
      </w:tr>
      <w:tr w:rsidR="00E237E4" w:rsidRPr="006A523F" w14:paraId="7AFD30F7" w14:textId="77777777" w:rsidTr="00E237E4">
        <w:trPr>
          <w:trHeight w:val="20"/>
        </w:trPr>
        <w:tc>
          <w:tcPr>
            <w:tcW w:w="864" w:type="pct"/>
            <w:tcBorders>
              <w:top w:val="nil"/>
              <w:left w:val="nil"/>
              <w:bottom w:val="nil"/>
              <w:right w:val="nil"/>
            </w:tcBorders>
            <w:shd w:val="clear" w:color="auto" w:fill="auto"/>
            <w:noWrap/>
            <w:vAlign w:val="center"/>
            <w:hideMark/>
          </w:tcPr>
          <w:p w14:paraId="4696939E" w14:textId="2BEF8884"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2023.....................................</w:t>
            </w:r>
          </w:p>
        </w:tc>
        <w:tc>
          <w:tcPr>
            <w:tcW w:w="152" w:type="pct"/>
            <w:tcBorders>
              <w:top w:val="nil"/>
              <w:left w:val="nil"/>
              <w:bottom w:val="nil"/>
              <w:right w:val="nil"/>
            </w:tcBorders>
            <w:shd w:val="clear" w:color="auto" w:fill="auto"/>
            <w:noWrap/>
            <w:vAlign w:val="bottom"/>
            <w:hideMark/>
          </w:tcPr>
          <w:p w14:paraId="19A9F462"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2811213B"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34348EC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5.70%</w:t>
            </w:r>
          </w:p>
        </w:tc>
        <w:tc>
          <w:tcPr>
            <w:tcW w:w="416" w:type="pct"/>
            <w:tcBorders>
              <w:top w:val="nil"/>
              <w:left w:val="nil"/>
              <w:bottom w:val="nil"/>
              <w:right w:val="nil"/>
            </w:tcBorders>
            <w:shd w:val="clear" w:color="auto" w:fill="auto"/>
            <w:noWrap/>
            <w:vAlign w:val="center"/>
            <w:hideMark/>
          </w:tcPr>
          <w:p w14:paraId="5F573B6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6.18%</w:t>
            </w:r>
          </w:p>
        </w:tc>
        <w:tc>
          <w:tcPr>
            <w:tcW w:w="416" w:type="pct"/>
            <w:tcBorders>
              <w:top w:val="nil"/>
              <w:left w:val="nil"/>
              <w:bottom w:val="nil"/>
              <w:right w:val="nil"/>
            </w:tcBorders>
            <w:shd w:val="clear" w:color="auto" w:fill="auto"/>
            <w:noWrap/>
            <w:vAlign w:val="center"/>
            <w:hideMark/>
          </w:tcPr>
          <w:p w14:paraId="308F55C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10.40%</w:t>
            </w:r>
          </w:p>
        </w:tc>
        <w:tc>
          <w:tcPr>
            <w:tcW w:w="220" w:type="pct"/>
            <w:tcBorders>
              <w:top w:val="nil"/>
              <w:left w:val="nil"/>
              <w:bottom w:val="nil"/>
              <w:right w:val="nil"/>
            </w:tcBorders>
            <w:shd w:val="clear" w:color="auto" w:fill="auto"/>
            <w:noWrap/>
            <w:vAlign w:val="center"/>
            <w:hideMark/>
          </w:tcPr>
          <w:p w14:paraId="05D9BDC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8.92%</w:t>
            </w:r>
          </w:p>
        </w:tc>
        <w:tc>
          <w:tcPr>
            <w:tcW w:w="416" w:type="pct"/>
            <w:tcBorders>
              <w:top w:val="nil"/>
              <w:left w:val="nil"/>
              <w:bottom w:val="nil"/>
              <w:right w:val="nil"/>
            </w:tcBorders>
            <w:shd w:val="clear" w:color="auto" w:fill="auto"/>
            <w:noWrap/>
            <w:vAlign w:val="center"/>
            <w:hideMark/>
          </w:tcPr>
          <w:p w14:paraId="0D5368D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7.29%</w:t>
            </w:r>
          </w:p>
        </w:tc>
        <w:tc>
          <w:tcPr>
            <w:tcW w:w="416" w:type="pct"/>
            <w:tcBorders>
              <w:top w:val="nil"/>
              <w:left w:val="nil"/>
              <w:bottom w:val="nil"/>
              <w:right w:val="nil"/>
            </w:tcBorders>
            <w:shd w:val="clear" w:color="auto" w:fill="auto"/>
            <w:noWrap/>
            <w:vAlign w:val="center"/>
            <w:hideMark/>
          </w:tcPr>
          <w:p w14:paraId="53EAEF1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5.80%</w:t>
            </w:r>
          </w:p>
        </w:tc>
        <w:tc>
          <w:tcPr>
            <w:tcW w:w="416" w:type="pct"/>
            <w:tcBorders>
              <w:top w:val="nil"/>
              <w:left w:val="nil"/>
              <w:bottom w:val="nil"/>
              <w:right w:val="nil"/>
            </w:tcBorders>
            <w:shd w:val="clear" w:color="auto" w:fill="auto"/>
            <w:noWrap/>
            <w:vAlign w:val="center"/>
            <w:hideMark/>
          </w:tcPr>
          <w:p w14:paraId="76E3AC3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5.80%</w:t>
            </w:r>
          </w:p>
        </w:tc>
        <w:tc>
          <w:tcPr>
            <w:tcW w:w="416" w:type="pct"/>
            <w:tcBorders>
              <w:top w:val="nil"/>
              <w:left w:val="nil"/>
              <w:bottom w:val="nil"/>
              <w:right w:val="nil"/>
            </w:tcBorders>
            <w:shd w:val="clear" w:color="auto" w:fill="auto"/>
            <w:noWrap/>
            <w:vAlign w:val="center"/>
            <w:hideMark/>
          </w:tcPr>
          <w:p w14:paraId="17525F7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9.89%</w:t>
            </w:r>
          </w:p>
        </w:tc>
        <w:tc>
          <w:tcPr>
            <w:tcW w:w="384" w:type="pct"/>
            <w:tcBorders>
              <w:top w:val="nil"/>
              <w:left w:val="nil"/>
              <w:bottom w:val="nil"/>
              <w:right w:val="nil"/>
            </w:tcBorders>
            <w:shd w:val="clear" w:color="auto" w:fill="auto"/>
            <w:noWrap/>
            <w:vAlign w:val="center"/>
            <w:hideMark/>
          </w:tcPr>
          <w:p w14:paraId="4E246B5C"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1,890,366,680</w:t>
            </w:r>
          </w:p>
        </w:tc>
        <w:tc>
          <w:tcPr>
            <w:tcW w:w="416" w:type="pct"/>
            <w:tcBorders>
              <w:top w:val="nil"/>
              <w:left w:val="nil"/>
              <w:bottom w:val="nil"/>
              <w:right w:val="nil"/>
            </w:tcBorders>
            <w:shd w:val="clear" w:color="auto" w:fill="auto"/>
            <w:noWrap/>
            <w:vAlign w:val="center"/>
            <w:hideMark/>
          </w:tcPr>
          <w:p w14:paraId="6637852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6.48%</w:t>
            </w:r>
          </w:p>
        </w:tc>
      </w:tr>
      <w:tr w:rsidR="00E237E4" w:rsidRPr="006A523F" w14:paraId="7C78BC3E" w14:textId="77777777" w:rsidTr="00E237E4">
        <w:trPr>
          <w:trHeight w:val="20"/>
        </w:trPr>
        <w:tc>
          <w:tcPr>
            <w:tcW w:w="864" w:type="pct"/>
            <w:tcBorders>
              <w:top w:val="nil"/>
              <w:left w:val="nil"/>
              <w:bottom w:val="nil"/>
              <w:right w:val="nil"/>
            </w:tcBorders>
            <w:shd w:val="clear" w:color="auto" w:fill="auto"/>
            <w:noWrap/>
            <w:vAlign w:val="center"/>
            <w:hideMark/>
          </w:tcPr>
          <w:p w14:paraId="5E4C6C37"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2023.........................</w:t>
            </w:r>
          </w:p>
        </w:tc>
        <w:tc>
          <w:tcPr>
            <w:tcW w:w="152" w:type="pct"/>
            <w:tcBorders>
              <w:top w:val="nil"/>
              <w:left w:val="nil"/>
              <w:bottom w:val="nil"/>
              <w:right w:val="nil"/>
            </w:tcBorders>
            <w:shd w:val="clear" w:color="auto" w:fill="auto"/>
            <w:noWrap/>
            <w:vAlign w:val="bottom"/>
            <w:hideMark/>
          </w:tcPr>
          <w:p w14:paraId="34E056D1"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1D6F6BCA"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5686F26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4.94%</w:t>
            </w:r>
          </w:p>
        </w:tc>
        <w:tc>
          <w:tcPr>
            <w:tcW w:w="416" w:type="pct"/>
            <w:tcBorders>
              <w:top w:val="nil"/>
              <w:left w:val="nil"/>
              <w:bottom w:val="nil"/>
              <w:right w:val="nil"/>
            </w:tcBorders>
            <w:shd w:val="clear" w:color="auto" w:fill="auto"/>
            <w:noWrap/>
            <w:vAlign w:val="center"/>
            <w:hideMark/>
          </w:tcPr>
          <w:p w14:paraId="120D76D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7.12%</w:t>
            </w:r>
          </w:p>
        </w:tc>
        <w:tc>
          <w:tcPr>
            <w:tcW w:w="416" w:type="pct"/>
            <w:tcBorders>
              <w:top w:val="nil"/>
              <w:left w:val="nil"/>
              <w:bottom w:val="nil"/>
              <w:right w:val="nil"/>
            </w:tcBorders>
            <w:shd w:val="clear" w:color="auto" w:fill="auto"/>
            <w:noWrap/>
            <w:vAlign w:val="center"/>
            <w:hideMark/>
          </w:tcPr>
          <w:p w14:paraId="2993E1E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9.25%</w:t>
            </w:r>
          </w:p>
        </w:tc>
        <w:tc>
          <w:tcPr>
            <w:tcW w:w="220" w:type="pct"/>
            <w:tcBorders>
              <w:top w:val="nil"/>
              <w:left w:val="nil"/>
              <w:bottom w:val="nil"/>
              <w:right w:val="nil"/>
            </w:tcBorders>
            <w:shd w:val="clear" w:color="auto" w:fill="auto"/>
            <w:noWrap/>
            <w:vAlign w:val="center"/>
            <w:hideMark/>
          </w:tcPr>
          <w:p w14:paraId="294E3AA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11.90%</w:t>
            </w:r>
          </w:p>
        </w:tc>
        <w:tc>
          <w:tcPr>
            <w:tcW w:w="416" w:type="pct"/>
            <w:tcBorders>
              <w:top w:val="nil"/>
              <w:left w:val="nil"/>
              <w:bottom w:val="nil"/>
              <w:right w:val="nil"/>
            </w:tcBorders>
            <w:shd w:val="clear" w:color="auto" w:fill="auto"/>
            <w:noWrap/>
            <w:vAlign w:val="center"/>
            <w:hideMark/>
          </w:tcPr>
          <w:p w14:paraId="392DDDE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6.48%</w:t>
            </w:r>
          </w:p>
        </w:tc>
        <w:tc>
          <w:tcPr>
            <w:tcW w:w="416" w:type="pct"/>
            <w:tcBorders>
              <w:top w:val="nil"/>
              <w:left w:val="nil"/>
              <w:bottom w:val="nil"/>
              <w:right w:val="nil"/>
            </w:tcBorders>
            <w:shd w:val="clear" w:color="auto" w:fill="auto"/>
            <w:noWrap/>
            <w:vAlign w:val="center"/>
            <w:hideMark/>
          </w:tcPr>
          <w:p w14:paraId="2FA7E08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5.96%</w:t>
            </w:r>
          </w:p>
        </w:tc>
        <w:tc>
          <w:tcPr>
            <w:tcW w:w="416" w:type="pct"/>
            <w:tcBorders>
              <w:top w:val="nil"/>
              <w:left w:val="nil"/>
              <w:bottom w:val="nil"/>
              <w:right w:val="nil"/>
            </w:tcBorders>
            <w:shd w:val="clear" w:color="auto" w:fill="auto"/>
            <w:noWrap/>
            <w:vAlign w:val="center"/>
            <w:hideMark/>
          </w:tcPr>
          <w:p w14:paraId="565E936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5.38%</w:t>
            </w:r>
          </w:p>
        </w:tc>
        <w:tc>
          <w:tcPr>
            <w:tcW w:w="416" w:type="pct"/>
            <w:tcBorders>
              <w:top w:val="nil"/>
              <w:left w:val="nil"/>
              <w:bottom w:val="nil"/>
              <w:right w:val="nil"/>
            </w:tcBorders>
            <w:shd w:val="clear" w:color="auto" w:fill="auto"/>
            <w:noWrap/>
            <w:vAlign w:val="center"/>
            <w:hideMark/>
          </w:tcPr>
          <w:p w14:paraId="0549E53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10.11%</w:t>
            </w:r>
          </w:p>
        </w:tc>
        <w:tc>
          <w:tcPr>
            <w:tcW w:w="384" w:type="pct"/>
            <w:tcBorders>
              <w:top w:val="nil"/>
              <w:left w:val="nil"/>
              <w:bottom w:val="nil"/>
              <w:right w:val="nil"/>
            </w:tcBorders>
            <w:shd w:val="clear" w:color="auto" w:fill="auto"/>
            <w:noWrap/>
            <w:vAlign w:val="center"/>
            <w:hideMark/>
          </w:tcPr>
          <w:p w14:paraId="7EEBEA3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2,104,758,321</w:t>
            </w:r>
          </w:p>
        </w:tc>
        <w:tc>
          <w:tcPr>
            <w:tcW w:w="416" w:type="pct"/>
            <w:tcBorders>
              <w:top w:val="nil"/>
              <w:left w:val="nil"/>
              <w:bottom w:val="nil"/>
              <w:right w:val="nil"/>
            </w:tcBorders>
            <w:shd w:val="clear" w:color="auto" w:fill="auto"/>
            <w:noWrap/>
            <w:vAlign w:val="center"/>
            <w:hideMark/>
          </w:tcPr>
          <w:p w14:paraId="3B851B6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6.20%</w:t>
            </w:r>
          </w:p>
        </w:tc>
      </w:tr>
      <w:tr w:rsidR="00E237E4" w:rsidRPr="006A523F" w14:paraId="7C00B74E" w14:textId="77777777" w:rsidTr="00E237E4">
        <w:trPr>
          <w:trHeight w:val="20"/>
        </w:trPr>
        <w:tc>
          <w:tcPr>
            <w:tcW w:w="864" w:type="pct"/>
            <w:tcBorders>
              <w:top w:val="nil"/>
              <w:left w:val="nil"/>
              <w:bottom w:val="nil"/>
              <w:right w:val="nil"/>
            </w:tcBorders>
            <w:shd w:val="clear" w:color="auto" w:fill="auto"/>
            <w:noWrap/>
            <w:vAlign w:val="center"/>
            <w:hideMark/>
          </w:tcPr>
          <w:p w14:paraId="3EDA8C76" w14:textId="76FC585E"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2023..........................</w:t>
            </w:r>
          </w:p>
        </w:tc>
        <w:tc>
          <w:tcPr>
            <w:tcW w:w="152" w:type="pct"/>
            <w:tcBorders>
              <w:top w:val="nil"/>
              <w:left w:val="nil"/>
              <w:bottom w:val="nil"/>
              <w:right w:val="nil"/>
            </w:tcBorders>
            <w:shd w:val="clear" w:color="auto" w:fill="auto"/>
            <w:noWrap/>
            <w:vAlign w:val="bottom"/>
            <w:hideMark/>
          </w:tcPr>
          <w:p w14:paraId="614B611C"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23D94BA3"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6237653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4.35%</w:t>
            </w:r>
          </w:p>
        </w:tc>
        <w:tc>
          <w:tcPr>
            <w:tcW w:w="416" w:type="pct"/>
            <w:tcBorders>
              <w:top w:val="nil"/>
              <w:left w:val="nil"/>
              <w:bottom w:val="nil"/>
              <w:right w:val="nil"/>
            </w:tcBorders>
            <w:shd w:val="clear" w:color="auto" w:fill="auto"/>
            <w:noWrap/>
            <w:vAlign w:val="center"/>
            <w:hideMark/>
          </w:tcPr>
          <w:p w14:paraId="0233916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5.44%</w:t>
            </w:r>
          </w:p>
        </w:tc>
        <w:tc>
          <w:tcPr>
            <w:tcW w:w="416" w:type="pct"/>
            <w:tcBorders>
              <w:top w:val="nil"/>
              <w:left w:val="nil"/>
              <w:bottom w:val="nil"/>
              <w:right w:val="nil"/>
            </w:tcBorders>
            <w:shd w:val="clear" w:color="auto" w:fill="auto"/>
            <w:noWrap/>
            <w:vAlign w:val="center"/>
            <w:hideMark/>
          </w:tcPr>
          <w:p w14:paraId="0F5DF7C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6.85%</w:t>
            </w:r>
          </w:p>
        </w:tc>
        <w:tc>
          <w:tcPr>
            <w:tcW w:w="220" w:type="pct"/>
            <w:tcBorders>
              <w:top w:val="nil"/>
              <w:left w:val="nil"/>
              <w:bottom w:val="nil"/>
              <w:right w:val="nil"/>
            </w:tcBorders>
            <w:shd w:val="clear" w:color="auto" w:fill="auto"/>
            <w:noWrap/>
            <w:vAlign w:val="center"/>
            <w:hideMark/>
          </w:tcPr>
          <w:p w14:paraId="22F6911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9.46%</w:t>
            </w:r>
          </w:p>
        </w:tc>
        <w:tc>
          <w:tcPr>
            <w:tcW w:w="416" w:type="pct"/>
            <w:tcBorders>
              <w:top w:val="nil"/>
              <w:left w:val="nil"/>
              <w:bottom w:val="nil"/>
              <w:right w:val="nil"/>
            </w:tcBorders>
            <w:shd w:val="clear" w:color="auto" w:fill="auto"/>
            <w:noWrap/>
            <w:vAlign w:val="center"/>
            <w:hideMark/>
          </w:tcPr>
          <w:p w14:paraId="6827FD8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5.36%</w:t>
            </w:r>
          </w:p>
        </w:tc>
        <w:tc>
          <w:tcPr>
            <w:tcW w:w="416" w:type="pct"/>
            <w:tcBorders>
              <w:top w:val="nil"/>
              <w:left w:val="nil"/>
              <w:bottom w:val="nil"/>
              <w:right w:val="nil"/>
            </w:tcBorders>
            <w:shd w:val="clear" w:color="auto" w:fill="auto"/>
            <w:noWrap/>
            <w:vAlign w:val="center"/>
            <w:hideMark/>
          </w:tcPr>
          <w:p w14:paraId="6135573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4.98%</w:t>
            </w:r>
          </w:p>
        </w:tc>
        <w:tc>
          <w:tcPr>
            <w:tcW w:w="416" w:type="pct"/>
            <w:tcBorders>
              <w:top w:val="nil"/>
              <w:left w:val="nil"/>
              <w:bottom w:val="nil"/>
              <w:right w:val="nil"/>
            </w:tcBorders>
            <w:shd w:val="clear" w:color="auto" w:fill="auto"/>
            <w:noWrap/>
            <w:vAlign w:val="center"/>
            <w:hideMark/>
          </w:tcPr>
          <w:p w14:paraId="5660B86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4.55%</w:t>
            </w:r>
          </w:p>
        </w:tc>
        <w:tc>
          <w:tcPr>
            <w:tcW w:w="416" w:type="pct"/>
            <w:tcBorders>
              <w:top w:val="nil"/>
              <w:left w:val="nil"/>
              <w:bottom w:val="nil"/>
              <w:right w:val="nil"/>
            </w:tcBorders>
            <w:shd w:val="clear" w:color="auto" w:fill="auto"/>
            <w:noWrap/>
            <w:vAlign w:val="center"/>
            <w:hideMark/>
          </w:tcPr>
          <w:p w14:paraId="578ED07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7.57%</w:t>
            </w:r>
          </w:p>
        </w:tc>
        <w:tc>
          <w:tcPr>
            <w:tcW w:w="384" w:type="pct"/>
            <w:tcBorders>
              <w:top w:val="nil"/>
              <w:left w:val="nil"/>
              <w:bottom w:val="nil"/>
              <w:right w:val="nil"/>
            </w:tcBorders>
            <w:shd w:val="clear" w:color="auto" w:fill="auto"/>
            <w:noWrap/>
            <w:vAlign w:val="center"/>
            <w:hideMark/>
          </w:tcPr>
          <w:p w14:paraId="1CE0FE10"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2,476,932,419</w:t>
            </w:r>
          </w:p>
        </w:tc>
        <w:tc>
          <w:tcPr>
            <w:tcW w:w="416" w:type="pct"/>
            <w:tcBorders>
              <w:top w:val="nil"/>
              <w:left w:val="nil"/>
              <w:bottom w:val="nil"/>
              <w:right w:val="nil"/>
            </w:tcBorders>
            <w:shd w:val="clear" w:color="auto" w:fill="auto"/>
            <w:noWrap/>
            <w:vAlign w:val="center"/>
            <w:hideMark/>
          </w:tcPr>
          <w:p w14:paraId="7E7F7D8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5.14%</w:t>
            </w:r>
          </w:p>
        </w:tc>
      </w:tr>
      <w:tr w:rsidR="00E237E4" w:rsidRPr="006A523F" w14:paraId="1BA35A42" w14:textId="77777777" w:rsidTr="00E237E4">
        <w:trPr>
          <w:trHeight w:val="20"/>
        </w:trPr>
        <w:tc>
          <w:tcPr>
            <w:tcW w:w="864" w:type="pct"/>
            <w:tcBorders>
              <w:top w:val="nil"/>
              <w:left w:val="nil"/>
              <w:bottom w:val="nil"/>
              <w:right w:val="nil"/>
            </w:tcBorders>
            <w:shd w:val="clear" w:color="auto" w:fill="auto"/>
            <w:noWrap/>
            <w:vAlign w:val="center"/>
            <w:hideMark/>
          </w:tcPr>
          <w:p w14:paraId="42851BF4" w14:textId="42F0DA53"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2024...................................</w:t>
            </w:r>
          </w:p>
        </w:tc>
        <w:tc>
          <w:tcPr>
            <w:tcW w:w="152" w:type="pct"/>
            <w:tcBorders>
              <w:top w:val="nil"/>
              <w:left w:val="nil"/>
              <w:bottom w:val="nil"/>
              <w:right w:val="nil"/>
            </w:tcBorders>
            <w:shd w:val="clear" w:color="auto" w:fill="auto"/>
            <w:noWrap/>
            <w:vAlign w:val="bottom"/>
            <w:hideMark/>
          </w:tcPr>
          <w:p w14:paraId="078E39C8"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764B74D6"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47CE250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3.61%</w:t>
            </w:r>
          </w:p>
        </w:tc>
        <w:tc>
          <w:tcPr>
            <w:tcW w:w="416" w:type="pct"/>
            <w:tcBorders>
              <w:top w:val="nil"/>
              <w:left w:val="nil"/>
              <w:bottom w:val="nil"/>
              <w:right w:val="nil"/>
            </w:tcBorders>
            <w:shd w:val="clear" w:color="auto" w:fill="auto"/>
            <w:noWrap/>
            <w:vAlign w:val="center"/>
            <w:hideMark/>
          </w:tcPr>
          <w:p w14:paraId="4A6EB3E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6.32%</w:t>
            </w:r>
          </w:p>
        </w:tc>
        <w:tc>
          <w:tcPr>
            <w:tcW w:w="416" w:type="pct"/>
            <w:tcBorders>
              <w:top w:val="nil"/>
              <w:left w:val="nil"/>
              <w:bottom w:val="nil"/>
              <w:right w:val="nil"/>
            </w:tcBorders>
            <w:shd w:val="clear" w:color="auto" w:fill="auto"/>
            <w:noWrap/>
            <w:vAlign w:val="center"/>
            <w:hideMark/>
          </w:tcPr>
          <w:p w14:paraId="13F7F67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5.76%</w:t>
            </w:r>
          </w:p>
        </w:tc>
        <w:tc>
          <w:tcPr>
            <w:tcW w:w="220" w:type="pct"/>
            <w:tcBorders>
              <w:top w:val="nil"/>
              <w:left w:val="nil"/>
              <w:bottom w:val="nil"/>
              <w:right w:val="nil"/>
            </w:tcBorders>
            <w:shd w:val="clear" w:color="auto" w:fill="auto"/>
            <w:noWrap/>
            <w:vAlign w:val="center"/>
            <w:hideMark/>
          </w:tcPr>
          <w:p w14:paraId="2AB6F56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10.05%</w:t>
            </w:r>
          </w:p>
        </w:tc>
        <w:tc>
          <w:tcPr>
            <w:tcW w:w="416" w:type="pct"/>
            <w:tcBorders>
              <w:top w:val="nil"/>
              <w:left w:val="nil"/>
              <w:bottom w:val="nil"/>
              <w:right w:val="nil"/>
            </w:tcBorders>
            <w:shd w:val="clear" w:color="auto" w:fill="auto"/>
            <w:noWrap/>
            <w:vAlign w:val="center"/>
            <w:hideMark/>
          </w:tcPr>
          <w:p w14:paraId="47F0E61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5.13%</w:t>
            </w:r>
          </w:p>
        </w:tc>
        <w:tc>
          <w:tcPr>
            <w:tcW w:w="416" w:type="pct"/>
            <w:tcBorders>
              <w:top w:val="nil"/>
              <w:left w:val="nil"/>
              <w:bottom w:val="nil"/>
              <w:right w:val="nil"/>
            </w:tcBorders>
            <w:shd w:val="clear" w:color="auto" w:fill="auto"/>
            <w:noWrap/>
            <w:vAlign w:val="center"/>
            <w:hideMark/>
          </w:tcPr>
          <w:p w14:paraId="7FB7648E"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4.29%</w:t>
            </w:r>
          </w:p>
        </w:tc>
        <w:tc>
          <w:tcPr>
            <w:tcW w:w="416" w:type="pct"/>
            <w:tcBorders>
              <w:top w:val="nil"/>
              <w:left w:val="nil"/>
              <w:bottom w:val="nil"/>
              <w:right w:val="nil"/>
            </w:tcBorders>
            <w:shd w:val="clear" w:color="auto" w:fill="auto"/>
            <w:noWrap/>
            <w:vAlign w:val="center"/>
            <w:hideMark/>
          </w:tcPr>
          <w:p w14:paraId="39998CE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4.03%</w:t>
            </w:r>
          </w:p>
        </w:tc>
        <w:tc>
          <w:tcPr>
            <w:tcW w:w="416" w:type="pct"/>
            <w:tcBorders>
              <w:top w:val="nil"/>
              <w:left w:val="nil"/>
              <w:bottom w:val="nil"/>
              <w:right w:val="nil"/>
            </w:tcBorders>
            <w:shd w:val="clear" w:color="auto" w:fill="auto"/>
            <w:noWrap/>
            <w:vAlign w:val="center"/>
            <w:hideMark/>
          </w:tcPr>
          <w:p w14:paraId="52BE5FC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6.78%</w:t>
            </w:r>
          </w:p>
        </w:tc>
        <w:tc>
          <w:tcPr>
            <w:tcW w:w="384" w:type="pct"/>
            <w:tcBorders>
              <w:top w:val="nil"/>
              <w:left w:val="nil"/>
              <w:bottom w:val="nil"/>
              <w:right w:val="nil"/>
            </w:tcBorders>
            <w:shd w:val="clear" w:color="auto" w:fill="auto"/>
            <w:noWrap/>
            <w:vAlign w:val="center"/>
            <w:hideMark/>
          </w:tcPr>
          <w:p w14:paraId="6C6DB03B"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2,901,215,490</w:t>
            </w:r>
          </w:p>
        </w:tc>
        <w:tc>
          <w:tcPr>
            <w:tcW w:w="416" w:type="pct"/>
            <w:tcBorders>
              <w:top w:val="nil"/>
              <w:left w:val="nil"/>
              <w:bottom w:val="nil"/>
              <w:right w:val="nil"/>
            </w:tcBorders>
            <w:shd w:val="clear" w:color="auto" w:fill="auto"/>
            <w:noWrap/>
            <w:vAlign w:val="center"/>
            <w:hideMark/>
          </w:tcPr>
          <w:p w14:paraId="470EBE3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4.61%</w:t>
            </w:r>
          </w:p>
        </w:tc>
      </w:tr>
      <w:tr w:rsidR="00E237E4" w:rsidRPr="006A523F" w14:paraId="0E425680" w14:textId="77777777" w:rsidTr="00E237E4">
        <w:trPr>
          <w:trHeight w:val="20"/>
        </w:trPr>
        <w:tc>
          <w:tcPr>
            <w:tcW w:w="864" w:type="pct"/>
            <w:tcBorders>
              <w:top w:val="nil"/>
              <w:left w:val="nil"/>
              <w:bottom w:val="nil"/>
              <w:right w:val="nil"/>
            </w:tcBorders>
            <w:shd w:val="clear" w:color="auto" w:fill="auto"/>
            <w:noWrap/>
            <w:vAlign w:val="center"/>
            <w:hideMark/>
          </w:tcPr>
          <w:p w14:paraId="64CA6480" w14:textId="1BAAC1D4"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30 </w:t>
            </w:r>
            <w:r w:rsidRPr="006A523F">
              <w:rPr>
                <w:rFonts w:ascii="Aptos Narrow" w:hAnsi="Aptos Narrow"/>
                <w:sz w:val="13"/>
                <w:szCs w:val="13"/>
                <w:lang w:val="de-DE" w:eastAsia="de-DE"/>
              </w:rPr>
              <w:t>June</w:t>
            </w:r>
            <w:r w:rsidRPr="00E237E4">
              <w:rPr>
                <w:rFonts w:ascii="Aptos Narrow" w:hAnsi="Aptos Narrow"/>
                <w:sz w:val="13"/>
                <w:szCs w:val="13"/>
                <w:lang w:val="de-DE" w:eastAsia="de-DE"/>
              </w:rPr>
              <w:t xml:space="preserve"> 2024.....................................</w:t>
            </w:r>
          </w:p>
        </w:tc>
        <w:tc>
          <w:tcPr>
            <w:tcW w:w="152" w:type="pct"/>
            <w:tcBorders>
              <w:top w:val="nil"/>
              <w:left w:val="nil"/>
              <w:bottom w:val="nil"/>
              <w:right w:val="nil"/>
            </w:tcBorders>
            <w:shd w:val="clear" w:color="auto" w:fill="auto"/>
            <w:noWrap/>
            <w:vAlign w:val="bottom"/>
            <w:hideMark/>
          </w:tcPr>
          <w:p w14:paraId="437E6A20"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63BA2F7B"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78BC641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2.60%</w:t>
            </w:r>
          </w:p>
        </w:tc>
        <w:tc>
          <w:tcPr>
            <w:tcW w:w="416" w:type="pct"/>
            <w:tcBorders>
              <w:top w:val="nil"/>
              <w:left w:val="nil"/>
              <w:bottom w:val="nil"/>
              <w:right w:val="nil"/>
            </w:tcBorders>
            <w:shd w:val="clear" w:color="auto" w:fill="auto"/>
            <w:noWrap/>
            <w:vAlign w:val="center"/>
            <w:hideMark/>
          </w:tcPr>
          <w:p w14:paraId="6E57A69B"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5.44%</w:t>
            </w:r>
          </w:p>
        </w:tc>
        <w:tc>
          <w:tcPr>
            <w:tcW w:w="416" w:type="pct"/>
            <w:tcBorders>
              <w:top w:val="nil"/>
              <w:left w:val="nil"/>
              <w:bottom w:val="nil"/>
              <w:right w:val="nil"/>
            </w:tcBorders>
            <w:shd w:val="clear" w:color="auto" w:fill="auto"/>
            <w:noWrap/>
            <w:vAlign w:val="center"/>
            <w:hideMark/>
          </w:tcPr>
          <w:p w14:paraId="339F7E9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2.83%</w:t>
            </w:r>
          </w:p>
        </w:tc>
        <w:tc>
          <w:tcPr>
            <w:tcW w:w="220" w:type="pct"/>
            <w:tcBorders>
              <w:top w:val="nil"/>
              <w:left w:val="nil"/>
              <w:bottom w:val="nil"/>
              <w:right w:val="nil"/>
            </w:tcBorders>
            <w:shd w:val="clear" w:color="auto" w:fill="auto"/>
            <w:noWrap/>
            <w:vAlign w:val="center"/>
            <w:hideMark/>
          </w:tcPr>
          <w:p w14:paraId="08C96C6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7.16%</w:t>
            </w:r>
          </w:p>
        </w:tc>
        <w:tc>
          <w:tcPr>
            <w:tcW w:w="416" w:type="pct"/>
            <w:tcBorders>
              <w:top w:val="nil"/>
              <w:left w:val="nil"/>
              <w:bottom w:val="nil"/>
              <w:right w:val="nil"/>
            </w:tcBorders>
            <w:shd w:val="clear" w:color="auto" w:fill="auto"/>
            <w:noWrap/>
            <w:vAlign w:val="center"/>
            <w:hideMark/>
          </w:tcPr>
          <w:p w14:paraId="3250B909"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3.62%</w:t>
            </w:r>
          </w:p>
        </w:tc>
        <w:tc>
          <w:tcPr>
            <w:tcW w:w="416" w:type="pct"/>
            <w:tcBorders>
              <w:top w:val="nil"/>
              <w:left w:val="nil"/>
              <w:bottom w:val="nil"/>
              <w:right w:val="nil"/>
            </w:tcBorders>
            <w:shd w:val="clear" w:color="auto" w:fill="auto"/>
            <w:noWrap/>
            <w:vAlign w:val="center"/>
            <w:hideMark/>
          </w:tcPr>
          <w:p w14:paraId="5DD74D4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2.91%</w:t>
            </w:r>
          </w:p>
        </w:tc>
        <w:tc>
          <w:tcPr>
            <w:tcW w:w="416" w:type="pct"/>
            <w:tcBorders>
              <w:top w:val="nil"/>
              <w:left w:val="nil"/>
              <w:bottom w:val="nil"/>
              <w:right w:val="nil"/>
            </w:tcBorders>
            <w:shd w:val="clear" w:color="auto" w:fill="auto"/>
            <w:noWrap/>
            <w:vAlign w:val="center"/>
            <w:hideMark/>
          </w:tcPr>
          <w:p w14:paraId="27BCBA2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3.00%</w:t>
            </w:r>
          </w:p>
        </w:tc>
        <w:tc>
          <w:tcPr>
            <w:tcW w:w="416" w:type="pct"/>
            <w:tcBorders>
              <w:top w:val="nil"/>
              <w:left w:val="nil"/>
              <w:bottom w:val="nil"/>
              <w:right w:val="nil"/>
            </w:tcBorders>
            <w:shd w:val="clear" w:color="auto" w:fill="auto"/>
            <w:noWrap/>
            <w:vAlign w:val="center"/>
            <w:hideMark/>
          </w:tcPr>
          <w:p w14:paraId="0E3DE20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3.65%</w:t>
            </w:r>
          </w:p>
        </w:tc>
        <w:tc>
          <w:tcPr>
            <w:tcW w:w="384" w:type="pct"/>
            <w:tcBorders>
              <w:top w:val="nil"/>
              <w:left w:val="nil"/>
              <w:bottom w:val="nil"/>
              <w:right w:val="nil"/>
            </w:tcBorders>
            <w:shd w:val="clear" w:color="auto" w:fill="auto"/>
            <w:noWrap/>
            <w:vAlign w:val="center"/>
            <w:hideMark/>
          </w:tcPr>
          <w:p w14:paraId="7713FB8E"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3,402,889,697</w:t>
            </w:r>
          </w:p>
        </w:tc>
        <w:tc>
          <w:tcPr>
            <w:tcW w:w="416" w:type="pct"/>
            <w:tcBorders>
              <w:top w:val="nil"/>
              <w:left w:val="nil"/>
              <w:bottom w:val="nil"/>
              <w:right w:val="nil"/>
            </w:tcBorders>
            <w:shd w:val="clear" w:color="auto" w:fill="auto"/>
            <w:noWrap/>
            <w:vAlign w:val="center"/>
            <w:hideMark/>
          </w:tcPr>
          <w:p w14:paraId="54A6637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3.16%</w:t>
            </w:r>
          </w:p>
        </w:tc>
      </w:tr>
      <w:tr w:rsidR="00E237E4" w:rsidRPr="006A523F" w14:paraId="6A048F17" w14:textId="77777777" w:rsidTr="00E237E4">
        <w:trPr>
          <w:trHeight w:val="20"/>
        </w:trPr>
        <w:tc>
          <w:tcPr>
            <w:tcW w:w="864" w:type="pct"/>
            <w:tcBorders>
              <w:top w:val="nil"/>
              <w:left w:val="nil"/>
              <w:bottom w:val="nil"/>
              <w:right w:val="nil"/>
            </w:tcBorders>
            <w:shd w:val="clear" w:color="auto" w:fill="auto"/>
            <w:noWrap/>
            <w:vAlign w:val="center"/>
            <w:hideMark/>
          </w:tcPr>
          <w:p w14:paraId="21FD1B8F"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30 September 2024.........................</w:t>
            </w:r>
          </w:p>
        </w:tc>
        <w:tc>
          <w:tcPr>
            <w:tcW w:w="152" w:type="pct"/>
            <w:tcBorders>
              <w:top w:val="nil"/>
              <w:left w:val="nil"/>
              <w:bottom w:val="nil"/>
              <w:right w:val="nil"/>
            </w:tcBorders>
            <w:shd w:val="clear" w:color="auto" w:fill="auto"/>
            <w:noWrap/>
            <w:vAlign w:val="bottom"/>
            <w:hideMark/>
          </w:tcPr>
          <w:p w14:paraId="0616F320"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3979D29D"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1191AF8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2.47%</w:t>
            </w:r>
          </w:p>
        </w:tc>
        <w:tc>
          <w:tcPr>
            <w:tcW w:w="416" w:type="pct"/>
            <w:tcBorders>
              <w:top w:val="nil"/>
              <w:left w:val="nil"/>
              <w:bottom w:val="nil"/>
              <w:right w:val="nil"/>
            </w:tcBorders>
            <w:shd w:val="clear" w:color="auto" w:fill="auto"/>
            <w:noWrap/>
            <w:vAlign w:val="center"/>
            <w:hideMark/>
          </w:tcPr>
          <w:p w14:paraId="1D075D0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5.69%</w:t>
            </w:r>
          </w:p>
        </w:tc>
        <w:tc>
          <w:tcPr>
            <w:tcW w:w="416" w:type="pct"/>
            <w:tcBorders>
              <w:top w:val="nil"/>
              <w:left w:val="nil"/>
              <w:bottom w:val="nil"/>
              <w:right w:val="nil"/>
            </w:tcBorders>
            <w:shd w:val="clear" w:color="auto" w:fill="auto"/>
            <w:noWrap/>
            <w:vAlign w:val="center"/>
            <w:hideMark/>
          </w:tcPr>
          <w:p w14:paraId="3E88BBF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2.65%</w:t>
            </w:r>
          </w:p>
        </w:tc>
        <w:tc>
          <w:tcPr>
            <w:tcW w:w="220" w:type="pct"/>
            <w:tcBorders>
              <w:top w:val="nil"/>
              <w:left w:val="nil"/>
              <w:bottom w:val="nil"/>
              <w:right w:val="nil"/>
            </w:tcBorders>
            <w:shd w:val="clear" w:color="auto" w:fill="auto"/>
            <w:noWrap/>
            <w:vAlign w:val="center"/>
            <w:hideMark/>
          </w:tcPr>
          <w:p w14:paraId="1E9FFE8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6.31%</w:t>
            </w:r>
          </w:p>
        </w:tc>
        <w:tc>
          <w:tcPr>
            <w:tcW w:w="416" w:type="pct"/>
            <w:tcBorders>
              <w:top w:val="nil"/>
              <w:left w:val="nil"/>
              <w:bottom w:val="nil"/>
              <w:right w:val="nil"/>
            </w:tcBorders>
            <w:shd w:val="clear" w:color="auto" w:fill="auto"/>
            <w:noWrap/>
            <w:vAlign w:val="center"/>
            <w:hideMark/>
          </w:tcPr>
          <w:p w14:paraId="7AF5187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3.48%</w:t>
            </w:r>
          </w:p>
        </w:tc>
        <w:tc>
          <w:tcPr>
            <w:tcW w:w="416" w:type="pct"/>
            <w:tcBorders>
              <w:top w:val="nil"/>
              <w:left w:val="nil"/>
              <w:bottom w:val="nil"/>
              <w:right w:val="nil"/>
            </w:tcBorders>
            <w:shd w:val="clear" w:color="auto" w:fill="auto"/>
            <w:noWrap/>
            <w:vAlign w:val="center"/>
            <w:hideMark/>
          </w:tcPr>
          <w:p w14:paraId="27B7DA9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2.68%</w:t>
            </w:r>
          </w:p>
        </w:tc>
        <w:tc>
          <w:tcPr>
            <w:tcW w:w="416" w:type="pct"/>
            <w:tcBorders>
              <w:top w:val="nil"/>
              <w:left w:val="nil"/>
              <w:bottom w:val="nil"/>
              <w:right w:val="nil"/>
            </w:tcBorders>
            <w:shd w:val="clear" w:color="auto" w:fill="auto"/>
            <w:noWrap/>
            <w:vAlign w:val="center"/>
            <w:hideMark/>
          </w:tcPr>
          <w:p w14:paraId="534941B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2.86%</w:t>
            </w:r>
          </w:p>
        </w:tc>
        <w:tc>
          <w:tcPr>
            <w:tcW w:w="416" w:type="pct"/>
            <w:tcBorders>
              <w:top w:val="nil"/>
              <w:left w:val="nil"/>
              <w:bottom w:val="nil"/>
              <w:right w:val="nil"/>
            </w:tcBorders>
            <w:shd w:val="clear" w:color="auto" w:fill="auto"/>
            <w:noWrap/>
            <w:vAlign w:val="center"/>
            <w:hideMark/>
          </w:tcPr>
          <w:p w14:paraId="3C6A330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3.24%</w:t>
            </w:r>
          </w:p>
        </w:tc>
        <w:tc>
          <w:tcPr>
            <w:tcW w:w="384" w:type="pct"/>
            <w:tcBorders>
              <w:top w:val="nil"/>
              <w:left w:val="nil"/>
              <w:bottom w:val="nil"/>
              <w:right w:val="nil"/>
            </w:tcBorders>
            <w:shd w:val="clear" w:color="auto" w:fill="auto"/>
            <w:noWrap/>
            <w:vAlign w:val="center"/>
            <w:hideMark/>
          </w:tcPr>
          <w:p w14:paraId="5133E2C4"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4,060,500,015</w:t>
            </w:r>
          </w:p>
        </w:tc>
        <w:tc>
          <w:tcPr>
            <w:tcW w:w="416" w:type="pct"/>
            <w:tcBorders>
              <w:top w:val="nil"/>
              <w:left w:val="nil"/>
              <w:bottom w:val="nil"/>
              <w:right w:val="nil"/>
            </w:tcBorders>
            <w:shd w:val="clear" w:color="auto" w:fill="auto"/>
            <w:noWrap/>
            <w:vAlign w:val="center"/>
            <w:hideMark/>
          </w:tcPr>
          <w:p w14:paraId="4E8F498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2.96%</w:t>
            </w:r>
          </w:p>
        </w:tc>
      </w:tr>
      <w:tr w:rsidR="00E237E4" w:rsidRPr="006A523F" w14:paraId="4C5D28C3" w14:textId="77777777" w:rsidTr="00E237E4">
        <w:trPr>
          <w:trHeight w:val="20"/>
        </w:trPr>
        <w:tc>
          <w:tcPr>
            <w:tcW w:w="864" w:type="pct"/>
            <w:tcBorders>
              <w:top w:val="nil"/>
              <w:left w:val="nil"/>
              <w:bottom w:val="nil"/>
              <w:right w:val="nil"/>
            </w:tcBorders>
            <w:shd w:val="clear" w:color="auto" w:fill="auto"/>
            <w:noWrap/>
            <w:vAlign w:val="center"/>
            <w:hideMark/>
          </w:tcPr>
          <w:p w14:paraId="4BF25765" w14:textId="5A8AC1A6"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December</w:t>
            </w:r>
            <w:r w:rsidRPr="00E237E4">
              <w:rPr>
                <w:rFonts w:ascii="Aptos Narrow" w:hAnsi="Aptos Narrow"/>
                <w:sz w:val="13"/>
                <w:szCs w:val="13"/>
                <w:lang w:val="de-DE" w:eastAsia="de-DE"/>
              </w:rPr>
              <w:t xml:space="preserve"> 2024..........................</w:t>
            </w:r>
          </w:p>
        </w:tc>
        <w:tc>
          <w:tcPr>
            <w:tcW w:w="152" w:type="pct"/>
            <w:tcBorders>
              <w:top w:val="nil"/>
              <w:left w:val="nil"/>
              <w:bottom w:val="nil"/>
              <w:right w:val="nil"/>
            </w:tcBorders>
            <w:shd w:val="clear" w:color="auto" w:fill="auto"/>
            <w:noWrap/>
            <w:vAlign w:val="bottom"/>
            <w:hideMark/>
          </w:tcPr>
          <w:p w14:paraId="2B0FA911"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12D5AFD2"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2AC6B912"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2.15%</w:t>
            </w:r>
          </w:p>
        </w:tc>
        <w:tc>
          <w:tcPr>
            <w:tcW w:w="416" w:type="pct"/>
            <w:tcBorders>
              <w:top w:val="nil"/>
              <w:left w:val="nil"/>
              <w:bottom w:val="nil"/>
              <w:right w:val="nil"/>
            </w:tcBorders>
            <w:shd w:val="clear" w:color="auto" w:fill="auto"/>
            <w:noWrap/>
            <w:vAlign w:val="center"/>
            <w:hideMark/>
          </w:tcPr>
          <w:p w14:paraId="24B6C0B5"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5.18%</w:t>
            </w:r>
          </w:p>
        </w:tc>
        <w:tc>
          <w:tcPr>
            <w:tcW w:w="416" w:type="pct"/>
            <w:tcBorders>
              <w:top w:val="nil"/>
              <w:left w:val="nil"/>
              <w:bottom w:val="nil"/>
              <w:right w:val="nil"/>
            </w:tcBorders>
            <w:shd w:val="clear" w:color="auto" w:fill="auto"/>
            <w:noWrap/>
            <w:vAlign w:val="center"/>
            <w:hideMark/>
          </w:tcPr>
          <w:p w14:paraId="120B991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1.88%</w:t>
            </w:r>
          </w:p>
        </w:tc>
        <w:tc>
          <w:tcPr>
            <w:tcW w:w="220" w:type="pct"/>
            <w:tcBorders>
              <w:top w:val="nil"/>
              <w:left w:val="nil"/>
              <w:bottom w:val="nil"/>
              <w:right w:val="nil"/>
            </w:tcBorders>
            <w:shd w:val="clear" w:color="auto" w:fill="auto"/>
            <w:noWrap/>
            <w:vAlign w:val="center"/>
            <w:hideMark/>
          </w:tcPr>
          <w:p w14:paraId="61FC460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6.05%</w:t>
            </w:r>
          </w:p>
        </w:tc>
        <w:tc>
          <w:tcPr>
            <w:tcW w:w="416" w:type="pct"/>
            <w:tcBorders>
              <w:top w:val="nil"/>
              <w:left w:val="nil"/>
              <w:bottom w:val="nil"/>
              <w:right w:val="nil"/>
            </w:tcBorders>
            <w:shd w:val="clear" w:color="auto" w:fill="auto"/>
            <w:noWrap/>
            <w:vAlign w:val="center"/>
            <w:hideMark/>
          </w:tcPr>
          <w:p w14:paraId="2616F8AC"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3.10%</w:t>
            </w:r>
          </w:p>
        </w:tc>
        <w:tc>
          <w:tcPr>
            <w:tcW w:w="416" w:type="pct"/>
            <w:tcBorders>
              <w:top w:val="nil"/>
              <w:left w:val="nil"/>
              <w:bottom w:val="nil"/>
              <w:right w:val="nil"/>
            </w:tcBorders>
            <w:shd w:val="clear" w:color="auto" w:fill="auto"/>
            <w:noWrap/>
            <w:vAlign w:val="center"/>
            <w:hideMark/>
          </w:tcPr>
          <w:p w14:paraId="5A4EA39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2.13%</w:t>
            </w:r>
          </w:p>
        </w:tc>
        <w:tc>
          <w:tcPr>
            <w:tcW w:w="416" w:type="pct"/>
            <w:tcBorders>
              <w:top w:val="nil"/>
              <w:left w:val="nil"/>
              <w:bottom w:val="nil"/>
              <w:right w:val="nil"/>
            </w:tcBorders>
            <w:shd w:val="clear" w:color="auto" w:fill="auto"/>
            <w:noWrap/>
            <w:vAlign w:val="center"/>
            <w:hideMark/>
          </w:tcPr>
          <w:p w14:paraId="15E5DDA6"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2.47%</w:t>
            </w:r>
          </w:p>
        </w:tc>
        <w:tc>
          <w:tcPr>
            <w:tcW w:w="416" w:type="pct"/>
            <w:tcBorders>
              <w:top w:val="nil"/>
              <w:left w:val="nil"/>
              <w:bottom w:val="nil"/>
              <w:right w:val="nil"/>
            </w:tcBorders>
            <w:shd w:val="clear" w:color="auto" w:fill="auto"/>
            <w:noWrap/>
            <w:vAlign w:val="center"/>
            <w:hideMark/>
          </w:tcPr>
          <w:p w14:paraId="2E74F954"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2.45%</w:t>
            </w:r>
          </w:p>
        </w:tc>
        <w:tc>
          <w:tcPr>
            <w:tcW w:w="384" w:type="pct"/>
            <w:tcBorders>
              <w:top w:val="nil"/>
              <w:left w:val="nil"/>
              <w:bottom w:val="nil"/>
              <w:right w:val="nil"/>
            </w:tcBorders>
            <w:shd w:val="clear" w:color="auto" w:fill="auto"/>
            <w:noWrap/>
            <w:vAlign w:val="center"/>
            <w:hideMark/>
          </w:tcPr>
          <w:p w14:paraId="588DE50E"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4,535,900,309</w:t>
            </w:r>
          </w:p>
        </w:tc>
        <w:tc>
          <w:tcPr>
            <w:tcW w:w="416" w:type="pct"/>
            <w:tcBorders>
              <w:top w:val="nil"/>
              <w:left w:val="nil"/>
              <w:bottom w:val="nil"/>
              <w:right w:val="nil"/>
            </w:tcBorders>
            <w:shd w:val="clear" w:color="auto" w:fill="auto"/>
            <w:noWrap/>
            <w:vAlign w:val="center"/>
            <w:hideMark/>
          </w:tcPr>
          <w:p w14:paraId="5699263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2.47%</w:t>
            </w:r>
          </w:p>
        </w:tc>
      </w:tr>
      <w:tr w:rsidR="00E237E4" w:rsidRPr="006A523F" w14:paraId="667BB88C" w14:textId="77777777" w:rsidTr="00E237E4">
        <w:trPr>
          <w:trHeight w:val="20"/>
        </w:trPr>
        <w:tc>
          <w:tcPr>
            <w:tcW w:w="864" w:type="pct"/>
            <w:tcBorders>
              <w:top w:val="nil"/>
              <w:left w:val="nil"/>
              <w:bottom w:val="nil"/>
              <w:right w:val="nil"/>
            </w:tcBorders>
            <w:shd w:val="clear" w:color="auto" w:fill="auto"/>
            <w:noWrap/>
            <w:vAlign w:val="center"/>
            <w:hideMark/>
          </w:tcPr>
          <w:p w14:paraId="2CF18D91" w14:textId="3B598488"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 xml:space="preserve">31 </w:t>
            </w:r>
            <w:r w:rsidRPr="006A523F">
              <w:rPr>
                <w:rFonts w:ascii="Aptos Narrow" w:hAnsi="Aptos Narrow"/>
                <w:sz w:val="13"/>
                <w:szCs w:val="13"/>
                <w:lang w:val="de-DE" w:eastAsia="de-DE"/>
              </w:rPr>
              <w:t>March</w:t>
            </w:r>
            <w:r w:rsidRPr="00E237E4">
              <w:rPr>
                <w:rFonts w:ascii="Aptos Narrow" w:hAnsi="Aptos Narrow"/>
                <w:sz w:val="13"/>
                <w:szCs w:val="13"/>
                <w:lang w:val="de-DE" w:eastAsia="de-DE"/>
              </w:rPr>
              <w:t xml:space="preserve"> 2025...................................</w:t>
            </w:r>
          </w:p>
        </w:tc>
        <w:tc>
          <w:tcPr>
            <w:tcW w:w="152" w:type="pct"/>
            <w:tcBorders>
              <w:top w:val="nil"/>
              <w:left w:val="nil"/>
              <w:bottom w:val="nil"/>
              <w:right w:val="nil"/>
            </w:tcBorders>
            <w:shd w:val="clear" w:color="auto" w:fill="auto"/>
            <w:noWrap/>
            <w:vAlign w:val="bottom"/>
            <w:hideMark/>
          </w:tcPr>
          <w:p w14:paraId="49D0CD84" w14:textId="77777777" w:rsidR="00E237E4" w:rsidRPr="00E237E4" w:rsidRDefault="00E237E4" w:rsidP="00E237E4">
            <w:pPr>
              <w:spacing w:line="240" w:lineRule="auto"/>
              <w:jc w:val="center"/>
              <w:rPr>
                <w:rFonts w:ascii="Aptos Narrow" w:hAnsi="Aptos Narrow"/>
                <w:sz w:val="13"/>
                <w:szCs w:val="13"/>
                <w:lang w:val="de-DE" w:eastAsia="de-DE"/>
              </w:rPr>
            </w:pPr>
          </w:p>
        </w:tc>
        <w:tc>
          <w:tcPr>
            <w:tcW w:w="52" w:type="pct"/>
            <w:tcBorders>
              <w:top w:val="nil"/>
              <w:left w:val="nil"/>
              <w:bottom w:val="nil"/>
              <w:right w:val="nil"/>
            </w:tcBorders>
            <w:shd w:val="clear" w:color="auto" w:fill="auto"/>
            <w:noWrap/>
            <w:vAlign w:val="bottom"/>
            <w:hideMark/>
          </w:tcPr>
          <w:p w14:paraId="6A69129F" w14:textId="77777777" w:rsidR="00E237E4" w:rsidRPr="00E237E4" w:rsidRDefault="00E237E4" w:rsidP="00E237E4">
            <w:pPr>
              <w:spacing w:line="240" w:lineRule="auto"/>
              <w:jc w:val="left"/>
              <w:rPr>
                <w:rFonts w:ascii="Times New Roman" w:hAnsi="Times New Roman"/>
                <w:sz w:val="13"/>
                <w:szCs w:val="13"/>
                <w:lang w:val="de-DE" w:eastAsia="de-DE"/>
              </w:rPr>
            </w:pPr>
          </w:p>
        </w:tc>
        <w:tc>
          <w:tcPr>
            <w:tcW w:w="416" w:type="pct"/>
            <w:tcBorders>
              <w:top w:val="nil"/>
              <w:left w:val="nil"/>
              <w:bottom w:val="nil"/>
              <w:right w:val="nil"/>
            </w:tcBorders>
            <w:shd w:val="clear" w:color="auto" w:fill="auto"/>
            <w:noWrap/>
            <w:vAlign w:val="center"/>
            <w:hideMark/>
          </w:tcPr>
          <w:p w14:paraId="5BFC5D83"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2.33%</w:t>
            </w:r>
          </w:p>
        </w:tc>
        <w:tc>
          <w:tcPr>
            <w:tcW w:w="416" w:type="pct"/>
            <w:tcBorders>
              <w:top w:val="nil"/>
              <w:left w:val="nil"/>
              <w:bottom w:val="nil"/>
              <w:right w:val="nil"/>
            </w:tcBorders>
            <w:shd w:val="clear" w:color="auto" w:fill="auto"/>
            <w:noWrap/>
            <w:vAlign w:val="center"/>
            <w:hideMark/>
          </w:tcPr>
          <w:p w14:paraId="7B9C5F2D"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5.08%</w:t>
            </w:r>
          </w:p>
        </w:tc>
        <w:tc>
          <w:tcPr>
            <w:tcW w:w="416" w:type="pct"/>
            <w:tcBorders>
              <w:top w:val="nil"/>
              <w:left w:val="nil"/>
              <w:bottom w:val="nil"/>
              <w:right w:val="nil"/>
            </w:tcBorders>
            <w:shd w:val="clear" w:color="auto" w:fill="auto"/>
            <w:noWrap/>
            <w:vAlign w:val="center"/>
            <w:hideMark/>
          </w:tcPr>
          <w:p w14:paraId="38FC337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2.06%</w:t>
            </w:r>
          </w:p>
        </w:tc>
        <w:tc>
          <w:tcPr>
            <w:tcW w:w="220" w:type="pct"/>
            <w:tcBorders>
              <w:top w:val="nil"/>
              <w:left w:val="nil"/>
              <w:bottom w:val="nil"/>
              <w:right w:val="nil"/>
            </w:tcBorders>
            <w:shd w:val="clear" w:color="auto" w:fill="auto"/>
            <w:noWrap/>
            <w:vAlign w:val="center"/>
            <w:hideMark/>
          </w:tcPr>
          <w:p w14:paraId="3E4F2848"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6.05%</w:t>
            </w:r>
          </w:p>
        </w:tc>
        <w:tc>
          <w:tcPr>
            <w:tcW w:w="416" w:type="pct"/>
            <w:tcBorders>
              <w:top w:val="nil"/>
              <w:left w:val="nil"/>
              <w:bottom w:val="nil"/>
              <w:right w:val="nil"/>
            </w:tcBorders>
            <w:shd w:val="clear" w:color="auto" w:fill="auto"/>
            <w:noWrap/>
            <w:vAlign w:val="center"/>
            <w:hideMark/>
          </w:tcPr>
          <w:p w14:paraId="7DC93A01"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3.14%</w:t>
            </w:r>
          </w:p>
        </w:tc>
        <w:tc>
          <w:tcPr>
            <w:tcW w:w="416" w:type="pct"/>
            <w:tcBorders>
              <w:top w:val="nil"/>
              <w:left w:val="nil"/>
              <w:bottom w:val="nil"/>
              <w:right w:val="nil"/>
            </w:tcBorders>
            <w:shd w:val="clear" w:color="auto" w:fill="auto"/>
            <w:noWrap/>
            <w:vAlign w:val="center"/>
            <w:hideMark/>
          </w:tcPr>
          <w:p w14:paraId="2BC32F20"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2.29%</w:t>
            </w:r>
          </w:p>
        </w:tc>
        <w:tc>
          <w:tcPr>
            <w:tcW w:w="416" w:type="pct"/>
            <w:tcBorders>
              <w:top w:val="nil"/>
              <w:left w:val="nil"/>
              <w:bottom w:val="nil"/>
              <w:right w:val="nil"/>
            </w:tcBorders>
            <w:shd w:val="clear" w:color="auto" w:fill="auto"/>
            <w:noWrap/>
            <w:vAlign w:val="center"/>
            <w:hideMark/>
          </w:tcPr>
          <w:p w14:paraId="79F3B4B7"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2.59%</w:t>
            </w:r>
          </w:p>
        </w:tc>
        <w:tc>
          <w:tcPr>
            <w:tcW w:w="416" w:type="pct"/>
            <w:tcBorders>
              <w:top w:val="nil"/>
              <w:left w:val="nil"/>
              <w:bottom w:val="nil"/>
              <w:right w:val="nil"/>
            </w:tcBorders>
            <w:shd w:val="clear" w:color="auto" w:fill="auto"/>
            <w:noWrap/>
            <w:vAlign w:val="center"/>
            <w:hideMark/>
          </w:tcPr>
          <w:p w14:paraId="1568C55F"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2.55%</w:t>
            </w:r>
          </w:p>
        </w:tc>
        <w:tc>
          <w:tcPr>
            <w:tcW w:w="384" w:type="pct"/>
            <w:tcBorders>
              <w:top w:val="nil"/>
              <w:left w:val="nil"/>
              <w:bottom w:val="nil"/>
              <w:right w:val="nil"/>
            </w:tcBorders>
            <w:shd w:val="clear" w:color="auto" w:fill="auto"/>
            <w:noWrap/>
            <w:vAlign w:val="center"/>
            <w:hideMark/>
          </w:tcPr>
          <w:p w14:paraId="6F688EC6" w14:textId="77777777" w:rsidR="00E237E4" w:rsidRPr="00E237E4" w:rsidRDefault="00E237E4" w:rsidP="00E237E4">
            <w:pPr>
              <w:spacing w:line="240" w:lineRule="auto"/>
              <w:jc w:val="center"/>
              <w:rPr>
                <w:rFonts w:ascii="Aptos Narrow" w:hAnsi="Aptos Narrow"/>
                <w:sz w:val="13"/>
                <w:szCs w:val="13"/>
                <w:lang w:val="de-DE" w:eastAsia="de-DE"/>
              </w:rPr>
            </w:pPr>
            <w:r w:rsidRPr="00E237E4">
              <w:rPr>
                <w:rFonts w:ascii="Aptos Narrow" w:hAnsi="Aptos Narrow"/>
                <w:sz w:val="13"/>
                <w:szCs w:val="13"/>
                <w:lang w:val="de-DE" w:eastAsia="de-DE"/>
              </w:rPr>
              <w:t>4,871,903,000</w:t>
            </w:r>
          </w:p>
        </w:tc>
        <w:tc>
          <w:tcPr>
            <w:tcW w:w="416" w:type="pct"/>
            <w:tcBorders>
              <w:top w:val="nil"/>
              <w:left w:val="nil"/>
              <w:bottom w:val="nil"/>
              <w:right w:val="nil"/>
            </w:tcBorders>
            <w:shd w:val="clear" w:color="auto" w:fill="auto"/>
            <w:noWrap/>
            <w:vAlign w:val="center"/>
            <w:hideMark/>
          </w:tcPr>
          <w:p w14:paraId="193A23CA" w14:textId="77777777" w:rsidR="00E237E4" w:rsidRPr="00E237E4" w:rsidRDefault="00E237E4" w:rsidP="00E237E4">
            <w:pPr>
              <w:spacing w:line="240" w:lineRule="auto"/>
              <w:jc w:val="center"/>
              <w:rPr>
                <w:rFonts w:ascii="Aptos Narrow" w:hAnsi="Aptos Narrow"/>
                <w:color w:val="000000"/>
                <w:sz w:val="13"/>
                <w:szCs w:val="13"/>
                <w:lang w:val="de-DE" w:eastAsia="de-DE"/>
              </w:rPr>
            </w:pPr>
            <w:r w:rsidRPr="00E237E4">
              <w:rPr>
                <w:rFonts w:ascii="Aptos Narrow" w:hAnsi="Aptos Narrow"/>
                <w:color w:val="000000"/>
                <w:sz w:val="13"/>
                <w:szCs w:val="13"/>
                <w:lang w:val="de-DE" w:eastAsia="de-DE"/>
              </w:rPr>
              <w:t>2.58%</w:t>
            </w:r>
          </w:p>
        </w:tc>
      </w:tr>
    </w:tbl>
    <w:p w14:paraId="72A2710C" w14:textId="03A881CC" w:rsidR="009F6E91" w:rsidRDefault="009F6E91" w:rsidP="00EF7333">
      <w:pPr>
        <w:pStyle w:val="Body1"/>
      </w:pPr>
    </w:p>
    <w:p w14:paraId="1C07679E" w14:textId="7FCDA156" w:rsidR="00E237E4" w:rsidRPr="00D427D8" w:rsidRDefault="00E237E4" w:rsidP="00EF7333">
      <w:pPr>
        <w:pStyle w:val="Body1"/>
      </w:pPr>
      <w:r>
        <w:rPr>
          <w:noProof/>
        </w:rPr>
        <w:lastRenderedPageBreak/>
        <w:drawing>
          <wp:inline distT="0" distB="0" distL="0" distR="0" wp14:anchorId="0EB3652B" wp14:editId="10FC4CF5">
            <wp:extent cx="8892540" cy="2684145"/>
            <wp:effectExtent l="0" t="0" r="3810" b="1905"/>
            <wp:docPr id="1093585698" name="Chart 1">
              <a:extLst xmlns:a="http://schemas.openxmlformats.org/drawingml/2006/main">
                <a:ext uri="{FF2B5EF4-FFF2-40B4-BE49-F238E27FC236}">
                  <a16:creationId xmlns:a16="http://schemas.microsoft.com/office/drawing/2014/main" id="{A9958B2E-4714-490B-9657-630A6212D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109"/>
    <w:p w14:paraId="5CD7D331" w14:textId="77777777" w:rsidR="009F6E91" w:rsidRPr="00D427D8" w:rsidRDefault="009F6E91" w:rsidP="00EF7333">
      <w:pPr>
        <w:pStyle w:val="Body1"/>
        <w:sectPr w:rsidR="009F6E91" w:rsidRPr="00D427D8" w:rsidSect="008D071E">
          <w:footerReference w:type="first" r:id="rId30"/>
          <w:pgSz w:w="16840" w:h="11907" w:orient="landscape" w:code="9"/>
          <w:pgMar w:top="851" w:right="1418" w:bottom="992" w:left="1418" w:header="720" w:footer="720" w:gutter="0"/>
          <w:cols w:space="708"/>
          <w:docGrid w:linePitch="360"/>
        </w:sectPr>
      </w:pPr>
      <w:r w:rsidRPr="00D427D8">
        <w:br w:type="page"/>
      </w:r>
    </w:p>
    <w:p w14:paraId="5ECDE620" w14:textId="77777777" w:rsidR="009F6E91" w:rsidRPr="00D427D8" w:rsidRDefault="009F6E91" w:rsidP="00EF7333">
      <w:pPr>
        <w:pStyle w:val="Body1"/>
        <w:rPr>
          <w:rStyle w:val="Heading1Text"/>
        </w:rPr>
      </w:pPr>
      <w:r w:rsidRPr="00D427D8">
        <w:rPr>
          <w:rStyle w:val="Heading1Text"/>
        </w:rPr>
        <w:lastRenderedPageBreak/>
        <w:t>Delinquency Analysis</w:t>
      </w:r>
    </w:p>
    <w:p w14:paraId="1C0245F9" w14:textId="77777777" w:rsidR="009F6E91" w:rsidRPr="00D427D8" w:rsidRDefault="009F6E91" w:rsidP="009F6E91">
      <w:pPr>
        <w:pStyle w:val="Body1"/>
      </w:pPr>
      <w:r w:rsidRPr="00D427D8">
        <w:t>Figures are based on the total Stellantis Bank lease portfolio.</w:t>
      </w:r>
    </w:p>
    <w:p w14:paraId="1E432DF6" w14:textId="77777777" w:rsidR="009F6E91" w:rsidRPr="00D427D8" w:rsidRDefault="009F6E91" w:rsidP="009F6E91">
      <w:pPr>
        <w:pStyle w:val="Body1"/>
      </w:pPr>
      <w:r w:rsidRPr="00D427D8">
        <w:t>The graph shows dynamic delinquency rates for various delinquency levels calculated as the ratio of the outstanding amount of contracts which show the relevant delinquency status (measured as days past due) as a percentage of the outstanding amount of the performing portfolio (i.e. not written-off).</w:t>
      </w:r>
    </w:p>
    <w:p w14:paraId="1246FB4E" w14:textId="77777777" w:rsidR="009F6E91" w:rsidRPr="00D427D8" w:rsidRDefault="009F6E91" w:rsidP="005C1DB3">
      <w:pPr>
        <w:pStyle w:val="Centred"/>
        <w:rPr>
          <w:rStyle w:val="BoldText"/>
        </w:rPr>
      </w:pPr>
      <w:r w:rsidRPr="00D427D8">
        <w:rPr>
          <w:rStyle w:val="BoldText"/>
        </w:rPr>
        <w:t>Total portfolio – Delinquency Data by Days in Arrears Bucket</w:t>
      </w:r>
    </w:p>
    <w:tbl>
      <w:tblPr>
        <w:tblW w:w="5000" w:type="pct"/>
        <w:tblCellMar>
          <w:left w:w="70" w:type="dxa"/>
          <w:right w:w="70" w:type="dxa"/>
        </w:tblCellMar>
        <w:tblLook w:val="04A0" w:firstRow="1" w:lastRow="0" w:firstColumn="1" w:lastColumn="0" w:noHBand="0" w:noVBand="1"/>
      </w:tblPr>
      <w:tblGrid>
        <w:gridCol w:w="2102"/>
        <w:gridCol w:w="1375"/>
        <w:gridCol w:w="1172"/>
        <w:gridCol w:w="848"/>
        <w:gridCol w:w="848"/>
        <w:gridCol w:w="919"/>
        <w:gridCol w:w="990"/>
        <w:gridCol w:w="817"/>
      </w:tblGrid>
      <w:tr w:rsidR="006A523F" w:rsidRPr="006A523F" w14:paraId="4C5B6D30" w14:textId="77777777" w:rsidTr="006A523F">
        <w:trPr>
          <w:trHeight w:val="20"/>
        </w:trPr>
        <w:tc>
          <w:tcPr>
            <w:tcW w:w="1172" w:type="pct"/>
            <w:tcBorders>
              <w:top w:val="nil"/>
              <w:left w:val="nil"/>
              <w:bottom w:val="single" w:sz="4" w:space="0" w:color="auto"/>
              <w:right w:val="nil"/>
            </w:tcBorders>
            <w:shd w:val="clear" w:color="000000" w:fill="243782"/>
            <w:noWrap/>
            <w:vAlign w:val="center"/>
            <w:hideMark/>
          </w:tcPr>
          <w:p w14:paraId="763256D5" w14:textId="77777777" w:rsidR="006A523F" w:rsidRPr="006A523F" w:rsidRDefault="006A523F" w:rsidP="006A523F">
            <w:pPr>
              <w:spacing w:line="240" w:lineRule="auto"/>
              <w:jc w:val="left"/>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As at Month ending</w:t>
            </w:r>
          </w:p>
        </w:tc>
        <w:tc>
          <w:tcPr>
            <w:tcW w:w="770" w:type="pct"/>
            <w:tcBorders>
              <w:top w:val="nil"/>
              <w:left w:val="nil"/>
              <w:bottom w:val="single" w:sz="4" w:space="0" w:color="auto"/>
              <w:right w:val="nil"/>
            </w:tcBorders>
            <w:shd w:val="clear" w:color="000000" w:fill="243782"/>
            <w:noWrap/>
            <w:vAlign w:val="center"/>
            <w:hideMark/>
          </w:tcPr>
          <w:p w14:paraId="043A1B46" w14:textId="77777777" w:rsidR="006A523F" w:rsidRPr="006A523F" w:rsidRDefault="006A523F" w:rsidP="006A523F">
            <w:pPr>
              <w:spacing w:line="240" w:lineRule="auto"/>
              <w:jc w:val="right"/>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Outstanding in K€</w:t>
            </w:r>
          </w:p>
        </w:tc>
        <w:tc>
          <w:tcPr>
            <w:tcW w:w="658" w:type="pct"/>
            <w:tcBorders>
              <w:top w:val="nil"/>
              <w:left w:val="nil"/>
              <w:bottom w:val="single" w:sz="4" w:space="0" w:color="auto"/>
              <w:right w:val="nil"/>
            </w:tcBorders>
            <w:shd w:val="clear" w:color="000000" w:fill="243782"/>
            <w:noWrap/>
            <w:vAlign w:val="center"/>
            <w:hideMark/>
          </w:tcPr>
          <w:p w14:paraId="44350381"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[1-30] days</w:t>
            </w:r>
          </w:p>
        </w:tc>
        <w:tc>
          <w:tcPr>
            <w:tcW w:w="457" w:type="pct"/>
            <w:tcBorders>
              <w:top w:val="nil"/>
              <w:left w:val="nil"/>
              <w:bottom w:val="single" w:sz="4" w:space="0" w:color="auto"/>
              <w:right w:val="nil"/>
            </w:tcBorders>
            <w:shd w:val="clear" w:color="000000" w:fill="243782"/>
            <w:noWrap/>
            <w:vAlign w:val="center"/>
            <w:hideMark/>
          </w:tcPr>
          <w:p w14:paraId="40D432BF"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[31-60] days</w:t>
            </w:r>
          </w:p>
        </w:tc>
        <w:tc>
          <w:tcPr>
            <w:tcW w:w="457" w:type="pct"/>
            <w:tcBorders>
              <w:top w:val="nil"/>
              <w:left w:val="nil"/>
              <w:bottom w:val="single" w:sz="4" w:space="0" w:color="auto"/>
              <w:right w:val="nil"/>
            </w:tcBorders>
            <w:shd w:val="clear" w:color="000000" w:fill="243782"/>
            <w:noWrap/>
            <w:vAlign w:val="center"/>
            <w:hideMark/>
          </w:tcPr>
          <w:p w14:paraId="27AB9CC9"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[61-90] days</w:t>
            </w:r>
          </w:p>
        </w:tc>
        <w:tc>
          <w:tcPr>
            <w:tcW w:w="498" w:type="pct"/>
            <w:tcBorders>
              <w:top w:val="nil"/>
              <w:left w:val="nil"/>
              <w:bottom w:val="single" w:sz="4" w:space="0" w:color="auto"/>
              <w:right w:val="nil"/>
            </w:tcBorders>
            <w:shd w:val="clear" w:color="000000" w:fill="243782"/>
            <w:noWrap/>
            <w:vAlign w:val="center"/>
            <w:hideMark/>
          </w:tcPr>
          <w:p w14:paraId="7DAA84DC"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[91-120] days</w:t>
            </w:r>
          </w:p>
        </w:tc>
        <w:tc>
          <w:tcPr>
            <w:tcW w:w="546" w:type="pct"/>
            <w:tcBorders>
              <w:top w:val="nil"/>
              <w:left w:val="nil"/>
              <w:bottom w:val="single" w:sz="4" w:space="0" w:color="auto"/>
              <w:right w:val="nil"/>
            </w:tcBorders>
            <w:shd w:val="clear" w:color="000000" w:fill="243782"/>
            <w:noWrap/>
            <w:vAlign w:val="center"/>
            <w:hideMark/>
          </w:tcPr>
          <w:p w14:paraId="11B7F4D2"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[121-149] days</w:t>
            </w:r>
          </w:p>
        </w:tc>
        <w:tc>
          <w:tcPr>
            <w:tcW w:w="441" w:type="pct"/>
            <w:tcBorders>
              <w:top w:val="nil"/>
              <w:left w:val="nil"/>
              <w:bottom w:val="single" w:sz="4" w:space="0" w:color="auto"/>
              <w:right w:val="nil"/>
            </w:tcBorders>
            <w:shd w:val="clear" w:color="000000" w:fill="243782"/>
            <w:noWrap/>
            <w:vAlign w:val="center"/>
            <w:hideMark/>
          </w:tcPr>
          <w:p w14:paraId="5937CA5E" w14:textId="77777777" w:rsidR="006A523F" w:rsidRPr="006A523F" w:rsidRDefault="006A523F" w:rsidP="006A523F">
            <w:pPr>
              <w:spacing w:line="240" w:lineRule="auto"/>
              <w:jc w:val="center"/>
              <w:rPr>
                <w:rFonts w:ascii="Aptos Narrow" w:hAnsi="Aptos Narrow"/>
                <w:b/>
                <w:bCs/>
                <w:color w:val="FFFFFF"/>
                <w:sz w:val="14"/>
                <w:szCs w:val="14"/>
                <w:lang w:val="de-DE" w:eastAsia="de-DE"/>
              </w:rPr>
            </w:pPr>
            <w:r w:rsidRPr="006A523F">
              <w:rPr>
                <w:rFonts w:ascii="Aptos Narrow" w:hAnsi="Aptos Narrow"/>
                <w:b/>
                <w:bCs/>
                <w:color w:val="FFFFFF"/>
                <w:sz w:val="14"/>
                <w:szCs w:val="14"/>
                <w:lang w:val="de-DE" w:eastAsia="de-DE"/>
              </w:rPr>
              <w:t>&gt;= 150 days</w:t>
            </w:r>
          </w:p>
        </w:tc>
      </w:tr>
      <w:tr w:rsidR="006A523F" w:rsidRPr="006A523F" w14:paraId="60AD85C9" w14:textId="77777777" w:rsidTr="006A523F">
        <w:trPr>
          <w:trHeight w:val="20"/>
        </w:trPr>
        <w:tc>
          <w:tcPr>
            <w:tcW w:w="1172" w:type="pct"/>
            <w:tcBorders>
              <w:top w:val="nil"/>
              <w:left w:val="nil"/>
              <w:bottom w:val="nil"/>
              <w:right w:val="nil"/>
            </w:tcBorders>
            <w:shd w:val="clear" w:color="000000" w:fill="FFFFFF"/>
            <w:noWrap/>
            <w:vAlign w:val="center"/>
            <w:hideMark/>
          </w:tcPr>
          <w:p w14:paraId="6A7899A2"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2013</w:t>
            </w:r>
          </w:p>
        </w:tc>
        <w:tc>
          <w:tcPr>
            <w:tcW w:w="770" w:type="pct"/>
            <w:tcBorders>
              <w:top w:val="nil"/>
              <w:left w:val="nil"/>
              <w:bottom w:val="nil"/>
              <w:right w:val="nil"/>
            </w:tcBorders>
            <w:shd w:val="clear" w:color="000000" w:fill="FFFFFF"/>
            <w:noWrap/>
            <w:vAlign w:val="bottom"/>
            <w:hideMark/>
          </w:tcPr>
          <w:p w14:paraId="2FAADBD5"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1,139,398,104</w:t>
            </w:r>
          </w:p>
        </w:tc>
        <w:tc>
          <w:tcPr>
            <w:tcW w:w="658" w:type="pct"/>
            <w:tcBorders>
              <w:top w:val="nil"/>
              <w:left w:val="nil"/>
              <w:bottom w:val="nil"/>
              <w:right w:val="nil"/>
            </w:tcBorders>
            <w:shd w:val="clear" w:color="000000" w:fill="FFFFFF"/>
            <w:noWrap/>
            <w:vAlign w:val="center"/>
            <w:hideMark/>
          </w:tcPr>
          <w:p w14:paraId="48C0372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0.63%</w:t>
            </w:r>
          </w:p>
        </w:tc>
        <w:tc>
          <w:tcPr>
            <w:tcW w:w="457" w:type="pct"/>
            <w:tcBorders>
              <w:top w:val="nil"/>
              <w:left w:val="nil"/>
              <w:bottom w:val="nil"/>
              <w:right w:val="nil"/>
            </w:tcBorders>
            <w:shd w:val="clear" w:color="000000" w:fill="FFFFFF"/>
            <w:noWrap/>
            <w:vAlign w:val="center"/>
            <w:hideMark/>
          </w:tcPr>
          <w:p w14:paraId="11106C3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0.48%</w:t>
            </w:r>
          </w:p>
        </w:tc>
        <w:tc>
          <w:tcPr>
            <w:tcW w:w="457" w:type="pct"/>
            <w:tcBorders>
              <w:top w:val="nil"/>
              <w:left w:val="nil"/>
              <w:bottom w:val="nil"/>
              <w:right w:val="nil"/>
            </w:tcBorders>
            <w:shd w:val="clear" w:color="000000" w:fill="FFFFFF"/>
            <w:noWrap/>
            <w:vAlign w:val="center"/>
            <w:hideMark/>
          </w:tcPr>
          <w:p w14:paraId="3E13874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c>
          <w:tcPr>
            <w:tcW w:w="498" w:type="pct"/>
            <w:tcBorders>
              <w:top w:val="nil"/>
              <w:left w:val="nil"/>
              <w:bottom w:val="nil"/>
              <w:right w:val="nil"/>
            </w:tcBorders>
            <w:shd w:val="clear" w:color="000000" w:fill="FFFFFF"/>
            <w:noWrap/>
            <w:vAlign w:val="center"/>
            <w:hideMark/>
          </w:tcPr>
          <w:p w14:paraId="0E39120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c>
          <w:tcPr>
            <w:tcW w:w="546" w:type="pct"/>
            <w:tcBorders>
              <w:top w:val="nil"/>
              <w:left w:val="nil"/>
              <w:bottom w:val="nil"/>
              <w:right w:val="nil"/>
            </w:tcBorders>
            <w:shd w:val="clear" w:color="000000" w:fill="FFFFFF"/>
            <w:noWrap/>
            <w:vAlign w:val="center"/>
            <w:hideMark/>
          </w:tcPr>
          <w:p w14:paraId="3E752D3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3055A52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0.83%</w:t>
            </w:r>
          </w:p>
        </w:tc>
      </w:tr>
      <w:tr w:rsidR="006A523F" w:rsidRPr="006A523F" w14:paraId="0A843B45" w14:textId="77777777" w:rsidTr="006A523F">
        <w:trPr>
          <w:trHeight w:val="20"/>
        </w:trPr>
        <w:tc>
          <w:tcPr>
            <w:tcW w:w="1172" w:type="pct"/>
            <w:tcBorders>
              <w:top w:val="nil"/>
              <w:left w:val="nil"/>
              <w:bottom w:val="nil"/>
              <w:right w:val="nil"/>
            </w:tcBorders>
            <w:shd w:val="clear" w:color="000000" w:fill="FFFFFF"/>
            <w:noWrap/>
            <w:vAlign w:val="center"/>
            <w:hideMark/>
          </w:tcPr>
          <w:p w14:paraId="7BF247D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2013</w:t>
            </w:r>
          </w:p>
        </w:tc>
        <w:tc>
          <w:tcPr>
            <w:tcW w:w="770" w:type="pct"/>
            <w:tcBorders>
              <w:top w:val="nil"/>
              <w:left w:val="nil"/>
              <w:bottom w:val="nil"/>
              <w:right w:val="nil"/>
            </w:tcBorders>
            <w:shd w:val="clear" w:color="000000" w:fill="FFFFFF"/>
            <w:noWrap/>
            <w:vAlign w:val="bottom"/>
            <w:hideMark/>
          </w:tcPr>
          <w:p w14:paraId="18BAB21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1,115,836,604</w:t>
            </w:r>
          </w:p>
        </w:tc>
        <w:tc>
          <w:tcPr>
            <w:tcW w:w="658" w:type="pct"/>
            <w:tcBorders>
              <w:top w:val="nil"/>
              <w:left w:val="nil"/>
              <w:bottom w:val="nil"/>
              <w:right w:val="nil"/>
            </w:tcBorders>
            <w:shd w:val="clear" w:color="000000" w:fill="FFFFFF"/>
            <w:noWrap/>
            <w:vAlign w:val="center"/>
            <w:hideMark/>
          </w:tcPr>
          <w:p w14:paraId="4D4ECBA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0.68%</w:t>
            </w:r>
          </w:p>
        </w:tc>
        <w:tc>
          <w:tcPr>
            <w:tcW w:w="457" w:type="pct"/>
            <w:tcBorders>
              <w:top w:val="nil"/>
              <w:left w:val="nil"/>
              <w:bottom w:val="nil"/>
              <w:right w:val="nil"/>
            </w:tcBorders>
            <w:shd w:val="clear" w:color="000000" w:fill="FFFFFF"/>
            <w:noWrap/>
            <w:vAlign w:val="center"/>
            <w:hideMark/>
          </w:tcPr>
          <w:p w14:paraId="62E6F74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0.34%</w:t>
            </w:r>
          </w:p>
        </w:tc>
        <w:tc>
          <w:tcPr>
            <w:tcW w:w="457" w:type="pct"/>
            <w:tcBorders>
              <w:top w:val="nil"/>
              <w:left w:val="nil"/>
              <w:bottom w:val="nil"/>
              <w:right w:val="nil"/>
            </w:tcBorders>
            <w:shd w:val="clear" w:color="000000" w:fill="FFFFFF"/>
            <w:noWrap/>
            <w:vAlign w:val="center"/>
            <w:hideMark/>
          </w:tcPr>
          <w:p w14:paraId="51A9D23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0.15%</w:t>
            </w:r>
          </w:p>
        </w:tc>
        <w:tc>
          <w:tcPr>
            <w:tcW w:w="498" w:type="pct"/>
            <w:tcBorders>
              <w:top w:val="nil"/>
              <w:left w:val="nil"/>
              <w:bottom w:val="nil"/>
              <w:right w:val="nil"/>
            </w:tcBorders>
            <w:shd w:val="clear" w:color="000000" w:fill="FFFFFF"/>
            <w:noWrap/>
            <w:vAlign w:val="center"/>
            <w:hideMark/>
          </w:tcPr>
          <w:p w14:paraId="7AF3276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546" w:type="pct"/>
            <w:tcBorders>
              <w:top w:val="nil"/>
              <w:left w:val="nil"/>
              <w:bottom w:val="nil"/>
              <w:right w:val="nil"/>
            </w:tcBorders>
            <w:shd w:val="clear" w:color="000000" w:fill="FFFFFF"/>
            <w:noWrap/>
            <w:vAlign w:val="center"/>
            <w:hideMark/>
          </w:tcPr>
          <w:p w14:paraId="5D3B91E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441" w:type="pct"/>
            <w:tcBorders>
              <w:top w:val="nil"/>
              <w:left w:val="nil"/>
              <w:bottom w:val="nil"/>
              <w:right w:val="nil"/>
            </w:tcBorders>
            <w:shd w:val="clear" w:color="000000" w:fill="FFFFFF"/>
            <w:noWrap/>
            <w:vAlign w:val="center"/>
            <w:hideMark/>
          </w:tcPr>
          <w:p w14:paraId="515A268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0.84%</w:t>
            </w:r>
          </w:p>
        </w:tc>
      </w:tr>
      <w:tr w:rsidR="006A523F" w:rsidRPr="006A523F" w14:paraId="1B4389B0" w14:textId="77777777" w:rsidTr="006A523F">
        <w:trPr>
          <w:trHeight w:val="20"/>
        </w:trPr>
        <w:tc>
          <w:tcPr>
            <w:tcW w:w="1172" w:type="pct"/>
            <w:tcBorders>
              <w:top w:val="nil"/>
              <w:left w:val="nil"/>
              <w:bottom w:val="nil"/>
              <w:right w:val="nil"/>
            </w:tcBorders>
            <w:shd w:val="clear" w:color="000000" w:fill="FFFFFF"/>
            <w:noWrap/>
            <w:vAlign w:val="center"/>
            <w:hideMark/>
          </w:tcPr>
          <w:p w14:paraId="0DE28B14"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2013</w:t>
            </w:r>
          </w:p>
        </w:tc>
        <w:tc>
          <w:tcPr>
            <w:tcW w:w="770" w:type="pct"/>
            <w:tcBorders>
              <w:top w:val="nil"/>
              <w:left w:val="nil"/>
              <w:bottom w:val="nil"/>
              <w:right w:val="nil"/>
            </w:tcBorders>
            <w:shd w:val="clear" w:color="000000" w:fill="FFFFFF"/>
            <w:noWrap/>
            <w:vAlign w:val="bottom"/>
            <w:hideMark/>
          </w:tcPr>
          <w:p w14:paraId="46FE3CE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1,108,460,574</w:t>
            </w:r>
          </w:p>
        </w:tc>
        <w:tc>
          <w:tcPr>
            <w:tcW w:w="658" w:type="pct"/>
            <w:tcBorders>
              <w:top w:val="nil"/>
              <w:left w:val="nil"/>
              <w:bottom w:val="nil"/>
              <w:right w:val="nil"/>
            </w:tcBorders>
            <w:shd w:val="clear" w:color="000000" w:fill="FFFFFF"/>
            <w:noWrap/>
            <w:vAlign w:val="center"/>
            <w:hideMark/>
          </w:tcPr>
          <w:p w14:paraId="2273646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0.65%</w:t>
            </w:r>
          </w:p>
        </w:tc>
        <w:tc>
          <w:tcPr>
            <w:tcW w:w="457" w:type="pct"/>
            <w:tcBorders>
              <w:top w:val="nil"/>
              <w:left w:val="nil"/>
              <w:bottom w:val="nil"/>
              <w:right w:val="nil"/>
            </w:tcBorders>
            <w:shd w:val="clear" w:color="000000" w:fill="FFFFFF"/>
            <w:noWrap/>
            <w:vAlign w:val="center"/>
            <w:hideMark/>
          </w:tcPr>
          <w:p w14:paraId="3FE082C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0.32%</w:t>
            </w:r>
          </w:p>
        </w:tc>
        <w:tc>
          <w:tcPr>
            <w:tcW w:w="457" w:type="pct"/>
            <w:tcBorders>
              <w:top w:val="nil"/>
              <w:left w:val="nil"/>
              <w:bottom w:val="nil"/>
              <w:right w:val="nil"/>
            </w:tcBorders>
            <w:shd w:val="clear" w:color="000000" w:fill="FFFFFF"/>
            <w:noWrap/>
            <w:vAlign w:val="center"/>
            <w:hideMark/>
          </w:tcPr>
          <w:p w14:paraId="2305528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0.16%</w:t>
            </w:r>
          </w:p>
        </w:tc>
        <w:tc>
          <w:tcPr>
            <w:tcW w:w="498" w:type="pct"/>
            <w:tcBorders>
              <w:top w:val="nil"/>
              <w:left w:val="nil"/>
              <w:bottom w:val="nil"/>
              <w:right w:val="nil"/>
            </w:tcBorders>
            <w:shd w:val="clear" w:color="000000" w:fill="FFFFFF"/>
            <w:noWrap/>
            <w:vAlign w:val="center"/>
            <w:hideMark/>
          </w:tcPr>
          <w:p w14:paraId="1E3BB6C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546" w:type="pct"/>
            <w:tcBorders>
              <w:top w:val="nil"/>
              <w:left w:val="nil"/>
              <w:bottom w:val="nil"/>
              <w:right w:val="nil"/>
            </w:tcBorders>
            <w:shd w:val="clear" w:color="000000" w:fill="FFFFFF"/>
            <w:noWrap/>
            <w:vAlign w:val="center"/>
            <w:hideMark/>
          </w:tcPr>
          <w:p w14:paraId="73E07AF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41" w:type="pct"/>
            <w:tcBorders>
              <w:top w:val="nil"/>
              <w:left w:val="nil"/>
              <w:bottom w:val="nil"/>
              <w:right w:val="nil"/>
            </w:tcBorders>
            <w:shd w:val="clear" w:color="000000" w:fill="FFFFFF"/>
            <w:noWrap/>
            <w:vAlign w:val="center"/>
            <w:hideMark/>
          </w:tcPr>
          <w:p w14:paraId="05DA1AD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0.87%</w:t>
            </w:r>
          </w:p>
        </w:tc>
      </w:tr>
      <w:tr w:rsidR="006A523F" w:rsidRPr="006A523F" w14:paraId="3B4E591F" w14:textId="77777777" w:rsidTr="006A523F">
        <w:trPr>
          <w:trHeight w:val="20"/>
        </w:trPr>
        <w:tc>
          <w:tcPr>
            <w:tcW w:w="1172" w:type="pct"/>
            <w:tcBorders>
              <w:top w:val="nil"/>
              <w:left w:val="nil"/>
              <w:bottom w:val="nil"/>
              <w:right w:val="nil"/>
            </w:tcBorders>
            <w:shd w:val="clear" w:color="000000" w:fill="FFFFFF"/>
            <w:noWrap/>
            <w:vAlign w:val="center"/>
            <w:hideMark/>
          </w:tcPr>
          <w:p w14:paraId="0905DC8A"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2013</w:t>
            </w:r>
          </w:p>
        </w:tc>
        <w:tc>
          <w:tcPr>
            <w:tcW w:w="770" w:type="pct"/>
            <w:tcBorders>
              <w:top w:val="nil"/>
              <w:left w:val="nil"/>
              <w:bottom w:val="nil"/>
              <w:right w:val="nil"/>
            </w:tcBorders>
            <w:shd w:val="clear" w:color="000000" w:fill="FFFFFF"/>
            <w:noWrap/>
            <w:vAlign w:val="bottom"/>
            <w:hideMark/>
          </w:tcPr>
          <w:p w14:paraId="40EA451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1,087,538,188</w:t>
            </w:r>
          </w:p>
        </w:tc>
        <w:tc>
          <w:tcPr>
            <w:tcW w:w="658" w:type="pct"/>
            <w:tcBorders>
              <w:top w:val="nil"/>
              <w:left w:val="nil"/>
              <w:bottom w:val="nil"/>
              <w:right w:val="nil"/>
            </w:tcBorders>
            <w:shd w:val="clear" w:color="000000" w:fill="FFFFFF"/>
            <w:noWrap/>
            <w:vAlign w:val="center"/>
            <w:hideMark/>
          </w:tcPr>
          <w:p w14:paraId="76687A1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0.35%</w:t>
            </w:r>
          </w:p>
        </w:tc>
        <w:tc>
          <w:tcPr>
            <w:tcW w:w="457" w:type="pct"/>
            <w:tcBorders>
              <w:top w:val="nil"/>
              <w:left w:val="nil"/>
              <w:bottom w:val="nil"/>
              <w:right w:val="nil"/>
            </w:tcBorders>
            <w:shd w:val="clear" w:color="000000" w:fill="FFFFFF"/>
            <w:noWrap/>
            <w:vAlign w:val="center"/>
            <w:hideMark/>
          </w:tcPr>
          <w:p w14:paraId="212080D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0.45%</w:t>
            </w:r>
          </w:p>
        </w:tc>
        <w:tc>
          <w:tcPr>
            <w:tcW w:w="457" w:type="pct"/>
            <w:tcBorders>
              <w:top w:val="nil"/>
              <w:left w:val="nil"/>
              <w:bottom w:val="nil"/>
              <w:right w:val="nil"/>
            </w:tcBorders>
            <w:shd w:val="clear" w:color="000000" w:fill="FFFFFF"/>
            <w:noWrap/>
            <w:vAlign w:val="center"/>
            <w:hideMark/>
          </w:tcPr>
          <w:p w14:paraId="76FAE89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c>
          <w:tcPr>
            <w:tcW w:w="498" w:type="pct"/>
            <w:tcBorders>
              <w:top w:val="nil"/>
              <w:left w:val="nil"/>
              <w:bottom w:val="nil"/>
              <w:right w:val="nil"/>
            </w:tcBorders>
            <w:shd w:val="clear" w:color="000000" w:fill="FFFFFF"/>
            <w:noWrap/>
            <w:vAlign w:val="center"/>
            <w:hideMark/>
          </w:tcPr>
          <w:p w14:paraId="12BA66D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546" w:type="pct"/>
            <w:tcBorders>
              <w:top w:val="nil"/>
              <w:left w:val="nil"/>
              <w:bottom w:val="nil"/>
              <w:right w:val="nil"/>
            </w:tcBorders>
            <w:shd w:val="clear" w:color="000000" w:fill="FFFFFF"/>
            <w:noWrap/>
            <w:vAlign w:val="center"/>
            <w:hideMark/>
          </w:tcPr>
          <w:p w14:paraId="1408FD2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41" w:type="pct"/>
            <w:tcBorders>
              <w:top w:val="nil"/>
              <w:left w:val="nil"/>
              <w:bottom w:val="nil"/>
              <w:right w:val="nil"/>
            </w:tcBorders>
            <w:shd w:val="clear" w:color="000000" w:fill="FFFFFF"/>
            <w:noWrap/>
            <w:vAlign w:val="center"/>
            <w:hideMark/>
          </w:tcPr>
          <w:p w14:paraId="37E3DAD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0.89%</w:t>
            </w:r>
          </w:p>
        </w:tc>
      </w:tr>
      <w:tr w:rsidR="006A523F" w:rsidRPr="006A523F" w14:paraId="7A3EF7FA" w14:textId="77777777" w:rsidTr="006A523F">
        <w:trPr>
          <w:trHeight w:val="20"/>
        </w:trPr>
        <w:tc>
          <w:tcPr>
            <w:tcW w:w="1172" w:type="pct"/>
            <w:tcBorders>
              <w:top w:val="nil"/>
              <w:left w:val="nil"/>
              <w:bottom w:val="nil"/>
              <w:right w:val="nil"/>
            </w:tcBorders>
            <w:shd w:val="clear" w:color="000000" w:fill="FFFFFF"/>
            <w:noWrap/>
            <w:vAlign w:val="center"/>
            <w:hideMark/>
          </w:tcPr>
          <w:p w14:paraId="47BDC1E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2014</w:t>
            </w:r>
          </w:p>
        </w:tc>
        <w:tc>
          <w:tcPr>
            <w:tcW w:w="770" w:type="pct"/>
            <w:tcBorders>
              <w:top w:val="nil"/>
              <w:left w:val="nil"/>
              <w:bottom w:val="nil"/>
              <w:right w:val="nil"/>
            </w:tcBorders>
            <w:shd w:val="clear" w:color="000000" w:fill="FFFFFF"/>
            <w:noWrap/>
            <w:vAlign w:val="bottom"/>
            <w:hideMark/>
          </w:tcPr>
          <w:p w14:paraId="55C43A8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1,050,424,486</w:t>
            </w:r>
          </w:p>
        </w:tc>
        <w:tc>
          <w:tcPr>
            <w:tcW w:w="658" w:type="pct"/>
            <w:tcBorders>
              <w:top w:val="nil"/>
              <w:left w:val="nil"/>
              <w:bottom w:val="nil"/>
              <w:right w:val="nil"/>
            </w:tcBorders>
            <w:shd w:val="clear" w:color="000000" w:fill="FFFFFF"/>
            <w:noWrap/>
            <w:vAlign w:val="center"/>
            <w:hideMark/>
          </w:tcPr>
          <w:p w14:paraId="6406C3D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0.62%</w:t>
            </w:r>
          </w:p>
        </w:tc>
        <w:tc>
          <w:tcPr>
            <w:tcW w:w="457" w:type="pct"/>
            <w:tcBorders>
              <w:top w:val="nil"/>
              <w:left w:val="nil"/>
              <w:bottom w:val="nil"/>
              <w:right w:val="nil"/>
            </w:tcBorders>
            <w:shd w:val="clear" w:color="000000" w:fill="FFFFFF"/>
            <w:noWrap/>
            <w:vAlign w:val="center"/>
            <w:hideMark/>
          </w:tcPr>
          <w:p w14:paraId="72948ED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0.48%</w:t>
            </w:r>
          </w:p>
        </w:tc>
        <w:tc>
          <w:tcPr>
            <w:tcW w:w="457" w:type="pct"/>
            <w:tcBorders>
              <w:top w:val="nil"/>
              <w:left w:val="nil"/>
              <w:bottom w:val="nil"/>
              <w:right w:val="nil"/>
            </w:tcBorders>
            <w:shd w:val="clear" w:color="000000" w:fill="FFFFFF"/>
            <w:noWrap/>
            <w:vAlign w:val="center"/>
            <w:hideMark/>
          </w:tcPr>
          <w:p w14:paraId="48387F4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0.12%</w:t>
            </w:r>
          </w:p>
        </w:tc>
        <w:tc>
          <w:tcPr>
            <w:tcW w:w="498" w:type="pct"/>
            <w:tcBorders>
              <w:top w:val="nil"/>
              <w:left w:val="nil"/>
              <w:bottom w:val="nil"/>
              <w:right w:val="nil"/>
            </w:tcBorders>
            <w:shd w:val="clear" w:color="000000" w:fill="FFFFFF"/>
            <w:noWrap/>
            <w:vAlign w:val="center"/>
            <w:hideMark/>
          </w:tcPr>
          <w:p w14:paraId="3A76E6C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546" w:type="pct"/>
            <w:tcBorders>
              <w:top w:val="nil"/>
              <w:left w:val="nil"/>
              <w:bottom w:val="nil"/>
              <w:right w:val="nil"/>
            </w:tcBorders>
            <w:shd w:val="clear" w:color="000000" w:fill="FFFFFF"/>
            <w:noWrap/>
            <w:vAlign w:val="center"/>
            <w:hideMark/>
          </w:tcPr>
          <w:p w14:paraId="7E81794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41" w:type="pct"/>
            <w:tcBorders>
              <w:top w:val="nil"/>
              <w:left w:val="nil"/>
              <w:bottom w:val="nil"/>
              <w:right w:val="nil"/>
            </w:tcBorders>
            <w:shd w:val="clear" w:color="000000" w:fill="FFFFFF"/>
            <w:noWrap/>
            <w:vAlign w:val="center"/>
            <w:hideMark/>
          </w:tcPr>
          <w:p w14:paraId="4815753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0.89%</w:t>
            </w:r>
          </w:p>
        </w:tc>
      </w:tr>
      <w:tr w:rsidR="006A523F" w:rsidRPr="006A523F" w14:paraId="5E5A06FC" w14:textId="77777777" w:rsidTr="006A523F">
        <w:trPr>
          <w:trHeight w:val="20"/>
        </w:trPr>
        <w:tc>
          <w:tcPr>
            <w:tcW w:w="1172" w:type="pct"/>
            <w:tcBorders>
              <w:top w:val="nil"/>
              <w:left w:val="nil"/>
              <w:bottom w:val="nil"/>
              <w:right w:val="nil"/>
            </w:tcBorders>
            <w:shd w:val="clear" w:color="000000" w:fill="FFFFFF"/>
            <w:noWrap/>
            <w:vAlign w:val="center"/>
            <w:hideMark/>
          </w:tcPr>
          <w:p w14:paraId="5CBC1DB7"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2014</w:t>
            </w:r>
          </w:p>
        </w:tc>
        <w:tc>
          <w:tcPr>
            <w:tcW w:w="770" w:type="pct"/>
            <w:tcBorders>
              <w:top w:val="nil"/>
              <w:left w:val="nil"/>
              <w:bottom w:val="nil"/>
              <w:right w:val="nil"/>
            </w:tcBorders>
            <w:shd w:val="clear" w:color="000000" w:fill="FFFFFF"/>
            <w:noWrap/>
            <w:vAlign w:val="bottom"/>
            <w:hideMark/>
          </w:tcPr>
          <w:p w14:paraId="37CCE4E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1,009,843,690</w:t>
            </w:r>
          </w:p>
        </w:tc>
        <w:tc>
          <w:tcPr>
            <w:tcW w:w="658" w:type="pct"/>
            <w:tcBorders>
              <w:top w:val="nil"/>
              <w:left w:val="nil"/>
              <w:bottom w:val="nil"/>
              <w:right w:val="nil"/>
            </w:tcBorders>
            <w:shd w:val="clear" w:color="000000" w:fill="FFFFFF"/>
            <w:noWrap/>
            <w:vAlign w:val="center"/>
            <w:hideMark/>
          </w:tcPr>
          <w:p w14:paraId="4A76293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0.66%</w:t>
            </w:r>
          </w:p>
        </w:tc>
        <w:tc>
          <w:tcPr>
            <w:tcW w:w="457" w:type="pct"/>
            <w:tcBorders>
              <w:top w:val="nil"/>
              <w:left w:val="nil"/>
              <w:bottom w:val="nil"/>
              <w:right w:val="nil"/>
            </w:tcBorders>
            <w:shd w:val="clear" w:color="000000" w:fill="FFFFFF"/>
            <w:noWrap/>
            <w:vAlign w:val="center"/>
            <w:hideMark/>
          </w:tcPr>
          <w:p w14:paraId="3217FEC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0.37%</w:t>
            </w:r>
          </w:p>
        </w:tc>
        <w:tc>
          <w:tcPr>
            <w:tcW w:w="457" w:type="pct"/>
            <w:tcBorders>
              <w:top w:val="nil"/>
              <w:left w:val="nil"/>
              <w:bottom w:val="nil"/>
              <w:right w:val="nil"/>
            </w:tcBorders>
            <w:shd w:val="clear" w:color="000000" w:fill="FFFFFF"/>
            <w:noWrap/>
            <w:vAlign w:val="center"/>
            <w:hideMark/>
          </w:tcPr>
          <w:p w14:paraId="5D95929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c>
          <w:tcPr>
            <w:tcW w:w="498" w:type="pct"/>
            <w:tcBorders>
              <w:top w:val="nil"/>
              <w:left w:val="nil"/>
              <w:bottom w:val="nil"/>
              <w:right w:val="nil"/>
            </w:tcBorders>
            <w:shd w:val="clear" w:color="000000" w:fill="FFFFFF"/>
            <w:noWrap/>
            <w:vAlign w:val="center"/>
            <w:hideMark/>
          </w:tcPr>
          <w:p w14:paraId="4E25D8E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546" w:type="pct"/>
            <w:tcBorders>
              <w:top w:val="nil"/>
              <w:left w:val="nil"/>
              <w:bottom w:val="nil"/>
              <w:right w:val="nil"/>
            </w:tcBorders>
            <w:shd w:val="clear" w:color="000000" w:fill="FFFFFF"/>
            <w:noWrap/>
            <w:vAlign w:val="center"/>
            <w:hideMark/>
          </w:tcPr>
          <w:p w14:paraId="1CFF60F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41" w:type="pct"/>
            <w:tcBorders>
              <w:top w:val="nil"/>
              <w:left w:val="nil"/>
              <w:bottom w:val="nil"/>
              <w:right w:val="nil"/>
            </w:tcBorders>
            <w:shd w:val="clear" w:color="000000" w:fill="FFFFFF"/>
            <w:noWrap/>
            <w:vAlign w:val="center"/>
            <w:hideMark/>
          </w:tcPr>
          <w:p w14:paraId="0C3813B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0.94%</w:t>
            </w:r>
          </w:p>
        </w:tc>
      </w:tr>
      <w:tr w:rsidR="006A523F" w:rsidRPr="006A523F" w14:paraId="4DCB76C8" w14:textId="77777777" w:rsidTr="006A523F">
        <w:trPr>
          <w:trHeight w:val="20"/>
        </w:trPr>
        <w:tc>
          <w:tcPr>
            <w:tcW w:w="1172" w:type="pct"/>
            <w:tcBorders>
              <w:top w:val="nil"/>
              <w:left w:val="nil"/>
              <w:bottom w:val="nil"/>
              <w:right w:val="nil"/>
            </w:tcBorders>
            <w:shd w:val="clear" w:color="000000" w:fill="FFFFFF"/>
            <w:noWrap/>
            <w:vAlign w:val="center"/>
            <w:hideMark/>
          </w:tcPr>
          <w:p w14:paraId="3ECADCC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2014</w:t>
            </w:r>
          </w:p>
        </w:tc>
        <w:tc>
          <w:tcPr>
            <w:tcW w:w="770" w:type="pct"/>
            <w:tcBorders>
              <w:top w:val="nil"/>
              <w:left w:val="nil"/>
              <w:bottom w:val="nil"/>
              <w:right w:val="nil"/>
            </w:tcBorders>
            <w:shd w:val="clear" w:color="000000" w:fill="FFFFFF"/>
            <w:noWrap/>
            <w:vAlign w:val="bottom"/>
            <w:hideMark/>
          </w:tcPr>
          <w:p w14:paraId="078448A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965,878,868</w:t>
            </w:r>
          </w:p>
        </w:tc>
        <w:tc>
          <w:tcPr>
            <w:tcW w:w="658" w:type="pct"/>
            <w:tcBorders>
              <w:top w:val="nil"/>
              <w:left w:val="nil"/>
              <w:bottom w:val="nil"/>
              <w:right w:val="nil"/>
            </w:tcBorders>
            <w:shd w:val="clear" w:color="000000" w:fill="FFFFFF"/>
            <w:noWrap/>
            <w:vAlign w:val="center"/>
            <w:hideMark/>
          </w:tcPr>
          <w:p w14:paraId="78E34B3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0.68%</w:t>
            </w:r>
          </w:p>
        </w:tc>
        <w:tc>
          <w:tcPr>
            <w:tcW w:w="457" w:type="pct"/>
            <w:tcBorders>
              <w:top w:val="nil"/>
              <w:left w:val="nil"/>
              <w:bottom w:val="nil"/>
              <w:right w:val="nil"/>
            </w:tcBorders>
            <w:shd w:val="clear" w:color="000000" w:fill="FFFFFF"/>
            <w:noWrap/>
            <w:vAlign w:val="center"/>
            <w:hideMark/>
          </w:tcPr>
          <w:p w14:paraId="42CA3B9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0.34%</w:t>
            </w:r>
          </w:p>
        </w:tc>
        <w:tc>
          <w:tcPr>
            <w:tcW w:w="457" w:type="pct"/>
            <w:tcBorders>
              <w:top w:val="nil"/>
              <w:left w:val="nil"/>
              <w:bottom w:val="nil"/>
              <w:right w:val="nil"/>
            </w:tcBorders>
            <w:shd w:val="clear" w:color="000000" w:fill="FFFFFF"/>
            <w:noWrap/>
            <w:vAlign w:val="center"/>
            <w:hideMark/>
          </w:tcPr>
          <w:p w14:paraId="635C5D2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c>
          <w:tcPr>
            <w:tcW w:w="498" w:type="pct"/>
            <w:tcBorders>
              <w:top w:val="nil"/>
              <w:left w:val="nil"/>
              <w:bottom w:val="nil"/>
              <w:right w:val="nil"/>
            </w:tcBorders>
            <w:shd w:val="clear" w:color="000000" w:fill="FFFFFF"/>
            <w:noWrap/>
            <w:vAlign w:val="center"/>
            <w:hideMark/>
          </w:tcPr>
          <w:p w14:paraId="696D95F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546" w:type="pct"/>
            <w:tcBorders>
              <w:top w:val="nil"/>
              <w:left w:val="nil"/>
              <w:bottom w:val="nil"/>
              <w:right w:val="nil"/>
            </w:tcBorders>
            <w:shd w:val="clear" w:color="000000" w:fill="FFFFFF"/>
            <w:noWrap/>
            <w:vAlign w:val="center"/>
            <w:hideMark/>
          </w:tcPr>
          <w:p w14:paraId="2C1E78C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41" w:type="pct"/>
            <w:tcBorders>
              <w:top w:val="nil"/>
              <w:left w:val="nil"/>
              <w:bottom w:val="nil"/>
              <w:right w:val="nil"/>
            </w:tcBorders>
            <w:shd w:val="clear" w:color="000000" w:fill="FFFFFF"/>
            <w:noWrap/>
            <w:vAlign w:val="center"/>
            <w:hideMark/>
          </w:tcPr>
          <w:p w14:paraId="280B1FB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0.94%</w:t>
            </w:r>
          </w:p>
        </w:tc>
      </w:tr>
      <w:tr w:rsidR="006A523F" w:rsidRPr="006A523F" w14:paraId="0F4E5B2F" w14:textId="77777777" w:rsidTr="006A523F">
        <w:trPr>
          <w:trHeight w:val="20"/>
        </w:trPr>
        <w:tc>
          <w:tcPr>
            <w:tcW w:w="1172" w:type="pct"/>
            <w:tcBorders>
              <w:top w:val="nil"/>
              <w:left w:val="nil"/>
              <w:bottom w:val="nil"/>
              <w:right w:val="nil"/>
            </w:tcBorders>
            <w:shd w:val="clear" w:color="000000" w:fill="FFFFFF"/>
            <w:noWrap/>
            <w:vAlign w:val="center"/>
            <w:hideMark/>
          </w:tcPr>
          <w:p w14:paraId="1198BA50"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2014</w:t>
            </w:r>
          </w:p>
        </w:tc>
        <w:tc>
          <w:tcPr>
            <w:tcW w:w="770" w:type="pct"/>
            <w:tcBorders>
              <w:top w:val="nil"/>
              <w:left w:val="nil"/>
              <w:bottom w:val="nil"/>
              <w:right w:val="nil"/>
            </w:tcBorders>
            <w:shd w:val="clear" w:color="000000" w:fill="FFFFFF"/>
            <w:noWrap/>
            <w:vAlign w:val="bottom"/>
            <w:hideMark/>
          </w:tcPr>
          <w:p w14:paraId="2B3058D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937,823,993</w:t>
            </w:r>
          </w:p>
        </w:tc>
        <w:tc>
          <w:tcPr>
            <w:tcW w:w="658" w:type="pct"/>
            <w:tcBorders>
              <w:top w:val="nil"/>
              <w:left w:val="nil"/>
              <w:bottom w:val="nil"/>
              <w:right w:val="nil"/>
            </w:tcBorders>
            <w:shd w:val="clear" w:color="000000" w:fill="FFFFFF"/>
            <w:noWrap/>
            <w:vAlign w:val="center"/>
            <w:hideMark/>
          </w:tcPr>
          <w:p w14:paraId="78CE134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0.43%</w:t>
            </w:r>
          </w:p>
        </w:tc>
        <w:tc>
          <w:tcPr>
            <w:tcW w:w="457" w:type="pct"/>
            <w:tcBorders>
              <w:top w:val="nil"/>
              <w:left w:val="nil"/>
              <w:bottom w:val="nil"/>
              <w:right w:val="nil"/>
            </w:tcBorders>
            <w:shd w:val="clear" w:color="000000" w:fill="FFFFFF"/>
            <w:noWrap/>
            <w:vAlign w:val="center"/>
            <w:hideMark/>
          </w:tcPr>
          <w:p w14:paraId="14C5F0A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0.42%</w:t>
            </w:r>
          </w:p>
        </w:tc>
        <w:tc>
          <w:tcPr>
            <w:tcW w:w="457" w:type="pct"/>
            <w:tcBorders>
              <w:top w:val="nil"/>
              <w:left w:val="nil"/>
              <w:bottom w:val="nil"/>
              <w:right w:val="nil"/>
            </w:tcBorders>
            <w:shd w:val="clear" w:color="000000" w:fill="FFFFFF"/>
            <w:noWrap/>
            <w:vAlign w:val="center"/>
            <w:hideMark/>
          </w:tcPr>
          <w:p w14:paraId="08ADB4C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c>
          <w:tcPr>
            <w:tcW w:w="498" w:type="pct"/>
            <w:tcBorders>
              <w:top w:val="nil"/>
              <w:left w:val="nil"/>
              <w:bottom w:val="nil"/>
              <w:right w:val="nil"/>
            </w:tcBorders>
            <w:shd w:val="clear" w:color="000000" w:fill="FFFFFF"/>
            <w:noWrap/>
            <w:vAlign w:val="center"/>
            <w:hideMark/>
          </w:tcPr>
          <w:p w14:paraId="0AFDBB3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546" w:type="pct"/>
            <w:tcBorders>
              <w:top w:val="nil"/>
              <w:left w:val="nil"/>
              <w:bottom w:val="nil"/>
              <w:right w:val="nil"/>
            </w:tcBorders>
            <w:shd w:val="clear" w:color="000000" w:fill="FFFFFF"/>
            <w:noWrap/>
            <w:vAlign w:val="center"/>
            <w:hideMark/>
          </w:tcPr>
          <w:p w14:paraId="430332C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41" w:type="pct"/>
            <w:tcBorders>
              <w:top w:val="nil"/>
              <w:left w:val="nil"/>
              <w:bottom w:val="nil"/>
              <w:right w:val="nil"/>
            </w:tcBorders>
            <w:shd w:val="clear" w:color="000000" w:fill="FFFFFF"/>
            <w:noWrap/>
            <w:vAlign w:val="center"/>
            <w:hideMark/>
          </w:tcPr>
          <w:p w14:paraId="6CBFA5F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0.64%</w:t>
            </w:r>
          </w:p>
        </w:tc>
      </w:tr>
      <w:tr w:rsidR="006A523F" w:rsidRPr="006A523F" w14:paraId="2428BBA2" w14:textId="77777777" w:rsidTr="006A523F">
        <w:trPr>
          <w:trHeight w:val="20"/>
        </w:trPr>
        <w:tc>
          <w:tcPr>
            <w:tcW w:w="1172" w:type="pct"/>
            <w:tcBorders>
              <w:top w:val="nil"/>
              <w:left w:val="nil"/>
              <w:bottom w:val="nil"/>
              <w:right w:val="nil"/>
            </w:tcBorders>
            <w:shd w:val="clear" w:color="000000" w:fill="FFFFFF"/>
            <w:noWrap/>
            <w:vAlign w:val="center"/>
            <w:hideMark/>
          </w:tcPr>
          <w:p w14:paraId="4C0CCFF2"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2015</w:t>
            </w:r>
          </w:p>
        </w:tc>
        <w:tc>
          <w:tcPr>
            <w:tcW w:w="770" w:type="pct"/>
            <w:tcBorders>
              <w:top w:val="nil"/>
              <w:left w:val="nil"/>
              <w:bottom w:val="nil"/>
              <w:right w:val="nil"/>
            </w:tcBorders>
            <w:shd w:val="clear" w:color="000000" w:fill="FFFFFF"/>
            <w:noWrap/>
            <w:vAlign w:val="bottom"/>
            <w:hideMark/>
          </w:tcPr>
          <w:p w14:paraId="229267C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919,208,398</w:t>
            </w:r>
          </w:p>
        </w:tc>
        <w:tc>
          <w:tcPr>
            <w:tcW w:w="658" w:type="pct"/>
            <w:tcBorders>
              <w:top w:val="nil"/>
              <w:left w:val="nil"/>
              <w:bottom w:val="nil"/>
              <w:right w:val="nil"/>
            </w:tcBorders>
            <w:shd w:val="clear" w:color="000000" w:fill="FFFFFF"/>
            <w:noWrap/>
            <w:vAlign w:val="center"/>
            <w:hideMark/>
          </w:tcPr>
          <w:p w14:paraId="65A3461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0.62%</w:t>
            </w:r>
          </w:p>
        </w:tc>
        <w:tc>
          <w:tcPr>
            <w:tcW w:w="457" w:type="pct"/>
            <w:tcBorders>
              <w:top w:val="nil"/>
              <w:left w:val="nil"/>
              <w:bottom w:val="nil"/>
              <w:right w:val="nil"/>
            </w:tcBorders>
            <w:shd w:val="clear" w:color="000000" w:fill="FFFFFF"/>
            <w:noWrap/>
            <w:vAlign w:val="center"/>
            <w:hideMark/>
          </w:tcPr>
          <w:p w14:paraId="43C46DD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0.47%</w:t>
            </w:r>
          </w:p>
        </w:tc>
        <w:tc>
          <w:tcPr>
            <w:tcW w:w="457" w:type="pct"/>
            <w:tcBorders>
              <w:top w:val="nil"/>
              <w:left w:val="nil"/>
              <w:bottom w:val="nil"/>
              <w:right w:val="nil"/>
            </w:tcBorders>
            <w:shd w:val="clear" w:color="000000" w:fill="FFFFFF"/>
            <w:noWrap/>
            <w:vAlign w:val="center"/>
            <w:hideMark/>
          </w:tcPr>
          <w:p w14:paraId="61B6C59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c>
          <w:tcPr>
            <w:tcW w:w="498" w:type="pct"/>
            <w:tcBorders>
              <w:top w:val="nil"/>
              <w:left w:val="nil"/>
              <w:bottom w:val="nil"/>
              <w:right w:val="nil"/>
            </w:tcBorders>
            <w:shd w:val="clear" w:color="000000" w:fill="FFFFFF"/>
            <w:noWrap/>
            <w:vAlign w:val="center"/>
            <w:hideMark/>
          </w:tcPr>
          <w:p w14:paraId="3BC8298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546" w:type="pct"/>
            <w:tcBorders>
              <w:top w:val="nil"/>
              <w:left w:val="nil"/>
              <w:bottom w:val="nil"/>
              <w:right w:val="nil"/>
            </w:tcBorders>
            <w:shd w:val="clear" w:color="000000" w:fill="FFFFFF"/>
            <w:noWrap/>
            <w:vAlign w:val="center"/>
            <w:hideMark/>
          </w:tcPr>
          <w:p w14:paraId="08EEAFF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41" w:type="pct"/>
            <w:tcBorders>
              <w:top w:val="nil"/>
              <w:left w:val="nil"/>
              <w:bottom w:val="nil"/>
              <w:right w:val="nil"/>
            </w:tcBorders>
            <w:shd w:val="clear" w:color="000000" w:fill="FFFFFF"/>
            <w:noWrap/>
            <w:vAlign w:val="center"/>
            <w:hideMark/>
          </w:tcPr>
          <w:p w14:paraId="47E12A8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0.64%</w:t>
            </w:r>
          </w:p>
        </w:tc>
      </w:tr>
      <w:tr w:rsidR="006A523F" w:rsidRPr="006A523F" w14:paraId="5E1AF7FA" w14:textId="77777777" w:rsidTr="006A523F">
        <w:trPr>
          <w:trHeight w:val="20"/>
        </w:trPr>
        <w:tc>
          <w:tcPr>
            <w:tcW w:w="1172" w:type="pct"/>
            <w:tcBorders>
              <w:top w:val="nil"/>
              <w:left w:val="nil"/>
              <w:bottom w:val="nil"/>
              <w:right w:val="nil"/>
            </w:tcBorders>
            <w:shd w:val="clear" w:color="000000" w:fill="FFFFFF"/>
            <w:noWrap/>
            <w:vAlign w:val="center"/>
            <w:hideMark/>
          </w:tcPr>
          <w:p w14:paraId="49B2F9BD"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2015</w:t>
            </w:r>
          </w:p>
        </w:tc>
        <w:tc>
          <w:tcPr>
            <w:tcW w:w="770" w:type="pct"/>
            <w:tcBorders>
              <w:top w:val="nil"/>
              <w:left w:val="nil"/>
              <w:bottom w:val="nil"/>
              <w:right w:val="nil"/>
            </w:tcBorders>
            <w:shd w:val="clear" w:color="000000" w:fill="FFFFFF"/>
            <w:noWrap/>
            <w:vAlign w:val="bottom"/>
            <w:hideMark/>
          </w:tcPr>
          <w:p w14:paraId="722390D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912,954,043</w:t>
            </w:r>
          </w:p>
        </w:tc>
        <w:tc>
          <w:tcPr>
            <w:tcW w:w="658" w:type="pct"/>
            <w:tcBorders>
              <w:top w:val="nil"/>
              <w:left w:val="nil"/>
              <w:bottom w:val="nil"/>
              <w:right w:val="nil"/>
            </w:tcBorders>
            <w:shd w:val="clear" w:color="000000" w:fill="FFFFFF"/>
            <w:noWrap/>
            <w:vAlign w:val="center"/>
            <w:hideMark/>
          </w:tcPr>
          <w:p w14:paraId="597959E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0.64%</w:t>
            </w:r>
          </w:p>
        </w:tc>
        <w:tc>
          <w:tcPr>
            <w:tcW w:w="457" w:type="pct"/>
            <w:tcBorders>
              <w:top w:val="nil"/>
              <w:left w:val="nil"/>
              <w:bottom w:val="nil"/>
              <w:right w:val="nil"/>
            </w:tcBorders>
            <w:shd w:val="clear" w:color="000000" w:fill="FFFFFF"/>
            <w:noWrap/>
            <w:vAlign w:val="center"/>
            <w:hideMark/>
          </w:tcPr>
          <w:p w14:paraId="1F7A06A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0.36%</w:t>
            </w:r>
          </w:p>
        </w:tc>
        <w:tc>
          <w:tcPr>
            <w:tcW w:w="457" w:type="pct"/>
            <w:tcBorders>
              <w:top w:val="nil"/>
              <w:left w:val="nil"/>
              <w:bottom w:val="nil"/>
              <w:right w:val="nil"/>
            </w:tcBorders>
            <w:shd w:val="clear" w:color="000000" w:fill="FFFFFF"/>
            <w:noWrap/>
            <w:vAlign w:val="center"/>
            <w:hideMark/>
          </w:tcPr>
          <w:p w14:paraId="275DD61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c>
          <w:tcPr>
            <w:tcW w:w="498" w:type="pct"/>
            <w:tcBorders>
              <w:top w:val="nil"/>
              <w:left w:val="nil"/>
              <w:bottom w:val="nil"/>
              <w:right w:val="nil"/>
            </w:tcBorders>
            <w:shd w:val="clear" w:color="000000" w:fill="FFFFFF"/>
            <w:noWrap/>
            <w:vAlign w:val="center"/>
            <w:hideMark/>
          </w:tcPr>
          <w:p w14:paraId="55EAE44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546" w:type="pct"/>
            <w:tcBorders>
              <w:top w:val="nil"/>
              <w:left w:val="nil"/>
              <w:bottom w:val="nil"/>
              <w:right w:val="nil"/>
            </w:tcBorders>
            <w:shd w:val="clear" w:color="000000" w:fill="FFFFFF"/>
            <w:noWrap/>
            <w:vAlign w:val="center"/>
            <w:hideMark/>
          </w:tcPr>
          <w:p w14:paraId="2F44734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41" w:type="pct"/>
            <w:tcBorders>
              <w:top w:val="nil"/>
              <w:left w:val="nil"/>
              <w:bottom w:val="nil"/>
              <w:right w:val="nil"/>
            </w:tcBorders>
            <w:shd w:val="clear" w:color="000000" w:fill="FFFFFF"/>
            <w:noWrap/>
            <w:vAlign w:val="center"/>
            <w:hideMark/>
          </w:tcPr>
          <w:p w14:paraId="70072B7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0.63%</w:t>
            </w:r>
          </w:p>
        </w:tc>
      </w:tr>
      <w:tr w:rsidR="006A523F" w:rsidRPr="006A523F" w14:paraId="014930D1" w14:textId="77777777" w:rsidTr="006A523F">
        <w:trPr>
          <w:trHeight w:val="20"/>
        </w:trPr>
        <w:tc>
          <w:tcPr>
            <w:tcW w:w="1172" w:type="pct"/>
            <w:tcBorders>
              <w:top w:val="nil"/>
              <w:left w:val="nil"/>
              <w:bottom w:val="nil"/>
              <w:right w:val="nil"/>
            </w:tcBorders>
            <w:shd w:val="clear" w:color="000000" w:fill="FFFFFF"/>
            <w:noWrap/>
            <w:vAlign w:val="center"/>
            <w:hideMark/>
          </w:tcPr>
          <w:p w14:paraId="4BA80EF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2015</w:t>
            </w:r>
          </w:p>
        </w:tc>
        <w:tc>
          <w:tcPr>
            <w:tcW w:w="770" w:type="pct"/>
            <w:tcBorders>
              <w:top w:val="nil"/>
              <w:left w:val="nil"/>
              <w:bottom w:val="nil"/>
              <w:right w:val="nil"/>
            </w:tcBorders>
            <w:shd w:val="clear" w:color="000000" w:fill="FFFFFF"/>
            <w:noWrap/>
            <w:vAlign w:val="bottom"/>
            <w:hideMark/>
          </w:tcPr>
          <w:p w14:paraId="09529E6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908,150,414</w:t>
            </w:r>
          </w:p>
        </w:tc>
        <w:tc>
          <w:tcPr>
            <w:tcW w:w="658" w:type="pct"/>
            <w:tcBorders>
              <w:top w:val="nil"/>
              <w:left w:val="nil"/>
              <w:bottom w:val="nil"/>
              <w:right w:val="nil"/>
            </w:tcBorders>
            <w:shd w:val="clear" w:color="000000" w:fill="FFFFFF"/>
            <w:noWrap/>
            <w:vAlign w:val="center"/>
            <w:hideMark/>
          </w:tcPr>
          <w:p w14:paraId="4192ACC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0.65%</w:t>
            </w:r>
          </w:p>
        </w:tc>
        <w:tc>
          <w:tcPr>
            <w:tcW w:w="457" w:type="pct"/>
            <w:tcBorders>
              <w:top w:val="nil"/>
              <w:left w:val="nil"/>
              <w:bottom w:val="nil"/>
              <w:right w:val="nil"/>
            </w:tcBorders>
            <w:shd w:val="clear" w:color="000000" w:fill="FFFFFF"/>
            <w:noWrap/>
            <w:vAlign w:val="center"/>
            <w:hideMark/>
          </w:tcPr>
          <w:p w14:paraId="32FA46D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0.33%</w:t>
            </w:r>
          </w:p>
        </w:tc>
        <w:tc>
          <w:tcPr>
            <w:tcW w:w="457" w:type="pct"/>
            <w:tcBorders>
              <w:top w:val="nil"/>
              <w:left w:val="nil"/>
              <w:bottom w:val="nil"/>
              <w:right w:val="nil"/>
            </w:tcBorders>
            <w:shd w:val="clear" w:color="000000" w:fill="FFFFFF"/>
            <w:noWrap/>
            <w:vAlign w:val="center"/>
            <w:hideMark/>
          </w:tcPr>
          <w:p w14:paraId="467BD6E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c>
          <w:tcPr>
            <w:tcW w:w="498" w:type="pct"/>
            <w:tcBorders>
              <w:top w:val="nil"/>
              <w:left w:val="nil"/>
              <w:bottom w:val="nil"/>
              <w:right w:val="nil"/>
            </w:tcBorders>
            <w:shd w:val="clear" w:color="000000" w:fill="FFFFFF"/>
            <w:noWrap/>
            <w:vAlign w:val="center"/>
            <w:hideMark/>
          </w:tcPr>
          <w:p w14:paraId="17F05C5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546" w:type="pct"/>
            <w:tcBorders>
              <w:top w:val="nil"/>
              <w:left w:val="nil"/>
              <w:bottom w:val="nil"/>
              <w:right w:val="nil"/>
            </w:tcBorders>
            <w:shd w:val="clear" w:color="000000" w:fill="FFFFFF"/>
            <w:noWrap/>
            <w:vAlign w:val="center"/>
            <w:hideMark/>
          </w:tcPr>
          <w:p w14:paraId="7B13828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368401E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0.58%</w:t>
            </w:r>
          </w:p>
        </w:tc>
      </w:tr>
      <w:tr w:rsidR="006A523F" w:rsidRPr="006A523F" w14:paraId="184FFF05" w14:textId="77777777" w:rsidTr="006A523F">
        <w:trPr>
          <w:trHeight w:val="20"/>
        </w:trPr>
        <w:tc>
          <w:tcPr>
            <w:tcW w:w="1172" w:type="pct"/>
            <w:tcBorders>
              <w:top w:val="nil"/>
              <w:left w:val="nil"/>
              <w:bottom w:val="nil"/>
              <w:right w:val="nil"/>
            </w:tcBorders>
            <w:shd w:val="clear" w:color="000000" w:fill="FFFFFF"/>
            <w:noWrap/>
            <w:vAlign w:val="center"/>
            <w:hideMark/>
          </w:tcPr>
          <w:p w14:paraId="6FE2831C"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2015</w:t>
            </w:r>
          </w:p>
        </w:tc>
        <w:tc>
          <w:tcPr>
            <w:tcW w:w="770" w:type="pct"/>
            <w:tcBorders>
              <w:top w:val="nil"/>
              <w:left w:val="nil"/>
              <w:bottom w:val="nil"/>
              <w:right w:val="nil"/>
            </w:tcBorders>
            <w:shd w:val="clear" w:color="000000" w:fill="FFFFFF"/>
            <w:noWrap/>
            <w:vAlign w:val="bottom"/>
            <w:hideMark/>
          </w:tcPr>
          <w:p w14:paraId="5FCCCA6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905,586,212</w:t>
            </w:r>
          </w:p>
        </w:tc>
        <w:tc>
          <w:tcPr>
            <w:tcW w:w="658" w:type="pct"/>
            <w:tcBorders>
              <w:top w:val="nil"/>
              <w:left w:val="nil"/>
              <w:bottom w:val="nil"/>
              <w:right w:val="nil"/>
            </w:tcBorders>
            <w:shd w:val="clear" w:color="000000" w:fill="FFFFFF"/>
            <w:noWrap/>
            <w:vAlign w:val="center"/>
            <w:hideMark/>
          </w:tcPr>
          <w:p w14:paraId="4E7E835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0.41%</w:t>
            </w:r>
          </w:p>
        </w:tc>
        <w:tc>
          <w:tcPr>
            <w:tcW w:w="457" w:type="pct"/>
            <w:tcBorders>
              <w:top w:val="nil"/>
              <w:left w:val="nil"/>
              <w:bottom w:val="nil"/>
              <w:right w:val="nil"/>
            </w:tcBorders>
            <w:shd w:val="clear" w:color="000000" w:fill="FFFFFF"/>
            <w:noWrap/>
            <w:vAlign w:val="center"/>
            <w:hideMark/>
          </w:tcPr>
          <w:p w14:paraId="6681DFA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0.29%</w:t>
            </w:r>
          </w:p>
        </w:tc>
        <w:tc>
          <w:tcPr>
            <w:tcW w:w="457" w:type="pct"/>
            <w:tcBorders>
              <w:top w:val="nil"/>
              <w:left w:val="nil"/>
              <w:bottom w:val="nil"/>
              <w:right w:val="nil"/>
            </w:tcBorders>
            <w:shd w:val="clear" w:color="000000" w:fill="FFFFFF"/>
            <w:noWrap/>
            <w:vAlign w:val="center"/>
            <w:hideMark/>
          </w:tcPr>
          <w:p w14:paraId="1F6EAA5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c>
          <w:tcPr>
            <w:tcW w:w="498" w:type="pct"/>
            <w:tcBorders>
              <w:top w:val="nil"/>
              <w:left w:val="nil"/>
              <w:bottom w:val="nil"/>
              <w:right w:val="nil"/>
            </w:tcBorders>
            <w:shd w:val="clear" w:color="000000" w:fill="FFFFFF"/>
            <w:noWrap/>
            <w:vAlign w:val="center"/>
            <w:hideMark/>
          </w:tcPr>
          <w:p w14:paraId="738AACA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546" w:type="pct"/>
            <w:tcBorders>
              <w:top w:val="nil"/>
              <w:left w:val="nil"/>
              <w:bottom w:val="nil"/>
              <w:right w:val="nil"/>
            </w:tcBorders>
            <w:shd w:val="clear" w:color="000000" w:fill="FFFFFF"/>
            <w:noWrap/>
            <w:vAlign w:val="center"/>
            <w:hideMark/>
          </w:tcPr>
          <w:p w14:paraId="2A0EF1C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41" w:type="pct"/>
            <w:tcBorders>
              <w:top w:val="nil"/>
              <w:left w:val="nil"/>
              <w:bottom w:val="nil"/>
              <w:right w:val="nil"/>
            </w:tcBorders>
            <w:shd w:val="clear" w:color="000000" w:fill="FFFFFF"/>
            <w:noWrap/>
            <w:vAlign w:val="center"/>
            <w:hideMark/>
          </w:tcPr>
          <w:p w14:paraId="1A5DB75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0.57%</w:t>
            </w:r>
          </w:p>
        </w:tc>
      </w:tr>
      <w:tr w:rsidR="006A523F" w:rsidRPr="006A523F" w14:paraId="204DD126" w14:textId="77777777" w:rsidTr="006A523F">
        <w:trPr>
          <w:trHeight w:val="20"/>
        </w:trPr>
        <w:tc>
          <w:tcPr>
            <w:tcW w:w="1172" w:type="pct"/>
            <w:tcBorders>
              <w:top w:val="nil"/>
              <w:left w:val="nil"/>
              <w:bottom w:val="nil"/>
              <w:right w:val="nil"/>
            </w:tcBorders>
            <w:shd w:val="clear" w:color="000000" w:fill="FFFFFF"/>
            <w:noWrap/>
            <w:vAlign w:val="center"/>
            <w:hideMark/>
          </w:tcPr>
          <w:p w14:paraId="4FF717F1"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2016</w:t>
            </w:r>
          </w:p>
        </w:tc>
        <w:tc>
          <w:tcPr>
            <w:tcW w:w="770" w:type="pct"/>
            <w:tcBorders>
              <w:top w:val="nil"/>
              <w:left w:val="nil"/>
              <w:bottom w:val="nil"/>
              <w:right w:val="nil"/>
            </w:tcBorders>
            <w:shd w:val="clear" w:color="000000" w:fill="FFFFFF"/>
            <w:noWrap/>
            <w:vAlign w:val="bottom"/>
            <w:hideMark/>
          </w:tcPr>
          <w:p w14:paraId="555E4A1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878,337,027</w:t>
            </w:r>
          </w:p>
        </w:tc>
        <w:tc>
          <w:tcPr>
            <w:tcW w:w="658" w:type="pct"/>
            <w:tcBorders>
              <w:top w:val="nil"/>
              <w:left w:val="nil"/>
              <w:bottom w:val="nil"/>
              <w:right w:val="nil"/>
            </w:tcBorders>
            <w:shd w:val="clear" w:color="000000" w:fill="FFFFFF"/>
            <w:noWrap/>
            <w:vAlign w:val="center"/>
            <w:hideMark/>
          </w:tcPr>
          <w:p w14:paraId="1D4C865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0.55%</w:t>
            </w:r>
          </w:p>
        </w:tc>
        <w:tc>
          <w:tcPr>
            <w:tcW w:w="457" w:type="pct"/>
            <w:tcBorders>
              <w:top w:val="nil"/>
              <w:left w:val="nil"/>
              <w:bottom w:val="nil"/>
              <w:right w:val="nil"/>
            </w:tcBorders>
            <w:shd w:val="clear" w:color="000000" w:fill="FFFFFF"/>
            <w:noWrap/>
            <w:vAlign w:val="center"/>
            <w:hideMark/>
          </w:tcPr>
          <w:p w14:paraId="1BCB278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0.29%</w:t>
            </w:r>
          </w:p>
        </w:tc>
        <w:tc>
          <w:tcPr>
            <w:tcW w:w="457" w:type="pct"/>
            <w:tcBorders>
              <w:top w:val="nil"/>
              <w:left w:val="nil"/>
              <w:bottom w:val="nil"/>
              <w:right w:val="nil"/>
            </w:tcBorders>
            <w:shd w:val="clear" w:color="000000" w:fill="FFFFFF"/>
            <w:noWrap/>
            <w:vAlign w:val="center"/>
            <w:hideMark/>
          </w:tcPr>
          <w:p w14:paraId="5BB8310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0.10%</w:t>
            </w:r>
          </w:p>
        </w:tc>
        <w:tc>
          <w:tcPr>
            <w:tcW w:w="498" w:type="pct"/>
            <w:tcBorders>
              <w:top w:val="nil"/>
              <w:left w:val="nil"/>
              <w:bottom w:val="nil"/>
              <w:right w:val="nil"/>
            </w:tcBorders>
            <w:shd w:val="clear" w:color="000000" w:fill="FFFFFF"/>
            <w:noWrap/>
            <w:vAlign w:val="center"/>
            <w:hideMark/>
          </w:tcPr>
          <w:p w14:paraId="443E6C6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546" w:type="pct"/>
            <w:tcBorders>
              <w:top w:val="nil"/>
              <w:left w:val="nil"/>
              <w:bottom w:val="nil"/>
              <w:right w:val="nil"/>
            </w:tcBorders>
            <w:shd w:val="clear" w:color="000000" w:fill="FFFFFF"/>
            <w:noWrap/>
            <w:vAlign w:val="center"/>
            <w:hideMark/>
          </w:tcPr>
          <w:p w14:paraId="29D0A8F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441" w:type="pct"/>
            <w:tcBorders>
              <w:top w:val="nil"/>
              <w:left w:val="nil"/>
              <w:bottom w:val="nil"/>
              <w:right w:val="nil"/>
            </w:tcBorders>
            <w:shd w:val="clear" w:color="000000" w:fill="FFFFFF"/>
            <w:noWrap/>
            <w:vAlign w:val="center"/>
            <w:hideMark/>
          </w:tcPr>
          <w:p w14:paraId="44EF02D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0.57%</w:t>
            </w:r>
          </w:p>
        </w:tc>
      </w:tr>
      <w:tr w:rsidR="006A523F" w:rsidRPr="006A523F" w14:paraId="037280F0" w14:textId="77777777" w:rsidTr="006A523F">
        <w:trPr>
          <w:trHeight w:val="20"/>
        </w:trPr>
        <w:tc>
          <w:tcPr>
            <w:tcW w:w="1172" w:type="pct"/>
            <w:tcBorders>
              <w:top w:val="nil"/>
              <w:left w:val="nil"/>
              <w:bottom w:val="nil"/>
              <w:right w:val="nil"/>
            </w:tcBorders>
            <w:shd w:val="clear" w:color="000000" w:fill="FFFFFF"/>
            <w:noWrap/>
            <w:vAlign w:val="center"/>
            <w:hideMark/>
          </w:tcPr>
          <w:p w14:paraId="645D51C1"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2016</w:t>
            </w:r>
          </w:p>
        </w:tc>
        <w:tc>
          <w:tcPr>
            <w:tcW w:w="770" w:type="pct"/>
            <w:tcBorders>
              <w:top w:val="nil"/>
              <w:left w:val="nil"/>
              <w:bottom w:val="nil"/>
              <w:right w:val="nil"/>
            </w:tcBorders>
            <w:shd w:val="clear" w:color="000000" w:fill="FFFFFF"/>
            <w:noWrap/>
            <w:vAlign w:val="bottom"/>
            <w:hideMark/>
          </w:tcPr>
          <w:p w14:paraId="6B1646B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848,823,009</w:t>
            </w:r>
          </w:p>
        </w:tc>
        <w:tc>
          <w:tcPr>
            <w:tcW w:w="658" w:type="pct"/>
            <w:tcBorders>
              <w:top w:val="nil"/>
              <w:left w:val="nil"/>
              <w:bottom w:val="nil"/>
              <w:right w:val="nil"/>
            </w:tcBorders>
            <w:shd w:val="clear" w:color="000000" w:fill="FFFFFF"/>
            <w:noWrap/>
            <w:vAlign w:val="center"/>
            <w:hideMark/>
          </w:tcPr>
          <w:p w14:paraId="50A46A2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0.61%</w:t>
            </w:r>
          </w:p>
        </w:tc>
        <w:tc>
          <w:tcPr>
            <w:tcW w:w="457" w:type="pct"/>
            <w:tcBorders>
              <w:top w:val="nil"/>
              <w:left w:val="nil"/>
              <w:bottom w:val="nil"/>
              <w:right w:val="nil"/>
            </w:tcBorders>
            <w:shd w:val="clear" w:color="000000" w:fill="FFFFFF"/>
            <w:noWrap/>
            <w:vAlign w:val="center"/>
            <w:hideMark/>
          </w:tcPr>
          <w:p w14:paraId="4E89E5B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0.21%</w:t>
            </w:r>
          </w:p>
        </w:tc>
        <w:tc>
          <w:tcPr>
            <w:tcW w:w="457" w:type="pct"/>
            <w:tcBorders>
              <w:top w:val="nil"/>
              <w:left w:val="nil"/>
              <w:bottom w:val="nil"/>
              <w:right w:val="nil"/>
            </w:tcBorders>
            <w:shd w:val="clear" w:color="000000" w:fill="FFFFFF"/>
            <w:noWrap/>
            <w:vAlign w:val="center"/>
            <w:hideMark/>
          </w:tcPr>
          <w:p w14:paraId="1B3F4FA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c>
          <w:tcPr>
            <w:tcW w:w="498" w:type="pct"/>
            <w:tcBorders>
              <w:top w:val="nil"/>
              <w:left w:val="nil"/>
              <w:bottom w:val="nil"/>
              <w:right w:val="nil"/>
            </w:tcBorders>
            <w:shd w:val="clear" w:color="000000" w:fill="FFFFFF"/>
            <w:noWrap/>
            <w:vAlign w:val="center"/>
            <w:hideMark/>
          </w:tcPr>
          <w:p w14:paraId="66DF011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546" w:type="pct"/>
            <w:tcBorders>
              <w:top w:val="nil"/>
              <w:left w:val="nil"/>
              <w:bottom w:val="nil"/>
              <w:right w:val="nil"/>
            </w:tcBorders>
            <w:shd w:val="clear" w:color="000000" w:fill="FFFFFF"/>
            <w:noWrap/>
            <w:vAlign w:val="center"/>
            <w:hideMark/>
          </w:tcPr>
          <w:p w14:paraId="1439F09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41" w:type="pct"/>
            <w:tcBorders>
              <w:top w:val="nil"/>
              <w:left w:val="nil"/>
              <w:bottom w:val="nil"/>
              <w:right w:val="nil"/>
            </w:tcBorders>
            <w:shd w:val="clear" w:color="000000" w:fill="FFFFFF"/>
            <w:noWrap/>
            <w:vAlign w:val="center"/>
            <w:hideMark/>
          </w:tcPr>
          <w:p w14:paraId="0DD0199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0.58%</w:t>
            </w:r>
          </w:p>
        </w:tc>
      </w:tr>
      <w:tr w:rsidR="006A523F" w:rsidRPr="006A523F" w14:paraId="2D60B83F" w14:textId="77777777" w:rsidTr="006A523F">
        <w:trPr>
          <w:trHeight w:val="20"/>
        </w:trPr>
        <w:tc>
          <w:tcPr>
            <w:tcW w:w="1172" w:type="pct"/>
            <w:tcBorders>
              <w:top w:val="nil"/>
              <w:left w:val="nil"/>
              <w:bottom w:val="nil"/>
              <w:right w:val="nil"/>
            </w:tcBorders>
            <w:shd w:val="clear" w:color="000000" w:fill="FFFFFF"/>
            <w:noWrap/>
            <w:vAlign w:val="center"/>
            <w:hideMark/>
          </w:tcPr>
          <w:p w14:paraId="5AC92AD0"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2016</w:t>
            </w:r>
          </w:p>
        </w:tc>
        <w:tc>
          <w:tcPr>
            <w:tcW w:w="770" w:type="pct"/>
            <w:tcBorders>
              <w:top w:val="nil"/>
              <w:left w:val="nil"/>
              <w:bottom w:val="nil"/>
              <w:right w:val="nil"/>
            </w:tcBorders>
            <w:shd w:val="clear" w:color="000000" w:fill="FFFFFF"/>
            <w:noWrap/>
            <w:vAlign w:val="bottom"/>
            <w:hideMark/>
          </w:tcPr>
          <w:p w14:paraId="727C4D2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824,229,608</w:t>
            </w:r>
          </w:p>
        </w:tc>
        <w:tc>
          <w:tcPr>
            <w:tcW w:w="658" w:type="pct"/>
            <w:tcBorders>
              <w:top w:val="nil"/>
              <w:left w:val="nil"/>
              <w:bottom w:val="nil"/>
              <w:right w:val="nil"/>
            </w:tcBorders>
            <w:shd w:val="clear" w:color="000000" w:fill="FFFFFF"/>
            <w:noWrap/>
            <w:vAlign w:val="center"/>
            <w:hideMark/>
          </w:tcPr>
          <w:p w14:paraId="25A9622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0.56%</w:t>
            </w:r>
          </w:p>
        </w:tc>
        <w:tc>
          <w:tcPr>
            <w:tcW w:w="457" w:type="pct"/>
            <w:tcBorders>
              <w:top w:val="nil"/>
              <w:left w:val="nil"/>
              <w:bottom w:val="nil"/>
              <w:right w:val="nil"/>
            </w:tcBorders>
            <w:shd w:val="clear" w:color="000000" w:fill="FFFFFF"/>
            <w:noWrap/>
            <w:vAlign w:val="center"/>
            <w:hideMark/>
          </w:tcPr>
          <w:p w14:paraId="6E26816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0.22%</w:t>
            </w:r>
          </w:p>
        </w:tc>
        <w:tc>
          <w:tcPr>
            <w:tcW w:w="457" w:type="pct"/>
            <w:tcBorders>
              <w:top w:val="nil"/>
              <w:left w:val="nil"/>
              <w:bottom w:val="nil"/>
              <w:right w:val="nil"/>
            </w:tcBorders>
            <w:shd w:val="clear" w:color="000000" w:fill="FFFFFF"/>
            <w:noWrap/>
            <w:vAlign w:val="center"/>
            <w:hideMark/>
          </w:tcPr>
          <w:p w14:paraId="563F181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c>
          <w:tcPr>
            <w:tcW w:w="498" w:type="pct"/>
            <w:tcBorders>
              <w:top w:val="nil"/>
              <w:left w:val="nil"/>
              <w:bottom w:val="nil"/>
              <w:right w:val="nil"/>
            </w:tcBorders>
            <w:shd w:val="clear" w:color="000000" w:fill="FFFFFF"/>
            <w:noWrap/>
            <w:vAlign w:val="center"/>
            <w:hideMark/>
          </w:tcPr>
          <w:p w14:paraId="4D8C3C3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546" w:type="pct"/>
            <w:tcBorders>
              <w:top w:val="nil"/>
              <w:left w:val="nil"/>
              <w:bottom w:val="nil"/>
              <w:right w:val="nil"/>
            </w:tcBorders>
            <w:shd w:val="clear" w:color="000000" w:fill="FFFFFF"/>
            <w:noWrap/>
            <w:vAlign w:val="center"/>
            <w:hideMark/>
          </w:tcPr>
          <w:p w14:paraId="17EFE31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68E8285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0.56%</w:t>
            </w:r>
          </w:p>
        </w:tc>
      </w:tr>
      <w:tr w:rsidR="006A523F" w:rsidRPr="006A523F" w14:paraId="349E8ED1" w14:textId="77777777" w:rsidTr="006A523F">
        <w:trPr>
          <w:trHeight w:val="20"/>
        </w:trPr>
        <w:tc>
          <w:tcPr>
            <w:tcW w:w="1172" w:type="pct"/>
            <w:tcBorders>
              <w:top w:val="nil"/>
              <w:left w:val="nil"/>
              <w:bottom w:val="nil"/>
              <w:right w:val="nil"/>
            </w:tcBorders>
            <w:shd w:val="clear" w:color="000000" w:fill="FFFFFF"/>
            <w:noWrap/>
            <w:vAlign w:val="center"/>
            <w:hideMark/>
          </w:tcPr>
          <w:p w14:paraId="72892186"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2016</w:t>
            </w:r>
          </w:p>
        </w:tc>
        <w:tc>
          <w:tcPr>
            <w:tcW w:w="770" w:type="pct"/>
            <w:tcBorders>
              <w:top w:val="nil"/>
              <w:left w:val="nil"/>
              <w:bottom w:val="nil"/>
              <w:right w:val="nil"/>
            </w:tcBorders>
            <w:shd w:val="clear" w:color="000000" w:fill="FFFFFF"/>
            <w:noWrap/>
            <w:vAlign w:val="bottom"/>
            <w:hideMark/>
          </w:tcPr>
          <w:p w14:paraId="11D80D5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808,521,321</w:t>
            </w:r>
          </w:p>
        </w:tc>
        <w:tc>
          <w:tcPr>
            <w:tcW w:w="658" w:type="pct"/>
            <w:tcBorders>
              <w:top w:val="nil"/>
              <w:left w:val="nil"/>
              <w:bottom w:val="nil"/>
              <w:right w:val="nil"/>
            </w:tcBorders>
            <w:shd w:val="clear" w:color="000000" w:fill="FFFFFF"/>
            <w:noWrap/>
            <w:vAlign w:val="center"/>
            <w:hideMark/>
          </w:tcPr>
          <w:p w14:paraId="288384D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0.46%</w:t>
            </w:r>
          </w:p>
        </w:tc>
        <w:tc>
          <w:tcPr>
            <w:tcW w:w="457" w:type="pct"/>
            <w:tcBorders>
              <w:top w:val="nil"/>
              <w:left w:val="nil"/>
              <w:bottom w:val="nil"/>
              <w:right w:val="nil"/>
            </w:tcBorders>
            <w:shd w:val="clear" w:color="000000" w:fill="FFFFFF"/>
            <w:noWrap/>
            <w:vAlign w:val="center"/>
            <w:hideMark/>
          </w:tcPr>
          <w:p w14:paraId="588AF5B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0.29%</w:t>
            </w:r>
          </w:p>
        </w:tc>
        <w:tc>
          <w:tcPr>
            <w:tcW w:w="457" w:type="pct"/>
            <w:tcBorders>
              <w:top w:val="nil"/>
              <w:left w:val="nil"/>
              <w:bottom w:val="nil"/>
              <w:right w:val="nil"/>
            </w:tcBorders>
            <w:shd w:val="clear" w:color="000000" w:fill="FFFFFF"/>
            <w:noWrap/>
            <w:vAlign w:val="center"/>
            <w:hideMark/>
          </w:tcPr>
          <w:p w14:paraId="6601DC6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7072251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660638A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441" w:type="pct"/>
            <w:tcBorders>
              <w:top w:val="nil"/>
              <w:left w:val="nil"/>
              <w:bottom w:val="nil"/>
              <w:right w:val="nil"/>
            </w:tcBorders>
            <w:shd w:val="clear" w:color="000000" w:fill="FFFFFF"/>
            <w:noWrap/>
            <w:vAlign w:val="center"/>
            <w:hideMark/>
          </w:tcPr>
          <w:p w14:paraId="17B923C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0.52%</w:t>
            </w:r>
          </w:p>
        </w:tc>
      </w:tr>
      <w:tr w:rsidR="006A523F" w:rsidRPr="006A523F" w14:paraId="41D59597" w14:textId="77777777" w:rsidTr="006A523F">
        <w:trPr>
          <w:trHeight w:val="20"/>
        </w:trPr>
        <w:tc>
          <w:tcPr>
            <w:tcW w:w="1172" w:type="pct"/>
            <w:tcBorders>
              <w:top w:val="nil"/>
              <w:left w:val="nil"/>
              <w:bottom w:val="nil"/>
              <w:right w:val="nil"/>
            </w:tcBorders>
            <w:shd w:val="clear" w:color="000000" w:fill="FFFFFF"/>
            <w:noWrap/>
            <w:vAlign w:val="center"/>
            <w:hideMark/>
          </w:tcPr>
          <w:p w14:paraId="41D9B5A0"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2017</w:t>
            </w:r>
          </w:p>
        </w:tc>
        <w:tc>
          <w:tcPr>
            <w:tcW w:w="770" w:type="pct"/>
            <w:tcBorders>
              <w:top w:val="nil"/>
              <w:left w:val="nil"/>
              <w:bottom w:val="nil"/>
              <w:right w:val="nil"/>
            </w:tcBorders>
            <w:shd w:val="clear" w:color="000000" w:fill="FFFFFF"/>
            <w:noWrap/>
            <w:vAlign w:val="bottom"/>
            <w:hideMark/>
          </w:tcPr>
          <w:p w14:paraId="5819A2D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812,162,682</w:t>
            </w:r>
          </w:p>
        </w:tc>
        <w:tc>
          <w:tcPr>
            <w:tcW w:w="658" w:type="pct"/>
            <w:tcBorders>
              <w:top w:val="nil"/>
              <w:left w:val="nil"/>
              <w:bottom w:val="nil"/>
              <w:right w:val="nil"/>
            </w:tcBorders>
            <w:shd w:val="clear" w:color="000000" w:fill="FFFFFF"/>
            <w:noWrap/>
            <w:vAlign w:val="center"/>
            <w:hideMark/>
          </w:tcPr>
          <w:p w14:paraId="6A88617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0.58%</w:t>
            </w:r>
          </w:p>
        </w:tc>
        <w:tc>
          <w:tcPr>
            <w:tcW w:w="457" w:type="pct"/>
            <w:tcBorders>
              <w:top w:val="nil"/>
              <w:left w:val="nil"/>
              <w:bottom w:val="nil"/>
              <w:right w:val="nil"/>
            </w:tcBorders>
            <w:shd w:val="clear" w:color="000000" w:fill="FFFFFF"/>
            <w:noWrap/>
            <w:vAlign w:val="center"/>
            <w:hideMark/>
          </w:tcPr>
          <w:p w14:paraId="0D10639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0.28%</w:t>
            </w:r>
          </w:p>
        </w:tc>
        <w:tc>
          <w:tcPr>
            <w:tcW w:w="457" w:type="pct"/>
            <w:tcBorders>
              <w:top w:val="nil"/>
              <w:left w:val="nil"/>
              <w:bottom w:val="nil"/>
              <w:right w:val="nil"/>
            </w:tcBorders>
            <w:shd w:val="clear" w:color="000000" w:fill="FFFFFF"/>
            <w:noWrap/>
            <w:vAlign w:val="center"/>
            <w:hideMark/>
          </w:tcPr>
          <w:p w14:paraId="48C911F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c>
          <w:tcPr>
            <w:tcW w:w="498" w:type="pct"/>
            <w:tcBorders>
              <w:top w:val="nil"/>
              <w:left w:val="nil"/>
              <w:bottom w:val="nil"/>
              <w:right w:val="nil"/>
            </w:tcBorders>
            <w:shd w:val="clear" w:color="000000" w:fill="FFFFFF"/>
            <w:noWrap/>
            <w:vAlign w:val="center"/>
            <w:hideMark/>
          </w:tcPr>
          <w:p w14:paraId="64C1F09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546" w:type="pct"/>
            <w:tcBorders>
              <w:top w:val="nil"/>
              <w:left w:val="nil"/>
              <w:bottom w:val="nil"/>
              <w:right w:val="nil"/>
            </w:tcBorders>
            <w:shd w:val="clear" w:color="000000" w:fill="FFFFFF"/>
            <w:noWrap/>
            <w:vAlign w:val="center"/>
            <w:hideMark/>
          </w:tcPr>
          <w:p w14:paraId="7F389B5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39AD20F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0.45%</w:t>
            </w:r>
          </w:p>
        </w:tc>
      </w:tr>
      <w:tr w:rsidR="006A523F" w:rsidRPr="006A523F" w14:paraId="18FD7519" w14:textId="77777777" w:rsidTr="006A523F">
        <w:trPr>
          <w:trHeight w:val="20"/>
        </w:trPr>
        <w:tc>
          <w:tcPr>
            <w:tcW w:w="1172" w:type="pct"/>
            <w:tcBorders>
              <w:top w:val="nil"/>
              <w:left w:val="nil"/>
              <w:bottom w:val="nil"/>
              <w:right w:val="nil"/>
            </w:tcBorders>
            <w:shd w:val="clear" w:color="000000" w:fill="FFFFFF"/>
            <w:noWrap/>
            <w:vAlign w:val="center"/>
            <w:hideMark/>
          </w:tcPr>
          <w:p w14:paraId="39D8AC1B"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2017</w:t>
            </w:r>
          </w:p>
        </w:tc>
        <w:tc>
          <w:tcPr>
            <w:tcW w:w="770" w:type="pct"/>
            <w:tcBorders>
              <w:top w:val="nil"/>
              <w:left w:val="nil"/>
              <w:bottom w:val="nil"/>
              <w:right w:val="nil"/>
            </w:tcBorders>
            <w:shd w:val="clear" w:color="000000" w:fill="FFFFFF"/>
            <w:noWrap/>
            <w:vAlign w:val="bottom"/>
            <w:hideMark/>
          </w:tcPr>
          <w:p w14:paraId="484F5103"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835,272,358</w:t>
            </w:r>
          </w:p>
        </w:tc>
        <w:tc>
          <w:tcPr>
            <w:tcW w:w="658" w:type="pct"/>
            <w:tcBorders>
              <w:top w:val="nil"/>
              <w:left w:val="nil"/>
              <w:bottom w:val="nil"/>
              <w:right w:val="nil"/>
            </w:tcBorders>
            <w:shd w:val="clear" w:color="000000" w:fill="FFFFFF"/>
            <w:noWrap/>
            <w:vAlign w:val="center"/>
            <w:hideMark/>
          </w:tcPr>
          <w:p w14:paraId="25E3CBB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0.60%</w:t>
            </w:r>
          </w:p>
        </w:tc>
        <w:tc>
          <w:tcPr>
            <w:tcW w:w="457" w:type="pct"/>
            <w:tcBorders>
              <w:top w:val="nil"/>
              <w:left w:val="nil"/>
              <w:bottom w:val="nil"/>
              <w:right w:val="nil"/>
            </w:tcBorders>
            <w:shd w:val="clear" w:color="000000" w:fill="FFFFFF"/>
            <w:noWrap/>
            <w:vAlign w:val="center"/>
            <w:hideMark/>
          </w:tcPr>
          <w:p w14:paraId="2F09F27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0.19%</w:t>
            </w:r>
          </w:p>
        </w:tc>
        <w:tc>
          <w:tcPr>
            <w:tcW w:w="457" w:type="pct"/>
            <w:tcBorders>
              <w:top w:val="nil"/>
              <w:left w:val="nil"/>
              <w:bottom w:val="nil"/>
              <w:right w:val="nil"/>
            </w:tcBorders>
            <w:shd w:val="clear" w:color="000000" w:fill="FFFFFF"/>
            <w:noWrap/>
            <w:vAlign w:val="center"/>
            <w:hideMark/>
          </w:tcPr>
          <w:p w14:paraId="2BA846D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71B20D4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56B53E7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0229CF2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0.42%</w:t>
            </w:r>
          </w:p>
        </w:tc>
      </w:tr>
      <w:tr w:rsidR="006A523F" w:rsidRPr="006A523F" w14:paraId="04D33227" w14:textId="77777777" w:rsidTr="006A523F">
        <w:trPr>
          <w:trHeight w:val="20"/>
        </w:trPr>
        <w:tc>
          <w:tcPr>
            <w:tcW w:w="1172" w:type="pct"/>
            <w:tcBorders>
              <w:top w:val="nil"/>
              <w:left w:val="nil"/>
              <w:bottom w:val="nil"/>
              <w:right w:val="nil"/>
            </w:tcBorders>
            <w:shd w:val="clear" w:color="000000" w:fill="FFFFFF"/>
            <w:noWrap/>
            <w:vAlign w:val="center"/>
            <w:hideMark/>
          </w:tcPr>
          <w:p w14:paraId="4E81F6B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2017</w:t>
            </w:r>
          </w:p>
        </w:tc>
        <w:tc>
          <w:tcPr>
            <w:tcW w:w="770" w:type="pct"/>
            <w:tcBorders>
              <w:top w:val="nil"/>
              <w:left w:val="nil"/>
              <w:bottom w:val="nil"/>
              <w:right w:val="nil"/>
            </w:tcBorders>
            <w:shd w:val="clear" w:color="000000" w:fill="FFFFFF"/>
            <w:noWrap/>
            <w:vAlign w:val="bottom"/>
            <w:hideMark/>
          </w:tcPr>
          <w:p w14:paraId="6AE2583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868,089,681</w:t>
            </w:r>
          </w:p>
        </w:tc>
        <w:tc>
          <w:tcPr>
            <w:tcW w:w="658" w:type="pct"/>
            <w:tcBorders>
              <w:top w:val="nil"/>
              <w:left w:val="nil"/>
              <w:bottom w:val="nil"/>
              <w:right w:val="nil"/>
            </w:tcBorders>
            <w:shd w:val="clear" w:color="000000" w:fill="FFFFFF"/>
            <w:noWrap/>
            <w:vAlign w:val="center"/>
            <w:hideMark/>
          </w:tcPr>
          <w:p w14:paraId="085E32D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0.48%</w:t>
            </w:r>
          </w:p>
        </w:tc>
        <w:tc>
          <w:tcPr>
            <w:tcW w:w="457" w:type="pct"/>
            <w:tcBorders>
              <w:top w:val="nil"/>
              <w:left w:val="nil"/>
              <w:bottom w:val="nil"/>
              <w:right w:val="nil"/>
            </w:tcBorders>
            <w:shd w:val="clear" w:color="000000" w:fill="FFFFFF"/>
            <w:noWrap/>
            <w:vAlign w:val="center"/>
            <w:hideMark/>
          </w:tcPr>
          <w:p w14:paraId="20D1DA7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0.24%</w:t>
            </w:r>
          </w:p>
        </w:tc>
        <w:tc>
          <w:tcPr>
            <w:tcW w:w="457" w:type="pct"/>
            <w:tcBorders>
              <w:top w:val="nil"/>
              <w:left w:val="nil"/>
              <w:bottom w:val="nil"/>
              <w:right w:val="nil"/>
            </w:tcBorders>
            <w:shd w:val="clear" w:color="000000" w:fill="FFFFFF"/>
            <w:noWrap/>
            <w:vAlign w:val="center"/>
            <w:hideMark/>
          </w:tcPr>
          <w:p w14:paraId="2DB7F2E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04EF888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546" w:type="pct"/>
            <w:tcBorders>
              <w:top w:val="nil"/>
              <w:left w:val="nil"/>
              <w:bottom w:val="nil"/>
              <w:right w:val="nil"/>
            </w:tcBorders>
            <w:shd w:val="clear" w:color="000000" w:fill="FFFFFF"/>
            <w:noWrap/>
            <w:vAlign w:val="center"/>
            <w:hideMark/>
          </w:tcPr>
          <w:p w14:paraId="7455646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0AF8C61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0.38%</w:t>
            </w:r>
          </w:p>
        </w:tc>
      </w:tr>
      <w:tr w:rsidR="006A523F" w:rsidRPr="006A523F" w14:paraId="3647B3BF" w14:textId="77777777" w:rsidTr="006A523F">
        <w:trPr>
          <w:trHeight w:val="20"/>
        </w:trPr>
        <w:tc>
          <w:tcPr>
            <w:tcW w:w="1172" w:type="pct"/>
            <w:tcBorders>
              <w:top w:val="nil"/>
              <w:left w:val="nil"/>
              <w:bottom w:val="nil"/>
              <w:right w:val="nil"/>
            </w:tcBorders>
            <w:shd w:val="clear" w:color="000000" w:fill="FFFFFF"/>
            <w:noWrap/>
            <w:vAlign w:val="center"/>
            <w:hideMark/>
          </w:tcPr>
          <w:p w14:paraId="3537A99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2017</w:t>
            </w:r>
          </w:p>
        </w:tc>
        <w:tc>
          <w:tcPr>
            <w:tcW w:w="770" w:type="pct"/>
            <w:tcBorders>
              <w:top w:val="nil"/>
              <w:left w:val="nil"/>
              <w:bottom w:val="nil"/>
              <w:right w:val="nil"/>
            </w:tcBorders>
            <w:shd w:val="clear" w:color="000000" w:fill="FFFFFF"/>
            <w:noWrap/>
            <w:vAlign w:val="bottom"/>
            <w:hideMark/>
          </w:tcPr>
          <w:p w14:paraId="3371817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898,900,843</w:t>
            </w:r>
          </w:p>
        </w:tc>
        <w:tc>
          <w:tcPr>
            <w:tcW w:w="658" w:type="pct"/>
            <w:tcBorders>
              <w:top w:val="nil"/>
              <w:left w:val="nil"/>
              <w:bottom w:val="nil"/>
              <w:right w:val="nil"/>
            </w:tcBorders>
            <w:shd w:val="clear" w:color="000000" w:fill="FFFFFF"/>
            <w:noWrap/>
            <w:vAlign w:val="center"/>
            <w:hideMark/>
          </w:tcPr>
          <w:p w14:paraId="247F640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0.38%</w:t>
            </w:r>
          </w:p>
        </w:tc>
        <w:tc>
          <w:tcPr>
            <w:tcW w:w="457" w:type="pct"/>
            <w:tcBorders>
              <w:top w:val="nil"/>
              <w:left w:val="nil"/>
              <w:bottom w:val="nil"/>
              <w:right w:val="nil"/>
            </w:tcBorders>
            <w:shd w:val="clear" w:color="000000" w:fill="FFFFFF"/>
            <w:noWrap/>
            <w:vAlign w:val="center"/>
            <w:hideMark/>
          </w:tcPr>
          <w:p w14:paraId="462D3F2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0.24%</w:t>
            </w:r>
          </w:p>
        </w:tc>
        <w:tc>
          <w:tcPr>
            <w:tcW w:w="457" w:type="pct"/>
            <w:tcBorders>
              <w:top w:val="nil"/>
              <w:left w:val="nil"/>
              <w:bottom w:val="nil"/>
              <w:right w:val="nil"/>
            </w:tcBorders>
            <w:shd w:val="clear" w:color="000000" w:fill="FFFFFF"/>
            <w:noWrap/>
            <w:vAlign w:val="center"/>
            <w:hideMark/>
          </w:tcPr>
          <w:p w14:paraId="50DD8AF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5E2A36D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546" w:type="pct"/>
            <w:tcBorders>
              <w:top w:val="nil"/>
              <w:left w:val="nil"/>
              <w:bottom w:val="nil"/>
              <w:right w:val="nil"/>
            </w:tcBorders>
            <w:shd w:val="clear" w:color="000000" w:fill="FFFFFF"/>
            <w:noWrap/>
            <w:vAlign w:val="center"/>
            <w:hideMark/>
          </w:tcPr>
          <w:p w14:paraId="1485FC7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73343E5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0.36%</w:t>
            </w:r>
          </w:p>
        </w:tc>
      </w:tr>
      <w:tr w:rsidR="006A523F" w:rsidRPr="006A523F" w14:paraId="2ABD58AC" w14:textId="77777777" w:rsidTr="006A523F">
        <w:trPr>
          <w:trHeight w:val="20"/>
        </w:trPr>
        <w:tc>
          <w:tcPr>
            <w:tcW w:w="1172" w:type="pct"/>
            <w:tcBorders>
              <w:top w:val="nil"/>
              <w:left w:val="nil"/>
              <w:bottom w:val="nil"/>
              <w:right w:val="nil"/>
            </w:tcBorders>
            <w:shd w:val="clear" w:color="000000" w:fill="FFFFFF"/>
            <w:noWrap/>
            <w:vAlign w:val="center"/>
            <w:hideMark/>
          </w:tcPr>
          <w:p w14:paraId="77C765D9"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2018</w:t>
            </w:r>
          </w:p>
        </w:tc>
        <w:tc>
          <w:tcPr>
            <w:tcW w:w="770" w:type="pct"/>
            <w:tcBorders>
              <w:top w:val="nil"/>
              <w:left w:val="nil"/>
              <w:bottom w:val="nil"/>
              <w:right w:val="nil"/>
            </w:tcBorders>
            <w:shd w:val="clear" w:color="000000" w:fill="FFFFFF"/>
            <w:noWrap/>
            <w:vAlign w:val="bottom"/>
            <w:hideMark/>
          </w:tcPr>
          <w:p w14:paraId="379B3044"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956,390,957</w:t>
            </w:r>
          </w:p>
        </w:tc>
        <w:tc>
          <w:tcPr>
            <w:tcW w:w="658" w:type="pct"/>
            <w:tcBorders>
              <w:top w:val="nil"/>
              <w:left w:val="nil"/>
              <w:bottom w:val="nil"/>
              <w:right w:val="nil"/>
            </w:tcBorders>
            <w:shd w:val="clear" w:color="000000" w:fill="FFFFFF"/>
            <w:noWrap/>
            <w:vAlign w:val="center"/>
            <w:hideMark/>
          </w:tcPr>
          <w:p w14:paraId="5797730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0.45%</w:t>
            </w:r>
          </w:p>
        </w:tc>
        <w:tc>
          <w:tcPr>
            <w:tcW w:w="457" w:type="pct"/>
            <w:tcBorders>
              <w:top w:val="nil"/>
              <w:left w:val="nil"/>
              <w:bottom w:val="nil"/>
              <w:right w:val="nil"/>
            </w:tcBorders>
            <w:shd w:val="clear" w:color="000000" w:fill="FFFFFF"/>
            <w:noWrap/>
            <w:vAlign w:val="center"/>
            <w:hideMark/>
          </w:tcPr>
          <w:p w14:paraId="6825851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0.24%</w:t>
            </w:r>
          </w:p>
        </w:tc>
        <w:tc>
          <w:tcPr>
            <w:tcW w:w="457" w:type="pct"/>
            <w:tcBorders>
              <w:top w:val="nil"/>
              <w:left w:val="nil"/>
              <w:bottom w:val="nil"/>
              <w:right w:val="nil"/>
            </w:tcBorders>
            <w:shd w:val="clear" w:color="000000" w:fill="FFFFFF"/>
            <w:noWrap/>
            <w:vAlign w:val="center"/>
            <w:hideMark/>
          </w:tcPr>
          <w:p w14:paraId="027005F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1EA0E40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546" w:type="pct"/>
            <w:tcBorders>
              <w:top w:val="nil"/>
              <w:left w:val="nil"/>
              <w:bottom w:val="nil"/>
              <w:right w:val="nil"/>
            </w:tcBorders>
            <w:shd w:val="clear" w:color="000000" w:fill="FFFFFF"/>
            <w:noWrap/>
            <w:vAlign w:val="center"/>
            <w:hideMark/>
          </w:tcPr>
          <w:p w14:paraId="1D59264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001E700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0.30%</w:t>
            </w:r>
          </w:p>
        </w:tc>
      </w:tr>
      <w:tr w:rsidR="006A523F" w:rsidRPr="006A523F" w14:paraId="184AA060" w14:textId="77777777" w:rsidTr="006A523F">
        <w:trPr>
          <w:trHeight w:val="20"/>
        </w:trPr>
        <w:tc>
          <w:tcPr>
            <w:tcW w:w="1172" w:type="pct"/>
            <w:tcBorders>
              <w:top w:val="nil"/>
              <w:left w:val="nil"/>
              <w:bottom w:val="nil"/>
              <w:right w:val="nil"/>
            </w:tcBorders>
            <w:shd w:val="clear" w:color="000000" w:fill="FFFFFF"/>
            <w:noWrap/>
            <w:vAlign w:val="center"/>
            <w:hideMark/>
          </w:tcPr>
          <w:p w14:paraId="3CFF8FEF"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2018</w:t>
            </w:r>
          </w:p>
        </w:tc>
        <w:tc>
          <w:tcPr>
            <w:tcW w:w="770" w:type="pct"/>
            <w:tcBorders>
              <w:top w:val="nil"/>
              <w:left w:val="nil"/>
              <w:bottom w:val="nil"/>
              <w:right w:val="nil"/>
            </w:tcBorders>
            <w:shd w:val="clear" w:color="000000" w:fill="FFFFFF"/>
            <w:noWrap/>
            <w:vAlign w:val="bottom"/>
            <w:hideMark/>
          </w:tcPr>
          <w:p w14:paraId="334196B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1,023,710,045</w:t>
            </w:r>
          </w:p>
        </w:tc>
        <w:tc>
          <w:tcPr>
            <w:tcW w:w="658" w:type="pct"/>
            <w:tcBorders>
              <w:top w:val="nil"/>
              <w:left w:val="nil"/>
              <w:bottom w:val="nil"/>
              <w:right w:val="nil"/>
            </w:tcBorders>
            <w:shd w:val="clear" w:color="000000" w:fill="FFFFFF"/>
            <w:noWrap/>
            <w:vAlign w:val="center"/>
            <w:hideMark/>
          </w:tcPr>
          <w:p w14:paraId="763F007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0.49%</w:t>
            </w:r>
          </w:p>
        </w:tc>
        <w:tc>
          <w:tcPr>
            <w:tcW w:w="457" w:type="pct"/>
            <w:tcBorders>
              <w:top w:val="nil"/>
              <w:left w:val="nil"/>
              <w:bottom w:val="nil"/>
              <w:right w:val="nil"/>
            </w:tcBorders>
            <w:shd w:val="clear" w:color="000000" w:fill="FFFFFF"/>
            <w:noWrap/>
            <w:vAlign w:val="center"/>
            <w:hideMark/>
          </w:tcPr>
          <w:p w14:paraId="6A01618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0.19%</w:t>
            </w:r>
          </w:p>
        </w:tc>
        <w:tc>
          <w:tcPr>
            <w:tcW w:w="457" w:type="pct"/>
            <w:tcBorders>
              <w:top w:val="nil"/>
              <w:left w:val="nil"/>
              <w:bottom w:val="nil"/>
              <w:right w:val="nil"/>
            </w:tcBorders>
            <w:shd w:val="clear" w:color="000000" w:fill="FFFFFF"/>
            <w:noWrap/>
            <w:vAlign w:val="center"/>
            <w:hideMark/>
          </w:tcPr>
          <w:p w14:paraId="5206FD1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71272F2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0749751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41" w:type="pct"/>
            <w:tcBorders>
              <w:top w:val="nil"/>
              <w:left w:val="nil"/>
              <w:bottom w:val="nil"/>
              <w:right w:val="nil"/>
            </w:tcBorders>
            <w:shd w:val="clear" w:color="000000" w:fill="FFFFFF"/>
            <w:noWrap/>
            <w:vAlign w:val="center"/>
            <w:hideMark/>
          </w:tcPr>
          <w:p w14:paraId="281DBF8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0.27%</w:t>
            </w:r>
          </w:p>
        </w:tc>
      </w:tr>
      <w:tr w:rsidR="006A523F" w:rsidRPr="006A523F" w14:paraId="2317FD1E" w14:textId="77777777" w:rsidTr="006A523F">
        <w:trPr>
          <w:trHeight w:val="20"/>
        </w:trPr>
        <w:tc>
          <w:tcPr>
            <w:tcW w:w="1172" w:type="pct"/>
            <w:tcBorders>
              <w:top w:val="nil"/>
              <w:left w:val="nil"/>
              <w:bottom w:val="nil"/>
              <w:right w:val="nil"/>
            </w:tcBorders>
            <w:shd w:val="clear" w:color="000000" w:fill="FFFFFF"/>
            <w:noWrap/>
            <w:vAlign w:val="center"/>
            <w:hideMark/>
          </w:tcPr>
          <w:p w14:paraId="01F74B09"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2018</w:t>
            </w:r>
          </w:p>
        </w:tc>
        <w:tc>
          <w:tcPr>
            <w:tcW w:w="770" w:type="pct"/>
            <w:tcBorders>
              <w:top w:val="nil"/>
              <w:left w:val="nil"/>
              <w:bottom w:val="nil"/>
              <w:right w:val="nil"/>
            </w:tcBorders>
            <w:shd w:val="clear" w:color="000000" w:fill="FFFFFF"/>
            <w:noWrap/>
            <w:vAlign w:val="bottom"/>
            <w:hideMark/>
          </w:tcPr>
          <w:p w14:paraId="070648A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1,108,497,079</w:t>
            </w:r>
          </w:p>
        </w:tc>
        <w:tc>
          <w:tcPr>
            <w:tcW w:w="658" w:type="pct"/>
            <w:tcBorders>
              <w:top w:val="nil"/>
              <w:left w:val="nil"/>
              <w:bottom w:val="nil"/>
              <w:right w:val="nil"/>
            </w:tcBorders>
            <w:shd w:val="clear" w:color="000000" w:fill="FFFFFF"/>
            <w:noWrap/>
            <w:vAlign w:val="center"/>
            <w:hideMark/>
          </w:tcPr>
          <w:p w14:paraId="171ED55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0.47%</w:t>
            </w:r>
          </w:p>
        </w:tc>
        <w:tc>
          <w:tcPr>
            <w:tcW w:w="457" w:type="pct"/>
            <w:tcBorders>
              <w:top w:val="nil"/>
              <w:left w:val="nil"/>
              <w:bottom w:val="nil"/>
              <w:right w:val="nil"/>
            </w:tcBorders>
            <w:shd w:val="clear" w:color="000000" w:fill="FFFFFF"/>
            <w:noWrap/>
            <w:vAlign w:val="center"/>
            <w:hideMark/>
          </w:tcPr>
          <w:p w14:paraId="14EC2A5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0.17%</w:t>
            </w:r>
          </w:p>
        </w:tc>
        <w:tc>
          <w:tcPr>
            <w:tcW w:w="457" w:type="pct"/>
            <w:tcBorders>
              <w:top w:val="nil"/>
              <w:left w:val="nil"/>
              <w:bottom w:val="nil"/>
              <w:right w:val="nil"/>
            </w:tcBorders>
            <w:shd w:val="clear" w:color="000000" w:fill="FFFFFF"/>
            <w:noWrap/>
            <w:vAlign w:val="center"/>
            <w:hideMark/>
          </w:tcPr>
          <w:p w14:paraId="4320325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498" w:type="pct"/>
            <w:tcBorders>
              <w:top w:val="nil"/>
              <w:left w:val="nil"/>
              <w:bottom w:val="nil"/>
              <w:right w:val="nil"/>
            </w:tcBorders>
            <w:shd w:val="clear" w:color="000000" w:fill="FFFFFF"/>
            <w:noWrap/>
            <w:vAlign w:val="center"/>
            <w:hideMark/>
          </w:tcPr>
          <w:p w14:paraId="45380BA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546" w:type="pct"/>
            <w:tcBorders>
              <w:top w:val="nil"/>
              <w:left w:val="nil"/>
              <w:bottom w:val="nil"/>
              <w:right w:val="nil"/>
            </w:tcBorders>
            <w:shd w:val="clear" w:color="000000" w:fill="FFFFFF"/>
            <w:noWrap/>
            <w:vAlign w:val="center"/>
            <w:hideMark/>
          </w:tcPr>
          <w:p w14:paraId="1225131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335A1D0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0.25%</w:t>
            </w:r>
          </w:p>
        </w:tc>
      </w:tr>
      <w:tr w:rsidR="006A523F" w:rsidRPr="006A523F" w14:paraId="5ED826BA" w14:textId="77777777" w:rsidTr="006A523F">
        <w:trPr>
          <w:trHeight w:val="20"/>
        </w:trPr>
        <w:tc>
          <w:tcPr>
            <w:tcW w:w="1172" w:type="pct"/>
            <w:tcBorders>
              <w:top w:val="nil"/>
              <w:left w:val="nil"/>
              <w:bottom w:val="nil"/>
              <w:right w:val="nil"/>
            </w:tcBorders>
            <w:shd w:val="clear" w:color="000000" w:fill="FFFFFF"/>
            <w:noWrap/>
            <w:vAlign w:val="center"/>
            <w:hideMark/>
          </w:tcPr>
          <w:p w14:paraId="6A56397E"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2018</w:t>
            </w:r>
          </w:p>
        </w:tc>
        <w:tc>
          <w:tcPr>
            <w:tcW w:w="770" w:type="pct"/>
            <w:tcBorders>
              <w:top w:val="nil"/>
              <w:left w:val="nil"/>
              <w:bottom w:val="nil"/>
              <w:right w:val="nil"/>
            </w:tcBorders>
            <w:shd w:val="clear" w:color="000000" w:fill="FFFFFF"/>
            <w:noWrap/>
            <w:vAlign w:val="bottom"/>
            <w:hideMark/>
          </w:tcPr>
          <w:p w14:paraId="08E88F9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1,181,476,829</w:t>
            </w:r>
          </w:p>
        </w:tc>
        <w:tc>
          <w:tcPr>
            <w:tcW w:w="658" w:type="pct"/>
            <w:tcBorders>
              <w:top w:val="nil"/>
              <w:left w:val="nil"/>
              <w:bottom w:val="nil"/>
              <w:right w:val="nil"/>
            </w:tcBorders>
            <w:shd w:val="clear" w:color="000000" w:fill="FFFFFF"/>
            <w:noWrap/>
            <w:vAlign w:val="center"/>
            <w:hideMark/>
          </w:tcPr>
          <w:p w14:paraId="5CD8334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0.23%</w:t>
            </w:r>
          </w:p>
        </w:tc>
        <w:tc>
          <w:tcPr>
            <w:tcW w:w="457" w:type="pct"/>
            <w:tcBorders>
              <w:top w:val="nil"/>
              <w:left w:val="nil"/>
              <w:bottom w:val="nil"/>
              <w:right w:val="nil"/>
            </w:tcBorders>
            <w:shd w:val="clear" w:color="000000" w:fill="FFFFFF"/>
            <w:noWrap/>
            <w:vAlign w:val="center"/>
            <w:hideMark/>
          </w:tcPr>
          <w:p w14:paraId="6D34B5F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0.23%</w:t>
            </w:r>
          </w:p>
        </w:tc>
        <w:tc>
          <w:tcPr>
            <w:tcW w:w="457" w:type="pct"/>
            <w:tcBorders>
              <w:top w:val="nil"/>
              <w:left w:val="nil"/>
              <w:bottom w:val="nil"/>
              <w:right w:val="nil"/>
            </w:tcBorders>
            <w:shd w:val="clear" w:color="000000" w:fill="FFFFFF"/>
            <w:noWrap/>
            <w:vAlign w:val="center"/>
            <w:hideMark/>
          </w:tcPr>
          <w:p w14:paraId="1A367A6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498" w:type="pct"/>
            <w:tcBorders>
              <w:top w:val="nil"/>
              <w:left w:val="nil"/>
              <w:bottom w:val="nil"/>
              <w:right w:val="nil"/>
            </w:tcBorders>
            <w:shd w:val="clear" w:color="000000" w:fill="FFFFFF"/>
            <w:noWrap/>
            <w:vAlign w:val="center"/>
            <w:hideMark/>
          </w:tcPr>
          <w:p w14:paraId="3702DD5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03F2529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41" w:type="pct"/>
            <w:tcBorders>
              <w:top w:val="nil"/>
              <w:left w:val="nil"/>
              <w:bottom w:val="nil"/>
              <w:right w:val="nil"/>
            </w:tcBorders>
            <w:shd w:val="clear" w:color="000000" w:fill="FFFFFF"/>
            <w:noWrap/>
            <w:vAlign w:val="center"/>
            <w:hideMark/>
          </w:tcPr>
          <w:p w14:paraId="0257014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0.23%</w:t>
            </w:r>
          </w:p>
        </w:tc>
      </w:tr>
      <w:tr w:rsidR="006A523F" w:rsidRPr="006A523F" w14:paraId="7B0840E3" w14:textId="77777777" w:rsidTr="006A523F">
        <w:trPr>
          <w:trHeight w:val="20"/>
        </w:trPr>
        <w:tc>
          <w:tcPr>
            <w:tcW w:w="1172" w:type="pct"/>
            <w:tcBorders>
              <w:top w:val="nil"/>
              <w:left w:val="nil"/>
              <w:bottom w:val="nil"/>
              <w:right w:val="nil"/>
            </w:tcBorders>
            <w:shd w:val="clear" w:color="000000" w:fill="FFFFFF"/>
            <w:noWrap/>
            <w:vAlign w:val="center"/>
            <w:hideMark/>
          </w:tcPr>
          <w:p w14:paraId="2552A10A"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2019</w:t>
            </w:r>
          </w:p>
        </w:tc>
        <w:tc>
          <w:tcPr>
            <w:tcW w:w="770" w:type="pct"/>
            <w:tcBorders>
              <w:top w:val="nil"/>
              <w:left w:val="nil"/>
              <w:bottom w:val="nil"/>
              <w:right w:val="nil"/>
            </w:tcBorders>
            <w:shd w:val="clear" w:color="000000" w:fill="FFFFFF"/>
            <w:noWrap/>
            <w:vAlign w:val="bottom"/>
            <w:hideMark/>
          </w:tcPr>
          <w:p w14:paraId="6DF8C39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1,266,387,844</w:t>
            </w:r>
          </w:p>
        </w:tc>
        <w:tc>
          <w:tcPr>
            <w:tcW w:w="658" w:type="pct"/>
            <w:tcBorders>
              <w:top w:val="nil"/>
              <w:left w:val="nil"/>
              <w:bottom w:val="nil"/>
              <w:right w:val="nil"/>
            </w:tcBorders>
            <w:shd w:val="clear" w:color="000000" w:fill="FFFFFF"/>
            <w:noWrap/>
            <w:vAlign w:val="center"/>
            <w:hideMark/>
          </w:tcPr>
          <w:p w14:paraId="7B74523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0.42%</w:t>
            </w:r>
          </w:p>
        </w:tc>
        <w:tc>
          <w:tcPr>
            <w:tcW w:w="457" w:type="pct"/>
            <w:tcBorders>
              <w:top w:val="nil"/>
              <w:left w:val="nil"/>
              <w:bottom w:val="nil"/>
              <w:right w:val="nil"/>
            </w:tcBorders>
            <w:shd w:val="clear" w:color="000000" w:fill="FFFFFF"/>
            <w:noWrap/>
            <w:vAlign w:val="center"/>
            <w:hideMark/>
          </w:tcPr>
          <w:p w14:paraId="38830A9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0.17%</w:t>
            </w:r>
          </w:p>
        </w:tc>
        <w:tc>
          <w:tcPr>
            <w:tcW w:w="457" w:type="pct"/>
            <w:tcBorders>
              <w:top w:val="nil"/>
              <w:left w:val="nil"/>
              <w:bottom w:val="nil"/>
              <w:right w:val="nil"/>
            </w:tcBorders>
            <w:shd w:val="clear" w:color="000000" w:fill="FFFFFF"/>
            <w:noWrap/>
            <w:vAlign w:val="center"/>
            <w:hideMark/>
          </w:tcPr>
          <w:p w14:paraId="1639C0A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498" w:type="pct"/>
            <w:tcBorders>
              <w:top w:val="nil"/>
              <w:left w:val="nil"/>
              <w:bottom w:val="nil"/>
              <w:right w:val="nil"/>
            </w:tcBorders>
            <w:shd w:val="clear" w:color="000000" w:fill="FFFFFF"/>
            <w:noWrap/>
            <w:vAlign w:val="center"/>
            <w:hideMark/>
          </w:tcPr>
          <w:p w14:paraId="40A1C92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19AE8CE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5860221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0.24%</w:t>
            </w:r>
          </w:p>
        </w:tc>
      </w:tr>
      <w:tr w:rsidR="006A523F" w:rsidRPr="006A523F" w14:paraId="7343EBF1" w14:textId="77777777" w:rsidTr="006A523F">
        <w:trPr>
          <w:trHeight w:val="20"/>
        </w:trPr>
        <w:tc>
          <w:tcPr>
            <w:tcW w:w="1172" w:type="pct"/>
            <w:tcBorders>
              <w:top w:val="nil"/>
              <w:left w:val="nil"/>
              <w:bottom w:val="nil"/>
              <w:right w:val="nil"/>
            </w:tcBorders>
            <w:shd w:val="clear" w:color="000000" w:fill="FFFFFF"/>
            <w:noWrap/>
            <w:vAlign w:val="center"/>
            <w:hideMark/>
          </w:tcPr>
          <w:p w14:paraId="06AE4CB0"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2019</w:t>
            </w:r>
          </w:p>
        </w:tc>
        <w:tc>
          <w:tcPr>
            <w:tcW w:w="770" w:type="pct"/>
            <w:tcBorders>
              <w:top w:val="nil"/>
              <w:left w:val="nil"/>
              <w:bottom w:val="nil"/>
              <w:right w:val="nil"/>
            </w:tcBorders>
            <w:shd w:val="clear" w:color="000000" w:fill="FFFFFF"/>
            <w:noWrap/>
            <w:vAlign w:val="bottom"/>
            <w:hideMark/>
          </w:tcPr>
          <w:p w14:paraId="67C0B81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1,366,917,182</w:t>
            </w:r>
          </w:p>
        </w:tc>
        <w:tc>
          <w:tcPr>
            <w:tcW w:w="658" w:type="pct"/>
            <w:tcBorders>
              <w:top w:val="nil"/>
              <w:left w:val="nil"/>
              <w:bottom w:val="nil"/>
              <w:right w:val="nil"/>
            </w:tcBorders>
            <w:shd w:val="clear" w:color="000000" w:fill="FFFFFF"/>
            <w:noWrap/>
            <w:vAlign w:val="center"/>
            <w:hideMark/>
          </w:tcPr>
          <w:p w14:paraId="6763B82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0.42%</w:t>
            </w:r>
          </w:p>
        </w:tc>
        <w:tc>
          <w:tcPr>
            <w:tcW w:w="457" w:type="pct"/>
            <w:tcBorders>
              <w:top w:val="nil"/>
              <w:left w:val="nil"/>
              <w:bottom w:val="nil"/>
              <w:right w:val="nil"/>
            </w:tcBorders>
            <w:shd w:val="clear" w:color="000000" w:fill="FFFFFF"/>
            <w:noWrap/>
            <w:vAlign w:val="center"/>
            <w:hideMark/>
          </w:tcPr>
          <w:p w14:paraId="779D846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0.16%</w:t>
            </w:r>
          </w:p>
        </w:tc>
        <w:tc>
          <w:tcPr>
            <w:tcW w:w="457" w:type="pct"/>
            <w:tcBorders>
              <w:top w:val="nil"/>
              <w:left w:val="nil"/>
              <w:bottom w:val="nil"/>
              <w:right w:val="nil"/>
            </w:tcBorders>
            <w:shd w:val="clear" w:color="000000" w:fill="FFFFFF"/>
            <w:noWrap/>
            <w:vAlign w:val="center"/>
            <w:hideMark/>
          </w:tcPr>
          <w:p w14:paraId="70EDD03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6E58C10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5DF2835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3BA63B7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0.20%</w:t>
            </w:r>
          </w:p>
        </w:tc>
      </w:tr>
      <w:tr w:rsidR="006A523F" w:rsidRPr="006A523F" w14:paraId="4672703B" w14:textId="77777777" w:rsidTr="006A523F">
        <w:trPr>
          <w:trHeight w:val="20"/>
        </w:trPr>
        <w:tc>
          <w:tcPr>
            <w:tcW w:w="1172" w:type="pct"/>
            <w:tcBorders>
              <w:top w:val="nil"/>
              <w:left w:val="nil"/>
              <w:bottom w:val="nil"/>
              <w:right w:val="nil"/>
            </w:tcBorders>
            <w:shd w:val="clear" w:color="000000" w:fill="FFFFFF"/>
            <w:noWrap/>
            <w:vAlign w:val="center"/>
            <w:hideMark/>
          </w:tcPr>
          <w:p w14:paraId="0FBF60BC"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2019</w:t>
            </w:r>
          </w:p>
        </w:tc>
        <w:tc>
          <w:tcPr>
            <w:tcW w:w="770" w:type="pct"/>
            <w:tcBorders>
              <w:top w:val="nil"/>
              <w:left w:val="nil"/>
              <w:bottom w:val="nil"/>
              <w:right w:val="nil"/>
            </w:tcBorders>
            <w:shd w:val="clear" w:color="000000" w:fill="FFFFFF"/>
            <w:noWrap/>
            <w:vAlign w:val="bottom"/>
            <w:hideMark/>
          </w:tcPr>
          <w:p w14:paraId="3BEEBA3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1,443,005,534</w:t>
            </w:r>
          </w:p>
        </w:tc>
        <w:tc>
          <w:tcPr>
            <w:tcW w:w="658" w:type="pct"/>
            <w:tcBorders>
              <w:top w:val="nil"/>
              <w:left w:val="nil"/>
              <w:bottom w:val="nil"/>
              <w:right w:val="nil"/>
            </w:tcBorders>
            <w:shd w:val="clear" w:color="000000" w:fill="FFFFFF"/>
            <w:noWrap/>
            <w:vAlign w:val="center"/>
            <w:hideMark/>
          </w:tcPr>
          <w:p w14:paraId="506B2A2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0.39%</w:t>
            </w:r>
          </w:p>
        </w:tc>
        <w:tc>
          <w:tcPr>
            <w:tcW w:w="457" w:type="pct"/>
            <w:tcBorders>
              <w:top w:val="nil"/>
              <w:left w:val="nil"/>
              <w:bottom w:val="nil"/>
              <w:right w:val="nil"/>
            </w:tcBorders>
            <w:shd w:val="clear" w:color="000000" w:fill="FFFFFF"/>
            <w:noWrap/>
            <w:vAlign w:val="center"/>
            <w:hideMark/>
          </w:tcPr>
          <w:p w14:paraId="3A3DB16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0.17%</w:t>
            </w:r>
          </w:p>
        </w:tc>
        <w:tc>
          <w:tcPr>
            <w:tcW w:w="457" w:type="pct"/>
            <w:tcBorders>
              <w:top w:val="nil"/>
              <w:left w:val="nil"/>
              <w:bottom w:val="nil"/>
              <w:right w:val="nil"/>
            </w:tcBorders>
            <w:shd w:val="clear" w:color="000000" w:fill="FFFFFF"/>
            <w:noWrap/>
            <w:vAlign w:val="center"/>
            <w:hideMark/>
          </w:tcPr>
          <w:p w14:paraId="6BCC7B7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498" w:type="pct"/>
            <w:tcBorders>
              <w:top w:val="nil"/>
              <w:left w:val="nil"/>
              <w:bottom w:val="nil"/>
              <w:right w:val="nil"/>
            </w:tcBorders>
            <w:shd w:val="clear" w:color="000000" w:fill="FFFFFF"/>
            <w:noWrap/>
            <w:vAlign w:val="center"/>
            <w:hideMark/>
          </w:tcPr>
          <w:p w14:paraId="1EA9480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5F3D904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57D5F70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0.18%</w:t>
            </w:r>
          </w:p>
        </w:tc>
      </w:tr>
      <w:tr w:rsidR="006A523F" w:rsidRPr="006A523F" w14:paraId="12043108" w14:textId="77777777" w:rsidTr="006A523F">
        <w:trPr>
          <w:trHeight w:val="20"/>
        </w:trPr>
        <w:tc>
          <w:tcPr>
            <w:tcW w:w="1172" w:type="pct"/>
            <w:tcBorders>
              <w:top w:val="nil"/>
              <w:left w:val="nil"/>
              <w:bottom w:val="nil"/>
              <w:right w:val="nil"/>
            </w:tcBorders>
            <w:shd w:val="clear" w:color="000000" w:fill="FFFFFF"/>
            <w:noWrap/>
            <w:vAlign w:val="center"/>
            <w:hideMark/>
          </w:tcPr>
          <w:p w14:paraId="2F48531D"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2019</w:t>
            </w:r>
          </w:p>
        </w:tc>
        <w:tc>
          <w:tcPr>
            <w:tcW w:w="770" w:type="pct"/>
            <w:tcBorders>
              <w:top w:val="nil"/>
              <w:left w:val="nil"/>
              <w:bottom w:val="nil"/>
              <w:right w:val="nil"/>
            </w:tcBorders>
            <w:shd w:val="clear" w:color="000000" w:fill="FFFFFF"/>
            <w:noWrap/>
            <w:vAlign w:val="bottom"/>
            <w:hideMark/>
          </w:tcPr>
          <w:p w14:paraId="04A9448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1,544,591,015</w:t>
            </w:r>
          </w:p>
        </w:tc>
        <w:tc>
          <w:tcPr>
            <w:tcW w:w="658" w:type="pct"/>
            <w:tcBorders>
              <w:top w:val="nil"/>
              <w:left w:val="nil"/>
              <w:bottom w:val="nil"/>
              <w:right w:val="nil"/>
            </w:tcBorders>
            <w:shd w:val="clear" w:color="000000" w:fill="FFFFFF"/>
            <w:noWrap/>
            <w:vAlign w:val="center"/>
            <w:hideMark/>
          </w:tcPr>
          <w:p w14:paraId="6CB76D7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0.27%</w:t>
            </w:r>
          </w:p>
        </w:tc>
        <w:tc>
          <w:tcPr>
            <w:tcW w:w="457" w:type="pct"/>
            <w:tcBorders>
              <w:top w:val="nil"/>
              <w:left w:val="nil"/>
              <w:bottom w:val="nil"/>
              <w:right w:val="nil"/>
            </w:tcBorders>
            <w:shd w:val="clear" w:color="000000" w:fill="FFFFFF"/>
            <w:noWrap/>
            <w:vAlign w:val="center"/>
            <w:hideMark/>
          </w:tcPr>
          <w:p w14:paraId="53F09BA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0.18%</w:t>
            </w:r>
          </w:p>
        </w:tc>
        <w:tc>
          <w:tcPr>
            <w:tcW w:w="457" w:type="pct"/>
            <w:tcBorders>
              <w:top w:val="nil"/>
              <w:left w:val="nil"/>
              <w:bottom w:val="nil"/>
              <w:right w:val="nil"/>
            </w:tcBorders>
            <w:shd w:val="clear" w:color="000000" w:fill="FFFFFF"/>
            <w:noWrap/>
            <w:vAlign w:val="center"/>
            <w:hideMark/>
          </w:tcPr>
          <w:p w14:paraId="508FE22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3AE4E55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7A3FF4C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029E67E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0.18%</w:t>
            </w:r>
          </w:p>
        </w:tc>
      </w:tr>
      <w:tr w:rsidR="006A523F" w:rsidRPr="006A523F" w14:paraId="3375B3DC" w14:textId="77777777" w:rsidTr="006A523F">
        <w:trPr>
          <w:trHeight w:val="20"/>
        </w:trPr>
        <w:tc>
          <w:tcPr>
            <w:tcW w:w="1172" w:type="pct"/>
            <w:tcBorders>
              <w:top w:val="nil"/>
              <w:left w:val="nil"/>
              <w:bottom w:val="nil"/>
              <w:right w:val="nil"/>
            </w:tcBorders>
            <w:shd w:val="clear" w:color="000000" w:fill="FFFFFF"/>
            <w:noWrap/>
            <w:vAlign w:val="center"/>
            <w:hideMark/>
          </w:tcPr>
          <w:p w14:paraId="45D9B0E9"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2020</w:t>
            </w:r>
          </w:p>
        </w:tc>
        <w:tc>
          <w:tcPr>
            <w:tcW w:w="770" w:type="pct"/>
            <w:tcBorders>
              <w:top w:val="nil"/>
              <w:left w:val="nil"/>
              <w:bottom w:val="nil"/>
              <w:right w:val="nil"/>
            </w:tcBorders>
            <w:shd w:val="clear" w:color="000000" w:fill="FFFFFF"/>
            <w:noWrap/>
            <w:vAlign w:val="bottom"/>
            <w:hideMark/>
          </w:tcPr>
          <w:p w14:paraId="4B64C38B"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1,626,930,164</w:t>
            </w:r>
          </w:p>
        </w:tc>
        <w:tc>
          <w:tcPr>
            <w:tcW w:w="658" w:type="pct"/>
            <w:tcBorders>
              <w:top w:val="nil"/>
              <w:left w:val="nil"/>
              <w:bottom w:val="nil"/>
              <w:right w:val="nil"/>
            </w:tcBorders>
            <w:shd w:val="clear" w:color="000000" w:fill="FFFFFF"/>
            <w:noWrap/>
            <w:vAlign w:val="center"/>
            <w:hideMark/>
          </w:tcPr>
          <w:p w14:paraId="73AE90B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0.45%</w:t>
            </w:r>
          </w:p>
        </w:tc>
        <w:tc>
          <w:tcPr>
            <w:tcW w:w="457" w:type="pct"/>
            <w:tcBorders>
              <w:top w:val="nil"/>
              <w:left w:val="nil"/>
              <w:bottom w:val="nil"/>
              <w:right w:val="nil"/>
            </w:tcBorders>
            <w:shd w:val="clear" w:color="000000" w:fill="FFFFFF"/>
            <w:noWrap/>
            <w:vAlign w:val="center"/>
            <w:hideMark/>
          </w:tcPr>
          <w:p w14:paraId="0AF2F24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0.19%</w:t>
            </w:r>
          </w:p>
        </w:tc>
        <w:tc>
          <w:tcPr>
            <w:tcW w:w="457" w:type="pct"/>
            <w:tcBorders>
              <w:top w:val="nil"/>
              <w:left w:val="nil"/>
              <w:bottom w:val="nil"/>
              <w:right w:val="nil"/>
            </w:tcBorders>
            <w:shd w:val="clear" w:color="000000" w:fill="FFFFFF"/>
            <w:noWrap/>
            <w:vAlign w:val="center"/>
            <w:hideMark/>
          </w:tcPr>
          <w:p w14:paraId="25449AE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98" w:type="pct"/>
            <w:tcBorders>
              <w:top w:val="nil"/>
              <w:left w:val="nil"/>
              <w:bottom w:val="nil"/>
              <w:right w:val="nil"/>
            </w:tcBorders>
            <w:shd w:val="clear" w:color="000000" w:fill="FFFFFF"/>
            <w:noWrap/>
            <w:vAlign w:val="center"/>
            <w:hideMark/>
          </w:tcPr>
          <w:p w14:paraId="53F864D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7B4177C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199CE7C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0.16%</w:t>
            </w:r>
          </w:p>
        </w:tc>
      </w:tr>
      <w:tr w:rsidR="006A523F" w:rsidRPr="006A523F" w14:paraId="38617ED7" w14:textId="77777777" w:rsidTr="006A523F">
        <w:trPr>
          <w:trHeight w:val="20"/>
        </w:trPr>
        <w:tc>
          <w:tcPr>
            <w:tcW w:w="1172" w:type="pct"/>
            <w:tcBorders>
              <w:top w:val="nil"/>
              <w:left w:val="nil"/>
              <w:bottom w:val="nil"/>
              <w:right w:val="nil"/>
            </w:tcBorders>
            <w:shd w:val="clear" w:color="000000" w:fill="FFFFFF"/>
            <w:noWrap/>
            <w:vAlign w:val="center"/>
            <w:hideMark/>
          </w:tcPr>
          <w:p w14:paraId="4581D996"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2020</w:t>
            </w:r>
          </w:p>
        </w:tc>
        <w:tc>
          <w:tcPr>
            <w:tcW w:w="770" w:type="pct"/>
            <w:tcBorders>
              <w:top w:val="nil"/>
              <w:left w:val="nil"/>
              <w:bottom w:val="nil"/>
              <w:right w:val="nil"/>
            </w:tcBorders>
            <w:shd w:val="clear" w:color="000000" w:fill="FFFFFF"/>
            <w:noWrap/>
            <w:vAlign w:val="bottom"/>
            <w:hideMark/>
          </w:tcPr>
          <w:p w14:paraId="21852117"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1,666,259,707</w:t>
            </w:r>
          </w:p>
        </w:tc>
        <w:tc>
          <w:tcPr>
            <w:tcW w:w="658" w:type="pct"/>
            <w:tcBorders>
              <w:top w:val="nil"/>
              <w:left w:val="nil"/>
              <w:bottom w:val="nil"/>
              <w:right w:val="nil"/>
            </w:tcBorders>
            <w:shd w:val="clear" w:color="000000" w:fill="FFFFFF"/>
            <w:noWrap/>
            <w:vAlign w:val="center"/>
            <w:hideMark/>
          </w:tcPr>
          <w:p w14:paraId="0B5341C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0.31%</w:t>
            </w:r>
          </w:p>
        </w:tc>
        <w:tc>
          <w:tcPr>
            <w:tcW w:w="457" w:type="pct"/>
            <w:tcBorders>
              <w:top w:val="nil"/>
              <w:left w:val="nil"/>
              <w:bottom w:val="nil"/>
              <w:right w:val="nil"/>
            </w:tcBorders>
            <w:shd w:val="clear" w:color="000000" w:fill="FFFFFF"/>
            <w:noWrap/>
            <w:vAlign w:val="center"/>
            <w:hideMark/>
          </w:tcPr>
          <w:p w14:paraId="140F41A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c>
          <w:tcPr>
            <w:tcW w:w="457" w:type="pct"/>
            <w:tcBorders>
              <w:top w:val="nil"/>
              <w:left w:val="nil"/>
              <w:bottom w:val="nil"/>
              <w:right w:val="nil"/>
            </w:tcBorders>
            <w:shd w:val="clear" w:color="000000" w:fill="FFFFFF"/>
            <w:noWrap/>
            <w:vAlign w:val="center"/>
            <w:hideMark/>
          </w:tcPr>
          <w:p w14:paraId="2855FBF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05AFB58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546" w:type="pct"/>
            <w:tcBorders>
              <w:top w:val="nil"/>
              <w:left w:val="nil"/>
              <w:bottom w:val="nil"/>
              <w:right w:val="nil"/>
            </w:tcBorders>
            <w:shd w:val="clear" w:color="000000" w:fill="FFFFFF"/>
            <w:noWrap/>
            <w:vAlign w:val="center"/>
            <w:hideMark/>
          </w:tcPr>
          <w:p w14:paraId="40D2E4F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75A7908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0.15%</w:t>
            </w:r>
          </w:p>
        </w:tc>
      </w:tr>
      <w:tr w:rsidR="006A523F" w:rsidRPr="006A523F" w14:paraId="0AE43399" w14:textId="77777777" w:rsidTr="006A523F">
        <w:trPr>
          <w:trHeight w:val="20"/>
        </w:trPr>
        <w:tc>
          <w:tcPr>
            <w:tcW w:w="1172" w:type="pct"/>
            <w:tcBorders>
              <w:top w:val="nil"/>
              <w:left w:val="nil"/>
              <w:bottom w:val="nil"/>
              <w:right w:val="nil"/>
            </w:tcBorders>
            <w:shd w:val="clear" w:color="000000" w:fill="FFFFFF"/>
            <w:noWrap/>
            <w:vAlign w:val="center"/>
            <w:hideMark/>
          </w:tcPr>
          <w:p w14:paraId="0F4BBD46"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2020</w:t>
            </w:r>
          </w:p>
        </w:tc>
        <w:tc>
          <w:tcPr>
            <w:tcW w:w="770" w:type="pct"/>
            <w:tcBorders>
              <w:top w:val="nil"/>
              <w:left w:val="nil"/>
              <w:bottom w:val="nil"/>
              <w:right w:val="nil"/>
            </w:tcBorders>
            <w:shd w:val="clear" w:color="000000" w:fill="FFFFFF"/>
            <w:noWrap/>
            <w:vAlign w:val="bottom"/>
            <w:hideMark/>
          </w:tcPr>
          <w:p w14:paraId="67A8DEA0"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1,722,557,773</w:t>
            </w:r>
          </w:p>
        </w:tc>
        <w:tc>
          <w:tcPr>
            <w:tcW w:w="658" w:type="pct"/>
            <w:tcBorders>
              <w:top w:val="nil"/>
              <w:left w:val="nil"/>
              <w:bottom w:val="nil"/>
              <w:right w:val="nil"/>
            </w:tcBorders>
            <w:shd w:val="clear" w:color="000000" w:fill="FFFFFF"/>
            <w:noWrap/>
            <w:vAlign w:val="center"/>
            <w:hideMark/>
          </w:tcPr>
          <w:p w14:paraId="547182C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0.43%</w:t>
            </w:r>
          </w:p>
        </w:tc>
        <w:tc>
          <w:tcPr>
            <w:tcW w:w="457" w:type="pct"/>
            <w:tcBorders>
              <w:top w:val="nil"/>
              <w:left w:val="nil"/>
              <w:bottom w:val="nil"/>
              <w:right w:val="nil"/>
            </w:tcBorders>
            <w:shd w:val="clear" w:color="000000" w:fill="FFFFFF"/>
            <w:noWrap/>
            <w:vAlign w:val="center"/>
            <w:hideMark/>
          </w:tcPr>
          <w:p w14:paraId="21B3FB2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c>
          <w:tcPr>
            <w:tcW w:w="457" w:type="pct"/>
            <w:tcBorders>
              <w:top w:val="nil"/>
              <w:left w:val="nil"/>
              <w:bottom w:val="nil"/>
              <w:right w:val="nil"/>
            </w:tcBorders>
            <w:shd w:val="clear" w:color="000000" w:fill="FFFFFF"/>
            <w:noWrap/>
            <w:vAlign w:val="center"/>
            <w:hideMark/>
          </w:tcPr>
          <w:p w14:paraId="10B679E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0.06%</w:t>
            </w:r>
          </w:p>
        </w:tc>
        <w:tc>
          <w:tcPr>
            <w:tcW w:w="498" w:type="pct"/>
            <w:tcBorders>
              <w:top w:val="nil"/>
              <w:left w:val="nil"/>
              <w:bottom w:val="nil"/>
              <w:right w:val="nil"/>
            </w:tcBorders>
            <w:shd w:val="clear" w:color="000000" w:fill="FFFFFF"/>
            <w:noWrap/>
            <w:vAlign w:val="center"/>
            <w:hideMark/>
          </w:tcPr>
          <w:p w14:paraId="436F8D5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298E87E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5C0019A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0.15%</w:t>
            </w:r>
          </w:p>
        </w:tc>
      </w:tr>
      <w:tr w:rsidR="006A523F" w:rsidRPr="006A523F" w14:paraId="675FDAB9" w14:textId="77777777" w:rsidTr="006A523F">
        <w:trPr>
          <w:trHeight w:val="20"/>
        </w:trPr>
        <w:tc>
          <w:tcPr>
            <w:tcW w:w="1172" w:type="pct"/>
            <w:tcBorders>
              <w:top w:val="nil"/>
              <w:left w:val="nil"/>
              <w:bottom w:val="nil"/>
              <w:right w:val="nil"/>
            </w:tcBorders>
            <w:shd w:val="clear" w:color="000000" w:fill="FFFFFF"/>
            <w:noWrap/>
            <w:vAlign w:val="center"/>
            <w:hideMark/>
          </w:tcPr>
          <w:p w14:paraId="6F9C1C97"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2020</w:t>
            </w:r>
          </w:p>
        </w:tc>
        <w:tc>
          <w:tcPr>
            <w:tcW w:w="770" w:type="pct"/>
            <w:tcBorders>
              <w:top w:val="nil"/>
              <w:left w:val="nil"/>
              <w:bottom w:val="nil"/>
              <w:right w:val="nil"/>
            </w:tcBorders>
            <w:shd w:val="clear" w:color="000000" w:fill="FFFFFF"/>
            <w:noWrap/>
            <w:vAlign w:val="bottom"/>
            <w:hideMark/>
          </w:tcPr>
          <w:p w14:paraId="5301CCE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1,800,369,988</w:t>
            </w:r>
          </w:p>
        </w:tc>
        <w:tc>
          <w:tcPr>
            <w:tcW w:w="658" w:type="pct"/>
            <w:tcBorders>
              <w:top w:val="nil"/>
              <w:left w:val="nil"/>
              <w:bottom w:val="nil"/>
              <w:right w:val="nil"/>
            </w:tcBorders>
            <w:shd w:val="clear" w:color="000000" w:fill="FFFFFF"/>
            <w:noWrap/>
            <w:vAlign w:val="center"/>
            <w:hideMark/>
          </w:tcPr>
          <w:p w14:paraId="071ECA7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0.28%</w:t>
            </w:r>
          </w:p>
        </w:tc>
        <w:tc>
          <w:tcPr>
            <w:tcW w:w="457" w:type="pct"/>
            <w:tcBorders>
              <w:top w:val="nil"/>
              <w:left w:val="nil"/>
              <w:bottom w:val="nil"/>
              <w:right w:val="nil"/>
            </w:tcBorders>
            <w:shd w:val="clear" w:color="000000" w:fill="FFFFFF"/>
            <w:noWrap/>
            <w:vAlign w:val="center"/>
            <w:hideMark/>
          </w:tcPr>
          <w:p w14:paraId="4349ACB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c>
          <w:tcPr>
            <w:tcW w:w="457" w:type="pct"/>
            <w:tcBorders>
              <w:top w:val="nil"/>
              <w:left w:val="nil"/>
              <w:bottom w:val="nil"/>
              <w:right w:val="nil"/>
            </w:tcBorders>
            <w:shd w:val="clear" w:color="000000" w:fill="FFFFFF"/>
            <w:noWrap/>
            <w:vAlign w:val="center"/>
            <w:hideMark/>
          </w:tcPr>
          <w:p w14:paraId="7C74BE6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98" w:type="pct"/>
            <w:tcBorders>
              <w:top w:val="nil"/>
              <w:left w:val="nil"/>
              <w:bottom w:val="nil"/>
              <w:right w:val="nil"/>
            </w:tcBorders>
            <w:shd w:val="clear" w:color="000000" w:fill="FFFFFF"/>
            <w:noWrap/>
            <w:vAlign w:val="center"/>
            <w:hideMark/>
          </w:tcPr>
          <w:p w14:paraId="25B8626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2DA4219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0CA9C10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r>
      <w:tr w:rsidR="006A523F" w:rsidRPr="006A523F" w14:paraId="2DBDE16E" w14:textId="77777777" w:rsidTr="006A523F">
        <w:trPr>
          <w:trHeight w:val="20"/>
        </w:trPr>
        <w:tc>
          <w:tcPr>
            <w:tcW w:w="1172" w:type="pct"/>
            <w:tcBorders>
              <w:top w:val="nil"/>
              <w:left w:val="nil"/>
              <w:bottom w:val="nil"/>
              <w:right w:val="nil"/>
            </w:tcBorders>
            <w:shd w:val="clear" w:color="000000" w:fill="FFFFFF"/>
            <w:noWrap/>
            <w:vAlign w:val="center"/>
            <w:hideMark/>
          </w:tcPr>
          <w:p w14:paraId="6356E497"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2021</w:t>
            </w:r>
          </w:p>
        </w:tc>
        <w:tc>
          <w:tcPr>
            <w:tcW w:w="770" w:type="pct"/>
            <w:tcBorders>
              <w:top w:val="nil"/>
              <w:left w:val="nil"/>
              <w:bottom w:val="nil"/>
              <w:right w:val="nil"/>
            </w:tcBorders>
            <w:shd w:val="clear" w:color="000000" w:fill="FFFFFF"/>
            <w:noWrap/>
            <w:vAlign w:val="bottom"/>
            <w:hideMark/>
          </w:tcPr>
          <w:p w14:paraId="178C589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1,805,571,709</w:t>
            </w:r>
          </w:p>
        </w:tc>
        <w:tc>
          <w:tcPr>
            <w:tcW w:w="658" w:type="pct"/>
            <w:tcBorders>
              <w:top w:val="nil"/>
              <w:left w:val="nil"/>
              <w:bottom w:val="nil"/>
              <w:right w:val="nil"/>
            </w:tcBorders>
            <w:shd w:val="clear" w:color="000000" w:fill="FFFFFF"/>
            <w:noWrap/>
            <w:vAlign w:val="center"/>
            <w:hideMark/>
          </w:tcPr>
          <w:p w14:paraId="7E2F434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0.38%</w:t>
            </w:r>
          </w:p>
        </w:tc>
        <w:tc>
          <w:tcPr>
            <w:tcW w:w="457" w:type="pct"/>
            <w:tcBorders>
              <w:top w:val="nil"/>
              <w:left w:val="nil"/>
              <w:bottom w:val="nil"/>
              <w:right w:val="nil"/>
            </w:tcBorders>
            <w:shd w:val="clear" w:color="000000" w:fill="FFFFFF"/>
            <w:noWrap/>
            <w:vAlign w:val="center"/>
            <w:hideMark/>
          </w:tcPr>
          <w:p w14:paraId="76345A3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0.10%</w:t>
            </w:r>
          </w:p>
        </w:tc>
        <w:tc>
          <w:tcPr>
            <w:tcW w:w="457" w:type="pct"/>
            <w:tcBorders>
              <w:top w:val="nil"/>
              <w:left w:val="nil"/>
              <w:bottom w:val="nil"/>
              <w:right w:val="nil"/>
            </w:tcBorders>
            <w:shd w:val="clear" w:color="000000" w:fill="FFFFFF"/>
            <w:noWrap/>
            <w:vAlign w:val="center"/>
            <w:hideMark/>
          </w:tcPr>
          <w:p w14:paraId="51752FE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98" w:type="pct"/>
            <w:tcBorders>
              <w:top w:val="nil"/>
              <w:left w:val="nil"/>
              <w:bottom w:val="nil"/>
              <w:right w:val="nil"/>
            </w:tcBorders>
            <w:shd w:val="clear" w:color="000000" w:fill="FFFFFF"/>
            <w:noWrap/>
            <w:vAlign w:val="center"/>
            <w:hideMark/>
          </w:tcPr>
          <w:p w14:paraId="17BC18A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260B513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1B37261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r>
      <w:tr w:rsidR="006A523F" w:rsidRPr="006A523F" w14:paraId="29F0F369" w14:textId="77777777" w:rsidTr="006A523F">
        <w:trPr>
          <w:trHeight w:val="20"/>
        </w:trPr>
        <w:tc>
          <w:tcPr>
            <w:tcW w:w="1172" w:type="pct"/>
            <w:tcBorders>
              <w:top w:val="nil"/>
              <w:left w:val="nil"/>
              <w:bottom w:val="nil"/>
              <w:right w:val="nil"/>
            </w:tcBorders>
            <w:shd w:val="clear" w:color="000000" w:fill="FFFFFF"/>
            <w:noWrap/>
            <w:vAlign w:val="center"/>
            <w:hideMark/>
          </w:tcPr>
          <w:p w14:paraId="687E09F5"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2021</w:t>
            </w:r>
          </w:p>
        </w:tc>
        <w:tc>
          <w:tcPr>
            <w:tcW w:w="770" w:type="pct"/>
            <w:tcBorders>
              <w:top w:val="nil"/>
              <w:left w:val="nil"/>
              <w:bottom w:val="nil"/>
              <w:right w:val="nil"/>
            </w:tcBorders>
            <w:shd w:val="clear" w:color="000000" w:fill="FFFFFF"/>
            <w:noWrap/>
            <w:vAlign w:val="bottom"/>
            <w:hideMark/>
          </w:tcPr>
          <w:p w14:paraId="4650E36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1,883,783,714</w:t>
            </w:r>
          </w:p>
        </w:tc>
        <w:tc>
          <w:tcPr>
            <w:tcW w:w="658" w:type="pct"/>
            <w:tcBorders>
              <w:top w:val="nil"/>
              <w:left w:val="nil"/>
              <w:bottom w:val="nil"/>
              <w:right w:val="nil"/>
            </w:tcBorders>
            <w:shd w:val="clear" w:color="000000" w:fill="FFFFFF"/>
            <w:noWrap/>
            <w:vAlign w:val="center"/>
            <w:hideMark/>
          </w:tcPr>
          <w:p w14:paraId="2830D9B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0.36%</w:t>
            </w:r>
          </w:p>
        </w:tc>
        <w:tc>
          <w:tcPr>
            <w:tcW w:w="457" w:type="pct"/>
            <w:tcBorders>
              <w:top w:val="nil"/>
              <w:left w:val="nil"/>
              <w:bottom w:val="nil"/>
              <w:right w:val="nil"/>
            </w:tcBorders>
            <w:shd w:val="clear" w:color="000000" w:fill="FFFFFF"/>
            <w:noWrap/>
            <w:vAlign w:val="center"/>
            <w:hideMark/>
          </w:tcPr>
          <w:p w14:paraId="751DC9A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c>
          <w:tcPr>
            <w:tcW w:w="457" w:type="pct"/>
            <w:tcBorders>
              <w:top w:val="nil"/>
              <w:left w:val="nil"/>
              <w:bottom w:val="nil"/>
              <w:right w:val="nil"/>
            </w:tcBorders>
            <w:shd w:val="clear" w:color="000000" w:fill="FFFFFF"/>
            <w:noWrap/>
            <w:vAlign w:val="center"/>
            <w:hideMark/>
          </w:tcPr>
          <w:p w14:paraId="12CEDD8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98" w:type="pct"/>
            <w:tcBorders>
              <w:top w:val="nil"/>
              <w:left w:val="nil"/>
              <w:bottom w:val="nil"/>
              <w:right w:val="nil"/>
            </w:tcBorders>
            <w:shd w:val="clear" w:color="000000" w:fill="FFFFFF"/>
            <w:noWrap/>
            <w:vAlign w:val="center"/>
            <w:hideMark/>
          </w:tcPr>
          <w:p w14:paraId="251511E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345CBBE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64A1B02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r>
      <w:tr w:rsidR="006A523F" w:rsidRPr="006A523F" w14:paraId="11BD3F74" w14:textId="77777777" w:rsidTr="006A523F">
        <w:trPr>
          <w:trHeight w:val="20"/>
        </w:trPr>
        <w:tc>
          <w:tcPr>
            <w:tcW w:w="1172" w:type="pct"/>
            <w:tcBorders>
              <w:top w:val="nil"/>
              <w:left w:val="nil"/>
              <w:bottom w:val="nil"/>
              <w:right w:val="nil"/>
            </w:tcBorders>
            <w:shd w:val="clear" w:color="000000" w:fill="FFFFFF"/>
            <w:noWrap/>
            <w:vAlign w:val="center"/>
            <w:hideMark/>
          </w:tcPr>
          <w:p w14:paraId="1BB6D20C"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2021</w:t>
            </w:r>
          </w:p>
        </w:tc>
        <w:tc>
          <w:tcPr>
            <w:tcW w:w="770" w:type="pct"/>
            <w:tcBorders>
              <w:top w:val="nil"/>
              <w:left w:val="nil"/>
              <w:bottom w:val="nil"/>
              <w:right w:val="nil"/>
            </w:tcBorders>
            <w:shd w:val="clear" w:color="000000" w:fill="FFFFFF"/>
            <w:noWrap/>
            <w:vAlign w:val="bottom"/>
            <w:hideMark/>
          </w:tcPr>
          <w:p w14:paraId="4FA4D41A"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1,915,729,793</w:t>
            </w:r>
          </w:p>
        </w:tc>
        <w:tc>
          <w:tcPr>
            <w:tcW w:w="658" w:type="pct"/>
            <w:tcBorders>
              <w:top w:val="nil"/>
              <w:left w:val="nil"/>
              <w:bottom w:val="nil"/>
              <w:right w:val="nil"/>
            </w:tcBorders>
            <w:shd w:val="clear" w:color="000000" w:fill="FFFFFF"/>
            <w:noWrap/>
            <w:vAlign w:val="center"/>
            <w:hideMark/>
          </w:tcPr>
          <w:p w14:paraId="0169B6B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0.41%</w:t>
            </w:r>
          </w:p>
        </w:tc>
        <w:tc>
          <w:tcPr>
            <w:tcW w:w="457" w:type="pct"/>
            <w:tcBorders>
              <w:top w:val="nil"/>
              <w:left w:val="nil"/>
              <w:bottom w:val="nil"/>
              <w:right w:val="nil"/>
            </w:tcBorders>
            <w:shd w:val="clear" w:color="000000" w:fill="FFFFFF"/>
            <w:noWrap/>
            <w:vAlign w:val="center"/>
            <w:hideMark/>
          </w:tcPr>
          <w:p w14:paraId="4F92AEE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0.12%</w:t>
            </w:r>
          </w:p>
        </w:tc>
        <w:tc>
          <w:tcPr>
            <w:tcW w:w="457" w:type="pct"/>
            <w:tcBorders>
              <w:top w:val="nil"/>
              <w:left w:val="nil"/>
              <w:bottom w:val="nil"/>
              <w:right w:val="nil"/>
            </w:tcBorders>
            <w:shd w:val="clear" w:color="000000" w:fill="FFFFFF"/>
            <w:noWrap/>
            <w:vAlign w:val="center"/>
            <w:hideMark/>
          </w:tcPr>
          <w:p w14:paraId="494D488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498" w:type="pct"/>
            <w:tcBorders>
              <w:top w:val="nil"/>
              <w:left w:val="nil"/>
              <w:bottom w:val="nil"/>
              <w:right w:val="nil"/>
            </w:tcBorders>
            <w:shd w:val="clear" w:color="000000" w:fill="FFFFFF"/>
            <w:noWrap/>
            <w:vAlign w:val="center"/>
            <w:hideMark/>
          </w:tcPr>
          <w:p w14:paraId="34E57D6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6309928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0146BC9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0.12%</w:t>
            </w:r>
          </w:p>
        </w:tc>
      </w:tr>
      <w:tr w:rsidR="006A523F" w:rsidRPr="006A523F" w14:paraId="20BD177D" w14:textId="77777777" w:rsidTr="006A523F">
        <w:trPr>
          <w:trHeight w:val="20"/>
        </w:trPr>
        <w:tc>
          <w:tcPr>
            <w:tcW w:w="1172" w:type="pct"/>
            <w:tcBorders>
              <w:top w:val="nil"/>
              <w:left w:val="nil"/>
              <w:bottom w:val="nil"/>
              <w:right w:val="nil"/>
            </w:tcBorders>
            <w:shd w:val="clear" w:color="000000" w:fill="FFFFFF"/>
            <w:noWrap/>
            <w:vAlign w:val="center"/>
            <w:hideMark/>
          </w:tcPr>
          <w:p w14:paraId="2437F5C6"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2021</w:t>
            </w:r>
          </w:p>
        </w:tc>
        <w:tc>
          <w:tcPr>
            <w:tcW w:w="770" w:type="pct"/>
            <w:tcBorders>
              <w:top w:val="nil"/>
              <w:left w:val="nil"/>
              <w:bottom w:val="nil"/>
              <w:right w:val="nil"/>
            </w:tcBorders>
            <w:shd w:val="clear" w:color="000000" w:fill="FFFFFF"/>
            <w:noWrap/>
            <w:vAlign w:val="bottom"/>
            <w:hideMark/>
          </w:tcPr>
          <w:p w14:paraId="11DC677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1,965,110,884</w:t>
            </w:r>
          </w:p>
        </w:tc>
        <w:tc>
          <w:tcPr>
            <w:tcW w:w="658" w:type="pct"/>
            <w:tcBorders>
              <w:top w:val="nil"/>
              <w:left w:val="nil"/>
              <w:bottom w:val="nil"/>
              <w:right w:val="nil"/>
            </w:tcBorders>
            <w:shd w:val="clear" w:color="000000" w:fill="FFFFFF"/>
            <w:noWrap/>
            <w:vAlign w:val="center"/>
            <w:hideMark/>
          </w:tcPr>
          <w:p w14:paraId="4F7AEB3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0.34%</w:t>
            </w:r>
          </w:p>
        </w:tc>
        <w:tc>
          <w:tcPr>
            <w:tcW w:w="457" w:type="pct"/>
            <w:tcBorders>
              <w:top w:val="nil"/>
              <w:left w:val="nil"/>
              <w:bottom w:val="nil"/>
              <w:right w:val="nil"/>
            </w:tcBorders>
            <w:shd w:val="clear" w:color="000000" w:fill="FFFFFF"/>
            <w:noWrap/>
            <w:vAlign w:val="center"/>
            <w:hideMark/>
          </w:tcPr>
          <w:p w14:paraId="399F1D3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c>
          <w:tcPr>
            <w:tcW w:w="457" w:type="pct"/>
            <w:tcBorders>
              <w:top w:val="nil"/>
              <w:left w:val="nil"/>
              <w:bottom w:val="nil"/>
              <w:right w:val="nil"/>
            </w:tcBorders>
            <w:shd w:val="clear" w:color="000000" w:fill="FFFFFF"/>
            <w:noWrap/>
            <w:vAlign w:val="center"/>
            <w:hideMark/>
          </w:tcPr>
          <w:p w14:paraId="282FF8C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98" w:type="pct"/>
            <w:tcBorders>
              <w:top w:val="nil"/>
              <w:left w:val="nil"/>
              <w:bottom w:val="nil"/>
              <w:right w:val="nil"/>
            </w:tcBorders>
            <w:shd w:val="clear" w:color="000000" w:fill="FFFFFF"/>
            <w:noWrap/>
            <w:vAlign w:val="center"/>
            <w:hideMark/>
          </w:tcPr>
          <w:p w14:paraId="5366EC0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2E7A130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1C37B8E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r>
      <w:tr w:rsidR="006A523F" w:rsidRPr="006A523F" w14:paraId="50F29D5E" w14:textId="77777777" w:rsidTr="006A523F">
        <w:trPr>
          <w:trHeight w:val="20"/>
        </w:trPr>
        <w:tc>
          <w:tcPr>
            <w:tcW w:w="1172" w:type="pct"/>
            <w:tcBorders>
              <w:top w:val="nil"/>
              <w:left w:val="nil"/>
              <w:bottom w:val="nil"/>
              <w:right w:val="nil"/>
            </w:tcBorders>
            <w:shd w:val="clear" w:color="000000" w:fill="FFFFFF"/>
            <w:noWrap/>
            <w:vAlign w:val="center"/>
            <w:hideMark/>
          </w:tcPr>
          <w:p w14:paraId="113AD846"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2022</w:t>
            </w:r>
          </w:p>
        </w:tc>
        <w:tc>
          <w:tcPr>
            <w:tcW w:w="770" w:type="pct"/>
            <w:tcBorders>
              <w:top w:val="nil"/>
              <w:left w:val="nil"/>
              <w:bottom w:val="nil"/>
              <w:right w:val="nil"/>
            </w:tcBorders>
            <w:shd w:val="clear" w:color="000000" w:fill="FFFFFF"/>
            <w:noWrap/>
            <w:vAlign w:val="bottom"/>
            <w:hideMark/>
          </w:tcPr>
          <w:p w14:paraId="1987C24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1,979,479,056</w:t>
            </w:r>
          </w:p>
        </w:tc>
        <w:tc>
          <w:tcPr>
            <w:tcW w:w="658" w:type="pct"/>
            <w:tcBorders>
              <w:top w:val="nil"/>
              <w:left w:val="nil"/>
              <w:bottom w:val="nil"/>
              <w:right w:val="nil"/>
            </w:tcBorders>
            <w:shd w:val="clear" w:color="000000" w:fill="FFFFFF"/>
            <w:noWrap/>
            <w:vAlign w:val="center"/>
            <w:hideMark/>
          </w:tcPr>
          <w:p w14:paraId="0836121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0.41%</w:t>
            </w:r>
          </w:p>
        </w:tc>
        <w:tc>
          <w:tcPr>
            <w:tcW w:w="457" w:type="pct"/>
            <w:tcBorders>
              <w:top w:val="nil"/>
              <w:left w:val="nil"/>
              <w:bottom w:val="nil"/>
              <w:right w:val="nil"/>
            </w:tcBorders>
            <w:shd w:val="clear" w:color="000000" w:fill="FFFFFF"/>
            <w:noWrap/>
            <w:vAlign w:val="center"/>
            <w:hideMark/>
          </w:tcPr>
          <w:p w14:paraId="1D61ABF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0.10%</w:t>
            </w:r>
          </w:p>
        </w:tc>
        <w:tc>
          <w:tcPr>
            <w:tcW w:w="457" w:type="pct"/>
            <w:tcBorders>
              <w:top w:val="nil"/>
              <w:left w:val="nil"/>
              <w:bottom w:val="nil"/>
              <w:right w:val="nil"/>
            </w:tcBorders>
            <w:shd w:val="clear" w:color="000000" w:fill="FFFFFF"/>
            <w:noWrap/>
            <w:vAlign w:val="center"/>
            <w:hideMark/>
          </w:tcPr>
          <w:p w14:paraId="470EFCD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98" w:type="pct"/>
            <w:tcBorders>
              <w:top w:val="nil"/>
              <w:left w:val="nil"/>
              <w:bottom w:val="nil"/>
              <w:right w:val="nil"/>
            </w:tcBorders>
            <w:shd w:val="clear" w:color="000000" w:fill="FFFFFF"/>
            <w:noWrap/>
            <w:vAlign w:val="center"/>
            <w:hideMark/>
          </w:tcPr>
          <w:p w14:paraId="2507BE3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546" w:type="pct"/>
            <w:tcBorders>
              <w:top w:val="nil"/>
              <w:left w:val="nil"/>
              <w:bottom w:val="nil"/>
              <w:right w:val="nil"/>
            </w:tcBorders>
            <w:shd w:val="clear" w:color="000000" w:fill="FFFFFF"/>
            <w:noWrap/>
            <w:vAlign w:val="center"/>
            <w:hideMark/>
          </w:tcPr>
          <w:p w14:paraId="35184D1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00517B4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r>
      <w:tr w:rsidR="006A523F" w:rsidRPr="006A523F" w14:paraId="07F3D41B" w14:textId="77777777" w:rsidTr="006A523F">
        <w:trPr>
          <w:trHeight w:val="20"/>
        </w:trPr>
        <w:tc>
          <w:tcPr>
            <w:tcW w:w="1172" w:type="pct"/>
            <w:tcBorders>
              <w:top w:val="nil"/>
              <w:left w:val="nil"/>
              <w:bottom w:val="nil"/>
              <w:right w:val="nil"/>
            </w:tcBorders>
            <w:shd w:val="clear" w:color="000000" w:fill="FFFFFF"/>
            <w:noWrap/>
            <w:vAlign w:val="center"/>
            <w:hideMark/>
          </w:tcPr>
          <w:p w14:paraId="068C0BCD"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2022</w:t>
            </w:r>
          </w:p>
        </w:tc>
        <w:tc>
          <w:tcPr>
            <w:tcW w:w="770" w:type="pct"/>
            <w:tcBorders>
              <w:top w:val="nil"/>
              <w:left w:val="nil"/>
              <w:bottom w:val="nil"/>
              <w:right w:val="nil"/>
            </w:tcBorders>
            <w:shd w:val="clear" w:color="000000" w:fill="FFFFFF"/>
            <w:noWrap/>
            <w:vAlign w:val="bottom"/>
            <w:hideMark/>
          </w:tcPr>
          <w:p w14:paraId="45AD618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1,949,454,646</w:t>
            </w:r>
          </w:p>
        </w:tc>
        <w:tc>
          <w:tcPr>
            <w:tcW w:w="658" w:type="pct"/>
            <w:tcBorders>
              <w:top w:val="nil"/>
              <w:left w:val="nil"/>
              <w:bottom w:val="nil"/>
              <w:right w:val="nil"/>
            </w:tcBorders>
            <w:shd w:val="clear" w:color="000000" w:fill="FFFFFF"/>
            <w:noWrap/>
            <w:vAlign w:val="center"/>
            <w:hideMark/>
          </w:tcPr>
          <w:p w14:paraId="27828E3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0.38%</w:t>
            </w:r>
          </w:p>
        </w:tc>
        <w:tc>
          <w:tcPr>
            <w:tcW w:w="457" w:type="pct"/>
            <w:tcBorders>
              <w:top w:val="nil"/>
              <w:left w:val="nil"/>
              <w:bottom w:val="nil"/>
              <w:right w:val="nil"/>
            </w:tcBorders>
            <w:shd w:val="clear" w:color="000000" w:fill="FFFFFF"/>
            <w:noWrap/>
            <w:vAlign w:val="center"/>
            <w:hideMark/>
          </w:tcPr>
          <w:p w14:paraId="5697CE7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c>
          <w:tcPr>
            <w:tcW w:w="457" w:type="pct"/>
            <w:tcBorders>
              <w:top w:val="nil"/>
              <w:left w:val="nil"/>
              <w:bottom w:val="nil"/>
              <w:right w:val="nil"/>
            </w:tcBorders>
            <w:shd w:val="clear" w:color="000000" w:fill="FFFFFF"/>
            <w:noWrap/>
            <w:vAlign w:val="center"/>
            <w:hideMark/>
          </w:tcPr>
          <w:p w14:paraId="18D7B0C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98" w:type="pct"/>
            <w:tcBorders>
              <w:top w:val="nil"/>
              <w:left w:val="nil"/>
              <w:bottom w:val="nil"/>
              <w:right w:val="nil"/>
            </w:tcBorders>
            <w:shd w:val="clear" w:color="000000" w:fill="FFFFFF"/>
            <w:noWrap/>
            <w:vAlign w:val="center"/>
            <w:hideMark/>
          </w:tcPr>
          <w:p w14:paraId="25A6639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546" w:type="pct"/>
            <w:tcBorders>
              <w:top w:val="nil"/>
              <w:left w:val="nil"/>
              <w:bottom w:val="nil"/>
              <w:right w:val="nil"/>
            </w:tcBorders>
            <w:shd w:val="clear" w:color="000000" w:fill="FFFFFF"/>
            <w:noWrap/>
            <w:vAlign w:val="center"/>
            <w:hideMark/>
          </w:tcPr>
          <w:p w14:paraId="7B477DC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00B0568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r>
      <w:tr w:rsidR="006A523F" w:rsidRPr="006A523F" w14:paraId="49CE96E0" w14:textId="77777777" w:rsidTr="006A523F">
        <w:trPr>
          <w:trHeight w:val="20"/>
        </w:trPr>
        <w:tc>
          <w:tcPr>
            <w:tcW w:w="1172" w:type="pct"/>
            <w:tcBorders>
              <w:top w:val="nil"/>
              <w:left w:val="nil"/>
              <w:bottom w:val="nil"/>
              <w:right w:val="nil"/>
            </w:tcBorders>
            <w:shd w:val="clear" w:color="000000" w:fill="FFFFFF"/>
            <w:noWrap/>
            <w:vAlign w:val="center"/>
            <w:hideMark/>
          </w:tcPr>
          <w:p w14:paraId="301CD498"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2022</w:t>
            </w:r>
          </w:p>
        </w:tc>
        <w:tc>
          <w:tcPr>
            <w:tcW w:w="770" w:type="pct"/>
            <w:tcBorders>
              <w:top w:val="nil"/>
              <w:left w:val="nil"/>
              <w:bottom w:val="nil"/>
              <w:right w:val="nil"/>
            </w:tcBorders>
            <w:shd w:val="clear" w:color="000000" w:fill="FFFFFF"/>
            <w:noWrap/>
            <w:vAlign w:val="bottom"/>
            <w:hideMark/>
          </w:tcPr>
          <w:p w14:paraId="5D14A6D1"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1,905,703,326</w:t>
            </w:r>
          </w:p>
        </w:tc>
        <w:tc>
          <w:tcPr>
            <w:tcW w:w="658" w:type="pct"/>
            <w:tcBorders>
              <w:top w:val="nil"/>
              <w:left w:val="nil"/>
              <w:bottom w:val="nil"/>
              <w:right w:val="nil"/>
            </w:tcBorders>
            <w:shd w:val="clear" w:color="000000" w:fill="FFFFFF"/>
            <w:noWrap/>
            <w:vAlign w:val="center"/>
            <w:hideMark/>
          </w:tcPr>
          <w:p w14:paraId="7C508F1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0.39%</w:t>
            </w:r>
          </w:p>
        </w:tc>
        <w:tc>
          <w:tcPr>
            <w:tcW w:w="457" w:type="pct"/>
            <w:tcBorders>
              <w:top w:val="nil"/>
              <w:left w:val="nil"/>
              <w:bottom w:val="nil"/>
              <w:right w:val="nil"/>
            </w:tcBorders>
            <w:shd w:val="clear" w:color="000000" w:fill="FFFFFF"/>
            <w:noWrap/>
            <w:vAlign w:val="center"/>
            <w:hideMark/>
          </w:tcPr>
          <w:p w14:paraId="398DF10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c>
          <w:tcPr>
            <w:tcW w:w="457" w:type="pct"/>
            <w:tcBorders>
              <w:top w:val="nil"/>
              <w:left w:val="nil"/>
              <w:bottom w:val="nil"/>
              <w:right w:val="nil"/>
            </w:tcBorders>
            <w:shd w:val="clear" w:color="000000" w:fill="FFFFFF"/>
            <w:noWrap/>
            <w:vAlign w:val="center"/>
            <w:hideMark/>
          </w:tcPr>
          <w:p w14:paraId="156519B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98" w:type="pct"/>
            <w:tcBorders>
              <w:top w:val="nil"/>
              <w:left w:val="nil"/>
              <w:bottom w:val="nil"/>
              <w:right w:val="nil"/>
            </w:tcBorders>
            <w:shd w:val="clear" w:color="000000" w:fill="FFFFFF"/>
            <w:noWrap/>
            <w:vAlign w:val="center"/>
            <w:hideMark/>
          </w:tcPr>
          <w:p w14:paraId="6298A92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159EC41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06D58EA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0.10%</w:t>
            </w:r>
          </w:p>
        </w:tc>
      </w:tr>
      <w:tr w:rsidR="006A523F" w:rsidRPr="006A523F" w14:paraId="3C4A6F88" w14:textId="77777777" w:rsidTr="006A523F">
        <w:trPr>
          <w:trHeight w:val="20"/>
        </w:trPr>
        <w:tc>
          <w:tcPr>
            <w:tcW w:w="1172" w:type="pct"/>
            <w:tcBorders>
              <w:top w:val="nil"/>
              <w:left w:val="nil"/>
              <w:bottom w:val="nil"/>
              <w:right w:val="nil"/>
            </w:tcBorders>
            <w:shd w:val="clear" w:color="000000" w:fill="FFFFFF"/>
            <w:noWrap/>
            <w:vAlign w:val="center"/>
            <w:hideMark/>
          </w:tcPr>
          <w:p w14:paraId="157EF308"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2022</w:t>
            </w:r>
          </w:p>
        </w:tc>
        <w:tc>
          <w:tcPr>
            <w:tcW w:w="770" w:type="pct"/>
            <w:tcBorders>
              <w:top w:val="nil"/>
              <w:left w:val="nil"/>
              <w:bottom w:val="nil"/>
              <w:right w:val="nil"/>
            </w:tcBorders>
            <w:shd w:val="clear" w:color="000000" w:fill="FFFFFF"/>
            <w:noWrap/>
            <w:vAlign w:val="bottom"/>
            <w:hideMark/>
          </w:tcPr>
          <w:p w14:paraId="423E43B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1,909,382,871</w:t>
            </w:r>
          </w:p>
        </w:tc>
        <w:tc>
          <w:tcPr>
            <w:tcW w:w="658" w:type="pct"/>
            <w:tcBorders>
              <w:top w:val="nil"/>
              <w:left w:val="nil"/>
              <w:bottom w:val="nil"/>
              <w:right w:val="nil"/>
            </w:tcBorders>
            <w:shd w:val="clear" w:color="000000" w:fill="FFFFFF"/>
            <w:noWrap/>
            <w:vAlign w:val="center"/>
            <w:hideMark/>
          </w:tcPr>
          <w:p w14:paraId="69B873B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0.36%</w:t>
            </w:r>
          </w:p>
        </w:tc>
        <w:tc>
          <w:tcPr>
            <w:tcW w:w="457" w:type="pct"/>
            <w:tcBorders>
              <w:top w:val="nil"/>
              <w:left w:val="nil"/>
              <w:bottom w:val="nil"/>
              <w:right w:val="nil"/>
            </w:tcBorders>
            <w:shd w:val="clear" w:color="000000" w:fill="FFFFFF"/>
            <w:noWrap/>
            <w:vAlign w:val="center"/>
            <w:hideMark/>
          </w:tcPr>
          <w:p w14:paraId="643CCC3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c>
          <w:tcPr>
            <w:tcW w:w="457" w:type="pct"/>
            <w:tcBorders>
              <w:top w:val="nil"/>
              <w:left w:val="nil"/>
              <w:bottom w:val="nil"/>
              <w:right w:val="nil"/>
            </w:tcBorders>
            <w:shd w:val="clear" w:color="000000" w:fill="FFFFFF"/>
            <w:noWrap/>
            <w:vAlign w:val="center"/>
            <w:hideMark/>
          </w:tcPr>
          <w:p w14:paraId="0B740AF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498" w:type="pct"/>
            <w:tcBorders>
              <w:top w:val="nil"/>
              <w:left w:val="nil"/>
              <w:bottom w:val="nil"/>
              <w:right w:val="nil"/>
            </w:tcBorders>
            <w:shd w:val="clear" w:color="000000" w:fill="FFFFFF"/>
            <w:noWrap/>
            <w:vAlign w:val="center"/>
            <w:hideMark/>
          </w:tcPr>
          <w:p w14:paraId="7DD47DA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5BE5D2D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1AD6C4D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r>
      <w:tr w:rsidR="006A523F" w:rsidRPr="006A523F" w14:paraId="35F1C8E2" w14:textId="77777777" w:rsidTr="006A523F">
        <w:trPr>
          <w:trHeight w:val="20"/>
        </w:trPr>
        <w:tc>
          <w:tcPr>
            <w:tcW w:w="1172" w:type="pct"/>
            <w:tcBorders>
              <w:top w:val="nil"/>
              <w:left w:val="nil"/>
              <w:bottom w:val="nil"/>
              <w:right w:val="nil"/>
            </w:tcBorders>
            <w:shd w:val="clear" w:color="000000" w:fill="FFFFFF"/>
            <w:noWrap/>
            <w:vAlign w:val="center"/>
            <w:hideMark/>
          </w:tcPr>
          <w:p w14:paraId="0EA57ED0"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2023</w:t>
            </w:r>
          </w:p>
        </w:tc>
        <w:tc>
          <w:tcPr>
            <w:tcW w:w="770" w:type="pct"/>
            <w:tcBorders>
              <w:top w:val="nil"/>
              <w:left w:val="nil"/>
              <w:bottom w:val="nil"/>
              <w:right w:val="nil"/>
            </w:tcBorders>
            <w:shd w:val="clear" w:color="000000" w:fill="FFFFFF"/>
            <w:noWrap/>
            <w:vAlign w:val="bottom"/>
            <w:hideMark/>
          </w:tcPr>
          <w:p w14:paraId="7DFEB332"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1,882,072,409</w:t>
            </w:r>
          </w:p>
        </w:tc>
        <w:tc>
          <w:tcPr>
            <w:tcW w:w="658" w:type="pct"/>
            <w:tcBorders>
              <w:top w:val="nil"/>
              <w:left w:val="nil"/>
              <w:bottom w:val="nil"/>
              <w:right w:val="nil"/>
            </w:tcBorders>
            <w:shd w:val="clear" w:color="000000" w:fill="FFFFFF"/>
            <w:noWrap/>
            <w:vAlign w:val="center"/>
            <w:hideMark/>
          </w:tcPr>
          <w:p w14:paraId="2F2D89D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0.43%</w:t>
            </w:r>
          </w:p>
        </w:tc>
        <w:tc>
          <w:tcPr>
            <w:tcW w:w="457" w:type="pct"/>
            <w:tcBorders>
              <w:top w:val="nil"/>
              <w:left w:val="nil"/>
              <w:bottom w:val="nil"/>
              <w:right w:val="nil"/>
            </w:tcBorders>
            <w:shd w:val="clear" w:color="000000" w:fill="FFFFFF"/>
            <w:noWrap/>
            <w:vAlign w:val="center"/>
            <w:hideMark/>
          </w:tcPr>
          <w:p w14:paraId="010EB12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c>
          <w:tcPr>
            <w:tcW w:w="457" w:type="pct"/>
            <w:tcBorders>
              <w:top w:val="nil"/>
              <w:left w:val="nil"/>
              <w:bottom w:val="nil"/>
              <w:right w:val="nil"/>
            </w:tcBorders>
            <w:shd w:val="clear" w:color="000000" w:fill="FFFFFF"/>
            <w:noWrap/>
            <w:vAlign w:val="center"/>
            <w:hideMark/>
          </w:tcPr>
          <w:p w14:paraId="2BAE5AF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98" w:type="pct"/>
            <w:tcBorders>
              <w:top w:val="nil"/>
              <w:left w:val="nil"/>
              <w:bottom w:val="nil"/>
              <w:right w:val="nil"/>
            </w:tcBorders>
            <w:shd w:val="clear" w:color="000000" w:fill="FFFFFF"/>
            <w:noWrap/>
            <w:vAlign w:val="center"/>
            <w:hideMark/>
          </w:tcPr>
          <w:p w14:paraId="5AE57C7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30E5D84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7CA736E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r>
      <w:tr w:rsidR="006A523F" w:rsidRPr="006A523F" w14:paraId="4D371719" w14:textId="77777777" w:rsidTr="006A523F">
        <w:trPr>
          <w:trHeight w:val="20"/>
        </w:trPr>
        <w:tc>
          <w:tcPr>
            <w:tcW w:w="1172" w:type="pct"/>
            <w:tcBorders>
              <w:top w:val="nil"/>
              <w:left w:val="nil"/>
              <w:bottom w:val="nil"/>
              <w:right w:val="nil"/>
            </w:tcBorders>
            <w:shd w:val="clear" w:color="000000" w:fill="FFFFFF"/>
            <w:noWrap/>
            <w:vAlign w:val="center"/>
            <w:hideMark/>
          </w:tcPr>
          <w:p w14:paraId="17B449EA"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2023</w:t>
            </w:r>
          </w:p>
        </w:tc>
        <w:tc>
          <w:tcPr>
            <w:tcW w:w="770" w:type="pct"/>
            <w:tcBorders>
              <w:top w:val="nil"/>
              <w:left w:val="nil"/>
              <w:bottom w:val="nil"/>
              <w:right w:val="nil"/>
            </w:tcBorders>
            <w:shd w:val="clear" w:color="000000" w:fill="FFFFFF"/>
            <w:noWrap/>
            <w:vAlign w:val="bottom"/>
            <w:hideMark/>
          </w:tcPr>
          <w:p w14:paraId="7A84583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1,890,366,680</w:t>
            </w:r>
          </w:p>
        </w:tc>
        <w:tc>
          <w:tcPr>
            <w:tcW w:w="658" w:type="pct"/>
            <w:tcBorders>
              <w:top w:val="nil"/>
              <w:left w:val="nil"/>
              <w:bottom w:val="nil"/>
              <w:right w:val="nil"/>
            </w:tcBorders>
            <w:shd w:val="clear" w:color="000000" w:fill="FFFFFF"/>
            <w:noWrap/>
            <w:vAlign w:val="center"/>
            <w:hideMark/>
          </w:tcPr>
          <w:p w14:paraId="423A323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0.44%</w:t>
            </w:r>
          </w:p>
        </w:tc>
        <w:tc>
          <w:tcPr>
            <w:tcW w:w="457" w:type="pct"/>
            <w:tcBorders>
              <w:top w:val="nil"/>
              <w:left w:val="nil"/>
              <w:bottom w:val="nil"/>
              <w:right w:val="nil"/>
            </w:tcBorders>
            <w:shd w:val="clear" w:color="000000" w:fill="FFFFFF"/>
            <w:noWrap/>
            <w:vAlign w:val="center"/>
            <w:hideMark/>
          </w:tcPr>
          <w:p w14:paraId="4DA647C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0.12%</w:t>
            </w:r>
          </w:p>
        </w:tc>
        <w:tc>
          <w:tcPr>
            <w:tcW w:w="457" w:type="pct"/>
            <w:tcBorders>
              <w:top w:val="nil"/>
              <w:left w:val="nil"/>
              <w:bottom w:val="nil"/>
              <w:right w:val="nil"/>
            </w:tcBorders>
            <w:shd w:val="clear" w:color="000000" w:fill="FFFFFF"/>
            <w:noWrap/>
            <w:vAlign w:val="center"/>
            <w:hideMark/>
          </w:tcPr>
          <w:p w14:paraId="7F1C22D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98" w:type="pct"/>
            <w:tcBorders>
              <w:top w:val="nil"/>
              <w:left w:val="nil"/>
              <w:bottom w:val="nil"/>
              <w:right w:val="nil"/>
            </w:tcBorders>
            <w:shd w:val="clear" w:color="000000" w:fill="FFFFFF"/>
            <w:noWrap/>
            <w:vAlign w:val="center"/>
            <w:hideMark/>
          </w:tcPr>
          <w:p w14:paraId="7571568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1810D9A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597A8B1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0.11%</w:t>
            </w:r>
          </w:p>
        </w:tc>
      </w:tr>
      <w:tr w:rsidR="006A523F" w:rsidRPr="006A523F" w14:paraId="11EB59AF" w14:textId="77777777" w:rsidTr="006A523F">
        <w:trPr>
          <w:trHeight w:val="20"/>
        </w:trPr>
        <w:tc>
          <w:tcPr>
            <w:tcW w:w="1172" w:type="pct"/>
            <w:tcBorders>
              <w:top w:val="nil"/>
              <w:left w:val="nil"/>
              <w:bottom w:val="nil"/>
              <w:right w:val="nil"/>
            </w:tcBorders>
            <w:shd w:val="clear" w:color="000000" w:fill="FFFFFF"/>
            <w:noWrap/>
            <w:vAlign w:val="center"/>
            <w:hideMark/>
          </w:tcPr>
          <w:p w14:paraId="557DEBD4"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2023</w:t>
            </w:r>
          </w:p>
        </w:tc>
        <w:tc>
          <w:tcPr>
            <w:tcW w:w="770" w:type="pct"/>
            <w:tcBorders>
              <w:top w:val="nil"/>
              <w:left w:val="nil"/>
              <w:bottom w:val="nil"/>
              <w:right w:val="nil"/>
            </w:tcBorders>
            <w:shd w:val="clear" w:color="000000" w:fill="FFFFFF"/>
            <w:noWrap/>
            <w:vAlign w:val="bottom"/>
            <w:hideMark/>
          </w:tcPr>
          <w:p w14:paraId="5ACD045F"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2,104,758,321</w:t>
            </w:r>
          </w:p>
        </w:tc>
        <w:tc>
          <w:tcPr>
            <w:tcW w:w="658" w:type="pct"/>
            <w:tcBorders>
              <w:top w:val="nil"/>
              <w:left w:val="nil"/>
              <w:bottom w:val="nil"/>
              <w:right w:val="nil"/>
            </w:tcBorders>
            <w:shd w:val="clear" w:color="000000" w:fill="FFFFFF"/>
            <w:noWrap/>
            <w:vAlign w:val="center"/>
            <w:hideMark/>
          </w:tcPr>
          <w:p w14:paraId="062DA0F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0.38%</w:t>
            </w:r>
          </w:p>
        </w:tc>
        <w:tc>
          <w:tcPr>
            <w:tcW w:w="457" w:type="pct"/>
            <w:tcBorders>
              <w:top w:val="nil"/>
              <w:left w:val="nil"/>
              <w:bottom w:val="nil"/>
              <w:right w:val="nil"/>
            </w:tcBorders>
            <w:shd w:val="clear" w:color="000000" w:fill="FFFFFF"/>
            <w:noWrap/>
            <w:vAlign w:val="center"/>
            <w:hideMark/>
          </w:tcPr>
          <w:p w14:paraId="1F85895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c>
          <w:tcPr>
            <w:tcW w:w="457" w:type="pct"/>
            <w:tcBorders>
              <w:top w:val="nil"/>
              <w:left w:val="nil"/>
              <w:bottom w:val="nil"/>
              <w:right w:val="nil"/>
            </w:tcBorders>
            <w:shd w:val="clear" w:color="000000" w:fill="FFFFFF"/>
            <w:noWrap/>
            <w:vAlign w:val="center"/>
            <w:hideMark/>
          </w:tcPr>
          <w:p w14:paraId="60F18A8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98" w:type="pct"/>
            <w:tcBorders>
              <w:top w:val="nil"/>
              <w:left w:val="nil"/>
              <w:bottom w:val="nil"/>
              <w:right w:val="nil"/>
            </w:tcBorders>
            <w:shd w:val="clear" w:color="000000" w:fill="FFFFFF"/>
            <w:noWrap/>
            <w:vAlign w:val="center"/>
            <w:hideMark/>
          </w:tcPr>
          <w:p w14:paraId="2D5BDC98"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382A899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52EE101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0.10%</w:t>
            </w:r>
          </w:p>
        </w:tc>
      </w:tr>
      <w:tr w:rsidR="006A523F" w:rsidRPr="006A523F" w14:paraId="7BE646EC" w14:textId="77777777" w:rsidTr="006A523F">
        <w:trPr>
          <w:trHeight w:val="20"/>
        </w:trPr>
        <w:tc>
          <w:tcPr>
            <w:tcW w:w="1172" w:type="pct"/>
            <w:tcBorders>
              <w:top w:val="nil"/>
              <w:left w:val="nil"/>
              <w:bottom w:val="nil"/>
              <w:right w:val="nil"/>
            </w:tcBorders>
            <w:shd w:val="clear" w:color="000000" w:fill="FFFFFF"/>
            <w:noWrap/>
            <w:vAlign w:val="center"/>
            <w:hideMark/>
          </w:tcPr>
          <w:p w14:paraId="0CDC4B92"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2023</w:t>
            </w:r>
          </w:p>
        </w:tc>
        <w:tc>
          <w:tcPr>
            <w:tcW w:w="770" w:type="pct"/>
            <w:tcBorders>
              <w:top w:val="nil"/>
              <w:left w:val="nil"/>
              <w:bottom w:val="nil"/>
              <w:right w:val="nil"/>
            </w:tcBorders>
            <w:shd w:val="clear" w:color="000000" w:fill="FFFFFF"/>
            <w:noWrap/>
            <w:vAlign w:val="bottom"/>
            <w:hideMark/>
          </w:tcPr>
          <w:p w14:paraId="7A4BCDF8"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2,476,932,419</w:t>
            </w:r>
          </w:p>
        </w:tc>
        <w:tc>
          <w:tcPr>
            <w:tcW w:w="658" w:type="pct"/>
            <w:tcBorders>
              <w:top w:val="nil"/>
              <w:left w:val="nil"/>
              <w:bottom w:val="nil"/>
              <w:right w:val="nil"/>
            </w:tcBorders>
            <w:shd w:val="clear" w:color="000000" w:fill="FFFFFF"/>
            <w:noWrap/>
            <w:vAlign w:val="center"/>
            <w:hideMark/>
          </w:tcPr>
          <w:p w14:paraId="49298A3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0.32%</w:t>
            </w:r>
          </w:p>
        </w:tc>
        <w:tc>
          <w:tcPr>
            <w:tcW w:w="457" w:type="pct"/>
            <w:tcBorders>
              <w:top w:val="nil"/>
              <w:left w:val="nil"/>
              <w:bottom w:val="nil"/>
              <w:right w:val="nil"/>
            </w:tcBorders>
            <w:shd w:val="clear" w:color="000000" w:fill="FFFFFF"/>
            <w:noWrap/>
            <w:vAlign w:val="center"/>
            <w:hideMark/>
          </w:tcPr>
          <w:p w14:paraId="59A7779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0.14%</w:t>
            </w:r>
          </w:p>
        </w:tc>
        <w:tc>
          <w:tcPr>
            <w:tcW w:w="457" w:type="pct"/>
            <w:tcBorders>
              <w:top w:val="nil"/>
              <w:left w:val="nil"/>
              <w:bottom w:val="nil"/>
              <w:right w:val="nil"/>
            </w:tcBorders>
            <w:shd w:val="clear" w:color="000000" w:fill="FFFFFF"/>
            <w:noWrap/>
            <w:vAlign w:val="center"/>
            <w:hideMark/>
          </w:tcPr>
          <w:p w14:paraId="08A44E2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498" w:type="pct"/>
            <w:tcBorders>
              <w:top w:val="nil"/>
              <w:left w:val="nil"/>
              <w:bottom w:val="nil"/>
              <w:right w:val="nil"/>
            </w:tcBorders>
            <w:shd w:val="clear" w:color="000000" w:fill="FFFFFF"/>
            <w:noWrap/>
            <w:vAlign w:val="center"/>
            <w:hideMark/>
          </w:tcPr>
          <w:p w14:paraId="2257D829"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1F0C5F2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38AA64B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r>
      <w:tr w:rsidR="006A523F" w:rsidRPr="006A523F" w14:paraId="1ED20E82" w14:textId="77777777" w:rsidTr="006A523F">
        <w:trPr>
          <w:trHeight w:val="20"/>
        </w:trPr>
        <w:tc>
          <w:tcPr>
            <w:tcW w:w="1172" w:type="pct"/>
            <w:tcBorders>
              <w:top w:val="nil"/>
              <w:left w:val="nil"/>
              <w:bottom w:val="nil"/>
              <w:right w:val="nil"/>
            </w:tcBorders>
            <w:shd w:val="clear" w:color="000000" w:fill="FFFFFF"/>
            <w:noWrap/>
            <w:vAlign w:val="center"/>
            <w:hideMark/>
          </w:tcPr>
          <w:p w14:paraId="4C3BBD66"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2024</w:t>
            </w:r>
          </w:p>
        </w:tc>
        <w:tc>
          <w:tcPr>
            <w:tcW w:w="770" w:type="pct"/>
            <w:tcBorders>
              <w:top w:val="nil"/>
              <w:left w:val="nil"/>
              <w:bottom w:val="nil"/>
              <w:right w:val="nil"/>
            </w:tcBorders>
            <w:shd w:val="clear" w:color="000000" w:fill="FFFFFF"/>
            <w:noWrap/>
            <w:vAlign w:val="bottom"/>
            <w:hideMark/>
          </w:tcPr>
          <w:p w14:paraId="2ADDE106"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2,901,215,490</w:t>
            </w:r>
          </w:p>
        </w:tc>
        <w:tc>
          <w:tcPr>
            <w:tcW w:w="658" w:type="pct"/>
            <w:tcBorders>
              <w:top w:val="nil"/>
              <w:left w:val="nil"/>
              <w:bottom w:val="nil"/>
              <w:right w:val="nil"/>
            </w:tcBorders>
            <w:shd w:val="clear" w:color="000000" w:fill="FFFFFF"/>
            <w:noWrap/>
            <w:vAlign w:val="center"/>
            <w:hideMark/>
          </w:tcPr>
          <w:p w14:paraId="1D0E7D6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0.27%</w:t>
            </w:r>
          </w:p>
        </w:tc>
        <w:tc>
          <w:tcPr>
            <w:tcW w:w="457" w:type="pct"/>
            <w:tcBorders>
              <w:top w:val="nil"/>
              <w:left w:val="nil"/>
              <w:bottom w:val="nil"/>
              <w:right w:val="nil"/>
            </w:tcBorders>
            <w:shd w:val="clear" w:color="000000" w:fill="FFFFFF"/>
            <w:noWrap/>
            <w:vAlign w:val="center"/>
            <w:hideMark/>
          </w:tcPr>
          <w:p w14:paraId="4FED59D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0.13%</w:t>
            </w:r>
          </w:p>
        </w:tc>
        <w:tc>
          <w:tcPr>
            <w:tcW w:w="457" w:type="pct"/>
            <w:tcBorders>
              <w:top w:val="nil"/>
              <w:left w:val="nil"/>
              <w:bottom w:val="nil"/>
              <w:right w:val="nil"/>
            </w:tcBorders>
            <w:shd w:val="clear" w:color="000000" w:fill="FFFFFF"/>
            <w:noWrap/>
            <w:vAlign w:val="center"/>
            <w:hideMark/>
          </w:tcPr>
          <w:p w14:paraId="5F9C784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0.04%</w:t>
            </w:r>
          </w:p>
        </w:tc>
        <w:tc>
          <w:tcPr>
            <w:tcW w:w="498" w:type="pct"/>
            <w:tcBorders>
              <w:top w:val="nil"/>
              <w:left w:val="nil"/>
              <w:bottom w:val="nil"/>
              <w:right w:val="nil"/>
            </w:tcBorders>
            <w:shd w:val="clear" w:color="000000" w:fill="FFFFFF"/>
            <w:noWrap/>
            <w:vAlign w:val="center"/>
            <w:hideMark/>
          </w:tcPr>
          <w:p w14:paraId="10BE25B7"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546" w:type="pct"/>
            <w:tcBorders>
              <w:top w:val="nil"/>
              <w:left w:val="nil"/>
              <w:bottom w:val="nil"/>
              <w:right w:val="nil"/>
            </w:tcBorders>
            <w:shd w:val="clear" w:color="000000" w:fill="FFFFFF"/>
            <w:noWrap/>
            <w:vAlign w:val="center"/>
            <w:hideMark/>
          </w:tcPr>
          <w:p w14:paraId="69B9979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0FFAAD2B"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0.08%</w:t>
            </w:r>
          </w:p>
        </w:tc>
      </w:tr>
      <w:tr w:rsidR="006A523F" w:rsidRPr="006A523F" w14:paraId="746B2524" w14:textId="77777777" w:rsidTr="006A523F">
        <w:trPr>
          <w:trHeight w:val="20"/>
        </w:trPr>
        <w:tc>
          <w:tcPr>
            <w:tcW w:w="1172" w:type="pct"/>
            <w:tcBorders>
              <w:top w:val="nil"/>
              <w:left w:val="nil"/>
              <w:bottom w:val="nil"/>
              <w:right w:val="nil"/>
            </w:tcBorders>
            <w:shd w:val="clear" w:color="000000" w:fill="FFFFFF"/>
            <w:noWrap/>
            <w:vAlign w:val="center"/>
            <w:hideMark/>
          </w:tcPr>
          <w:p w14:paraId="7B835A6E"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June 2024</w:t>
            </w:r>
          </w:p>
        </w:tc>
        <w:tc>
          <w:tcPr>
            <w:tcW w:w="770" w:type="pct"/>
            <w:tcBorders>
              <w:top w:val="nil"/>
              <w:left w:val="nil"/>
              <w:bottom w:val="nil"/>
              <w:right w:val="nil"/>
            </w:tcBorders>
            <w:shd w:val="clear" w:color="000000" w:fill="FFFFFF"/>
            <w:noWrap/>
            <w:vAlign w:val="center"/>
            <w:hideMark/>
          </w:tcPr>
          <w:p w14:paraId="7931198E"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3,402,889,697</w:t>
            </w:r>
          </w:p>
        </w:tc>
        <w:tc>
          <w:tcPr>
            <w:tcW w:w="658" w:type="pct"/>
            <w:tcBorders>
              <w:top w:val="nil"/>
              <w:left w:val="nil"/>
              <w:bottom w:val="nil"/>
              <w:right w:val="nil"/>
            </w:tcBorders>
            <w:shd w:val="clear" w:color="000000" w:fill="FFFFFF"/>
            <w:noWrap/>
            <w:vAlign w:val="center"/>
            <w:hideMark/>
          </w:tcPr>
          <w:p w14:paraId="6BAE567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0.47%</w:t>
            </w:r>
          </w:p>
        </w:tc>
        <w:tc>
          <w:tcPr>
            <w:tcW w:w="457" w:type="pct"/>
            <w:tcBorders>
              <w:top w:val="nil"/>
              <w:left w:val="nil"/>
              <w:bottom w:val="nil"/>
              <w:right w:val="nil"/>
            </w:tcBorders>
            <w:shd w:val="clear" w:color="000000" w:fill="FFFFFF"/>
            <w:noWrap/>
            <w:vAlign w:val="center"/>
            <w:hideMark/>
          </w:tcPr>
          <w:p w14:paraId="1A390DF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0.21%</w:t>
            </w:r>
          </w:p>
        </w:tc>
        <w:tc>
          <w:tcPr>
            <w:tcW w:w="457" w:type="pct"/>
            <w:tcBorders>
              <w:top w:val="nil"/>
              <w:left w:val="nil"/>
              <w:bottom w:val="nil"/>
              <w:right w:val="nil"/>
            </w:tcBorders>
            <w:shd w:val="clear" w:color="000000" w:fill="FFFFFF"/>
            <w:noWrap/>
            <w:vAlign w:val="center"/>
            <w:hideMark/>
          </w:tcPr>
          <w:p w14:paraId="19DAAA9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498" w:type="pct"/>
            <w:tcBorders>
              <w:top w:val="nil"/>
              <w:left w:val="nil"/>
              <w:bottom w:val="nil"/>
              <w:right w:val="nil"/>
            </w:tcBorders>
            <w:shd w:val="clear" w:color="000000" w:fill="FFFFFF"/>
            <w:noWrap/>
            <w:vAlign w:val="center"/>
            <w:hideMark/>
          </w:tcPr>
          <w:p w14:paraId="74CFD446"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640F64B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0.01%</w:t>
            </w:r>
          </w:p>
        </w:tc>
        <w:tc>
          <w:tcPr>
            <w:tcW w:w="441" w:type="pct"/>
            <w:tcBorders>
              <w:top w:val="nil"/>
              <w:left w:val="nil"/>
              <w:bottom w:val="nil"/>
              <w:right w:val="nil"/>
            </w:tcBorders>
            <w:shd w:val="clear" w:color="000000" w:fill="FFFFFF"/>
            <w:noWrap/>
            <w:vAlign w:val="center"/>
            <w:hideMark/>
          </w:tcPr>
          <w:p w14:paraId="3D97678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0.08%</w:t>
            </w:r>
          </w:p>
        </w:tc>
      </w:tr>
      <w:tr w:rsidR="006A523F" w:rsidRPr="006A523F" w14:paraId="45B03699" w14:textId="77777777" w:rsidTr="006A523F">
        <w:trPr>
          <w:trHeight w:val="20"/>
        </w:trPr>
        <w:tc>
          <w:tcPr>
            <w:tcW w:w="1172" w:type="pct"/>
            <w:tcBorders>
              <w:top w:val="nil"/>
              <w:left w:val="nil"/>
              <w:bottom w:val="nil"/>
              <w:right w:val="nil"/>
            </w:tcBorders>
            <w:shd w:val="clear" w:color="000000" w:fill="FFFFFF"/>
            <w:noWrap/>
            <w:vAlign w:val="center"/>
            <w:hideMark/>
          </w:tcPr>
          <w:p w14:paraId="4D7CCF63"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30 September 2024</w:t>
            </w:r>
          </w:p>
        </w:tc>
        <w:tc>
          <w:tcPr>
            <w:tcW w:w="770" w:type="pct"/>
            <w:tcBorders>
              <w:top w:val="nil"/>
              <w:left w:val="nil"/>
              <w:bottom w:val="nil"/>
              <w:right w:val="nil"/>
            </w:tcBorders>
            <w:shd w:val="clear" w:color="000000" w:fill="FFFFFF"/>
            <w:noWrap/>
            <w:vAlign w:val="center"/>
            <w:hideMark/>
          </w:tcPr>
          <w:p w14:paraId="482CE5C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4,060,500,015</w:t>
            </w:r>
          </w:p>
        </w:tc>
        <w:tc>
          <w:tcPr>
            <w:tcW w:w="658" w:type="pct"/>
            <w:tcBorders>
              <w:top w:val="nil"/>
              <w:left w:val="nil"/>
              <w:bottom w:val="nil"/>
              <w:right w:val="nil"/>
            </w:tcBorders>
            <w:shd w:val="clear" w:color="000000" w:fill="FFFFFF"/>
            <w:noWrap/>
            <w:vAlign w:val="center"/>
            <w:hideMark/>
          </w:tcPr>
          <w:p w14:paraId="7D78C555"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0.42%</w:t>
            </w:r>
          </w:p>
        </w:tc>
        <w:tc>
          <w:tcPr>
            <w:tcW w:w="457" w:type="pct"/>
            <w:tcBorders>
              <w:top w:val="nil"/>
              <w:left w:val="nil"/>
              <w:bottom w:val="nil"/>
              <w:right w:val="nil"/>
            </w:tcBorders>
            <w:shd w:val="clear" w:color="000000" w:fill="FFFFFF"/>
            <w:noWrap/>
            <w:vAlign w:val="center"/>
            <w:hideMark/>
          </w:tcPr>
          <w:p w14:paraId="1D37423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0.16%</w:t>
            </w:r>
          </w:p>
        </w:tc>
        <w:tc>
          <w:tcPr>
            <w:tcW w:w="457" w:type="pct"/>
            <w:tcBorders>
              <w:top w:val="nil"/>
              <w:left w:val="nil"/>
              <w:bottom w:val="nil"/>
              <w:right w:val="nil"/>
            </w:tcBorders>
            <w:shd w:val="clear" w:color="000000" w:fill="FFFFFF"/>
            <w:noWrap/>
            <w:vAlign w:val="center"/>
            <w:hideMark/>
          </w:tcPr>
          <w:p w14:paraId="6BF521C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498" w:type="pct"/>
            <w:tcBorders>
              <w:top w:val="nil"/>
              <w:left w:val="nil"/>
              <w:bottom w:val="nil"/>
              <w:right w:val="nil"/>
            </w:tcBorders>
            <w:shd w:val="clear" w:color="000000" w:fill="FFFFFF"/>
            <w:noWrap/>
            <w:vAlign w:val="center"/>
            <w:hideMark/>
          </w:tcPr>
          <w:p w14:paraId="361EE18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59BE13DD"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6C0CE4B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r>
      <w:tr w:rsidR="006A523F" w:rsidRPr="006A523F" w14:paraId="551E2838" w14:textId="77777777" w:rsidTr="006A523F">
        <w:trPr>
          <w:trHeight w:val="20"/>
        </w:trPr>
        <w:tc>
          <w:tcPr>
            <w:tcW w:w="1172" w:type="pct"/>
            <w:tcBorders>
              <w:top w:val="nil"/>
              <w:left w:val="nil"/>
              <w:bottom w:val="nil"/>
              <w:right w:val="nil"/>
            </w:tcBorders>
            <w:shd w:val="clear" w:color="000000" w:fill="FFFFFF"/>
            <w:noWrap/>
            <w:vAlign w:val="center"/>
            <w:hideMark/>
          </w:tcPr>
          <w:p w14:paraId="142B62E0"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December 2024</w:t>
            </w:r>
          </w:p>
        </w:tc>
        <w:tc>
          <w:tcPr>
            <w:tcW w:w="770" w:type="pct"/>
            <w:tcBorders>
              <w:top w:val="nil"/>
              <w:left w:val="nil"/>
              <w:bottom w:val="nil"/>
              <w:right w:val="nil"/>
            </w:tcBorders>
            <w:shd w:val="clear" w:color="000000" w:fill="FFFFFF"/>
            <w:noWrap/>
            <w:vAlign w:val="center"/>
            <w:hideMark/>
          </w:tcPr>
          <w:p w14:paraId="5F7CF64D"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4,535,900,309</w:t>
            </w:r>
          </w:p>
        </w:tc>
        <w:tc>
          <w:tcPr>
            <w:tcW w:w="658" w:type="pct"/>
            <w:tcBorders>
              <w:top w:val="nil"/>
              <w:left w:val="nil"/>
              <w:bottom w:val="nil"/>
              <w:right w:val="nil"/>
            </w:tcBorders>
            <w:shd w:val="clear" w:color="000000" w:fill="FFFFFF"/>
            <w:noWrap/>
            <w:vAlign w:val="center"/>
            <w:hideMark/>
          </w:tcPr>
          <w:p w14:paraId="5801DA6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0.59%</w:t>
            </w:r>
          </w:p>
        </w:tc>
        <w:tc>
          <w:tcPr>
            <w:tcW w:w="457" w:type="pct"/>
            <w:tcBorders>
              <w:top w:val="nil"/>
              <w:left w:val="nil"/>
              <w:bottom w:val="nil"/>
              <w:right w:val="nil"/>
            </w:tcBorders>
            <w:shd w:val="clear" w:color="000000" w:fill="FFFFFF"/>
            <w:noWrap/>
            <w:vAlign w:val="center"/>
            <w:hideMark/>
          </w:tcPr>
          <w:p w14:paraId="5A23EFD0"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0.17%</w:t>
            </w:r>
          </w:p>
        </w:tc>
        <w:tc>
          <w:tcPr>
            <w:tcW w:w="457" w:type="pct"/>
            <w:tcBorders>
              <w:top w:val="nil"/>
              <w:left w:val="nil"/>
              <w:bottom w:val="nil"/>
              <w:right w:val="nil"/>
            </w:tcBorders>
            <w:shd w:val="clear" w:color="000000" w:fill="FFFFFF"/>
            <w:noWrap/>
            <w:vAlign w:val="center"/>
            <w:hideMark/>
          </w:tcPr>
          <w:p w14:paraId="2FB3F55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0.07%</w:t>
            </w:r>
          </w:p>
        </w:tc>
        <w:tc>
          <w:tcPr>
            <w:tcW w:w="498" w:type="pct"/>
            <w:tcBorders>
              <w:top w:val="nil"/>
              <w:left w:val="nil"/>
              <w:bottom w:val="nil"/>
              <w:right w:val="nil"/>
            </w:tcBorders>
            <w:shd w:val="clear" w:color="000000" w:fill="FFFFFF"/>
            <w:noWrap/>
            <w:vAlign w:val="center"/>
            <w:hideMark/>
          </w:tcPr>
          <w:p w14:paraId="25D7472C"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4ED22A8A"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6FB6DBE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0.09%</w:t>
            </w:r>
          </w:p>
        </w:tc>
      </w:tr>
      <w:tr w:rsidR="006A523F" w:rsidRPr="006A523F" w14:paraId="7EA6646C" w14:textId="77777777" w:rsidTr="006A523F">
        <w:trPr>
          <w:trHeight w:val="20"/>
        </w:trPr>
        <w:tc>
          <w:tcPr>
            <w:tcW w:w="1172" w:type="pct"/>
            <w:tcBorders>
              <w:top w:val="nil"/>
              <w:left w:val="nil"/>
              <w:bottom w:val="nil"/>
              <w:right w:val="nil"/>
            </w:tcBorders>
            <w:shd w:val="clear" w:color="000000" w:fill="FFFFFF"/>
            <w:noWrap/>
            <w:vAlign w:val="center"/>
            <w:hideMark/>
          </w:tcPr>
          <w:p w14:paraId="00F9D253" w14:textId="77777777" w:rsidR="006A523F" w:rsidRPr="006A523F" w:rsidRDefault="006A523F" w:rsidP="006A523F">
            <w:pPr>
              <w:spacing w:line="240" w:lineRule="auto"/>
              <w:jc w:val="left"/>
              <w:rPr>
                <w:rFonts w:ascii="Aptos Narrow" w:hAnsi="Aptos Narrow"/>
                <w:sz w:val="14"/>
                <w:szCs w:val="14"/>
                <w:lang w:val="de-DE" w:eastAsia="de-DE"/>
              </w:rPr>
            </w:pPr>
            <w:r w:rsidRPr="006A523F">
              <w:rPr>
                <w:rFonts w:ascii="Aptos Narrow" w:hAnsi="Aptos Narrow"/>
                <w:sz w:val="14"/>
                <w:szCs w:val="14"/>
                <w:lang w:val="de-DE" w:eastAsia="de-DE"/>
              </w:rPr>
              <w:t>31 March 2025</w:t>
            </w:r>
          </w:p>
        </w:tc>
        <w:tc>
          <w:tcPr>
            <w:tcW w:w="770" w:type="pct"/>
            <w:tcBorders>
              <w:top w:val="nil"/>
              <w:left w:val="nil"/>
              <w:bottom w:val="nil"/>
              <w:right w:val="nil"/>
            </w:tcBorders>
            <w:shd w:val="clear" w:color="000000" w:fill="FFFFFF"/>
            <w:noWrap/>
            <w:vAlign w:val="center"/>
            <w:hideMark/>
          </w:tcPr>
          <w:p w14:paraId="0B0675CC" w14:textId="77777777" w:rsidR="006A523F" w:rsidRPr="006A523F" w:rsidRDefault="006A523F" w:rsidP="006A523F">
            <w:pPr>
              <w:spacing w:line="240" w:lineRule="auto"/>
              <w:jc w:val="right"/>
              <w:rPr>
                <w:rFonts w:ascii="Aptos Narrow" w:hAnsi="Aptos Narrow"/>
                <w:sz w:val="14"/>
                <w:szCs w:val="14"/>
                <w:lang w:val="de-DE" w:eastAsia="de-DE"/>
              </w:rPr>
            </w:pPr>
            <w:r w:rsidRPr="006A523F">
              <w:rPr>
                <w:rFonts w:ascii="Aptos Narrow" w:hAnsi="Aptos Narrow"/>
                <w:sz w:val="14"/>
                <w:szCs w:val="14"/>
                <w:lang w:val="de-DE" w:eastAsia="de-DE"/>
              </w:rPr>
              <w:t>4,871,903,000</w:t>
            </w:r>
          </w:p>
        </w:tc>
        <w:tc>
          <w:tcPr>
            <w:tcW w:w="658" w:type="pct"/>
            <w:tcBorders>
              <w:top w:val="nil"/>
              <w:left w:val="nil"/>
              <w:bottom w:val="nil"/>
              <w:right w:val="nil"/>
            </w:tcBorders>
            <w:shd w:val="clear" w:color="000000" w:fill="FFFFFF"/>
            <w:noWrap/>
            <w:vAlign w:val="center"/>
            <w:hideMark/>
          </w:tcPr>
          <w:p w14:paraId="11E1DD11"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0.72%</w:t>
            </w:r>
          </w:p>
        </w:tc>
        <w:tc>
          <w:tcPr>
            <w:tcW w:w="457" w:type="pct"/>
            <w:tcBorders>
              <w:top w:val="nil"/>
              <w:left w:val="nil"/>
              <w:bottom w:val="nil"/>
              <w:right w:val="nil"/>
            </w:tcBorders>
            <w:shd w:val="clear" w:color="000000" w:fill="FFFFFF"/>
            <w:noWrap/>
            <w:vAlign w:val="center"/>
            <w:hideMark/>
          </w:tcPr>
          <w:p w14:paraId="20EA9EDF"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0.17%</w:t>
            </w:r>
          </w:p>
        </w:tc>
        <w:tc>
          <w:tcPr>
            <w:tcW w:w="457" w:type="pct"/>
            <w:tcBorders>
              <w:top w:val="nil"/>
              <w:left w:val="nil"/>
              <w:bottom w:val="nil"/>
              <w:right w:val="nil"/>
            </w:tcBorders>
            <w:shd w:val="clear" w:color="000000" w:fill="FFFFFF"/>
            <w:noWrap/>
            <w:vAlign w:val="center"/>
            <w:hideMark/>
          </w:tcPr>
          <w:p w14:paraId="63DD89FE"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0.05%</w:t>
            </w:r>
          </w:p>
        </w:tc>
        <w:tc>
          <w:tcPr>
            <w:tcW w:w="498" w:type="pct"/>
            <w:tcBorders>
              <w:top w:val="nil"/>
              <w:left w:val="nil"/>
              <w:bottom w:val="nil"/>
              <w:right w:val="nil"/>
            </w:tcBorders>
            <w:shd w:val="clear" w:color="000000" w:fill="FFFFFF"/>
            <w:noWrap/>
            <w:vAlign w:val="center"/>
            <w:hideMark/>
          </w:tcPr>
          <w:p w14:paraId="4503C794"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0.03%</w:t>
            </w:r>
          </w:p>
        </w:tc>
        <w:tc>
          <w:tcPr>
            <w:tcW w:w="546" w:type="pct"/>
            <w:tcBorders>
              <w:top w:val="nil"/>
              <w:left w:val="nil"/>
              <w:bottom w:val="nil"/>
              <w:right w:val="nil"/>
            </w:tcBorders>
            <w:shd w:val="clear" w:color="000000" w:fill="FFFFFF"/>
            <w:noWrap/>
            <w:vAlign w:val="center"/>
            <w:hideMark/>
          </w:tcPr>
          <w:p w14:paraId="3D0C42F2"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0.02%</w:t>
            </w:r>
          </w:p>
        </w:tc>
        <w:tc>
          <w:tcPr>
            <w:tcW w:w="441" w:type="pct"/>
            <w:tcBorders>
              <w:top w:val="nil"/>
              <w:left w:val="nil"/>
              <w:bottom w:val="nil"/>
              <w:right w:val="nil"/>
            </w:tcBorders>
            <w:shd w:val="clear" w:color="000000" w:fill="FFFFFF"/>
            <w:noWrap/>
            <w:vAlign w:val="center"/>
            <w:hideMark/>
          </w:tcPr>
          <w:p w14:paraId="1A711103" w14:textId="77777777" w:rsidR="006A523F" w:rsidRPr="006A523F" w:rsidRDefault="006A523F" w:rsidP="006A523F">
            <w:pPr>
              <w:spacing w:line="240" w:lineRule="auto"/>
              <w:jc w:val="center"/>
              <w:rPr>
                <w:rFonts w:ascii="Aptos Narrow" w:hAnsi="Aptos Narrow"/>
                <w:sz w:val="14"/>
                <w:szCs w:val="14"/>
                <w:lang w:val="de-DE" w:eastAsia="de-DE"/>
              </w:rPr>
            </w:pPr>
            <w:r w:rsidRPr="006A523F">
              <w:rPr>
                <w:rFonts w:ascii="Aptos Narrow" w:hAnsi="Aptos Narrow"/>
                <w:sz w:val="14"/>
                <w:szCs w:val="14"/>
                <w:lang w:val="de-DE" w:eastAsia="de-DE"/>
              </w:rPr>
              <w:t>0.12%</w:t>
            </w:r>
          </w:p>
        </w:tc>
      </w:tr>
    </w:tbl>
    <w:p w14:paraId="48239702" w14:textId="2E7DB04C" w:rsidR="009F6E91" w:rsidRDefault="009F6E91" w:rsidP="00EF7333">
      <w:pPr>
        <w:pStyle w:val="Body1"/>
      </w:pPr>
    </w:p>
    <w:p w14:paraId="1B93EF22" w14:textId="75CF1E72" w:rsidR="004A63B5" w:rsidRPr="004A63B5" w:rsidRDefault="006A523F" w:rsidP="00EF7333">
      <w:pPr>
        <w:pStyle w:val="Body1"/>
        <w:rPr>
          <w:sz w:val="12"/>
          <w:szCs w:val="14"/>
        </w:rPr>
      </w:pPr>
      <w:r>
        <w:rPr>
          <w:noProof/>
        </w:rPr>
        <w:lastRenderedPageBreak/>
        <w:drawing>
          <wp:inline distT="0" distB="0" distL="0" distR="0" wp14:anchorId="25D002D0" wp14:editId="64FAA6F0">
            <wp:extent cx="5760085" cy="3138170"/>
            <wp:effectExtent l="0" t="0" r="12065" b="5080"/>
            <wp:docPr id="142368870" name="Chart 1">
              <a:extLst xmlns:a="http://schemas.openxmlformats.org/drawingml/2006/main">
                <a:ext uri="{FF2B5EF4-FFF2-40B4-BE49-F238E27FC236}">
                  <a16:creationId xmlns:a16="http://schemas.microsoft.com/office/drawing/2014/main" id="{72EACB2D-DC26-4648-B306-A850CD0D2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4BA7FA" w14:textId="7DB2079F" w:rsidR="004A63B5" w:rsidRPr="00D427D8" w:rsidRDefault="004A63B5" w:rsidP="00EF7333">
      <w:pPr>
        <w:pStyle w:val="Body1"/>
      </w:pPr>
    </w:p>
    <w:p w14:paraId="1864FFFF" w14:textId="77777777" w:rsidR="009F6E91" w:rsidRPr="00D427D8" w:rsidRDefault="009F6E91" w:rsidP="00EF7333">
      <w:pPr>
        <w:pStyle w:val="Body1"/>
      </w:pPr>
      <w:r w:rsidRPr="00D427D8">
        <w:br w:type="page"/>
      </w:r>
    </w:p>
    <w:p w14:paraId="75BD8C0F" w14:textId="77777777" w:rsidR="009F6E91" w:rsidRPr="00D427D8" w:rsidRDefault="009F6E91" w:rsidP="001C69E0">
      <w:pPr>
        <w:pStyle w:val="CentredHeading"/>
      </w:pPr>
      <w:bookmarkStart w:id="110" w:name="_Toc194046507"/>
      <w:bookmarkStart w:id="111" w:name="_Toc198539665"/>
      <w:bookmarkStart w:id="112" w:name="_Hlk82102405"/>
      <w:r w:rsidRPr="00D427D8">
        <w:lastRenderedPageBreak/>
        <w:t>TERMS AND CONDITIONS OF THE NOTES</w:t>
      </w:r>
      <w:bookmarkEnd w:id="110"/>
      <w:bookmarkEnd w:id="111"/>
    </w:p>
    <w:p w14:paraId="03B32506" w14:textId="0A650FD5" w:rsidR="009F6E91" w:rsidRPr="00D427D8" w:rsidRDefault="009F6E91" w:rsidP="009F6E91">
      <w:pPr>
        <w:pStyle w:val="Body1"/>
        <w:rPr>
          <w:rStyle w:val="ItalicText"/>
        </w:rPr>
      </w:pPr>
      <w:r w:rsidRPr="00D427D8">
        <w:rPr>
          <w:rStyle w:val="ItalicText"/>
        </w:rPr>
        <w:t xml:space="preserve">The terms and conditions of the Notes are set out below. Appendix 1 to the Conditions is set out under </w:t>
      </w:r>
      <w:r w:rsidR="00EF7333" w:rsidRPr="00D427D8">
        <w:rPr>
          <w:rStyle w:val="ItalicText"/>
        </w:rPr>
        <w:t>"</w:t>
      </w:r>
      <w:r w:rsidRPr="00D427D8">
        <w:rPr>
          <w:rStyle w:val="ItalicText"/>
        </w:rPr>
        <w:t>ANNEX A MASTER AGREEMENT DEFINITIONS SCHEDULE</w:t>
      </w:r>
      <w:r w:rsidR="00EF7333" w:rsidRPr="00D427D8">
        <w:rPr>
          <w:rStyle w:val="ItalicText"/>
        </w:rPr>
        <w:t>"</w:t>
      </w:r>
      <w:r w:rsidRPr="00D427D8">
        <w:rPr>
          <w:rStyle w:val="ItalicText"/>
        </w:rPr>
        <w:t>. Appendix 2 to the Conditions is set out under ANNEX B  – PRIORITY OF PAYMENTS</w:t>
      </w:r>
      <w:r w:rsidR="00EF7333" w:rsidRPr="00D427D8">
        <w:rPr>
          <w:rStyle w:val="ItalicText"/>
        </w:rPr>
        <w:t>"</w:t>
      </w:r>
      <w:r w:rsidRPr="00D427D8">
        <w:rPr>
          <w:rStyle w:val="ItalicText"/>
        </w:rPr>
        <w:t>. Appendix 3 to the Conditions is set out under ANNEX C – COLLATERAL AGENCY AGREEMENT</w:t>
      </w:r>
      <w:r w:rsidR="00EF7333" w:rsidRPr="00D427D8">
        <w:rPr>
          <w:rStyle w:val="ItalicText"/>
        </w:rPr>
        <w:t>"</w:t>
      </w:r>
      <w:r w:rsidRPr="00D427D8">
        <w:rPr>
          <w:rStyle w:val="ItalicText"/>
        </w:rPr>
        <w:t>. Appendix 4 to the Conditions is set out under ANNEX D – ER COLLATERAL AGENCY AGREEMENT</w:t>
      </w:r>
      <w:r w:rsidR="00EF7333" w:rsidRPr="00D427D8">
        <w:rPr>
          <w:rStyle w:val="ItalicText"/>
        </w:rPr>
        <w:t>"</w:t>
      </w:r>
      <w:r w:rsidRPr="00D427D8">
        <w:rPr>
          <w:rStyle w:val="ItalicText"/>
        </w:rPr>
        <w:t>. Each of Appendix 1, Appendix 2, Appendix 3 and Appendix 4 forms an integral part of these Conditions.</w:t>
      </w:r>
    </w:p>
    <w:p w14:paraId="0A9FF72D" w14:textId="49AE5504" w:rsidR="009F6E91" w:rsidRPr="00D427D8" w:rsidRDefault="005C1DB3" w:rsidP="005C1DB3">
      <w:pPr>
        <w:pStyle w:val="SchHeading1"/>
      </w:pPr>
      <w:r w:rsidRPr="00D427D8">
        <w:t>Issue of the Notes</w:t>
      </w:r>
    </w:p>
    <w:p w14:paraId="35DA4254" w14:textId="76AF2A3A" w:rsidR="009F6E91" w:rsidRPr="00D427D8" w:rsidRDefault="009F6E91" w:rsidP="009F6E91">
      <w:pPr>
        <w:pStyle w:val="Body2"/>
      </w:pPr>
      <w:r w:rsidRPr="00D427D8">
        <w:t xml:space="preserve">The EUR </w:t>
      </w:r>
      <w:r w:rsidR="00526BA1">
        <w:t>717,500,000</w:t>
      </w:r>
      <w:r w:rsidR="00526BA1" w:rsidRPr="00D427D8">
        <w:t xml:space="preserve"> </w:t>
      </w:r>
      <w:r w:rsidRPr="00D427D8">
        <w:t xml:space="preserve">class A asset backed floating rate notes due </w:t>
      </w:r>
      <w:r w:rsidR="00526BA1">
        <w:t xml:space="preserve">2034 </w:t>
      </w:r>
      <w:r w:rsidRPr="00D427D8">
        <w:t>(the </w:t>
      </w:r>
      <w:r w:rsidR="00EF7333" w:rsidRPr="00D427D8">
        <w:t>"</w:t>
      </w:r>
      <w:r w:rsidRPr="00D427D8">
        <w:rPr>
          <w:b/>
        </w:rPr>
        <w:t>Class A Notes</w:t>
      </w:r>
      <w:r w:rsidR="00EF7333" w:rsidRPr="00D427D8">
        <w:t>"</w:t>
      </w:r>
      <w:r w:rsidRPr="00D427D8">
        <w:t xml:space="preserve">), the EUR </w:t>
      </w:r>
      <w:r w:rsidR="00526BA1">
        <w:t xml:space="preserve">57,500,000 </w:t>
      </w:r>
      <w:r w:rsidRPr="00D427D8">
        <w:t xml:space="preserve">class B asset backed floating rate notes </w:t>
      </w:r>
      <w:r w:rsidR="00526BA1" w:rsidRPr="00D427D8">
        <w:t xml:space="preserve">due </w:t>
      </w:r>
      <w:r w:rsidR="00526BA1">
        <w:t xml:space="preserve">2034 </w:t>
      </w:r>
      <w:r w:rsidRPr="00D427D8">
        <w:t xml:space="preserve">(the </w:t>
      </w:r>
      <w:r w:rsidR="00EF7333" w:rsidRPr="00D427D8">
        <w:t>"</w:t>
      </w:r>
      <w:r w:rsidRPr="00D427D8">
        <w:rPr>
          <w:b/>
        </w:rPr>
        <w:t>Class B Notes</w:t>
      </w:r>
      <w:r w:rsidR="00EF7333" w:rsidRPr="00D427D8">
        <w:t>"</w:t>
      </w:r>
      <w:r w:rsidRPr="00D427D8">
        <w:t>), the EUR </w:t>
      </w:r>
      <w:r w:rsidR="00526BA1">
        <w:t>55,</w:t>
      </w:r>
      <w:r w:rsidR="00C9516B">
        <w:t>0</w:t>
      </w:r>
      <w:r w:rsidR="00526BA1">
        <w:t xml:space="preserve">00,000 </w:t>
      </w:r>
      <w:r w:rsidRPr="00D427D8">
        <w:t xml:space="preserve">class C asset backed floating rate notes </w:t>
      </w:r>
      <w:r w:rsidR="00526BA1" w:rsidRPr="00D427D8">
        <w:t xml:space="preserve">due </w:t>
      </w:r>
      <w:r w:rsidR="00526BA1">
        <w:t xml:space="preserve">2034 </w:t>
      </w:r>
      <w:r w:rsidRPr="00D427D8">
        <w:t xml:space="preserve">(the </w:t>
      </w:r>
      <w:r w:rsidR="00EF7333" w:rsidRPr="00D427D8">
        <w:t>"</w:t>
      </w:r>
      <w:r w:rsidRPr="00D427D8">
        <w:rPr>
          <w:b/>
        </w:rPr>
        <w:t>Class C Notes</w:t>
      </w:r>
      <w:r w:rsidR="00EF7333" w:rsidRPr="00D427D8">
        <w:t>"</w:t>
      </w:r>
      <w:r w:rsidRPr="00D427D8">
        <w:t>), the EUR </w:t>
      </w:r>
      <w:r w:rsidR="00526BA1">
        <w:t>45,</w:t>
      </w:r>
      <w:r w:rsidR="00C9516B">
        <w:t>0</w:t>
      </w:r>
      <w:r w:rsidR="00526BA1">
        <w:t>00,000</w:t>
      </w:r>
      <w:r w:rsidR="00526BA1" w:rsidRPr="00D427D8">
        <w:t xml:space="preserve"> </w:t>
      </w:r>
      <w:r w:rsidRPr="00D427D8">
        <w:t xml:space="preserve">class D asset backed floating rate notes </w:t>
      </w:r>
      <w:r w:rsidR="00526BA1" w:rsidRPr="00D427D8">
        <w:t xml:space="preserve">due </w:t>
      </w:r>
      <w:r w:rsidR="00526BA1">
        <w:t xml:space="preserve">2034 </w:t>
      </w:r>
      <w:r w:rsidRPr="00D427D8">
        <w:t xml:space="preserve">(the </w:t>
      </w:r>
      <w:r w:rsidR="00EF7333" w:rsidRPr="00D427D8">
        <w:t>"</w:t>
      </w:r>
      <w:r w:rsidRPr="00D427D8">
        <w:rPr>
          <w:b/>
        </w:rPr>
        <w:t>Class D Notes</w:t>
      </w:r>
      <w:r w:rsidR="00EF7333" w:rsidRPr="00D427D8">
        <w:t>"</w:t>
      </w:r>
      <w:r w:rsidRPr="00D427D8">
        <w:t>), the EUR </w:t>
      </w:r>
      <w:r w:rsidR="00526BA1">
        <w:t xml:space="preserve">85,000,000 </w:t>
      </w:r>
      <w:r w:rsidRPr="00D427D8">
        <w:t xml:space="preserve">class E asset backed floating rate notes </w:t>
      </w:r>
      <w:r w:rsidR="00526BA1" w:rsidRPr="00D427D8">
        <w:t xml:space="preserve">due </w:t>
      </w:r>
      <w:r w:rsidR="00526BA1">
        <w:t xml:space="preserve">2034 </w:t>
      </w:r>
      <w:r w:rsidRPr="00D427D8">
        <w:t xml:space="preserve">(the </w:t>
      </w:r>
      <w:r w:rsidR="00EF7333" w:rsidRPr="00D427D8">
        <w:t>"</w:t>
      </w:r>
      <w:r w:rsidRPr="00D427D8">
        <w:rPr>
          <w:b/>
        </w:rPr>
        <w:t>Class E Notes</w:t>
      </w:r>
      <w:r w:rsidR="00EF7333" w:rsidRPr="00D427D8">
        <w:t>"</w:t>
      </w:r>
      <w:r w:rsidRPr="00D427D8">
        <w:t>), the EUR </w:t>
      </w:r>
      <w:r w:rsidR="00526BA1">
        <w:t>30,000,000</w:t>
      </w:r>
      <w:r w:rsidR="00526BA1" w:rsidRPr="00D427D8">
        <w:t xml:space="preserve"> </w:t>
      </w:r>
      <w:r w:rsidRPr="00D427D8">
        <w:t xml:space="preserve">class F asset backed floating rate notes </w:t>
      </w:r>
      <w:r w:rsidR="00526BA1" w:rsidRPr="00D427D8">
        <w:t xml:space="preserve">due </w:t>
      </w:r>
      <w:r w:rsidR="00526BA1">
        <w:t xml:space="preserve">2034 </w:t>
      </w:r>
      <w:r w:rsidRPr="00D427D8">
        <w:t xml:space="preserve">(the </w:t>
      </w:r>
      <w:r w:rsidR="00EF7333" w:rsidRPr="00D427D8">
        <w:t>"</w:t>
      </w:r>
      <w:r w:rsidRPr="00D427D8">
        <w:rPr>
          <w:b/>
        </w:rPr>
        <w:t>Class F Notes</w:t>
      </w:r>
      <w:r w:rsidR="00EF7333" w:rsidRPr="00D427D8">
        <w:t>"</w:t>
      </w:r>
      <w:r w:rsidRPr="00D427D8">
        <w:t>), the EUR </w:t>
      </w:r>
      <w:r w:rsidR="00526BA1">
        <w:t>10,000,000</w:t>
      </w:r>
      <w:r w:rsidR="00526BA1" w:rsidRPr="00D427D8">
        <w:t xml:space="preserve"> </w:t>
      </w:r>
      <w:r w:rsidRPr="00D427D8">
        <w:t xml:space="preserve">class G asset backed floating rate notes </w:t>
      </w:r>
      <w:r w:rsidR="00526BA1" w:rsidRPr="00D427D8">
        <w:t xml:space="preserve">due </w:t>
      </w:r>
      <w:r w:rsidR="00526BA1">
        <w:t xml:space="preserve">2034 </w:t>
      </w:r>
      <w:r w:rsidRPr="00D427D8">
        <w:t xml:space="preserve">(the </w:t>
      </w:r>
      <w:r w:rsidR="00EF7333" w:rsidRPr="00D427D8">
        <w:t>"</w:t>
      </w:r>
      <w:r w:rsidRPr="00D427D8">
        <w:rPr>
          <w:b/>
        </w:rPr>
        <w:t>Class G Notes</w:t>
      </w:r>
      <w:r w:rsidR="00EF7333" w:rsidRPr="00D427D8">
        <w:t>"</w:t>
      </w:r>
      <w:r w:rsidRPr="00D427D8">
        <w:t xml:space="preserve"> and together with the Class A Notes, the Class B Notes, the Class C Notes, the Class D Notes, the Class E Notes and the Class F Notes, the </w:t>
      </w:r>
      <w:r w:rsidR="00EF7333" w:rsidRPr="00D427D8">
        <w:t>"</w:t>
      </w:r>
      <w:r w:rsidRPr="00D427D8">
        <w:rPr>
          <w:b/>
        </w:rPr>
        <w:t>Notes</w:t>
      </w:r>
      <w:r w:rsidR="00EF7333" w:rsidRPr="00D427D8">
        <w:t>"</w:t>
      </w:r>
      <w:r w:rsidRPr="00D427D8">
        <w:t xml:space="preserve">) will be issued by ECARAT DE S.A. a </w:t>
      </w:r>
      <w:r w:rsidRPr="00D427D8">
        <w:rPr>
          <w:i/>
          <w:iCs/>
        </w:rPr>
        <w:t>société anonyme</w:t>
      </w:r>
      <w:r w:rsidRPr="00D427D8">
        <w:t xml:space="preserve"> incorporated under the Luxembourg Securitisation Law and registered with the Luxembourg trade and companies register under number B284533, 12c rue Guillaume Kroll, L-1882 Luxembourg, Grand Duchy of Luxembourg acting on behalf and for the account of its Compartment Lease 2025-1 (the </w:t>
      </w:r>
      <w:r w:rsidR="00EF7333" w:rsidRPr="00D427D8">
        <w:t>"</w:t>
      </w:r>
      <w:r w:rsidRPr="00D427D8">
        <w:rPr>
          <w:b/>
        </w:rPr>
        <w:t>Issuer</w:t>
      </w:r>
      <w:r w:rsidR="00EF7333" w:rsidRPr="00D427D8">
        <w:t>"</w:t>
      </w:r>
      <w:r w:rsidRPr="00D427D8">
        <w:t xml:space="preserve">) on </w:t>
      </w:r>
      <w:r w:rsidR="00526BA1">
        <w:t>25 June 2025</w:t>
      </w:r>
      <w:r w:rsidR="00526BA1" w:rsidRPr="00D427D8">
        <w:t xml:space="preserve"> </w:t>
      </w:r>
      <w:r w:rsidRPr="00D427D8">
        <w:t>(the </w:t>
      </w:r>
      <w:r w:rsidR="00EF7333" w:rsidRPr="00D427D8">
        <w:t>"</w:t>
      </w:r>
      <w:r w:rsidRPr="00D427D8">
        <w:rPr>
          <w:b/>
        </w:rPr>
        <w:t>Closing Date</w:t>
      </w:r>
      <w:r w:rsidR="00EF7333" w:rsidRPr="00D427D8">
        <w:t>"</w:t>
      </w:r>
      <w:r w:rsidRPr="00D427D8">
        <w:t>).</w:t>
      </w:r>
    </w:p>
    <w:p w14:paraId="112F6736" w14:textId="49707CD9" w:rsidR="009F6E91" w:rsidRPr="00D427D8" w:rsidRDefault="005C1DB3" w:rsidP="005C1DB3">
      <w:pPr>
        <w:pStyle w:val="SchHeading1"/>
      </w:pPr>
      <w:r w:rsidRPr="00D427D8">
        <w:t>Definitions and interpretation</w:t>
      </w:r>
    </w:p>
    <w:p w14:paraId="62973C29" w14:textId="0ECC248E" w:rsidR="009F6E91" w:rsidRPr="00D427D8" w:rsidRDefault="009F6E91" w:rsidP="005C1DB3">
      <w:pPr>
        <w:pStyle w:val="SchHeading2"/>
      </w:pPr>
      <w:r w:rsidRPr="00D427D8">
        <w:t>Defined terms</w:t>
      </w:r>
    </w:p>
    <w:p w14:paraId="5EEBDDEA" w14:textId="77777777" w:rsidR="009F6E91" w:rsidRPr="00D427D8" w:rsidRDefault="009F6E91" w:rsidP="009F6E91">
      <w:pPr>
        <w:pStyle w:val="Body2"/>
      </w:pPr>
      <w:r w:rsidRPr="00D427D8">
        <w:t>Terms used and not otherwise defined in these Conditions have the meaning given to them in Annex A (</w:t>
      </w:r>
      <w:r w:rsidRPr="00D427D8">
        <w:rPr>
          <w:i/>
        </w:rPr>
        <w:t>Master Agreement Definitions Schedule</w:t>
      </w:r>
      <w:r w:rsidRPr="00D427D8">
        <w:t>) hereto. The annexes to these Conditions are an integral part (</w:t>
      </w:r>
      <w:r w:rsidRPr="00D427D8">
        <w:rPr>
          <w:i/>
          <w:iCs/>
        </w:rPr>
        <w:t>Vertragsbestandteil</w:t>
      </w:r>
      <w:r w:rsidRPr="00D427D8">
        <w:t>) thereof.</w:t>
      </w:r>
    </w:p>
    <w:p w14:paraId="19AD3EDD" w14:textId="14B7484F" w:rsidR="009F6E91" w:rsidRPr="00D427D8" w:rsidRDefault="009F6E91" w:rsidP="009F6E91">
      <w:pPr>
        <w:pStyle w:val="Body2"/>
      </w:pPr>
      <w:r w:rsidRPr="00D427D8">
        <w:t xml:space="preserve">References below to </w:t>
      </w:r>
      <w:r w:rsidR="00EF7333" w:rsidRPr="00D427D8">
        <w:t>"</w:t>
      </w:r>
      <w:r w:rsidRPr="00D427D8">
        <w:rPr>
          <w:b/>
        </w:rPr>
        <w:t>Conditions</w:t>
      </w:r>
      <w:r w:rsidR="00EF7333" w:rsidRPr="00D427D8">
        <w:t>"</w:t>
      </w:r>
      <w:r w:rsidRPr="00D427D8">
        <w:t xml:space="preserve"> are, unless the context otherwise requires, to the numbered paragraphs below.</w:t>
      </w:r>
    </w:p>
    <w:p w14:paraId="26516A7F" w14:textId="49B7B6DE" w:rsidR="009F6E91" w:rsidRPr="00D427D8" w:rsidRDefault="009F6E91" w:rsidP="009F6E91">
      <w:pPr>
        <w:pStyle w:val="Body2"/>
      </w:pPr>
      <w:r w:rsidRPr="00D427D8">
        <w:t xml:space="preserve">Any reference to a </w:t>
      </w:r>
      <w:r w:rsidR="00EF7333" w:rsidRPr="00D427D8">
        <w:t>"</w:t>
      </w:r>
      <w:r w:rsidRPr="00D427D8">
        <w:rPr>
          <w:b/>
        </w:rPr>
        <w:t>Class of Notes</w:t>
      </w:r>
      <w:r w:rsidR="00EF7333" w:rsidRPr="00D427D8">
        <w:t>"</w:t>
      </w:r>
      <w:r w:rsidRPr="00D427D8">
        <w:t xml:space="preserve"> or Noteholders shall be a reference to any, or all of, the respective Class A Notes, the Class B Notes, the Class C Notes, the Class D Notes, the Class E Notes, the Class F Notes and the Class G Notes or any or all of their respective holders, as the case may be.</w:t>
      </w:r>
    </w:p>
    <w:p w14:paraId="1C6F452F" w14:textId="1B0F341B" w:rsidR="009F6E91" w:rsidRPr="00D427D8" w:rsidRDefault="009F6E91" w:rsidP="009F6E91">
      <w:pPr>
        <w:pStyle w:val="Body2"/>
      </w:pPr>
      <w:r w:rsidRPr="00D427D8">
        <w:t xml:space="preserve">The holders of the Class A Notes, the Class B Notes, the Class C Notes, the Class D Notes, the Class E Notes, the Class F Notes and the Class G Notes (each, a </w:t>
      </w:r>
      <w:r w:rsidR="00EF7333" w:rsidRPr="00D427D8">
        <w:t>"</w:t>
      </w:r>
      <w:r w:rsidRPr="00D427D8">
        <w:rPr>
          <w:b/>
        </w:rPr>
        <w:t>Noteholder</w:t>
      </w:r>
      <w:r w:rsidR="00EF7333" w:rsidRPr="00D427D8">
        <w:t>"</w:t>
      </w:r>
      <w:r w:rsidRPr="00D427D8">
        <w:t xml:space="preserve"> and, collectively, the </w:t>
      </w:r>
      <w:r w:rsidR="00EF7333" w:rsidRPr="00D427D8">
        <w:t>"</w:t>
      </w:r>
      <w:r w:rsidRPr="00D427D8">
        <w:rPr>
          <w:b/>
        </w:rPr>
        <w:t>Noteholders</w:t>
      </w:r>
      <w:r w:rsidR="00EF7333" w:rsidRPr="00D427D8">
        <w:t>"</w:t>
      </w:r>
      <w:r w:rsidRPr="00D427D8">
        <w:t xml:space="preserve">) are referred to, from time to time, in these terms and conditions as the </w:t>
      </w:r>
      <w:r w:rsidR="00EF7333" w:rsidRPr="00D427D8">
        <w:t>"</w:t>
      </w:r>
      <w:r w:rsidRPr="00D427D8">
        <w:rPr>
          <w:b/>
        </w:rPr>
        <w:t>Class A Noteholders</w:t>
      </w:r>
      <w:r w:rsidR="00EF7333" w:rsidRPr="00D427D8">
        <w:t>"</w:t>
      </w:r>
      <w:r w:rsidRPr="00D427D8">
        <w:t xml:space="preserve">, the </w:t>
      </w:r>
      <w:r w:rsidR="00EF7333" w:rsidRPr="00D427D8">
        <w:t>"</w:t>
      </w:r>
      <w:r w:rsidRPr="00D427D8">
        <w:rPr>
          <w:b/>
        </w:rPr>
        <w:t>Class B Noteholders</w:t>
      </w:r>
      <w:r w:rsidR="00EF7333" w:rsidRPr="00D427D8">
        <w:t>"</w:t>
      </w:r>
      <w:r w:rsidRPr="00D427D8">
        <w:t xml:space="preserve">, the </w:t>
      </w:r>
      <w:r w:rsidR="00EF7333" w:rsidRPr="00D427D8">
        <w:t>"</w:t>
      </w:r>
      <w:r w:rsidRPr="00D427D8">
        <w:rPr>
          <w:b/>
        </w:rPr>
        <w:t>Class C Noteholders</w:t>
      </w:r>
      <w:r w:rsidR="00EF7333" w:rsidRPr="00D427D8">
        <w:t>"</w:t>
      </w:r>
      <w:r w:rsidRPr="00D427D8">
        <w:t xml:space="preserve">, the </w:t>
      </w:r>
      <w:r w:rsidR="00EF7333" w:rsidRPr="00D427D8">
        <w:t>"</w:t>
      </w:r>
      <w:r w:rsidRPr="00D427D8">
        <w:rPr>
          <w:b/>
        </w:rPr>
        <w:t>Class D Noteholders</w:t>
      </w:r>
      <w:r w:rsidR="00EF7333" w:rsidRPr="00D427D8">
        <w:t>"</w:t>
      </w:r>
      <w:r w:rsidRPr="00D427D8">
        <w:t xml:space="preserve">, the </w:t>
      </w:r>
      <w:r w:rsidR="00EF7333" w:rsidRPr="00D427D8">
        <w:t>"</w:t>
      </w:r>
      <w:r w:rsidRPr="00D427D8">
        <w:rPr>
          <w:b/>
        </w:rPr>
        <w:t>Class E Noteholders</w:t>
      </w:r>
      <w:r w:rsidR="00EF7333" w:rsidRPr="00D427D8">
        <w:t>"</w:t>
      </w:r>
      <w:r w:rsidRPr="00D427D8">
        <w:t xml:space="preserve">, the </w:t>
      </w:r>
      <w:r w:rsidR="00EF7333" w:rsidRPr="00D427D8">
        <w:t>"</w:t>
      </w:r>
      <w:r w:rsidRPr="00D427D8">
        <w:rPr>
          <w:b/>
        </w:rPr>
        <w:t>Class F Noteholders</w:t>
      </w:r>
      <w:r w:rsidR="00EF7333" w:rsidRPr="00D427D8">
        <w:t>"</w:t>
      </w:r>
      <w:r w:rsidRPr="00D427D8">
        <w:t xml:space="preserve"> and the </w:t>
      </w:r>
      <w:r w:rsidR="00EF7333" w:rsidRPr="00D427D8">
        <w:t>"</w:t>
      </w:r>
      <w:r w:rsidRPr="00D427D8">
        <w:rPr>
          <w:b/>
        </w:rPr>
        <w:t>Class G Noteholders</w:t>
      </w:r>
      <w:r w:rsidR="00EF7333" w:rsidRPr="00D427D8">
        <w:t>"</w:t>
      </w:r>
      <w:r w:rsidRPr="00D427D8">
        <w:t xml:space="preserve"> respectively.</w:t>
      </w:r>
    </w:p>
    <w:p w14:paraId="73BDD4A4" w14:textId="48A3047F" w:rsidR="009F6E91" w:rsidRPr="00D427D8" w:rsidRDefault="009F6E91" w:rsidP="005C1DB3">
      <w:pPr>
        <w:pStyle w:val="SchHeading2"/>
      </w:pPr>
      <w:r w:rsidRPr="00D427D8">
        <w:t>German terms</w:t>
      </w:r>
    </w:p>
    <w:p w14:paraId="54939D19" w14:textId="529083B9" w:rsidR="009F6E91" w:rsidRPr="00D427D8" w:rsidRDefault="009F6E91" w:rsidP="005C1DB3">
      <w:pPr>
        <w:pStyle w:val="SchNumber3"/>
      </w:pPr>
      <w:r w:rsidRPr="00D427D8">
        <w:t>Where a non-German language word, term or concept has a specific legal meaning under any law other than German law, this is irrelevant for its interpretation (</w:t>
      </w:r>
      <w:r w:rsidRPr="00D427D8">
        <w:rPr>
          <w:rStyle w:val="ItalicText"/>
        </w:rPr>
        <w:t>Auslegung</w:t>
      </w:r>
      <w:r w:rsidRPr="00D427D8">
        <w:t>). Only the translation of that word, term or concept into general German language shall be authoritative for interpretation.</w:t>
      </w:r>
    </w:p>
    <w:p w14:paraId="3DFEBC4C" w14:textId="77777777" w:rsidR="009F6E91" w:rsidRPr="00D427D8" w:rsidRDefault="009F6E91" w:rsidP="0068363A">
      <w:pPr>
        <w:pStyle w:val="SchNumber3"/>
        <w:rPr>
          <w:lang w:val="en-US"/>
        </w:rPr>
      </w:pPr>
      <w:r w:rsidRPr="00D427D8">
        <w:rPr>
          <w:lang w:val="en-US"/>
        </w:rPr>
        <w:t xml:space="preserve">Where a German word is set in parenthesis to any non-German language term, such German word shall be authoritative for the translation into German of such term (and, consequently, for its interpretation) wherever </w:t>
      </w:r>
      <w:r w:rsidRPr="00D427D8">
        <w:t>such</w:t>
      </w:r>
      <w:r w:rsidRPr="00D427D8">
        <w:rPr>
          <w:lang w:val="en-US"/>
        </w:rPr>
        <w:t xml:space="preserve"> term is used.</w:t>
      </w:r>
    </w:p>
    <w:p w14:paraId="708A7EE2" w14:textId="30F05CB8" w:rsidR="009F6E91" w:rsidRPr="00D427D8" w:rsidRDefault="009F6E91" w:rsidP="0068363A">
      <w:pPr>
        <w:pStyle w:val="SchHeading2"/>
      </w:pPr>
      <w:r w:rsidRPr="00D427D8">
        <w:lastRenderedPageBreak/>
        <w:t>Modification of Annexes / German Debenture Act</w:t>
      </w:r>
    </w:p>
    <w:p w14:paraId="0C3284B0" w14:textId="0D1A3CA2" w:rsidR="009F6E91" w:rsidRPr="00D427D8" w:rsidRDefault="009F6E91" w:rsidP="0068363A">
      <w:pPr>
        <w:pStyle w:val="SchNumber3"/>
        <w:rPr>
          <w:lang w:val="en-US"/>
        </w:rPr>
      </w:pPr>
      <w:r w:rsidRPr="00D427D8">
        <w:rPr>
          <w:lang w:val="en-US"/>
        </w:rPr>
        <w:t>The parties to the relevant annexes are entitled to amend such annexes in accordance with the provisions on the amendment of Transaction Documents set out in the Master Agreement and thereby to amend the Conditions, since the annexes form an integral part of the Conditions.</w:t>
      </w:r>
    </w:p>
    <w:p w14:paraId="09190CA9" w14:textId="4294BFF5" w:rsidR="009F6E91" w:rsidRPr="00D427D8" w:rsidRDefault="009F6E91" w:rsidP="0068363A">
      <w:pPr>
        <w:pStyle w:val="SchNumber3"/>
        <w:rPr>
          <w:lang w:val="en-US"/>
        </w:rPr>
      </w:pPr>
      <w:r w:rsidRPr="00D427D8">
        <w:rPr>
          <w:lang w:val="en-US"/>
        </w:rPr>
        <w:t>The Noteholders of each Class of Notes are entitled to change the Conditions in accordance with sections 5 to 21 of the German Debenture Act (</w:t>
      </w:r>
      <w:r w:rsidRPr="00D427D8">
        <w:rPr>
          <w:i/>
          <w:iCs/>
          <w:lang w:val="en-US"/>
        </w:rPr>
        <w:t>Gesetz über Schuldverschreibungen aus Gesamtemissionen</w:t>
      </w:r>
      <w:r w:rsidRPr="00D427D8">
        <w:rPr>
          <w:lang w:val="en-US"/>
        </w:rPr>
        <w:t>).</w:t>
      </w:r>
    </w:p>
    <w:p w14:paraId="21077621" w14:textId="6CFEFCF1" w:rsidR="009F6E91" w:rsidRPr="00D427D8" w:rsidRDefault="009F6E91" w:rsidP="0068363A">
      <w:pPr>
        <w:pStyle w:val="SchNumber3"/>
        <w:rPr>
          <w:lang w:val="en-US"/>
        </w:rPr>
      </w:pPr>
      <w:r w:rsidRPr="00D427D8">
        <w:rPr>
          <w:lang w:val="en-US"/>
        </w:rPr>
        <w:t>Subject to giving five (5) Business Days prior notice to the Noteholders, by publishing such notice with the Luxembourg Stock Exchange (</w:t>
      </w:r>
      <w:hyperlink r:id="rId32" w:history="1">
        <w:r w:rsidRPr="00D427D8">
          <w:rPr>
            <w:lang w:val="en-US"/>
          </w:rPr>
          <w:t>www.luxse</w:t>
        </w:r>
      </w:hyperlink>
      <w:r w:rsidRPr="00D427D8">
        <w:rPr>
          <w:lang w:val="en-US"/>
        </w:rPr>
        <w:t xml:space="preserve">.com), the Issuer will be entitled to amend any term or provision of the Conditions, including this Condition 2.3(c) with the consent of the Collateral Agent and the ER Collateral Agent but without the consent of any Noteholder, the Counterparty, the Subordinated Lender, the Lender, the </w:t>
      </w:r>
      <w:r w:rsidRPr="00D427D8">
        <w:rPr>
          <w:szCs w:val="19"/>
        </w:rPr>
        <w:t>Servicer</w:t>
      </w:r>
      <w:r w:rsidRPr="00D427D8">
        <w:rPr>
          <w:lang w:val="en-US"/>
        </w:rPr>
        <w:t>, the Arranger, the Lead Manager or any other Person if it is advised by a third party authorised under Article 28 of the Securitisation Regulation or a reputable international law firm that such amendments are required for the Transaction to comply with the Securitisation Regulation including the requirements for simple, transparent and standardised securitisations set out therein and in any regulatory technical standards authorised under the Securitisation Regulation.</w:t>
      </w:r>
    </w:p>
    <w:p w14:paraId="364B9573" w14:textId="725B201E" w:rsidR="009F6E91" w:rsidRPr="00D427D8" w:rsidRDefault="009F6E91" w:rsidP="0068363A">
      <w:pPr>
        <w:pStyle w:val="SchNumber3"/>
        <w:rPr>
          <w:lang w:val="en-US"/>
        </w:rPr>
      </w:pPr>
      <w:r w:rsidRPr="00D427D8">
        <w:rPr>
          <w:lang w:val="en-US"/>
        </w:rPr>
        <w:t>Conditions amended in accordance with (a) to (c) shall only be binding for the Noteholders if the amended Conditions are affixed to each Permanent Global Note.</w:t>
      </w:r>
    </w:p>
    <w:p w14:paraId="0CB11EDE" w14:textId="2CEC1A02" w:rsidR="009F6E91" w:rsidRPr="00D427D8" w:rsidRDefault="009F6E91" w:rsidP="0068363A">
      <w:pPr>
        <w:pStyle w:val="SchNumber3"/>
        <w:rPr>
          <w:lang w:val="en-US"/>
        </w:rPr>
      </w:pPr>
      <w:r w:rsidRPr="00D427D8">
        <w:rPr>
          <w:lang w:val="en-US"/>
        </w:rPr>
        <w:t>The parties hereby waive any notification or information requirements to the Noteholders regarding the changes made to the annexes other than the notice given to the Luxembourg Stock Exchange, which, for so long as the Class A Notes, the Class B Notes, the Class C Notes, the Class D Notes, the Class E Notes and the Class F Notes  are listed on the official list of the Luxembourg Stock Exchange and its rules so require, will be published on the website of the Luxembourg Stock Exchange (</w:t>
      </w:r>
      <w:hyperlink r:id="rId33" w:history="1">
        <w:r w:rsidRPr="00D427D8">
          <w:rPr>
            <w:lang w:val="en-US"/>
          </w:rPr>
          <w:t>www</w:t>
        </w:r>
      </w:hyperlink>
      <w:r w:rsidRPr="00D427D8">
        <w:rPr>
          <w:lang w:val="en-US"/>
        </w:rPr>
        <w:t>.luxse.com).</w:t>
      </w:r>
    </w:p>
    <w:p w14:paraId="01F9E612" w14:textId="30BED0FF" w:rsidR="009F6E91" w:rsidRPr="00D427D8" w:rsidRDefault="009F6E91" w:rsidP="0068363A">
      <w:pPr>
        <w:pStyle w:val="SchHeading1"/>
      </w:pPr>
      <w:r w:rsidRPr="00D427D8">
        <w:t>Form, denomination and title</w:t>
      </w:r>
    </w:p>
    <w:p w14:paraId="6AFBF596" w14:textId="1021DDDB" w:rsidR="009F6E91" w:rsidRPr="00D427D8" w:rsidRDefault="009F6E91" w:rsidP="0068363A">
      <w:pPr>
        <w:pStyle w:val="SchHeading2"/>
      </w:pPr>
      <w:r w:rsidRPr="00D427D8">
        <w:t>Form and denomination</w:t>
      </w:r>
    </w:p>
    <w:p w14:paraId="5F096C69" w14:textId="77777777" w:rsidR="009F6E91" w:rsidRPr="00D427D8" w:rsidRDefault="009F6E91" w:rsidP="009F6E91">
      <w:pPr>
        <w:pStyle w:val="Body2"/>
      </w:pPr>
      <w:r w:rsidRPr="00D427D8">
        <w:t>The Notes will be issued by the Issuer in bearer form in the denomination of EUR 100,000 each.</w:t>
      </w:r>
    </w:p>
    <w:p w14:paraId="0790DEBA" w14:textId="7E48DA52" w:rsidR="009F6E91" w:rsidRPr="00D427D8" w:rsidRDefault="009F6E91" w:rsidP="0068363A">
      <w:pPr>
        <w:pStyle w:val="SchHeading2"/>
      </w:pPr>
      <w:bookmarkStart w:id="113" w:name="_Ref158905191"/>
      <w:r w:rsidRPr="00D427D8">
        <w:t>Global Notes</w:t>
      </w:r>
      <w:bookmarkEnd w:id="113"/>
    </w:p>
    <w:p w14:paraId="5BBD2C3B" w14:textId="7D2C10C6" w:rsidR="009F6E91" w:rsidRPr="00D427D8" w:rsidRDefault="009F6E91" w:rsidP="0068363A">
      <w:pPr>
        <w:pStyle w:val="SchNumber3"/>
      </w:pPr>
      <w:bookmarkStart w:id="114" w:name="_Ref158905183"/>
      <w:r w:rsidRPr="00D427D8">
        <w:t xml:space="preserve">Each Class of Notes will be initially represented by a temporary global bearer note (each, a </w:t>
      </w:r>
      <w:r w:rsidR="00EF7333" w:rsidRPr="00D427D8">
        <w:t>"</w:t>
      </w:r>
      <w:r w:rsidRPr="00D427D8">
        <w:rPr>
          <w:b/>
          <w:bCs/>
        </w:rPr>
        <w:t>Temporary Global Note</w:t>
      </w:r>
      <w:r w:rsidR="00EF7333" w:rsidRPr="00D427D8">
        <w:t>"</w:t>
      </w:r>
      <w:r w:rsidRPr="00D427D8">
        <w:t xml:space="preserve">) without interest coupons. The Temporary Global Notes shall be exchangeable as provided in Condition </w:t>
      </w:r>
      <w:bookmarkStart w:id="115" w:name="_Hlk141972064"/>
      <w:r w:rsidRPr="00D427D8">
        <w:t>3.3</w:t>
      </w:r>
      <w:bookmarkEnd w:id="115"/>
      <w:r w:rsidRPr="00D427D8">
        <w:t xml:space="preserve"> (</w:t>
      </w:r>
      <w:r w:rsidRPr="00D427D8">
        <w:rPr>
          <w:i/>
          <w:iCs/>
        </w:rPr>
        <w:t>Exchange of Temporary Global Notes</w:t>
      </w:r>
      <w:r w:rsidRPr="00D427D8">
        <w:t xml:space="preserve">), for permanent global bearer notes (each, a </w:t>
      </w:r>
      <w:r w:rsidR="00EF7333" w:rsidRPr="00D427D8">
        <w:t>"</w:t>
      </w:r>
      <w:r w:rsidRPr="00D427D8">
        <w:rPr>
          <w:b/>
          <w:bCs/>
        </w:rPr>
        <w:t>Permanent Global Note</w:t>
      </w:r>
      <w:r w:rsidR="00EF7333" w:rsidRPr="00D427D8">
        <w:t>"</w:t>
      </w:r>
      <w:r w:rsidRPr="00D427D8">
        <w:t xml:space="preserve">) without interest coupons. Except in certain limited circumstances, definitive Notes and interest coupons will not be issued. Each Temporary Global Note and each Permanent Global Note is also referred to herein as </w:t>
      </w:r>
      <w:r w:rsidR="00EF7333" w:rsidRPr="00D427D8">
        <w:t>"</w:t>
      </w:r>
      <w:r w:rsidRPr="00D427D8">
        <w:rPr>
          <w:b/>
          <w:bCs/>
        </w:rPr>
        <w:t>Global Note</w:t>
      </w:r>
      <w:r w:rsidR="00EF7333" w:rsidRPr="00D427D8">
        <w:t>"</w:t>
      </w:r>
      <w:r w:rsidRPr="00D427D8">
        <w:t xml:space="preserve"> and, together, as </w:t>
      </w:r>
      <w:r w:rsidR="00EF7333" w:rsidRPr="00D427D8">
        <w:t>"</w:t>
      </w:r>
      <w:r w:rsidRPr="00D427D8">
        <w:rPr>
          <w:b/>
          <w:bCs/>
        </w:rPr>
        <w:t>Global Notes</w:t>
      </w:r>
      <w:r w:rsidR="00EF7333" w:rsidRPr="00D427D8">
        <w:t>"</w:t>
      </w:r>
      <w:r w:rsidRPr="00D427D8">
        <w:t>.</w:t>
      </w:r>
      <w:bookmarkEnd w:id="114"/>
    </w:p>
    <w:p w14:paraId="0356C926" w14:textId="002F497F" w:rsidR="009F6E91" w:rsidRPr="00D427D8" w:rsidRDefault="009F6E91" w:rsidP="0068363A">
      <w:pPr>
        <w:pStyle w:val="SchNumber3"/>
      </w:pPr>
      <w:r w:rsidRPr="00D427D8">
        <w:t>The Global Note representing the Class A Notes is issued in a new global note (</w:t>
      </w:r>
      <w:r w:rsidR="00EF7333" w:rsidRPr="00D427D8">
        <w:t>"</w:t>
      </w:r>
      <w:r w:rsidRPr="00D427D8">
        <w:rPr>
          <w:rStyle w:val="BoldText"/>
        </w:rPr>
        <w:t>NGN</w:t>
      </w:r>
      <w:r w:rsidR="00EF7333" w:rsidRPr="00D427D8">
        <w:t>"</w:t>
      </w:r>
      <w:r w:rsidRPr="00D427D8">
        <w:t xml:space="preserve">) form and kept in custody with an ICSD as common safekeeper for the Class A Notes </w:t>
      </w:r>
      <w:bookmarkStart w:id="116" w:name="_Hlk150967895"/>
      <w:r w:rsidRPr="00D427D8">
        <w:t xml:space="preserve">(the </w:t>
      </w:r>
      <w:r w:rsidR="00EF7333" w:rsidRPr="00D427D8">
        <w:t>"</w:t>
      </w:r>
      <w:r w:rsidRPr="00D427D8">
        <w:rPr>
          <w:rStyle w:val="BoldText"/>
        </w:rPr>
        <w:t>Common Safekeeper</w:t>
      </w:r>
      <w:r w:rsidR="00EF7333" w:rsidRPr="00D427D8">
        <w:t>"</w:t>
      </w:r>
      <w:r w:rsidRPr="00D427D8">
        <w:t>)</w:t>
      </w:r>
      <w:bookmarkEnd w:id="116"/>
      <w:r w:rsidRPr="00D427D8">
        <w:t xml:space="preserve">; such ICSD will be either of Euroclear Bank S.A./N.V. (Euroclear) or Clearstream Banking, société anonyme, Luxembourg (Clearstream, Luxembourg and Euroclear each an </w:t>
      </w:r>
      <w:r w:rsidR="00EF7333" w:rsidRPr="00D427D8">
        <w:t>"</w:t>
      </w:r>
      <w:r w:rsidRPr="00D427D8">
        <w:rPr>
          <w:rStyle w:val="BoldText"/>
        </w:rPr>
        <w:t>ICSD</w:t>
      </w:r>
      <w:r w:rsidR="00EF7333" w:rsidRPr="00D427D8">
        <w:t>"</w:t>
      </w:r>
      <w:r w:rsidRPr="00D427D8">
        <w:t xml:space="preserve"> and together the </w:t>
      </w:r>
      <w:r w:rsidR="00EF7333" w:rsidRPr="00D427D8">
        <w:t>"</w:t>
      </w:r>
      <w:r w:rsidRPr="00D427D8">
        <w:rPr>
          <w:rStyle w:val="BoldText"/>
        </w:rPr>
        <w:t>ICSDs</w:t>
      </w:r>
      <w:r w:rsidR="00EF7333" w:rsidRPr="00D427D8">
        <w:t>"</w:t>
      </w:r>
      <w:r w:rsidRPr="00D427D8">
        <w:t>), until all obligations of the Issuer under the Class A Notes represented by it have been satisfied.</w:t>
      </w:r>
    </w:p>
    <w:p w14:paraId="336F77FE" w14:textId="31B22A3A" w:rsidR="009F6E91" w:rsidRPr="00D427D8" w:rsidRDefault="009F6E91" w:rsidP="0068363A">
      <w:pPr>
        <w:pStyle w:val="SchNumber3"/>
      </w:pPr>
      <w:r w:rsidRPr="00D427D8">
        <w:t xml:space="preserve">The Global Notes representing the Class B Notes, the Class C Notes, the Class D Notes, the Class E Notes, the Class F Notes and the Class G Notes are issued in a classical global note </w:t>
      </w:r>
      <w:bookmarkStart w:id="117" w:name="_Hlk150967980"/>
      <w:r w:rsidRPr="00D427D8">
        <w:t>(</w:t>
      </w:r>
      <w:r w:rsidR="00EF7333" w:rsidRPr="00D427D8">
        <w:t>"</w:t>
      </w:r>
      <w:r w:rsidRPr="00D427D8">
        <w:rPr>
          <w:rStyle w:val="BoldText"/>
        </w:rPr>
        <w:t>CGN</w:t>
      </w:r>
      <w:r w:rsidR="00EF7333" w:rsidRPr="00D427D8">
        <w:t>"</w:t>
      </w:r>
      <w:r w:rsidRPr="00D427D8">
        <w:t>)</w:t>
      </w:r>
      <w:bookmarkEnd w:id="117"/>
      <w:r w:rsidRPr="00D427D8">
        <w:t xml:space="preserve"> form and kept in custody with </w:t>
      </w:r>
      <w:bookmarkStart w:id="118" w:name="_Hlk198115310"/>
      <w:r w:rsidR="00FC4834" w:rsidRPr="00FC4834">
        <w:rPr>
          <w:szCs w:val="19"/>
        </w:rPr>
        <w:t>BNP Paribas, Luxembourg Branch</w:t>
      </w:r>
      <w:bookmarkEnd w:id="118"/>
      <w:r w:rsidR="00FB21F9">
        <w:rPr>
          <w:szCs w:val="19"/>
        </w:rPr>
        <w:t xml:space="preserve"> </w:t>
      </w:r>
      <w:r w:rsidRPr="00D427D8">
        <w:t xml:space="preserve">for the Class B Notes, the Class C Notes, the Class D Notes, the Class E Notes, the Class F Notes and the Class G Notes as common depository, until all obligations of the Issuer under the Class </w:t>
      </w:r>
      <w:r w:rsidRPr="00D427D8">
        <w:lastRenderedPageBreak/>
        <w:t>B Notes, the Class C Notes, the Class D Notes, the Class E Notes, the Class F Notes and the Class G Notes represented by it have been satisfied.</w:t>
      </w:r>
    </w:p>
    <w:p w14:paraId="565B2629" w14:textId="77777777" w:rsidR="009F6E91" w:rsidRPr="00D427D8" w:rsidRDefault="009F6E91" w:rsidP="0068363A">
      <w:pPr>
        <w:pStyle w:val="SchNumber3"/>
      </w:pPr>
      <w:r w:rsidRPr="00D427D8">
        <w:t>Copies of each form of the Global Notes representing each Class of Notes are available free of charge at the specified offices of the Paying Agent.</w:t>
      </w:r>
    </w:p>
    <w:p w14:paraId="01D3D967" w14:textId="4BEC6BBB" w:rsidR="009F6E91" w:rsidRPr="00D427D8" w:rsidRDefault="009F6E91" w:rsidP="0068363A">
      <w:pPr>
        <w:pStyle w:val="SchHeading2"/>
      </w:pPr>
      <w:bookmarkStart w:id="119" w:name="_Ref141867720"/>
      <w:r w:rsidRPr="00D427D8">
        <w:t>Exchange of Temporary Global Notes</w:t>
      </w:r>
      <w:bookmarkEnd w:id="119"/>
    </w:p>
    <w:p w14:paraId="3747E41D" w14:textId="59E3E998" w:rsidR="009F6E91" w:rsidRPr="00D427D8" w:rsidRDefault="009F6E91" w:rsidP="0068363A">
      <w:pPr>
        <w:pStyle w:val="SchNumber3"/>
      </w:pPr>
      <w:r w:rsidRPr="00D427D8">
        <w:t>The Temporary Global Notes shall be exchanged for a Permanent Global Note without interest coupons attached</w:t>
      </w:r>
    </w:p>
    <w:p w14:paraId="5C070002" w14:textId="4F301F0E" w:rsidR="009F6E91" w:rsidRPr="00D427D8" w:rsidRDefault="009F6E91" w:rsidP="0068363A">
      <w:pPr>
        <w:pStyle w:val="SchNumber4"/>
      </w:pPr>
      <w:r w:rsidRPr="00D427D8">
        <w:t>on a date not earlier than 40 days and not later than 180 days after the date of issue of the Temporary Global Notes;</w:t>
      </w:r>
    </w:p>
    <w:p w14:paraId="1398248C" w14:textId="631075F5" w:rsidR="009F6E91" w:rsidRPr="00D427D8" w:rsidRDefault="009F6E91" w:rsidP="0068363A">
      <w:pPr>
        <w:pStyle w:val="SchNumber4"/>
      </w:pPr>
      <w:r w:rsidRPr="00D427D8">
        <w:t xml:space="preserve">upon delivery by the relevant participants (each a </w:t>
      </w:r>
      <w:r w:rsidR="00EF7333" w:rsidRPr="00D427D8">
        <w:t>"</w:t>
      </w:r>
      <w:r w:rsidRPr="00D427D8">
        <w:rPr>
          <w:b/>
          <w:bCs/>
        </w:rPr>
        <w:t>Euroclear Participant</w:t>
      </w:r>
      <w:r w:rsidR="00EF7333" w:rsidRPr="00D427D8">
        <w:t>"</w:t>
      </w:r>
      <w:r w:rsidRPr="00D427D8">
        <w:t xml:space="preserve"> or a </w:t>
      </w:r>
      <w:r w:rsidR="00EF7333" w:rsidRPr="00D427D8">
        <w:t>"</w:t>
      </w:r>
      <w:r w:rsidRPr="00D427D8">
        <w:rPr>
          <w:b/>
          <w:bCs/>
        </w:rPr>
        <w:t>Clearstream, Luxembourg Participant</w:t>
      </w:r>
      <w:r w:rsidR="00EF7333" w:rsidRPr="00D427D8">
        <w:t>"</w:t>
      </w:r>
      <w:r w:rsidRPr="00D427D8">
        <w:t xml:space="preserve"> as the case may be) to Euroclear and Clearstream, Luxembourg, as relevant, and by Euroclear or Clearstream, Luxembourg, as relevant, to the Paying Agent, of certificates:</w:t>
      </w:r>
    </w:p>
    <w:p w14:paraId="4EBEBDD7" w14:textId="77777777" w:rsidR="009F6E91" w:rsidRPr="00D427D8" w:rsidRDefault="009F6E91" w:rsidP="0068363A">
      <w:pPr>
        <w:pStyle w:val="SchNumber5"/>
      </w:pPr>
      <w:r w:rsidRPr="00D427D8">
        <w:t>in the form which forms part of the Temporary Global Note (and are available from the Paying Agent for such purpose); and</w:t>
      </w:r>
    </w:p>
    <w:p w14:paraId="0685B6AD" w14:textId="77777777" w:rsidR="009F6E91" w:rsidRPr="00D427D8" w:rsidRDefault="009F6E91" w:rsidP="0068363A">
      <w:pPr>
        <w:pStyle w:val="SchNumber5"/>
      </w:pPr>
      <w:r w:rsidRPr="00D427D8">
        <w:t>to the effect that the beneficial owner or owners of the Notes represented by the relevant Temporary Global Note is not a U.S. person other than certain financial institutions or certain persons holding through such financial institutions.</w:t>
      </w:r>
    </w:p>
    <w:p w14:paraId="52BDCEF5" w14:textId="6C0676EB" w:rsidR="009F6E91" w:rsidRPr="00D427D8" w:rsidRDefault="009F6E91" w:rsidP="0068363A">
      <w:pPr>
        <w:pStyle w:val="SchNumber3"/>
      </w:pPr>
      <w:r w:rsidRPr="00D427D8">
        <w:t xml:space="preserve">Each Permanent Global Note delivered in exchange for the relevant Temporary Global Note shall be delivered only outside of the United States. </w:t>
      </w:r>
      <w:r w:rsidR="00EF7333" w:rsidRPr="00D427D8">
        <w:t>"</w:t>
      </w:r>
      <w:r w:rsidRPr="00D427D8">
        <w:t>United States</w:t>
      </w:r>
      <w:r w:rsidR="00EF7333" w:rsidRPr="00D427D8">
        <w:t>"</w:t>
      </w:r>
      <w:r w:rsidRPr="00D427D8">
        <w:t xml:space="preserve"> means, for the purposes of this Condition 3.3, the United States of America (including the States thereof and the District of Columbia) and its possessions (including Puerto Rico, the U.S. Virgin Islands, Guam, American Samoa, Wake Island and the Northern Mariana Islands). Any exchange of a Temporary Global Note pursuant to this Condition 3.3 shall be made free of charge to the Noteholders.</w:t>
      </w:r>
    </w:p>
    <w:p w14:paraId="56B96B1D" w14:textId="47EDCD29" w:rsidR="009F6E91" w:rsidRPr="00D427D8" w:rsidRDefault="009F6E91" w:rsidP="0068363A">
      <w:pPr>
        <w:pStyle w:val="SchHeading2"/>
      </w:pPr>
      <w:r w:rsidRPr="00D427D8">
        <w:t>Execution</w:t>
      </w:r>
    </w:p>
    <w:p w14:paraId="224F16C5" w14:textId="1785435D" w:rsidR="009F6E91" w:rsidRPr="00D427D8" w:rsidRDefault="009F6E91" w:rsidP="0068363A">
      <w:pPr>
        <w:pStyle w:val="SchNumber3"/>
      </w:pPr>
      <w:r w:rsidRPr="00D427D8">
        <w:t>The Global Note representing the Class A Notes shall be manually signed by two directors on behalf of the Issuer, shall be authenticated by or on behalf of the Paying Agent and shall be effectuated by the Common Safekeeper.</w:t>
      </w:r>
    </w:p>
    <w:p w14:paraId="4F29583C" w14:textId="6E7603C6" w:rsidR="009F6E91" w:rsidRPr="00D427D8" w:rsidRDefault="009F6E91" w:rsidP="0068363A">
      <w:pPr>
        <w:pStyle w:val="SchNumber3"/>
      </w:pPr>
      <w:r w:rsidRPr="00D427D8">
        <w:t>The Global Note representing the Class B Notes, the Class C Notes, the Class D Notes, the Class E Notes, the Class F Notes and the Class G Notes shall be manually signed by two directors on behalf of the Issuer and shall be authenticated by or on behalf of the Paying Agent.</w:t>
      </w:r>
    </w:p>
    <w:p w14:paraId="002AD961" w14:textId="08E46AC6" w:rsidR="009F6E91" w:rsidRPr="00D427D8" w:rsidRDefault="009F6E91" w:rsidP="0068363A">
      <w:pPr>
        <w:pStyle w:val="SchHeading2"/>
      </w:pPr>
      <w:r w:rsidRPr="00D427D8">
        <w:t>Records of the ICSDs</w:t>
      </w:r>
    </w:p>
    <w:p w14:paraId="06E22114" w14:textId="7832BC2F" w:rsidR="009F6E91" w:rsidRPr="00D427D8" w:rsidRDefault="009F6E91" w:rsidP="0068363A">
      <w:pPr>
        <w:pStyle w:val="SchNumber3"/>
      </w:pPr>
      <w:r w:rsidRPr="00D427D8">
        <w:t>The nominal amount of the Notes represented by any of the Global Notes shall be the aggregate amount from time to time entered in the records of both ICSDs. The records of the ICSDs (which expression means the records that each ICSD holds for its customers which reflect the amounts of such customer</w:t>
      </w:r>
      <w:r w:rsidR="00EF7333" w:rsidRPr="00D427D8">
        <w:t>'</w:t>
      </w:r>
      <w:r w:rsidRPr="00D427D8">
        <w:t>s interest in the Notes) shall be conclusive evidence of the nominal amount of Notes represented by the respective Global Note and, for these purposes, a statement issued by a ICSD stating the nominal amount of Notes so represented at any time shall be conclusive evidence of the records of the relevant ICSD at that time.</w:t>
      </w:r>
    </w:p>
    <w:p w14:paraId="2C1BB0A5" w14:textId="66250AAB" w:rsidR="009F6E91" w:rsidRPr="00D427D8" w:rsidRDefault="009F6E91" w:rsidP="0068363A">
      <w:pPr>
        <w:pStyle w:val="SchNumber3"/>
      </w:pPr>
      <w:r w:rsidRPr="00D427D8">
        <w:t xml:space="preserve">On any redemption or payment of an instalment or interest being made in respect of, or purchase and cancellation of, any of the Notes represented by the respective Global Note, the Issuer shall procure that the details of any redemption, payment, purchase and cancellation (as the case may be) in respect of the Global Note shall be entered pro rata in the records of the ICSDs and, upon any such entry being made, the nominal amount of the </w:t>
      </w:r>
      <w:r w:rsidRPr="00D427D8">
        <w:lastRenderedPageBreak/>
        <w:t>Notes recorded in the records of the ICSDs and represented by the respective Global Note shall be reduced by the aggregate nominal amount of the Notes so redeemed or purchased and cancelled or by the aggregate amount of such instalments so paid.</w:t>
      </w:r>
    </w:p>
    <w:p w14:paraId="3D546A85" w14:textId="36172088" w:rsidR="009F6E91" w:rsidRPr="00D427D8" w:rsidRDefault="009F6E91" w:rsidP="0068363A">
      <w:pPr>
        <w:pStyle w:val="SchNumber3"/>
      </w:pPr>
      <w:r w:rsidRPr="00D427D8">
        <w:t>On an exchange of a portion only of the Notes represented by a Temporary Global Note, the Issuer shall procure that details of such exchange shall be entered pro rata in the records of the ICSDs.</w:t>
      </w:r>
    </w:p>
    <w:p w14:paraId="6A8750EF" w14:textId="3DE0EF58" w:rsidR="009F6E91" w:rsidRPr="00D427D8" w:rsidRDefault="009F6E91" w:rsidP="0068363A">
      <w:pPr>
        <w:pStyle w:val="SchHeading2"/>
      </w:pPr>
      <w:r w:rsidRPr="00D427D8">
        <w:t>Nature of the Notes</w:t>
      </w:r>
    </w:p>
    <w:p w14:paraId="6438D676" w14:textId="3047D627" w:rsidR="009F6E91" w:rsidRPr="00D427D8" w:rsidRDefault="009F6E91" w:rsidP="0068363A">
      <w:pPr>
        <w:pStyle w:val="SchNumber3"/>
      </w:pPr>
      <w:r w:rsidRPr="00D427D8">
        <w:t>All payment obligations owed by the Issuer pursuant to the Conditions constitute obligations only to pay out the Available Distribution Amount in accordance with the applicable Priority of Payments and are subject to Condition 4 (</w:t>
      </w:r>
      <w:r w:rsidRPr="00D427D8">
        <w:rPr>
          <w:rStyle w:val="ItalicText"/>
        </w:rPr>
        <w:t>Status, ranking, priority, relationship between the classes of notes</w:t>
      </w:r>
      <w:r w:rsidRPr="00D427D8">
        <w:t>).</w:t>
      </w:r>
    </w:p>
    <w:p w14:paraId="73884D72" w14:textId="77777777" w:rsidR="009F6E91" w:rsidRPr="00D427D8" w:rsidRDefault="009F6E91" w:rsidP="0068363A">
      <w:pPr>
        <w:pStyle w:val="SchNumber3"/>
      </w:pPr>
      <w:r w:rsidRPr="00D427D8">
        <w:t>The Notes shall not give rise to any payment obligations in excess of the amounts resulting from the Available Distribution Amount being allocated in accordance with the foregoing and the payment obligations of the Issuer are limited accordingly.</w:t>
      </w:r>
    </w:p>
    <w:p w14:paraId="4F1013C9" w14:textId="77777777" w:rsidR="009F6E91" w:rsidRPr="00D427D8" w:rsidRDefault="009F6E91" w:rsidP="0068363A">
      <w:pPr>
        <w:pStyle w:val="SchNumber3"/>
      </w:pPr>
      <w:r w:rsidRPr="00D427D8">
        <w:t>The amount which the Issuer is obliged to repay as principal under the Notes and the amount of interest which the Issuer is obliged to pay is, therefore, dependent on the performance of the Purchased Lease Receivables.</w:t>
      </w:r>
    </w:p>
    <w:p w14:paraId="36D3EC26" w14:textId="794ACC65" w:rsidR="009F6E91" w:rsidRPr="00D427D8" w:rsidRDefault="009F6E91" w:rsidP="0068363A">
      <w:pPr>
        <w:pStyle w:val="SchHeading2"/>
      </w:pPr>
      <w:r w:rsidRPr="00D427D8">
        <w:t>No Guarantee</w:t>
      </w:r>
    </w:p>
    <w:p w14:paraId="7B173762" w14:textId="4EEF5A5A" w:rsidR="009F6E91" w:rsidRPr="00D427D8" w:rsidRDefault="009F6E91" w:rsidP="0068363A">
      <w:pPr>
        <w:pStyle w:val="SchNumber3"/>
      </w:pPr>
      <w:r w:rsidRPr="00D427D8">
        <w:t>The Notes represent obligations of the Issuer only, and do not represent an interest in, or obligations of, any Transaction Party or any of their respective affiliates or any other third person or entity.</w:t>
      </w:r>
    </w:p>
    <w:p w14:paraId="44B492AD" w14:textId="4F6A13C6" w:rsidR="009F6E91" w:rsidRPr="00D427D8" w:rsidRDefault="009F6E91" w:rsidP="0068363A">
      <w:pPr>
        <w:pStyle w:val="SchNumber3"/>
      </w:pPr>
      <w:r w:rsidRPr="00D427D8">
        <w:t>The Issuer gives no assurance or guarantee as to the performance of the Purchased Lease Receivables or the realisation of the Purchased Expectancy Rights and, for that reason, gives no assurance or guarantee that principal repayments under the Notes will equal the initial aggregate principal amount of the Notes.</w:t>
      </w:r>
    </w:p>
    <w:p w14:paraId="5E6BDC39" w14:textId="33856E0B" w:rsidR="009F6E91" w:rsidRPr="00D427D8" w:rsidRDefault="009F6E91" w:rsidP="0068363A">
      <w:pPr>
        <w:pStyle w:val="SchNumber3"/>
      </w:pPr>
      <w:r w:rsidRPr="00D427D8">
        <w:t>Neither the Notes nor the Purchased Lease Receivables nor the Purchased Expectancy Rights will be insured or guaranteed by any governmental agency or instrumentality or by any Transaction Party or any of their respective affiliates or any other third person or entity except as described herein.</w:t>
      </w:r>
    </w:p>
    <w:p w14:paraId="6AEC6DB1" w14:textId="23649709" w:rsidR="009F6E91" w:rsidRPr="00D427D8" w:rsidRDefault="009F6E91" w:rsidP="002C7512">
      <w:pPr>
        <w:pStyle w:val="SchHeading1"/>
      </w:pPr>
      <w:bookmarkStart w:id="120" w:name="_Ref141868023"/>
      <w:r w:rsidRPr="00D427D8">
        <w:t>Status, ranking, priority and relationship between the Classes of Notes</w:t>
      </w:r>
      <w:bookmarkEnd w:id="120"/>
    </w:p>
    <w:p w14:paraId="0B390A3A" w14:textId="45903F32" w:rsidR="009F6E91" w:rsidRPr="00D427D8" w:rsidRDefault="009F6E91" w:rsidP="002C7512">
      <w:pPr>
        <w:pStyle w:val="SchHeading2"/>
      </w:pPr>
      <w:r w:rsidRPr="00D427D8">
        <w:t>Status and ranking</w:t>
      </w:r>
    </w:p>
    <w:p w14:paraId="264A0E57" w14:textId="20DB710B" w:rsidR="009F6E91" w:rsidRPr="00D427D8" w:rsidRDefault="009F6E91" w:rsidP="002C7512">
      <w:pPr>
        <w:pStyle w:val="SchNumber3"/>
      </w:pPr>
      <w:r w:rsidRPr="00D427D8">
        <w:t>Class A Notes</w:t>
      </w:r>
    </w:p>
    <w:p w14:paraId="0214ED16" w14:textId="77777777" w:rsidR="009F6E91" w:rsidRPr="00D427D8" w:rsidRDefault="009F6E91" w:rsidP="009F6E91">
      <w:pPr>
        <w:pStyle w:val="Body3"/>
      </w:pPr>
      <w:r w:rsidRPr="00D427D8">
        <w:t xml:space="preserve">The Class A Notes when issued will constitute direct, unconditional and, subject as provided in Condition </w:t>
      </w:r>
      <w:bookmarkStart w:id="121" w:name="_Hlk141868791"/>
      <w:r w:rsidRPr="00D427D8">
        <w:rPr>
          <w:rFonts w:cs="Arial"/>
        </w:rPr>
        <w:t>4.2</w:t>
      </w:r>
      <w:bookmarkEnd w:id="121"/>
      <w:r w:rsidRPr="00D427D8">
        <w:t xml:space="preserve"> (</w:t>
      </w:r>
      <w:r w:rsidRPr="00D427D8">
        <w:rPr>
          <w:i/>
        </w:rPr>
        <w:t>Relationship between the Notes</w:t>
      </w:r>
      <w:r w:rsidRPr="00D427D8">
        <w:t xml:space="preserve">) and Condition </w:t>
      </w:r>
      <w:r w:rsidRPr="00D427D8">
        <w:rPr>
          <w:rFonts w:cs="Arial"/>
        </w:rPr>
        <w:t>16</w:t>
      </w:r>
      <w:r w:rsidRPr="00D427D8">
        <w:t xml:space="preserve"> (</w:t>
      </w:r>
      <w:r w:rsidRPr="00D427D8">
        <w:rPr>
          <w:i/>
        </w:rPr>
        <w:t>Non Petition and Limited Recourse</w:t>
      </w:r>
      <w:r w:rsidRPr="00D427D8">
        <w:t xml:space="preserve">), unsubordinated obligations of the Issuer and all payments of principal and interest (and arrears, if any) on the Class A Notes shall be made to the extent of the Available Distribution Amount and in accordance with the applicable Priority of Payments. The Class A Notes rank </w:t>
      </w:r>
      <w:r w:rsidRPr="00D427D8">
        <w:rPr>
          <w:i/>
        </w:rPr>
        <w:t xml:space="preserve">pari passu </w:t>
      </w:r>
      <w:r w:rsidRPr="00D427D8">
        <w:t>without preference or priority among themselves. The Class B Notes, the Class C Notes, the Class D Notes, the Class E Notes, the Class F Notes and the Class G Notes are subordinated to the Class A Notes as to payments of interest and principal at all times as provided in these Conditions including, for the avoidance of doubt, during the Normal Amortisation Period before or after the occurrence of a Sequential Redemption Event.</w:t>
      </w:r>
    </w:p>
    <w:p w14:paraId="77D8116C" w14:textId="1D8C6CB1" w:rsidR="009F6E91" w:rsidRPr="00D427D8" w:rsidRDefault="009F6E91" w:rsidP="002C7512">
      <w:pPr>
        <w:pStyle w:val="SchNumber3"/>
      </w:pPr>
      <w:r w:rsidRPr="00D427D8">
        <w:t>Class B Notes</w:t>
      </w:r>
    </w:p>
    <w:p w14:paraId="3721516D" w14:textId="77777777" w:rsidR="009F6E91" w:rsidRPr="00D427D8" w:rsidRDefault="009F6E91" w:rsidP="009F6E91">
      <w:pPr>
        <w:pStyle w:val="Body3"/>
      </w:pPr>
      <w:r w:rsidRPr="00D427D8">
        <w:t xml:space="preserve">The Class B Notes when issued will constitute direct, unconditional and, subject as provided in Condition </w:t>
      </w:r>
      <w:r w:rsidRPr="00D427D8">
        <w:rPr>
          <w:rFonts w:cs="Arial"/>
        </w:rPr>
        <w:t>4.2</w:t>
      </w:r>
      <w:r w:rsidRPr="00D427D8">
        <w:t xml:space="preserve"> (</w:t>
      </w:r>
      <w:r w:rsidRPr="00D427D8">
        <w:rPr>
          <w:i/>
        </w:rPr>
        <w:t>Relationship between the Notes</w:t>
      </w:r>
      <w:r w:rsidRPr="00D427D8">
        <w:t xml:space="preserve">), Condition </w:t>
      </w:r>
      <w:r w:rsidRPr="00D427D8">
        <w:rPr>
          <w:rFonts w:cs="Arial"/>
        </w:rPr>
        <w:t>13</w:t>
      </w:r>
      <w:r w:rsidRPr="00D427D8">
        <w:t xml:space="preserve"> (</w:t>
      </w:r>
      <w:r w:rsidRPr="00D427D8">
        <w:rPr>
          <w:i/>
        </w:rPr>
        <w:t>Subordination by Deferral of Interest</w:t>
      </w:r>
      <w:r w:rsidRPr="00D427D8">
        <w:t xml:space="preserve">) and Condition </w:t>
      </w:r>
      <w:r w:rsidRPr="00D427D8">
        <w:rPr>
          <w:rFonts w:cs="Arial"/>
        </w:rPr>
        <w:t>16</w:t>
      </w:r>
      <w:r w:rsidRPr="00D427D8">
        <w:t xml:space="preserve"> (</w:t>
      </w:r>
      <w:r w:rsidRPr="00D427D8">
        <w:rPr>
          <w:i/>
        </w:rPr>
        <w:t>Non Petition and Limited Recourse</w:t>
      </w:r>
      <w:r w:rsidRPr="00D427D8">
        <w:t xml:space="preserve">), subordinated obligations </w:t>
      </w:r>
      <w:r w:rsidRPr="00D427D8">
        <w:lastRenderedPageBreak/>
        <w:t xml:space="preserve">of the Issuer and all payments of principal and interest (and arrears, if any) on the Class B Notes shall be made to the extent of the Available Distribution Amount and in accordance with the applicable Priority of Payments. The Class B Notes rank </w:t>
      </w:r>
      <w:r w:rsidRPr="00D427D8">
        <w:rPr>
          <w:i/>
        </w:rPr>
        <w:t xml:space="preserve">pari passu </w:t>
      </w:r>
      <w:r w:rsidRPr="00D427D8">
        <w:t>without preference or priority among themselves. The Class B Notes are subordinated to the Class A Notes as to payments of interest and principal at all times as provided in these Conditions including, for the avoidance of doubt, before and after the occurrence of a Sequential Redemption Event during the Normal Amortisation Period.</w:t>
      </w:r>
    </w:p>
    <w:p w14:paraId="143D9073" w14:textId="2F3296E5" w:rsidR="009F6E91" w:rsidRPr="00D427D8" w:rsidRDefault="009F6E91" w:rsidP="002C7512">
      <w:pPr>
        <w:pStyle w:val="SchNumber3"/>
      </w:pPr>
      <w:r w:rsidRPr="00D427D8">
        <w:t>Class C Notes</w:t>
      </w:r>
    </w:p>
    <w:p w14:paraId="18DB5B0E" w14:textId="77777777" w:rsidR="009F6E91" w:rsidRPr="00D427D8" w:rsidRDefault="009F6E91" w:rsidP="009F6E91">
      <w:pPr>
        <w:pStyle w:val="Body3"/>
      </w:pPr>
      <w:r w:rsidRPr="00D427D8">
        <w:t xml:space="preserve">The Class C Notes when issued will constitute direct, unconditional and, subject as provided in Condition </w:t>
      </w:r>
      <w:r w:rsidRPr="00D427D8">
        <w:rPr>
          <w:rFonts w:cs="Arial"/>
        </w:rPr>
        <w:t>4.2</w:t>
      </w:r>
      <w:r w:rsidRPr="00D427D8">
        <w:t xml:space="preserve"> (</w:t>
      </w:r>
      <w:r w:rsidRPr="00D427D8">
        <w:rPr>
          <w:i/>
        </w:rPr>
        <w:t>Relationship between the Notes</w:t>
      </w:r>
      <w:r w:rsidRPr="00D427D8">
        <w:t xml:space="preserve">), Condition </w:t>
      </w:r>
      <w:r w:rsidRPr="00D427D8">
        <w:rPr>
          <w:rFonts w:cs="Arial"/>
        </w:rPr>
        <w:t>13</w:t>
      </w:r>
      <w:r w:rsidRPr="00D427D8">
        <w:t xml:space="preserve"> (</w:t>
      </w:r>
      <w:r w:rsidRPr="00D427D8">
        <w:rPr>
          <w:i/>
        </w:rPr>
        <w:t>Subordination by Deferral of Interest</w:t>
      </w:r>
      <w:r w:rsidRPr="00D427D8">
        <w:t xml:space="preserve">) and Condition </w:t>
      </w:r>
      <w:r w:rsidRPr="00D427D8">
        <w:rPr>
          <w:rFonts w:cs="Arial"/>
        </w:rPr>
        <w:t>16</w:t>
      </w:r>
      <w:r w:rsidRPr="00D427D8">
        <w:t xml:space="preserve"> (</w:t>
      </w:r>
      <w:r w:rsidRPr="00D427D8">
        <w:rPr>
          <w:i/>
        </w:rPr>
        <w:t>Non Petition and Limited Recourse</w:t>
      </w:r>
      <w:r w:rsidRPr="00D427D8">
        <w:t xml:space="preserve">), subordinated obligations of the Issuer and all payments of principal and interest (and arrears, if any) on the Class C Notes shall be made to the extent of the Available Distribution Amount and in accordance with the applicable Priority of Payments. The Class C Notes rank </w:t>
      </w:r>
      <w:r w:rsidRPr="00D427D8">
        <w:rPr>
          <w:i/>
        </w:rPr>
        <w:t>pari passu</w:t>
      </w:r>
      <w:r w:rsidRPr="00D427D8">
        <w:t xml:space="preserve"> without preference or priority among themselves. The Class C Notes are subordinated to the Class B Notes as to payments of interest and principal at all times as provided in these Conditions including, for the avoidance of doubt, before and after the occurrence of a Sequential Redemption Event during the Normal Amortisation Period.</w:t>
      </w:r>
    </w:p>
    <w:p w14:paraId="3240E24E" w14:textId="42D3ABCE" w:rsidR="009F6E91" w:rsidRPr="00D427D8" w:rsidRDefault="009F6E91" w:rsidP="002C7512">
      <w:pPr>
        <w:pStyle w:val="SchNumber3"/>
      </w:pPr>
      <w:r w:rsidRPr="00D427D8">
        <w:t>Class D Notes</w:t>
      </w:r>
    </w:p>
    <w:p w14:paraId="7E36A957" w14:textId="77777777" w:rsidR="009F6E91" w:rsidRPr="00D427D8" w:rsidRDefault="009F6E91" w:rsidP="009F6E91">
      <w:pPr>
        <w:pStyle w:val="Body3"/>
      </w:pPr>
      <w:r w:rsidRPr="00D427D8">
        <w:t xml:space="preserve">The Class D Notes when issued will constitute direct, unconditional and, subject as provided in Condition </w:t>
      </w:r>
      <w:r w:rsidRPr="00D427D8">
        <w:rPr>
          <w:rFonts w:cs="Arial"/>
        </w:rPr>
        <w:t>4.2</w:t>
      </w:r>
      <w:r w:rsidRPr="00D427D8">
        <w:t xml:space="preserve"> (</w:t>
      </w:r>
      <w:r w:rsidRPr="00D427D8">
        <w:rPr>
          <w:i/>
        </w:rPr>
        <w:t>Relationship between the Notes</w:t>
      </w:r>
      <w:r w:rsidRPr="00D427D8">
        <w:t xml:space="preserve">), Condition </w:t>
      </w:r>
      <w:r w:rsidRPr="00D427D8">
        <w:rPr>
          <w:rFonts w:cs="Arial"/>
        </w:rPr>
        <w:t>13</w:t>
      </w:r>
      <w:r w:rsidRPr="00D427D8">
        <w:t xml:space="preserve"> (</w:t>
      </w:r>
      <w:r w:rsidRPr="00D427D8">
        <w:rPr>
          <w:i/>
        </w:rPr>
        <w:t>Subordination by Deferral of Interest</w:t>
      </w:r>
      <w:r w:rsidRPr="00D427D8">
        <w:t xml:space="preserve">) and Condition </w:t>
      </w:r>
      <w:r w:rsidRPr="00D427D8">
        <w:rPr>
          <w:rFonts w:cs="Arial"/>
        </w:rPr>
        <w:t>16</w:t>
      </w:r>
      <w:r w:rsidRPr="00D427D8">
        <w:t xml:space="preserve"> (</w:t>
      </w:r>
      <w:r w:rsidRPr="00D427D8">
        <w:rPr>
          <w:i/>
        </w:rPr>
        <w:t>Non Petition and Limited Recourse</w:t>
      </w:r>
      <w:r w:rsidRPr="00D427D8">
        <w:t xml:space="preserve">), subordinated obligations of the Issuer and all payments of principal and interest (and arrears, if any) on the Class D Notes shall be made to the extent of the Available Distribution Amount and in accordance with the applicable Priority of Payments. The Class D Notes rank </w:t>
      </w:r>
      <w:r w:rsidRPr="00D427D8">
        <w:rPr>
          <w:i/>
        </w:rPr>
        <w:t xml:space="preserve">pari passu </w:t>
      </w:r>
      <w:r w:rsidRPr="00D427D8">
        <w:t>without preference or priority among themselves. The Class D Notes are subordinated to the Class C Notes as to payments of interest and principal at all times as provided in these Conditions including, for the avoidance of doubt, before and after the occurrence of a Sequential Redemption Event during the Normal Amortisation Period.</w:t>
      </w:r>
    </w:p>
    <w:p w14:paraId="120B7B19" w14:textId="4D72C4CB" w:rsidR="009F6E91" w:rsidRPr="00D427D8" w:rsidRDefault="009F6E91" w:rsidP="002C7512">
      <w:pPr>
        <w:pStyle w:val="SchNumber3"/>
      </w:pPr>
      <w:r w:rsidRPr="00D427D8">
        <w:t>Class E Notes</w:t>
      </w:r>
    </w:p>
    <w:p w14:paraId="5D7E37BC" w14:textId="77777777" w:rsidR="009F6E91" w:rsidRPr="00D427D8" w:rsidRDefault="009F6E91" w:rsidP="009F6E91">
      <w:pPr>
        <w:pStyle w:val="Body3"/>
      </w:pPr>
      <w:r w:rsidRPr="00D427D8">
        <w:t xml:space="preserve">The Class E Notes when issued will constitute direct, unconditional and, subject as provided in Condition </w:t>
      </w:r>
      <w:r w:rsidRPr="00D427D8">
        <w:rPr>
          <w:rFonts w:cs="Arial"/>
        </w:rPr>
        <w:t>4.2</w:t>
      </w:r>
      <w:r w:rsidRPr="00D427D8">
        <w:t xml:space="preserve"> (</w:t>
      </w:r>
      <w:r w:rsidRPr="00D427D8">
        <w:rPr>
          <w:i/>
        </w:rPr>
        <w:t>Relationship between the Notes</w:t>
      </w:r>
      <w:r w:rsidRPr="00D427D8">
        <w:t xml:space="preserve">), Condition </w:t>
      </w:r>
      <w:r w:rsidRPr="00D427D8">
        <w:rPr>
          <w:rFonts w:cs="Arial"/>
        </w:rPr>
        <w:t>13</w:t>
      </w:r>
      <w:r w:rsidRPr="00D427D8">
        <w:t xml:space="preserve"> (</w:t>
      </w:r>
      <w:r w:rsidRPr="00D427D8">
        <w:rPr>
          <w:i/>
        </w:rPr>
        <w:t>Subordination by Deferral of Interest</w:t>
      </w:r>
      <w:r w:rsidRPr="00D427D8">
        <w:t xml:space="preserve">) and Condition </w:t>
      </w:r>
      <w:r w:rsidRPr="00D427D8">
        <w:rPr>
          <w:rFonts w:cs="Arial"/>
        </w:rPr>
        <w:t>16</w:t>
      </w:r>
      <w:r w:rsidRPr="00D427D8">
        <w:t xml:space="preserve"> (</w:t>
      </w:r>
      <w:r w:rsidRPr="00D427D8">
        <w:rPr>
          <w:i/>
        </w:rPr>
        <w:t>Non Petition and Limited Recourse</w:t>
      </w:r>
      <w:r w:rsidRPr="00D427D8">
        <w:t xml:space="preserve">), subordinated obligations of the Issuer and all payments of principal and interest (and arrears, if any) on the Class E Notes shall be made to the extent of the Available Distribution Amount and in accordance with the applicable Priority of Payments. The Class E Notes rank </w:t>
      </w:r>
      <w:r w:rsidRPr="00D427D8">
        <w:rPr>
          <w:i/>
        </w:rPr>
        <w:t xml:space="preserve">pari passu </w:t>
      </w:r>
      <w:r w:rsidRPr="00D427D8">
        <w:t>without preference or priority among themselves. The Class E Notes are subordinated to the Class D Notes as to payments of interest and principal at all times as provided in these Conditions including, for the avoidance of doubt, before and after the occurrence of a Sequential Redemption Event during the Normal Amortisation Period.</w:t>
      </w:r>
    </w:p>
    <w:p w14:paraId="4E2D1657" w14:textId="46F47A1C" w:rsidR="009F6E91" w:rsidRPr="00D427D8" w:rsidRDefault="009F6E91" w:rsidP="002C7512">
      <w:pPr>
        <w:pStyle w:val="SchNumber3"/>
      </w:pPr>
      <w:r w:rsidRPr="00D427D8">
        <w:t>Class F Notes</w:t>
      </w:r>
    </w:p>
    <w:p w14:paraId="32BEE8CA" w14:textId="77777777" w:rsidR="009F6E91" w:rsidRPr="00D427D8" w:rsidRDefault="009F6E91" w:rsidP="009F6E91">
      <w:pPr>
        <w:pStyle w:val="Body3"/>
      </w:pPr>
      <w:r w:rsidRPr="00D427D8">
        <w:t xml:space="preserve">The Class F Notes when issued will constitute direct, unconditional and, subject as provided in Condition </w:t>
      </w:r>
      <w:r w:rsidRPr="00D427D8">
        <w:rPr>
          <w:rFonts w:cs="Arial"/>
        </w:rPr>
        <w:t>4.2</w:t>
      </w:r>
      <w:r w:rsidRPr="00D427D8">
        <w:t xml:space="preserve"> (</w:t>
      </w:r>
      <w:r w:rsidRPr="00D427D8">
        <w:rPr>
          <w:i/>
        </w:rPr>
        <w:t>Relationship between the Notes</w:t>
      </w:r>
      <w:r w:rsidRPr="00D427D8">
        <w:t xml:space="preserve">), Condition </w:t>
      </w:r>
      <w:r w:rsidRPr="00D427D8">
        <w:rPr>
          <w:rFonts w:cs="Arial"/>
        </w:rPr>
        <w:t>13</w:t>
      </w:r>
      <w:r w:rsidRPr="00D427D8">
        <w:t xml:space="preserve"> (</w:t>
      </w:r>
      <w:r w:rsidRPr="00D427D8">
        <w:rPr>
          <w:i/>
        </w:rPr>
        <w:t>Subordination by Deferral of Interest</w:t>
      </w:r>
      <w:r w:rsidRPr="00D427D8">
        <w:t xml:space="preserve">) and Condition </w:t>
      </w:r>
      <w:r w:rsidRPr="00D427D8">
        <w:rPr>
          <w:rFonts w:cs="Arial"/>
        </w:rPr>
        <w:t>16</w:t>
      </w:r>
      <w:r w:rsidRPr="00D427D8">
        <w:t xml:space="preserve"> (</w:t>
      </w:r>
      <w:r w:rsidRPr="00D427D8">
        <w:rPr>
          <w:i/>
        </w:rPr>
        <w:t>Non Petition and Limited Recourse</w:t>
      </w:r>
      <w:r w:rsidRPr="00D427D8">
        <w:t xml:space="preserve">), subordinated obligations of the Issuer and all payments of principal and interest (and arrears, if any) on the Class F Notes shall be made to the extent of the Available Distribution Amount and in accordance with the applicable Priority of Payments. The Class F Notes rank </w:t>
      </w:r>
      <w:r w:rsidRPr="00D427D8">
        <w:rPr>
          <w:i/>
        </w:rPr>
        <w:t xml:space="preserve">pari passu </w:t>
      </w:r>
      <w:r w:rsidRPr="00D427D8">
        <w:t>without preference or priority among themselves. The Class F Notes are subordinated to the Class E Notes as to payments of interest and principal at all times as provided in these Conditions including, for the avoidance of doubt, before and after the occurrence of a Sequential Redemption Event during the Normal Amortisation Period.</w:t>
      </w:r>
    </w:p>
    <w:p w14:paraId="60F55769" w14:textId="2BFD6043" w:rsidR="009F6E91" w:rsidRPr="00D427D8" w:rsidRDefault="009F6E91" w:rsidP="002C7512">
      <w:pPr>
        <w:pStyle w:val="SchNumber3"/>
      </w:pPr>
      <w:r w:rsidRPr="00D427D8">
        <w:t>Class G Notes</w:t>
      </w:r>
    </w:p>
    <w:p w14:paraId="3F2742AB" w14:textId="77777777" w:rsidR="009F6E91" w:rsidRPr="00D427D8" w:rsidRDefault="009F6E91" w:rsidP="009F6E91">
      <w:pPr>
        <w:pStyle w:val="Body3"/>
      </w:pPr>
      <w:r w:rsidRPr="00D427D8">
        <w:lastRenderedPageBreak/>
        <w:t xml:space="preserve">The Class G Notes when issued will constitute direct, unconditional and, subject as provided in Condition </w:t>
      </w:r>
      <w:r w:rsidRPr="00D427D8">
        <w:rPr>
          <w:rFonts w:cs="Arial"/>
        </w:rPr>
        <w:t>4.2</w:t>
      </w:r>
      <w:r w:rsidRPr="00D427D8">
        <w:t xml:space="preserve"> (</w:t>
      </w:r>
      <w:r w:rsidRPr="00D427D8">
        <w:rPr>
          <w:i/>
        </w:rPr>
        <w:t>Relationship between the Notes</w:t>
      </w:r>
      <w:r w:rsidRPr="00D427D8">
        <w:t xml:space="preserve">), Condition </w:t>
      </w:r>
      <w:r w:rsidRPr="00D427D8">
        <w:rPr>
          <w:rFonts w:cs="Arial"/>
        </w:rPr>
        <w:t>13</w:t>
      </w:r>
      <w:r w:rsidRPr="00D427D8">
        <w:t xml:space="preserve"> (</w:t>
      </w:r>
      <w:r w:rsidRPr="00D427D8">
        <w:rPr>
          <w:i/>
        </w:rPr>
        <w:t>Subordination by Deferral of Interest</w:t>
      </w:r>
      <w:r w:rsidRPr="00D427D8">
        <w:t xml:space="preserve">) and Condition </w:t>
      </w:r>
      <w:r w:rsidRPr="00D427D8">
        <w:rPr>
          <w:rFonts w:cs="Arial"/>
        </w:rPr>
        <w:t>16</w:t>
      </w:r>
      <w:r w:rsidRPr="00D427D8">
        <w:t xml:space="preserve"> (</w:t>
      </w:r>
      <w:r w:rsidRPr="00D427D8">
        <w:rPr>
          <w:i/>
        </w:rPr>
        <w:t>Non Petition and Limited Recourse</w:t>
      </w:r>
      <w:r w:rsidRPr="00D427D8">
        <w:t xml:space="preserve">), subordinated obligations of the Issuer and all payments of principal and interest (and arrears, if any) on the Class G Notes shall be made to the extent of the Available Distribution Amount and in accordance with the applicable Priority of Payments. The Class G Notes rank </w:t>
      </w:r>
      <w:r w:rsidRPr="00D427D8">
        <w:rPr>
          <w:i/>
        </w:rPr>
        <w:t xml:space="preserve">pari passu </w:t>
      </w:r>
      <w:r w:rsidRPr="00D427D8">
        <w:t>without preference or priority among themselves. The Class G Notes are subordinated to the Class F Notes as to payments of interest and principal at all times as provided in these Conditions including, for the avoidance of doubt, before and after the occurrence of a Sequential Redemption Event during the Normal Amortisation Period.</w:t>
      </w:r>
    </w:p>
    <w:p w14:paraId="603566B2" w14:textId="49D5286C" w:rsidR="009F6E91" w:rsidRPr="00D427D8" w:rsidRDefault="009F6E91" w:rsidP="002C7512">
      <w:pPr>
        <w:pStyle w:val="SchHeading2"/>
      </w:pPr>
      <w:bookmarkStart w:id="122" w:name="_Ref141868744"/>
      <w:r w:rsidRPr="00D427D8">
        <w:t>Relationship between the Notes</w:t>
      </w:r>
      <w:bookmarkEnd w:id="122"/>
    </w:p>
    <w:p w14:paraId="7BB1ACED" w14:textId="3262A6E2" w:rsidR="009F6E91" w:rsidRPr="00D427D8" w:rsidRDefault="009F6E91" w:rsidP="002C7512">
      <w:pPr>
        <w:pStyle w:val="SchNumber3"/>
      </w:pPr>
      <w:r w:rsidRPr="00D427D8">
        <w:t>During the Revolving Period and the Normal Amortisation Period and in accordance with the Interest Priority of Payments:</w:t>
      </w:r>
    </w:p>
    <w:p w14:paraId="6A44005F" w14:textId="7F3DB3D9" w:rsidR="009F6E91" w:rsidRPr="00D427D8" w:rsidRDefault="009F6E91" w:rsidP="002C7512">
      <w:pPr>
        <w:pStyle w:val="SchNumber4"/>
      </w:pPr>
      <w:r w:rsidRPr="00D427D8">
        <w:t>payments of interest on the Class A Notes will be made in priority to payments of interest on the Class B Notes, the Class C Notes, the Class D Notes, the Class E Notes, the Class F Notes and the Class G Notes;</w:t>
      </w:r>
    </w:p>
    <w:p w14:paraId="4DCF3B84" w14:textId="7D298B6E" w:rsidR="009F6E91" w:rsidRPr="00D427D8" w:rsidRDefault="009F6E91" w:rsidP="002C7512">
      <w:pPr>
        <w:pStyle w:val="SchNumber4"/>
      </w:pPr>
      <w:r w:rsidRPr="00D427D8">
        <w:t>payments of interest on the Class B Notes will be subordinated to payments of interest on the Class A Notes, but will be made in priority to payments of interest on the Class C Notes, the Class D Notes, the Class E Notes, the Class F Notes and the Class G Notes;</w:t>
      </w:r>
    </w:p>
    <w:p w14:paraId="222B0C39" w14:textId="3DD7080D" w:rsidR="009F6E91" w:rsidRPr="00D427D8" w:rsidRDefault="009F6E91" w:rsidP="002C7512">
      <w:pPr>
        <w:pStyle w:val="SchNumber4"/>
      </w:pPr>
      <w:r w:rsidRPr="00D427D8">
        <w:t>payments of interest on the Class C Notes will be subordinated to payments of interest on the Class A Notes and the Class B Notes, but will be made in priority to payments of interest on the Class D Notes, the Class E Notes, the Class F Notes and the Class G Notes;</w:t>
      </w:r>
    </w:p>
    <w:p w14:paraId="6880B54E" w14:textId="7D5CB5C2" w:rsidR="009F6E91" w:rsidRPr="00D427D8" w:rsidRDefault="009F6E91" w:rsidP="002C7512">
      <w:pPr>
        <w:pStyle w:val="SchNumber4"/>
      </w:pPr>
      <w:r w:rsidRPr="00D427D8">
        <w:t>payments of interest on the Class D Notes will be subordinated to payments of interest on the Class A Notes, the Class B Notes and the Class C Notes, but will be made in priority to payments of interest on the Class E Notes, the Class F and the Class G Notes;</w:t>
      </w:r>
    </w:p>
    <w:p w14:paraId="2CB85FEE" w14:textId="68B5C7EA" w:rsidR="009F6E91" w:rsidRPr="00D427D8" w:rsidRDefault="009F6E91" w:rsidP="002C7512">
      <w:pPr>
        <w:pStyle w:val="SchNumber4"/>
      </w:pPr>
      <w:r w:rsidRPr="00D427D8">
        <w:t>payments of interest on the Class E Notes will be subordinated to payments of interest on the Class A Notes, the Class B Notes, the Class C Notes and the Class D Notes, but will be made in priority to payments of interest on the Class F and the Class G Notes;</w:t>
      </w:r>
    </w:p>
    <w:p w14:paraId="38450B32" w14:textId="20C34057" w:rsidR="009F6E91" w:rsidRPr="00D427D8" w:rsidRDefault="009F6E91" w:rsidP="002C7512">
      <w:pPr>
        <w:pStyle w:val="SchNumber4"/>
      </w:pPr>
      <w:r w:rsidRPr="00D427D8">
        <w:t>payments of interest on the Class F Notes will be subordinated to payments of interest on the Class A Notes, the Class B Notes, the Class C Notes, the Class D Notes and the Class E Notes, but will be made in priority to payments of interest on the Class G Notes; and</w:t>
      </w:r>
    </w:p>
    <w:p w14:paraId="4BCB5FEB" w14:textId="7D880565" w:rsidR="009F6E91" w:rsidRPr="00D427D8" w:rsidRDefault="009F6E91" w:rsidP="002C7512">
      <w:pPr>
        <w:pStyle w:val="SchNumber4"/>
      </w:pPr>
      <w:r w:rsidRPr="00D427D8">
        <w:t>payments of interest on the Class G Notes will be subordinated to payments of interest on the Class A Notes, the Class B Notes, the Class C Notes, the Class D Notes, the Class E Notes and the Class F Notes,</w:t>
      </w:r>
    </w:p>
    <w:p w14:paraId="542BA3A5" w14:textId="0DA8FCF4" w:rsidR="009F6E91" w:rsidRPr="00D427D8" w:rsidRDefault="009F6E91" w:rsidP="002C7512">
      <w:pPr>
        <w:pStyle w:val="SchNumber3"/>
      </w:pPr>
      <w:r w:rsidRPr="00D427D8">
        <w:t>During the Normal Amortisation Period only:</w:t>
      </w:r>
    </w:p>
    <w:p w14:paraId="2931D2A6" w14:textId="6643F1F2" w:rsidR="009F6E91" w:rsidRPr="00D427D8" w:rsidRDefault="009F6E91" w:rsidP="002C7512">
      <w:pPr>
        <w:pStyle w:val="SchNumber4"/>
      </w:pPr>
      <w:r w:rsidRPr="00D427D8">
        <w:t xml:space="preserve">on each Distribution Date where a Sequential Redemption Event has not occurred, payments of principal in respect of the Notes will be made on a </w:t>
      </w:r>
      <w:r w:rsidRPr="00D427D8">
        <w:rPr>
          <w:i/>
        </w:rPr>
        <w:t>pro rata</w:t>
      </w:r>
      <w:r w:rsidRPr="00D427D8">
        <w:t xml:space="preserve"> basis on each Distribution Date in accordance with the Principal Priority of Payments; and</w:t>
      </w:r>
    </w:p>
    <w:p w14:paraId="776AFEBF" w14:textId="57A5AD4D" w:rsidR="009F6E91" w:rsidRPr="00D427D8" w:rsidRDefault="009F6E91" w:rsidP="002C7512">
      <w:pPr>
        <w:pStyle w:val="SchNumber4"/>
      </w:pPr>
      <w:r w:rsidRPr="00D427D8">
        <w:t xml:space="preserve">on each Distribution Date following the occurrence of a Sequential Redemption Event, payments of principal in respect of the Notes will be made in sequential order at all times in accordance with the Principal Priority of Payments. For the avoidance of doubt, after the occurrence of a Sequential Redemption Event, no </w:t>
      </w:r>
      <w:r w:rsidRPr="00D427D8">
        <w:rPr>
          <w:i/>
        </w:rPr>
        <w:t>pro rata</w:t>
      </w:r>
      <w:r w:rsidRPr="00D427D8">
        <w:t xml:space="preserve"> redemption of the Notes will be made by the Issuer.</w:t>
      </w:r>
    </w:p>
    <w:p w14:paraId="5EBBDA6C" w14:textId="26FCCFBE" w:rsidR="009F6E91" w:rsidRPr="00D427D8" w:rsidRDefault="009F6E91" w:rsidP="002C7512">
      <w:pPr>
        <w:pStyle w:val="SchNumber3"/>
      </w:pPr>
      <w:r w:rsidRPr="00D427D8">
        <w:lastRenderedPageBreak/>
        <w:t>During the Accelerated Amortisation Period only and in accordance with the Accelerated Priority of Payments:</w:t>
      </w:r>
    </w:p>
    <w:p w14:paraId="67B756F2" w14:textId="09F63B64" w:rsidR="009F6E91" w:rsidRPr="00D427D8" w:rsidRDefault="009F6E91" w:rsidP="00EF7333">
      <w:pPr>
        <w:pStyle w:val="Level4"/>
      </w:pPr>
      <w:r w:rsidRPr="00D427D8">
        <w:t>payments of interest and principal on the Class A Notes will be made in priority to payments of interest and principal on the Class B Notes, the Class C Notes, the Class D Notes, the Class E Notes, the Class F Notes and the Class G Notes and no payment on the Class B Notes, the Class C Notes, the Class D Notes, the Class E Notes, the Class F Notes and the Class G Notes shall be made for so long as the Class A Notes have not been fully redeemed;</w:t>
      </w:r>
    </w:p>
    <w:p w14:paraId="7F8F6976" w14:textId="46512BB1" w:rsidR="009F6E91" w:rsidRPr="00D427D8" w:rsidRDefault="009F6E91" w:rsidP="002C7512">
      <w:pPr>
        <w:pStyle w:val="SchNumber4"/>
      </w:pPr>
      <w:r w:rsidRPr="00D427D8">
        <w:t>once the Class A Notes have been fully redeemed, payments of interest and principal on the Class B Notes will be made in priority to payments of interest and principal on the Class C Notes, the Class D Notes, the Class E Notes, the Class F Notes and the Class G Notes and no payment on the Class C Notes, the Class D Notes, the Class E Notes, the Class F Notes and the Class G Notes shall be made for so long as the Class B Notes have not been fully redeemed;</w:t>
      </w:r>
    </w:p>
    <w:p w14:paraId="3BCDD51E" w14:textId="33060044" w:rsidR="009F6E91" w:rsidRPr="00D427D8" w:rsidRDefault="009F6E91" w:rsidP="002C7512">
      <w:pPr>
        <w:pStyle w:val="SchNumber4"/>
      </w:pPr>
      <w:r w:rsidRPr="00D427D8">
        <w:t>once the Class B Notes have been fully redeemed, payments of interest and principal on the Class C Notes will be made in priority to payments of interest and principal on the Class D Notes, the Class E Notes, the Class F Notes and the Class G Notes and no payment on the Class D Notes, the Class E Notes, the Class F Notes and the Class G Notes shall be made for so long as the Class C Notes have not been fully redeemed;</w:t>
      </w:r>
    </w:p>
    <w:p w14:paraId="6275C679" w14:textId="0844F7D0" w:rsidR="009F6E91" w:rsidRPr="00D427D8" w:rsidRDefault="009F6E91" w:rsidP="002C7512">
      <w:pPr>
        <w:pStyle w:val="SchNumber4"/>
      </w:pPr>
      <w:r w:rsidRPr="00D427D8">
        <w:t>once the Class C Notes have been fully redeemed, payments of interest and principal on the Class D Notes will be made in priority to payments of interest and principal on the Class E Notes, the Class F Notes and the Class G Notes  and no payment on the Class E Notes, the Class F Notes and the Class G Notes shall be made for so long as the Class D Notes have not been fully redeemed;</w:t>
      </w:r>
    </w:p>
    <w:p w14:paraId="5B4C0358" w14:textId="58E3A880" w:rsidR="009F6E91" w:rsidRPr="00D427D8" w:rsidRDefault="009F6E91" w:rsidP="002C7512">
      <w:pPr>
        <w:pStyle w:val="SchNumber4"/>
      </w:pPr>
      <w:r w:rsidRPr="00D427D8">
        <w:t>once the Class D Notes have been fully redeemed, payments of interest and principal on the Class E Notes will be made in priority to payments of interest and principal on the Class F Notes and the Class G Notes and no payment on the Class F Notes and the Class G Notes shall be made for so long as the Class E Notes have not been fully redeemed;</w:t>
      </w:r>
    </w:p>
    <w:p w14:paraId="0E293CAF" w14:textId="30C40A59" w:rsidR="009F6E91" w:rsidRPr="00D427D8" w:rsidRDefault="009F6E91" w:rsidP="002C7512">
      <w:pPr>
        <w:pStyle w:val="SchNumber4"/>
      </w:pPr>
      <w:r w:rsidRPr="00D427D8">
        <w:t>once the Class E Notes have been fully redeemed, payments of interest and principal on the Class F Notes will be made in priority to payments of interest and principal on the Class G Notes and no payment on the Class G Notes shall be made for so long as the Class F Notes have not been fully redeemed; and</w:t>
      </w:r>
    </w:p>
    <w:p w14:paraId="5F09C6C3" w14:textId="6BCDB59F" w:rsidR="009F6E91" w:rsidRPr="00D427D8" w:rsidRDefault="009F6E91" w:rsidP="002C7512">
      <w:pPr>
        <w:pStyle w:val="SchNumber4"/>
      </w:pPr>
      <w:r w:rsidRPr="00D427D8">
        <w:t>once the Class F Notes have been fully redeemed, payments of interest and principal will be made on the Class G Notes until the Class G Notes are fully redeemed.</w:t>
      </w:r>
    </w:p>
    <w:p w14:paraId="151B01BB" w14:textId="77777777" w:rsidR="009F6E91" w:rsidRPr="00D427D8" w:rsidRDefault="009F6E91" w:rsidP="009F6E91">
      <w:pPr>
        <w:pStyle w:val="Body3"/>
      </w:pPr>
      <w:r w:rsidRPr="00D427D8">
        <w:t xml:space="preserve">Each Class of Notes shall be redeemed in full on a </w:t>
      </w:r>
      <w:r w:rsidRPr="00D427D8">
        <w:rPr>
          <w:i/>
        </w:rPr>
        <w:t xml:space="preserve">pari passu </w:t>
      </w:r>
      <w:r w:rsidRPr="00D427D8">
        <w:t xml:space="preserve">basis and </w:t>
      </w:r>
      <w:r w:rsidRPr="00D427D8">
        <w:rPr>
          <w:i/>
        </w:rPr>
        <w:t>pro rata</w:t>
      </w:r>
      <w:r w:rsidRPr="00D427D8">
        <w:t xml:space="preserve"> basis to the extent of Available Distribution Amount on each Distribution Date subject to the Accelerated Priority of Payments.</w:t>
      </w:r>
    </w:p>
    <w:p w14:paraId="481E2312" w14:textId="77777777" w:rsidR="009F6E91" w:rsidRPr="00D427D8" w:rsidRDefault="009F6E91" w:rsidP="009F6E91">
      <w:pPr>
        <w:pStyle w:val="Body3"/>
      </w:pPr>
      <w:r w:rsidRPr="00D427D8">
        <w:t>Once the Class A Notes have been redeemed in full, the Class B Notes shall be redeemed in full to the extent of Available Distribution Amount on each Distribution Date subject to the Accelerated Priority of Payments.</w:t>
      </w:r>
    </w:p>
    <w:p w14:paraId="473455F6" w14:textId="77777777" w:rsidR="009F6E91" w:rsidRPr="00D427D8" w:rsidRDefault="009F6E91" w:rsidP="009F6E91">
      <w:pPr>
        <w:pStyle w:val="Body3"/>
      </w:pPr>
      <w:r w:rsidRPr="00D427D8">
        <w:t>Once the Class B Notes have been redeemed in full, the Class C Notes shall be redeemed in full to the extent of Available Distribution Amount on each Distribution Date subject to the Accelerated Priority of Payments.</w:t>
      </w:r>
    </w:p>
    <w:p w14:paraId="3DD291D6" w14:textId="77777777" w:rsidR="009F6E91" w:rsidRPr="00D427D8" w:rsidRDefault="009F6E91" w:rsidP="009F6E91">
      <w:pPr>
        <w:pStyle w:val="Body3"/>
      </w:pPr>
      <w:r w:rsidRPr="00D427D8">
        <w:t>Once the Class C Notes have been redeemed in full, the Class D Notes shall be redeemed in full to the extent of Available Distribution Amount on each Distribution Date subject to the Accelerated Priority of Payments.</w:t>
      </w:r>
    </w:p>
    <w:p w14:paraId="5231A5EB" w14:textId="77777777" w:rsidR="009F6E91" w:rsidRPr="00D427D8" w:rsidRDefault="009F6E91" w:rsidP="009F6E91">
      <w:pPr>
        <w:pStyle w:val="Body3"/>
      </w:pPr>
      <w:r w:rsidRPr="00D427D8">
        <w:lastRenderedPageBreak/>
        <w:t>Once the Class D Notes have been redeemed in full, the Class E Notes shall be redeemed in full to the extent of Available Distribution Amount on each Distribution Date subject to the Accelerated Priority of Payments.</w:t>
      </w:r>
    </w:p>
    <w:p w14:paraId="55B706C8" w14:textId="77777777" w:rsidR="009F6E91" w:rsidRPr="00D427D8" w:rsidRDefault="009F6E91" w:rsidP="009F6E91">
      <w:pPr>
        <w:pStyle w:val="Body3"/>
      </w:pPr>
      <w:r w:rsidRPr="00D427D8">
        <w:t>Once the Class E Notes have been redeemed in full, the Class F Notes shall be redeemed in full to the extent of Available Distribution Amount on each Distribution Date subject to the Accelerated Priority of Payments.</w:t>
      </w:r>
    </w:p>
    <w:p w14:paraId="698BFB66" w14:textId="77777777" w:rsidR="009F6E91" w:rsidRPr="00D427D8" w:rsidRDefault="009F6E91" w:rsidP="009F6E91">
      <w:pPr>
        <w:pStyle w:val="Body3"/>
      </w:pPr>
      <w:r w:rsidRPr="00D427D8">
        <w:t>Once the Class F Notes have been redeemed in full, the Class G Notes shall be redeemed in full to the extent of Available Distribution Amount on each Distribution Date subject to the Accelerated Priority of Payments.</w:t>
      </w:r>
    </w:p>
    <w:p w14:paraId="3A38629A" w14:textId="65030A49" w:rsidR="009F6E91" w:rsidRPr="00D427D8" w:rsidRDefault="009F6E91" w:rsidP="002C7512">
      <w:pPr>
        <w:pStyle w:val="SchHeading1"/>
      </w:pPr>
      <w:r w:rsidRPr="00D427D8">
        <w:t>Priorities of Payments</w:t>
      </w:r>
    </w:p>
    <w:p w14:paraId="202B9307" w14:textId="77777777" w:rsidR="009F6E91" w:rsidRPr="00D427D8" w:rsidRDefault="009F6E91" w:rsidP="009F6E91">
      <w:pPr>
        <w:pStyle w:val="Body2"/>
      </w:pPr>
      <w:r w:rsidRPr="00D427D8">
        <w:t>On each Distribution Date, payments on the Notes shall be made by the Issuer in accordance with the applicable Priority of Payments (see Annex B (</w:t>
      </w:r>
      <w:r w:rsidRPr="00D427D8">
        <w:rPr>
          <w:i/>
        </w:rPr>
        <w:t>Priority of Payments Schedule</w:t>
      </w:r>
      <w:r w:rsidRPr="00D427D8">
        <w:t>) hereto).</w:t>
      </w:r>
    </w:p>
    <w:p w14:paraId="42B4284B" w14:textId="40AE8071" w:rsidR="009F6E91" w:rsidRPr="00D427D8" w:rsidRDefault="009F6E91" w:rsidP="002C7512">
      <w:pPr>
        <w:pStyle w:val="SchHeading1"/>
      </w:pPr>
      <w:bookmarkStart w:id="123" w:name="_Ref141962206"/>
      <w:r w:rsidRPr="00D427D8">
        <w:t>Interest</w:t>
      </w:r>
      <w:bookmarkEnd w:id="123"/>
    </w:p>
    <w:p w14:paraId="147A9A4B" w14:textId="117C871C" w:rsidR="009F6E91" w:rsidRPr="00D427D8" w:rsidRDefault="009F6E91" w:rsidP="002C7512">
      <w:pPr>
        <w:pStyle w:val="SchHeading2"/>
      </w:pPr>
      <w:r w:rsidRPr="00D427D8">
        <w:t>Period of Accrual</w:t>
      </w:r>
    </w:p>
    <w:p w14:paraId="3E7DE8F1" w14:textId="77777777" w:rsidR="009F6E91" w:rsidRPr="00D427D8" w:rsidRDefault="009F6E91" w:rsidP="009F6E91">
      <w:pPr>
        <w:pStyle w:val="Body2"/>
      </w:pPr>
      <w:r w:rsidRPr="00D427D8">
        <w:t>Each Note of any Class will bear interest on its Principal Outstanding Notes Balance from (and including) the Closing Date until the later of (a) the date on which the Principal Outstanding Notes Balance of such Note is reduced to zero or (b) the Final Legal Maturity Date.</w:t>
      </w:r>
    </w:p>
    <w:p w14:paraId="7F5E3A24" w14:textId="77777777" w:rsidR="009F6E91" w:rsidRPr="00D427D8" w:rsidRDefault="009F6E91" w:rsidP="009F6E91">
      <w:pPr>
        <w:pStyle w:val="Body2"/>
      </w:pPr>
      <w:r w:rsidRPr="00D427D8">
        <w:t>If payment of the related amount of principal or any part thereof is improperly withheld or refused, interest will continue to accrue thereon (notwithstanding the existence of any outstanding judgement in relation thereto) at the rate applicable to such Note up to (but excluding) the date on which, payment in full of the related amount of principal, together with the interest accrued thereon, is made by the Issuer.</w:t>
      </w:r>
    </w:p>
    <w:p w14:paraId="5CE97A0D" w14:textId="715808C6" w:rsidR="009F6E91" w:rsidRPr="00D427D8" w:rsidRDefault="009F6E91" w:rsidP="002C7512">
      <w:pPr>
        <w:pStyle w:val="SchHeading2"/>
      </w:pPr>
      <w:r w:rsidRPr="00D427D8">
        <w:t>Distribution Dates and Interest Periods</w:t>
      </w:r>
    </w:p>
    <w:p w14:paraId="03FC320C" w14:textId="4BBA8137" w:rsidR="009F6E91" w:rsidRPr="00D427D8" w:rsidRDefault="009F6E91" w:rsidP="002C7512">
      <w:pPr>
        <w:pStyle w:val="SchHeading3"/>
      </w:pPr>
      <w:r w:rsidRPr="00D427D8">
        <w:t>Distribution Dates:</w:t>
      </w:r>
    </w:p>
    <w:p w14:paraId="7D18AA5B" w14:textId="0224920B" w:rsidR="009F6E91" w:rsidRPr="00D427D8" w:rsidRDefault="009F6E91" w:rsidP="009F6E91">
      <w:pPr>
        <w:pStyle w:val="Body3"/>
      </w:pPr>
      <w:r w:rsidRPr="00D427D8">
        <w:t>Interest in respect of the Notes will be payable on the 25</w:t>
      </w:r>
      <w:r w:rsidRPr="00D427D8">
        <w:rPr>
          <w:vertAlign w:val="superscript"/>
        </w:rPr>
        <w:t>th</w:t>
      </w:r>
      <w:r w:rsidRPr="00D427D8">
        <w:t xml:space="preserve"> day of each calendar month in each year (each a </w:t>
      </w:r>
      <w:r w:rsidR="00EF7333" w:rsidRPr="00D427D8">
        <w:t>"</w:t>
      </w:r>
      <w:r w:rsidRPr="00D427D8">
        <w:rPr>
          <w:b/>
        </w:rPr>
        <w:t>Distribution Date</w:t>
      </w:r>
      <w:r w:rsidR="00EF7333" w:rsidRPr="00D427D8">
        <w:t>"</w:t>
      </w:r>
      <w:r w:rsidRPr="00D427D8">
        <w:t xml:space="preserve">). If any Distribution Date would otherwise fall on a day which is not a Business Day, it shall be postponed to the next day which is a Business Day unless it would then fall into the next calendar month, in which event the Distribution Date shall be brought forward to the immediately preceding Business Day. The first payment shall be due on the Distribution Date falling in </w:t>
      </w:r>
      <w:r w:rsidR="006F5CD6">
        <w:t>25 July 2025</w:t>
      </w:r>
      <w:r w:rsidRPr="00D427D8">
        <w:t>.</w:t>
      </w:r>
    </w:p>
    <w:p w14:paraId="364C6782" w14:textId="4CFC08FA" w:rsidR="009F6E91" w:rsidRPr="00D427D8" w:rsidRDefault="009F6E91" w:rsidP="002C7512">
      <w:pPr>
        <w:pStyle w:val="SchHeading3"/>
      </w:pPr>
      <w:r w:rsidRPr="00D427D8">
        <w:t>Interest Periods:</w:t>
      </w:r>
    </w:p>
    <w:p w14:paraId="2C2BC935" w14:textId="2B821C5A" w:rsidR="009F6E91" w:rsidRPr="00D427D8" w:rsidRDefault="009F6E91" w:rsidP="009F6E91">
      <w:pPr>
        <w:pStyle w:val="Body3"/>
      </w:pPr>
      <w:r w:rsidRPr="00D427D8">
        <w:t xml:space="preserve">Interest on each Note will accrue and will be payable by reference to successive Interest Period. In these Conditions, an </w:t>
      </w:r>
      <w:r w:rsidR="00EF7333" w:rsidRPr="00D427D8">
        <w:t>"</w:t>
      </w:r>
      <w:r w:rsidRPr="00D427D8">
        <w:rPr>
          <w:b/>
        </w:rPr>
        <w:t>Interest Period</w:t>
      </w:r>
      <w:r w:rsidR="00EF7333" w:rsidRPr="00D427D8">
        <w:t>"</w:t>
      </w:r>
      <w:r w:rsidRPr="00D427D8">
        <w:t xml:space="preserve"> means, in respect of each Note, for any Distribution Date, any period beginning on (and including) the previous Distribution Date and ending on (but excluding) such Distribution Date, save for the first Interest Period which shall begin on (and include) the Closing Date and shall end on (but exclude) the first Distribution Date (being the Distribution Date falling in </w:t>
      </w:r>
      <w:r w:rsidR="00E54B23">
        <w:t>July 2025</w:t>
      </w:r>
      <w:r w:rsidRPr="00D427D8">
        <w:t>).</w:t>
      </w:r>
    </w:p>
    <w:p w14:paraId="26D2CE12" w14:textId="59557855" w:rsidR="009F6E91" w:rsidRPr="00D427D8" w:rsidRDefault="009F6E91" w:rsidP="002C7512">
      <w:pPr>
        <w:pStyle w:val="SchHeading2"/>
      </w:pPr>
      <w:r w:rsidRPr="00D427D8">
        <w:t>Interest Provisions</w:t>
      </w:r>
    </w:p>
    <w:p w14:paraId="00385DE3" w14:textId="7BF12B2B" w:rsidR="009F6E91" w:rsidRPr="00D427D8" w:rsidRDefault="009F6E91" w:rsidP="002C7512">
      <w:pPr>
        <w:pStyle w:val="SchHeading3"/>
      </w:pPr>
      <w:r w:rsidRPr="00D427D8">
        <w:t>Rate of Interest:</w:t>
      </w:r>
    </w:p>
    <w:p w14:paraId="0D767CAC" w14:textId="77777777" w:rsidR="009F6E91" w:rsidRPr="00D427D8" w:rsidRDefault="009F6E91" w:rsidP="009F6E91">
      <w:pPr>
        <w:pStyle w:val="Body3"/>
      </w:pPr>
      <w:r w:rsidRPr="00D427D8">
        <w:t>For each Interest Period:</w:t>
      </w:r>
    </w:p>
    <w:p w14:paraId="15999699" w14:textId="6335E98D" w:rsidR="009F6E91" w:rsidRPr="00D427D8" w:rsidRDefault="009F6E91" w:rsidP="002C7512">
      <w:pPr>
        <w:pStyle w:val="SchNumber4"/>
      </w:pPr>
      <w:r w:rsidRPr="00D427D8">
        <w:t xml:space="preserve">the interest rate applicable to the Class A Notes shall be 1-Month EURIBOR plus the Relevant Margin subject to a floor at 0.00 per cent. per annum (the </w:t>
      </w:r>
      <w:r w:rsidR="00EF7333" w:rsidRPr="00D427D8">
        <w:t>"</w:t>
      </w:r>
      <w:r w:rsidRPr="00D427D8">
        <w:rPr>
          <w:b/>
        </w:rPr>
        <w:t>Class A Notes Interest Rate</w:t>
      </w:r>
      <w:r w:rsidR="00EF7333" w:rsidRPr="00D427D8">
        <w:t>"</w:t>
      </w:r>
      <w:r w:rsidRPr="00D427D8">
        <w:t>);</w:t>
      </w:r>
    </w:p>
    <w:p w14:paraId="403331B2" w14:textId="4F6C0203" w:rsidR="009F6E91" w:rsidRPr="00D427D8" w:rsidRDefault="009F6E91" w:rsidP="002C7512">
      <w:pPr>
        <w:pStyle w:val="SchNumber4"/>
      </w:pPr>
      <w:r w:rsidRPr="00D427D8">
        <w:lastRenderedPageBreak/>
        <w:t xml:space="preserve">the interest rate applicable to the Class B Notes shall be 1-Month EURIBOR plus the Relevant Margin subject to a floor at 0.00 per cent. per annum (the </w:t>
      </w:r>
      <w:r w:rsidR="00EF7333" w:rsidRPr="00D427D8">
        <w:t>"</w:t>
      </w:r>
      <w:r w:rsidRPr="00D427D8">
        <w:rPr>
          <w:b/>
        </w:rPr>
        <w:t>Class B Notes Interest Rate</w:t>
      </w:r>
      <w:r w:rsidR="00EF7333" w:rsidRPr="00D427D8">
        <w:t>"</w:t>
      </w:r>
      <w:r w:rsidRPr="00D427D8">
        <w:t>);</w:t>
      </w:r>
    </w:p>
    <w:p w14:paraId="07065BF4" w14:textId="0062BF37" w:rsidR="009F6E91" w:rsidRPr="00D427D8" w:rsidRDefault="009F6E91" w:rsidP="002C7512">
      <w:pPr>
        <w:pStyle w:val="SchNumber4"/>
      </w:pPr>
      <w:r w:rsidRPr="00D427D8">
        <w:t xml:space="preserve">the interest rate applicable to the Class C Notes shall be 1-Month EURIBOR plus the Relevant Margin subject to a floor at 0.00 per cent. per annum (the </w:t>
      </w:r>
      <w:r w:rsidR="00EF7333" w:rsidRPr="00D427D8">
        <w:t>"</w:t>
      </w:r>
      <w:r w:rsidRPr="00D427D8">
        <w:rPr>
          <w:b/>
        </w:rPr>
        <w:t>Class C Notes Interest Rate</w:t>
      </w:r>
      <w:r w:rsidR="00EF7333" w:rsidRPr="00D427D8">
        <w:t>"</w:t>
      </w:r>
      <w:r w:rsidRPr="00D427D8">
        <w:t>),</w:t>
      </w:r>
    </w:p>
    <w:p w14:paraId="1A0266FA" w14:textId="661C5D92" w:rsidR="009F6E91" w:rsidRPr="00D427D8" w:rsidRDefault="009F6E91" w:rsidP="002C7512">
      <w:pPr>
        <w:pStyle w:val="SchNumber4"/>
      </w:pPr>
      <w:r w:rsidRPr="00D427D8">
        <w:t xml:space="preserve">the interest rate applicable to the Class D Notes shall be 1-Month EURIBOR plus the Relevant Margin subject to a floor at 0.00 per cent. per annum (the </w:t>
      </w:r>
      <w:r w:rsidR="00EF7333" w:rsidRPr="00D427D8">
        <w:t>"</w:t>
      </w:r>
      <w:r w:rsidRPr="00D427D8">
        <w:rPr>
          <w:b/>
        </w:rPr>
        <w:t>Class D Notes Interest Rate</w:t>
      </w:r>
      <w:r w:rsidR="00EF7333" w:rsidRPr="00D427D8">
        <w:t>"</w:t>
      </w:r>
      <w:r w:rsidRPr="00D427D8">
        <w:t>);</w:t>
      </w:r>
    </w:p>
    <w:p w14:paraId="6935354C" w14:textId="73E82E7F" w:rsidR="009F6E91" w:rsidRPr="00D427D8" w:rsidRDefault="009F6E91" w:rsidP="002C7512">
      <w:pPr>
        <w:pStyle w:val="SchNumber4"/>
      </w:pPr>
      <w:r w:rsidRPr="00D427D8">
        <w:t xml:space="preserve">the interest rate applicable to the Class E Notes shall be 1-Month EURIBOR plus the Relevant Margin subject to a floor at 0.00 per cent. per annum (the </w:t>
      </w:r>
      <w:r w:rsidR="00EF7333" w:rsidRPr="00D427D8">
        <w:t>"</w:t>
      </w:r>
      <w:r w:rsidRPr="00D427D8">
        <w:rPr>
          <w:b/>
        </w:rPr>
        <w:t>Class E Notes Interest Rate</w:t>
      </w:r>
      <w:r w:rsidR="00EF7333" w:rsidRPr="00D427D8">
        <w:t>"</w:t>
      </w:r>
      <w:r w:rsidRPr="00D427D8">
        <w:t>);</w:t>
      </w:r>
    </w:p>
    <w:p w14:paraId="394A9274" w14:textId="19876C2C" w:rsidR="009F6E91" w:rsidRPr="00D427D8" w:rsidRDefault="009F6E91" w:rsidP="002C7512">
      <w:pPr>
        <w:pStyle w:val="SchNumber4"/>
      </w:pPr>
      <w:r w:rsidRPr="00D427D8">
        <w:t xml:space="preserve">the interest rate applicable to the Class F Notes shall be 1-Month EURIBOR plus the Relevant Margin subject to a floor at 0.00 per cent. per annum (the </w:t>
      </w:r>
      <w:r w:rsidR="00EF7333" w:rsidRPr="00D427D8">
        <w:t>"</w:t>
      </w:r>
      <w:r w:rsidRPr="00D427D8">
        <w:rPr>
          <w:b/>
        </w:rPr>
        <w:t>Class F Notes Interest Rate</w:t>
      </w:r>
      <w:r w:rsidR="00EF7333" w:rsidRPr="00D427D8">
        <w:t>"</w:t>
      </w:r>
      <w:r w:rsidRPr="00D427D8">
        <w:t>); and</w:t>
      </w:r>
    </w:p>
    <w:p w14:paraId="7CE150EA" w14:textId="42CC1538" w:rsidR="009F6E91" w:rsidRPr="00D427D8" w:rsidRDefault="009F6E91" w:rsidP="002C7512">
      <w:pPr>
        <w:pStyle w:val="SchNumber4"/>
      </w:pPr>
      <w:r w:rsidRPr="00D427D8">
        <w:t xml:space="preserve">the interest rate applicable to the Class G Notes shall be 1-Month EURIBOR plus the Relevant Margin subject to a floor at 0.00 per cent. per annum (the </w:t>
      </w:r>
      <w:r w:rsidR="00EF7333" w:rsidRPr="00D427D8">
        <w:t>"</w:t>
      </w:r>
      <w:r w:rsidRPr="00D427D8">
        <w:rPr>
          <w:b/>
        </w:rPr>
        <w:t>Class G Notes Interest Rate</w:t>
      </w:r>
      <w:r w:rsidR="00EF7333" w:rsidRPr="00D427D8">
        <w:t>"</w:t>
      </w:r>
      <w:r w:rsidRPr="00D427D8">
        <w:t>).</w:t>
      </w:r>
    </w:p>
    <w:p w14:paraId="6AEA2CF9" w14:textId="6E121458" w:rsidR="009F6E91" w:rsidRPr="00D427D8" w:rsidRDefault="009F6E91" w:rsidP="002C7512">
      <w:pPr>
        <w:pStyle w:val="SchNumber3"/>
      </w:pPr>
      <w:r w:rsidRPr="00D427D8">
        <w:t>In accordance with article 244(4) (e)(ii) of the CRR, the Issuer shall neither be entitled nor required to increase the yield payable to Noteholders or otherwise to enhance the positions in the Securitisation in response to a deterioration in the credit quality of the Purchased Lease Receivables.</w:t>
      </w:r>
    </w:p>
    <w:p w14:paraId="34CC31FC" w14:textId="46A35A65" w:rsidR="009F6E91" w:rsidRPr="00D427D8" w:rsidRDefault="009F6E91" w:rsidP="002C7512">
      <w:pPr>
        <w:pStyle w:val="SchNumber3"/>
      </w:pPr>
      <w:bookmarkStart w:id="124" w:name="_Ref174110816"/>
      <w:r w:rsidRPr="00D427D8">
        <w:t>Relevant Margins</w:t>
      </w:r>
      <w:bookmarkEnd w:id="124"/>
    </w:p>
    <w:p w14:paraId="18A66F2F" w14:textId="77777777" w:rsidR="009F6E91" w:rsidRPr="00D427D8" w:rsidRDefault="009F6E91" w:rsidP="009F6E91">
      <w:pPr>
        <w:pStyle w:val="Body3"/>
      </w:pPr>
      <w:r w:rsidRPr="00D427D8">
        <w:t>The respective Relevant Margins of the Notes are:</w:t>
      </w:r>
    </w:p>
    <w:p w14:paraId="4404215C" w14:textId="398667DC" w:rsidR="009F6E91" w:rsidRPr="00D427D8" w:rsidRDefault="00526BA1" w:rsidP="002C7512">
      <w:pPr>
        <w:pStyle w:val="SchNumber4"/>
      </w:pPr>
      <w:r>
        <w:t xml:space="preserve">0.64 </w:t>
      </w:r>
      <w:r w:rsidRPr="00D427D8">
        <w:t xml:space="preserve"> </w:t>
      </w:r>
      <w:r w:rsidR="009F6E91" w:rsidRPr="00D427D8">
        <w:t>per cent for the Class A Notes;</w:t>
      </w:r>
    </w:p>
    <w:p w14:paraId="6D80A49B" w14:textId="744B417A" w:rsidR="009F6E91" w:rsidRPr="00D427D8" w:rsidRDefault="00526BA1" w:rsidP="002C7512">
      <w:pPr>
        <w:pStyle w:val="SchNumber4"/>
      </w:pPr>
      <w:r>
        <w:t xml:space="preserve">1.00 </w:t>
      </w:r>
      <w:r w:rsidR="009F6E91" w:rsidRPr="00D427D8">
        <w:t>per cent for the Class B Notes;</w:t>
      </w:r>
    </w:p>
    <w:p w14:paraId="7B37B482" w14:textId="061BEE5E" w:rsidR="009F6E91" w:rsidRPr="00D427D8" w:rsidRDefault="00526BA1" w:rsidP="002C7512">
      <w:pPr>
        <w:pStyle w:val="SchNumber4"/>
      </w:pPr>
      <w:r>
        <w:t xml:space="preserve">1.25 </w:t>
      </w:r>
      <w:r w:rsidR="009F6E91" w:rsidRPr="00D427D8">
        <w:t>per cent for the Class C Notes;</w:t>
      </w:r>
    </w:p>
    <w:p w14:paraId="2314D624" w14:textId="7894482A" w:rsidR="009F6E91" w:rsidRPr="00D427D8" w:rsidRDefault="00526BA1" w:rsidP="002C7512">
      <w:pPr>
        <w:pStyle w:val="SchNumber4"/>
      </w:pPr>
      <w:r>
        <w:t xml:space="preserve">1.50 </w:t>
      </w:r>
      <w:r w:rsidR="009F6E91" w:rsidRPr="00D427D8">
        <w:t>per cent for the Class D Notes;</w:t>
      </w:r>
    </w:p>
    <w:p w14:paraId="7167E0BE" w14:textId="6BA1600D" w:rsidR="009F6E91" w:rsidRPr="00D427D8" w:rsidRDefault="00526BA1" w:rsidP="002C7512">
      <w:pPr>
        <w:pStyle w:val="SchNumber4"/>
      </w:pPr>
      <w:r>
        <w:t xml:space="preserve">3.20 </w:t>
      </w:r>
      <w:r w:rsidR="009F6E91" w:rsidRPr="00D427D8">
        <w:t>per cent for the Class E Notes</w:t>
      </w:r>
    </w:p>
    <w:p w14:paraId="3925C5AC" w14:textId="28EEC909" w:rsidR="009F6E91" w:rsidRPr="00D427D8" w:rsidRDefault="00526BA1" w:rsidP="002C7512">
      <w:pPr>
        <w:pStyle w:val="SchNumber4"/>
      </w:pPr>
      <w:r>
        <w:t xml:space="preserve">4.50 </w:t>
      </w:r>
      <w:r w:rsidR="009F6E91" w:rsidRPr="00D427D8">
        <w:t>per cent for the Class F Notes; and</w:t>
      </w:r>
    </w:p>
    <w:p w14:paraId="791D19A5" w14:textId="6BA330EA" w:rsidR="009F6E91" w:rsidRPr="00D427D8" w:rsidRDefault="00526BA1" w:rsidP="002C7512">
      <w:pPr>
        <w:pStyle w:val="SchNumber4"/>
      </w:pPr>
      <w:r>
        <w:t xml:space="preserve">5.34 </w:t>
      </w:r>
      <w:r w:rsidR="009F6E91" w:rsidRPr="00D427D8">
        <w:t>per cent for the Class G Notes.</w:t>
      </w:r>
    </w:p>
    <w:p w14:paraId="6C6DB7B0" w14:textId="03CFBA39" w:rsidR="009F6E91" w:rsidRPr="00D427D8" w:rsidRDefault="009F6E91" w:rsidP="00082C77">
      <w:pPr>
        <w:pStyle w:val="SchHeading3"/>
      </w:pPr>
      <w:r w:rsidRPr="00D427D8">
        <w:t>Determinations</w:t>
      </w:r>
    </w:p>
    <w:p w14:paraId="482CD8BE" w14:textId="17027661" w:rsidR="009F6E91" w:rsidRPr="00D427D8" w:rsidRDefault="009F6E91" w:rsidP="009F6E91">
      <w:pPr>
        <w:pStyle w:val="Body3"/>
      </w:pPr>
      <w:r w:rsidRPr="00D427D8">
        <w:t xml:space="preserve">The Class A Notes Interest Rate, the Class B Notes Interest Rate, the Class C Notes Interest Rate, the Class D Notes Interest Rate, the Class E Notes Interest Rate, the Class F Notes Interest Rate and the Class G Notes Interest Rate for any Interest Period shall be respectively determined by the Calculation Agent in accordance with method described in the </w:t>
      </w:r>
      <w:r w:rsidR="00EF7333" w:rsidRPr="00D427D8">
        <w:t>"</w:t>
      </w:r>
      <w:r w:rsidRPr="00D427D8">
        <w:t>1-Month EURIBOR</w:t>
      </w:r>
      <w:r w:rsidR="00EF7333" w:rsidRPr="00D427D8">
        <w:t>"</w:t>
      </w:r>
      <w:r w:rsidRPr="00D427D8">
        <w:t xml:space="preserve"> definition.</w:t>
      </w:r>
    </w:p>
    <w:p w14:paraId="7B83C9F6" w14:textId="3EF63E01" w:rsidR="009F6E91" w:rsidRPr="00D427D8" w:rsidRDefault="009F6E91" w:rsidP="00082C77">
      <w:pPr>
        <w:pStyle w:val="SchHeading2"/>
      </w:pPr>
      <w:r w:rsidRPr="00D427D8">
        <w:t>Day Count Fraction</w:t>
      </w:r>
    </w:p>
    <w:p w14:paraId="09E7D383" w14:textId="16A31653" w:rsidR="009F6E91" w:rsidRPr="00D427D8" w:rsidRDefault="009F6E91" w:rsidP="009F6E91">
      <w:pPr>
        <w:pStyle w:val="Body2"/>
      </w:pPr>
      <w:r w:rsidRPr="00D427D8">
        <w:t xml:space="preserve">In these Conditions, </w:t>
      </w:r>
      <w:r w:rsidR="00EF7333" w:rsidRPr="00D427D8">
        <w:t>"</w:t>
      </w:r>
      <w:r w:rsidRPr="00D427D8">
        <w:rPr>
          <w:b/>
        </w:rPr>
        <w:t>Day Count Fraction</w:t>
      </w:r>
      <w:r w:rsidR="00EF7333" w:rsidRPr="00D427D8">
        <w:t>"</w:t>
      </w:r>
      <w:r w:rsidRPr="00D427D8">
        <w:t xml:space="preserve"> means the actual number of days in the relevant Interest Period divided by 360 (the </w:t>
      </w:r>
      <w:r w:rsidR="00EF7333" w:rsidRPr="00D427D8">
        <w:t>"</w:t>
      </w:r>
      <w:r w:rsidRPr="00D427D8">
        <w:rPr>
          <w:b/>
        </w:rPr>
        <w:t>Floating Rate Day Count Fraction</w:t>
      </w:r>
      <w:r w:rsidR="00EF7333" w:rsidRPr="00D427D8">
        <w:t>"</w:t>
      </w:r>
      <w:r w:rsidRPr="00D427D8">
        <w:t>).</w:t>
      </w:r>
    </w:p>
    <w:p w14:paraId="1DAA06DC" w14:textId="07B58023" w:rsidR="009F6E91" w:rsidRPr="00D427D8" w:rsidRDefault="009F6E91" w:rsidP="00082C77">
      <w:pPr>
        <w:pStyle w:val="SchHeading2"/>
      </w:pPr>
      <w:r w:rsidRPr="00D427D8">
        <w:lastRenderedPageBreak/>
        <w:t>Determination of rate of interest and calculations of Notes Interest Amount</w:t>
      </w:r>
    </w:p>
    <w:p w14:paraId="1ED5D73A" w14:textId="5327D4E7" w:rsidR="009F6E91" w:rsidRPr="00D427D8" w:rsidRDefault="009F6E91" w:rsidP="00082C77">
      <w:pPr>
        <w:pStyle w:val="SchHeading3"/>
      </w:pPr>
      <w:r w:rsidRPr="00D427D8">
        <w:t>Determination of the rate of interest of the Notes</w:t>
      </w:r>
    </w:p>
    <w:p w14:paraId="0CAE937B" w14:textId="407B4862" w:rsidR="009F6E91" w:rsidRPr="00D427D8" w:rsidRDefault="009F6E91" w:rsidP="009F6E91">
      <w:pPr>
        <w:pStyle w:val="Body3"/>
      </w:pPr>
      <w:r w:rsidRPr="00D427D8">
        <w:t xml:space="preserve">On each Interest Determination Date the </w:t>
      </w:r>
      <w:bookmarkStart w:id="125" w:name="_Hlk141869696"/>
      <w:r w:rsidRPr="00D427D8">
        <w:t xml:space="preserve">Calculation Agent </w:t>
      </w:r>
      <w:bookmarkEnd w:id="125"/>
      <w:r w:rsidRPr="00D427D8">
        <w:t xml:space="preserve">shall determine the rate of interest applicable in respect of each Class of Notes, and calculate the amount of interest payable in respect of each Class of Notes (the </w:t>
      </w:r>
      <w:r w:rsidR="00EF7333" w:rsidRPr="00D427D8">
        <w:t>"</w:t>
      </w:r>
      <w:r w:rsidRPr="00D427D8">
        <w:rPr>
          <w:b/>
        </w:rPr>
        <w:t>Class A Notes Interest Amount</w:t>
      </w:r>
      <w:r w:rsidR="00EF7333" w:rsidRPr="00D427D8">
        <w:t>"</w:t>
      </w:r>
      <w:r w:rsidRPr="00D427D8">
        <w:t>, the </w:t>
      </w:r>
      <w:r w:rsidR="00EF7333" w:rsidRPr="00D427D8">
        <w:t>"</w:t>
      </w:r>
      <w:r w:rsidRPr="00D427D8">
        <w:rPr>
          <w:b/>
        </w:rPr>
        <w:t>Class B Notes Interest Amount</w:t>
      </w:r>
      <w:r w:rsidR="00EF7333" w:rsidRPr="00D427D8">
        <w:t>"</w:t>
      </w:r>
      <w:r w:rsidRPr="00D427D8">
        <w:t xml:space="preserve">, the </w:t>
      </w:r>
      <w:r w:rsidR="00EF7333" w:rsidRPr="00D427D8">
        <w:t>"</w:t>
      </w:r>
      <w:r w:rsidRPr="00D427D8">
        <w:rPr>
          <w:b/>
        </w:rPr>
        <w:t>Class C Notes Interest Amount</w:t>
      </w:r>
      <w:r w:rsidR="00EF7333" w:rsidRPr="00D427D8">
        <w:t>"</w:t>
      </w:r>
      <w:r w:rsidRPr="00D427D8">
        <w:t xml:space="preserve">, the </w:t>
      </w:r>
      <w:r w:rsidR="00EF7333" w:rsidRPr="00D427D8">
        <w:t>"</w:t>
      </w:r>
      <w:r w:rsidRPr="00D427D8">
        <w:rPr>
          <w:b/>
        </w:rPr>
        <w:t>Class D Notes Interest Amount</w:t>
      </w:r>
      <w:r w:rsidR="00EF7333" w:rsidRPr="00D427D8">
        <w:t>"</w:t>
      </w:r>
      <w:r w:rsidRPr="00D427D8">
        <w:t xml:space="preserve">, the </w:t>
      </w:r>
      <w:r w:rsidR="00EF7333" w:rsidRPr="00D427D8">
        <w:t>"</w:t>
      </w:r>
      <w:r w:rsidRPr="00D427D8">
        <w:rPr>
          <w:b/>
        </w:rPr>
        <w:t>Class E Notes Interest Amount</w:t>
      </w:r>
      <w:r w:rsidR="00EF7333" w:rsidRPr="00D427D8">
        <w:t>"</w:t>
      </w:r>
      <w:r w:rsidRPr="00D427D8">
        <w:t xml:space="preserve">, </w:t>
      </w:r>
      <w:r w:rsidR="00EF7333" w:rsidRPr="00D427D8">
        <w:t>"</w:t>
      </w:r>
      <w:r w:rsidRPr="00D427D8">
        <w:rPr>
          <w:b/>
        </w:rPr>
        <w:t>Class F Notes Interest Amount</w:t>
      </w:r>
      <w:r w:rsidR="00EF7333" w:rsidRPr="00D427D8">
        <w:t>"</w:t>
      </w:r>
      <w:r w:rsidRPr="00D427D8">
        <w:t xml:space="preserve"> and </w:t>
      </w:r>
      <w:r w:rsidR="00EF7333" w:rsidRPr="00D427D8">
        <w:t>"</w:t>
      </w:r>
      <w:r w:rsidRPr="00D427D8">
        <w:rPr>
          <w:b/>
        </w:rPr>
        <w:t>Class G Notes Interest Amount</w:t>
      </w:r>
      <w:r w:rsidR="00EF7333" w:rsidRPr="00D427D8">
        <w:t>"</w:t>
      </w:r>
      <w:r w:rsidRPr="00D427D8">
        <w:t>) on the relevant Distribution Date.</w:t>
      </w:r>
    </w:p>
    <w:p w14:paraId="205C8D22" w14:textId="3A1F8499" w:rsidR="009F6E91" w:rsidRPr="00D427D8" w:rsidRDefault="009F6E91" w:rsidP="00082C77">
      <w:pPr>
        <w:pStyle w:val="SchHeading3"/>
      </w:pPr>
      <w:r w:rsidRPr="00D427D8">
        <w:t>Calculations of the Class A Notes Interest Amount, the Class B Notes Interest Amount, the Class C Notes Interest Amount, the Class D Notes Interest Amount, the Class E Notes Interest Amount, the Class F Notes Interest Amount and the Class G Notes Interest Amount</w:t>
      </w:r>
    </w:p>
    <w:p w14:paraId="199F14B7" w14:textId="2C4802A5" w:rsidR="009F6E91" w:rsidRPr="00D427D8" w:rsidRDefault="009F6E91" w:rsidP="009F6E91">
      <w:pPr>
        <w:pStyle w:val="Body3"/>
      </w:pPr>
      <w:r w:rsidRPr="00D427D8">
        <w:t xml:space="preserve">The Class A Notes Interest Amount, the Class B Notes Interest Amount, the Class C Notes Interest Amount, the Class D Notes Interest Amount, the Class E Notes Interest Amount, the Class F Notes Interest Amount and the Class G Notes Interest Amount payable in respect of each Interest Period shall be calculated by applying the relevant rate of interest to the Principal Outstanding Notes Balance of the relevant Class of Notes as of the Distribution Date at the commencement of such Interest Period (or the Closing Date for the first Interest Period), multiplying the product of such calculation by the Floating Rate Day Count Fraction, and rounding the resultant figure to the lower cent. </w:t>
      </w:r>
      <w:r w:rsidR="00843D54" w:rsidRPr="00D427D8">
        <w:t xml:space="preserve"> The aggregate Class A Notes Interest Amount, Class B Notes Interest Amount, Class C Notes Interest Amount, Class D Notes Interest Amount, Class E Notes Interest Amount, Class F Notes Interest Amount and Class G Notes Interest Amount payable shall be equal to the Class A Notes Interest Amount, Class B Notes Interest Amount, Class C Notes Interest Amount, Class D Notes Interest Amount, Class E Notes Interest Amount, Class F Notes Interest Amount and Class G Notes Interest Amount, as applicable, payable per Note multiplied by the number of Notes of the respective Class of Notes. </w:t>
      </w:r>
      <w:r w:rsidRPr="00D427D8">
        <w:t>The Calculation Agent will promptly notify the rate of interest in respect of each Class of Notes and the Class A Notes Interest Amount, the Class B Notes Interest Amount, the Class C Notes Interest Amount, the Class D Notes Interest Amount, the Class E Notes Interest Amount,</w:t>
      </w:r>
      <w:bookmarkStart w:id="126" w:name="_Hlk144119686"/>
      <w:r w:rsidRPr="00D427D8">
        <w:t xml:space="preserve"> the Class F Notes Interest Amount and the Class G Notes Interest Amount </w:t>
      </w:r>
      <w:bookmarkEnd w:id="126"/>
      <w:r w:rsidRPr="00D427D8">
        <w:t>with respect to each Interest Period in relation to the Notes and the relevant Distribution Date to the Paying Agent.</w:t>
      </w:r>
    </w:p>
    <w:p w14:paraId="06EA6F46" w14:textId="662EC3E3" w:rsidR="009F6E91" w:rsidRPr="00D427D8" w:rsidRDefault="009F6E91" w:rsidP="00082C77">
      <w:pPr>
        <w:pStyle w:val="SchHeading3"/>
      </w:pPr>
      <w:r w:rsidRPr="00D427D8">
        <w:t xml:space="preserve">Notification of the Class A Notes Interest Amount, the Class B Notes Interest Amount, the Class C Notes Interest Amount, the Class D Notes Interest Amount, the Class E Notes Interest Amount, </w:t>
      </w:r>
      <w:bookmarkStart w:id="127" w:name="_Hlk144119716"/>
      <w:r w:rsidRPr="00D427D8">
        <w:t>the Class F Notes Interest Amount</w:t>
      </w:r>
      <w:bookmarkEnd w:id="127"/>
      <w:r w:rsidRPr="00D427D8">
        <w:t xml:space="preserve"> and the Class G Notes Interest Amount</w:t>
      </w:r>
    </w:p>
    <w:p w14:paraId="6ABB8C25" w14:textId="7337E367" w:rsidR="009F6E91" w:rsidRPr="00D427D8" w:rsidRDefault="009F6E91" w:rsidP="009F6E91">
      <w:pPr>
        <w:pStyle w:val="Body3"/>
      </w:pPr>
      <w:r w:rsidRPr="00D427D8">
        <w:t xml:space="preserve">The Calculation Agent shall notify the Class A Notes Interest Amount, the Class B Notes Interest Amount, the Class C Notes Interest Amount, the Class D Notes Interest Amount, the Class E Notes Interest Amount the Class F Notes Interest Amount and the Class G Notes Interest Amount applicable for the relevant Interest Period and the relative Distribution Date to the Paying Agent by way of the publication by the Reporting Agent of the Monthly Investor Report on </w:t>
      </w:r>
      <w:bookmarkStart w:id="128" w:name="_Hlk83146883"/>
      <w:r w:rsidRPr="00D427D8">
        <w:t xml:space="preserve">its reporting platform at </w:t>
      </w:r>
      <w:r w:rsidR="004D2A13" w:rsidRPr="00D427D8">
        <w:t>www.france-titrisation.com</w:t>
      </w:r>
      <w:r w:rsidRPr="00D427D8">
        <w:t xml:space="preserve"> </w:t>
      </w:r>
      <w:bookmarkEnd w:id="128"/>
      <w:r w:rsidRPr="00D427D8">
        <w:t>on each Determination Date, and for so long as the Notes are listed on the official list of the Luxembourg Stock Exchange the Paying Agent shall notify the Luxembourg Stock Exchange and will publish the same in accordance with Condition 12 (</w:t>
      </w:r>
      <w:r w:rsidRPr="00D427D8">
        <w:rPr>
          <w:i/>
        </w:rPr>
        <w:t>Notice to the Noteholders</w:t>
      </w:r>
      <w:r w:rsidRPr="00D427D8">
        <w:t>) as soon as possible after their determination but in no event later than the fifth (5</w:t>
      </w:r>
      <w:r w:rsidRPr="00D427D8">
        <w:rPr>
          <w:vertAlign w:val="superscript"/>
        </w:rPr>
        <w:t>th</w:t>
      </w:r>
      <w:r w:rsidRPr="00D427D8">
        <w:t>) Business Day thereafter.</w:t>
      </w:r>
    </w:p>
    <w:p w14:paraId="37FC5EBA" w14:textId="01823470" w:rsidR="009F6E91" w:rsidRPr="00D427D8" w:rsidRDefault="009F6E91" w:rsidP="00082C77">
      <w:pPr>
        <w:pStyle w:val="SchHeading1"/>
      </w:pPr>
      <w:bookmarkStart w:id="129" w:name="_Ref141869806"/>
      <w:r w:rsidRPr="00D427D8">
        <w:t>Redemption</w:t>
      </w:r>
      <w:bookmarkEnd w:id="129"/>
    </w:p>
    <w:p w14:paraId="67CAE600" w14:textId="59017509" w:rsidR="009F6E91" w:rsidRPr="00D427D8" w:rsidRDefault="009F6E91" w:rsidP="00082C77">
      <w:pPr>
        <w:pStyle w:val="SchHeading2"/>
      </w:pPr>
      <w:bookmarkStart w:id="130" w:name="_Ref141870817"/>
      <w:r w:rsidRPr="00D427D8">
        <w:t>Redemption at Maturity</w:t>
      </w:r>
      <w:bookmarkEnd w:id="130"/>
    </w:p>
    <w:p w14:paraId="6DE6856F" w14:textId="67E49181" w:rsidR="009F6E91" w:rsidRPr="00D427D8" w:rsidRDefault="00082C77" w:rsidP="00082C77">
      <w:pPr>
        <w:pStyle w:val="Body2"/>
      </w:pPr>
      <w:r w:rsidRPr="00D427D8">
        <w:t xml:space="preserve">Unless previously redeemed in full and cancelled as provided below, the Issuer will redeem the Notes at their respective aggregate Principal Outstanding Notes Balance (together with accrued but unpaid interest (including any interest deferred in accordance with Condition </w:t>
      </w:r>
      <w:r w:rsidRPr="00D427D8">
        <w:rPr>
          <w:rFonts w:cs="Arial"/>
        </w:rPr>
        <w:t>13</w:t>
      </w:r>
      <w:r w:rsidRPr="00D427D8">
        <w:t xml:space="preserve"> (</w:t>
      </w:r>
      <w:r w:rsidRPr="00D427D8">
        <w:rPr>
          <w:i/>
        </w:rPr>
        <w:t>Subordination by Deferral of Interest</w:t>
      </w:r>
      <w:r w:rsidRPr="00D427D8">
        <w:t xml:space="preserve">)) up to but excluding the date of redemption) on the Distribution Date falling in </w:t>
      </w:r>
      <w:r w:rsidR="00D70F65">
        <w:t>May 2034</w:t>
      </w:r>
      <w:r w:rsidRPr="00D427D8">
        <w:t xml:space="preserve"> (the "</w:t>
      </w:r>
      <w:r w:rsidRPr="00D427D8">
        <w:rPr>
          <w:rStyle w:val="BoldText"/>
        </w:rPr>
        <w:t>Final Legal Maturity Date</w:t>
      </w:r>
      <w:r w:rsidRPr="00D427D8">
        <w:t>") in accordance with the applicable Priority of Payments.</w:t>
      </w:r>
    </w:p>
    <w:p w14:paraId="3F99E1B2" w14:textId="20DC9966" w:rsidR="009F6E91" w:rsidRPr="00D427D8" w:rsidRDefault="00082C77" w:rsidP="00082C77">
      <w:pPr>
        <w:pStyle w:val="Body2"/>
      </w:pPr>
      <w:r w:rsidRPr="00D427D8">
        <w:lastRenderedPageBreak/>
        <w:t xml:space="preserve">The Issuer may not redeem Notes in whole or in part prior to the Final Legal Maturity Date, except as described in this Condition </w:t>
      </w:r>
      <w:r w:rsidRPr="00D427D8">
        <w:rPr>
          <w:rFonts w:cs="Arial"/>
        </w:rPr>
        <w:t>7</w:t>
      </w:r>
      <w:r w:rsidRPr="00D427D8">
        <w:t xml:space="preserve"> (</w:t>
      </w:r>
      <w:r w:rsidRPr="00D427D8">
        <w:rPr>
          <w:i/>
        </w:rPr>
        <w:t>Redemption</w:t>
      </w:r>
      <w:r w:rsidRPr="00D427D8">
        <w:t>).</w:t>
      </w:r>
    </w:p>
    <w:p w14:paraId="0D743293" w14:textId="27F3CE8F" w:rsidR="009F6E91" w:rsidRPr="00D427D8" w:rsidRDefault="009F6E91" w:rsidP="00082C77">
      <w:pPr>
        <w:pStyle w:val="SchHeading2"/>
      </w:pPr>
      <w:r w:rsidRPr="00D427D8">
        <w:t>Revolving Period</w:t>
      </w:r>
    </w:p>
    <w:p w14:paraId="3DC4DAC3" w14:textId="0CEA6612" w:rsidR="009F6E91" w:rsidRPr="00D427D8" w:rsidRDefault="00082C77" w:rsidP="00082C77">
      <w:pPr>
        <w:pStyle w:val="Body2"/>
      </w:pPr>
      <w:r w:rsidRPr="00D427D8">
        <w:t>During the Revolving Period the Noteholders will only receive payments of interest on the Notes on each Distribution Date and will not receive any principal payment.</w:t>
      </w:r>
    </w:p>
    <w:p w14:paraId="44094EDF" w14:textId="4F481A31" w:rsidR="009F6E91" w:rsidRPr="00D427D8" w:rsidRDefault="009F6E91" w:rsidP="00037A03">
      <w:pPr>
        <w:pStyle w:val="SchHeading2"/>
      </w:pPr>
      <w:r w:rsidRPr="00D427D8">
        <w:t>Normal Amortisation Period</w:t>
      </w:r>
    </w:p>
    <w:p w14:paraId="3423874C" w14:textId="2C1866AC" w:rsidR="009F6E91" w:rsidRPr="00D427D8" w:rsidRDefault="00037A03" w:rsidP="00037A03">
      <w:pPr>
        <w:pStyle w:val="Body2"/>
      </w:pPr>
      <w:r w:rsidRPr="00D427D8">
        <w:t>During the Normal Amortisation Period only:</w:t>
      </w:r>
    </w:p>
    <w:p w14:paraId="520A309F" w14:textId="2B1DC14B" w:rsidR="009F6E91" w:rsidRPr="00D427D8" w:rsidRDefault="009F6E91" w:rsidP="00037A03">
      <w:pPr>
        <w:pStyle w:val="SchNumber3"/>
      </w:pPr>
      <w:r w:rsidRPr="00D427D8">
        <w:t xml:space="preserve">prior to the occurrence of a Sequential Redemption Event the sum of the Available Principal Distribution Amount will be applied on a </w:t>
      </w:r>
      <w:r w:rsidRPr="00D427D8">
        <w:rPr>
          <w:i/>
        </w:rPr>
        <w:t xml:space="preserve">pro rata </w:t>
      </w:r>
      <w:r w:rsidRPr="00D427D8">
        <w:t xml:space="preserve">basis and all Classes of Notes will be redeemed on a </w:t>
      </w:r>
      <w:r w:rsidRPr="00D427D8">
        <w:rPr>
          <w:i/>
        </w:rPr>
        <w:t xml:space="preserve">pro rata </w:t>
      </w:r>
      <w:r w:rsidRPr="00D427D8">
        <w:t>basis in accordance with the Principal Priority of Payments and the Calculation Agent will calculate the applicable Notes Redemption Amount for each Class of Notes; and</w:t>
      </w:r>
    </w:p>
    <w:p w14:paraId="6BF81E93" w14:textId="2F8D2E51" w:rsidR="009F6E91" w:rsidRPr="00D427D8" w:rsidRDefault="009F6E91" w:rsidP="00037A03">
      <w:pPr>
        <w:pStyle w:val="SchNumber3"/>
      </w:pPr>
      <w:r w:rsidRPr="00D427D8">
        <w:t>after the occurrence of a Sequential Redemption Event, then the sum of the Available Principal Distribution Amount will be applied on each subsequent Distribution Date in accordance with the Principal Priority of Payments, the Calculation Agent will calculate the applicable Notes Redemption Amount for each Class of Notes and payments of principal in respect of the Notes will be irrevocably made in sequential order at all times in accordance with the Principal Priority of Payments and therefore the Class B Notes will not be further redeemed for so long as the Class A Notes have not been redeemed in full, the Class C Notes will not be further redeemed for so long as the Class B Notes have not been redeemed in full, the Class D Notes will not be further redeemed for so long as the Class C Notes have not been redeemed in full, the Class E Notes will not be further redeemed for so long as the Class D Notes have not been redeemed in full, the Class F Notes will not be further redeemed for so long as the Class E Notes have not been redeemed in full and the Class G Notes will not be further redeemed for so long as the Class F Notes have not been redeemed in full.</w:t>
      </w:r>
    </w:p>
    <w:p w14:paraId="28B9CCF0" w14:textId="183B7460" w:rsidR="009F6E91" w:rsidRPr="00D427D8" w:rsidRDefault="00037A03" w:rsidP="00037A03">
      <w:pPr>
        <w:pStyle w:val="Body2"/>
      </w:pPr>
      <w:r w:rsidRPr="00D427D8">
        <w:t xml:space="preserve">For the avoidance of doubt, after the occurrence of a Sequential Redemption Event, no </w:t>
      </w:r>
      <w:r w:rsidRPr="00D427D8">
        <w:rPr>
          <w:i/>
        </w:rPr>
        <w:t xml:space="preserve">pro rata </w:t>
      </w:r>
      <w:r w:rsidRPr="00D427D8">
        <w:t>redemption of the Notes will be made by the Issuer.</w:t>
      </w:r>
    </w:p>
    <w:p w14:paraId="7AF7DD70" w14:textId="5E2306F4" w:rsidR="009F6E91" w:rsidRPr="00D427D8" w:rsidRDefault="00037A03" w:rsidP="00037A03">
      <w:pPr>
        <w:pStyle w:val="Body2"/>
      </w:pPr>
      <w:r w:rsidRPr="00D427D8">
        <w:t>Upon the occurrence of a Sequential Redemption Event, notification will be given by the Issuer to the Rating Agencies and the Noteholders in accordance with Condition 12 (</w:t>
      </w:r>
      <w:r w:rsidRPr="00D427D8">
        <w:rPr>
          <w:i/>
        </w:rPr>
        <w:t>Notice to the Noteholders</w:t>
      </w:r>
      <w:r w:rsidRPr="00D427D8">
        <w:t>).</w:t>
      </w:r>
    </w:p>
    <w:p w14:paraId="11F7121E" w14:textId="1C21A644" w:rsidR="009F6E91" w:rsidRPr="00D427D8" w:rsidRDefault="009F6E91" w:rsidP="00037A03">
      <w:pPr>
        <w:pStyle w:val="SchHeading2"/>
      </w:pPr>
      <w:bookmarkStart w:id="131" w:name="_Ref169700177"/>
      <w:r w:rsidRPr="00D427D8">
        <w:t>Accelerated Amortisation Period</w:t>
      </w:r>
      <w:bookmarkEnd w:id="131"/>
    </w:p>
    <w:p w14:paraId="4E7EC943" w14:textId="7927E629" w:rsidR="009F6E91" w:rsidRPr="00D427D8" w:rsidRDefault="00037A03" w:rsidP="00037A03">
      <w:pPr>
        <w:pStyle w:val="Body2"/>
      </w:pPr>
      <w:r w:rsidRPr="00D427D8">
        <w:t>Following the occurrence of an Accelerated Amortisation Event, the Notes shall be subject to mandatory redemption on each Distribution Date on or after the date on which the Accelerated Amortisation Event has occurred until the earlier of (a) the date on which the aggregate Principal Outstanding Notes Balance of each Class of Notes is reduced to zero or (b) the Final Legal Maturity Date, in accordance with the applicable Accelerated Priority of Payments. For the avoidance of doubt, upon the occurrence of an Accelerated Amortisation Event, the Issuer is not automatically required to liquidate the Lease Receivables and Expectancy Rights at market value.</w:t>
      </w:r>
    </w:p>
    <w:p w14:paraId="70FBEA4D" w14:textId="51F437B9" w:rsidR="009F6E91" w:rsidRPr="00D427D8" w:rsidRDefault="009F6E91" w:rsidP="00037A03">
      <w:pPr>
        <w:pStyle w:val="SchHeading2"/>
      </w:pPr>
      <w:r w:rsidRPr="00D427D8">
        <w:t>Determination of the amortisation of the Notes</w:t>
      </w:r>
    </w:p>
    <w:p w14:paraId="0B587972" w14:textId="5636AB9F" w:rsidR="009F6E91" w:rsidRPr="00D427D8" w:rsidRDefault="009F6E91" w:rsidP="00037A03">
      <w:pPr>
        <w:pStyle w:val="SchHeading3"/>
      </w:pPr>
      <w:r w:rsidRPr="00D427D8">
        <w:t>Calculation of the Notes Redemption Amount of each Class of Notes, the Notes Principal Payment and the aggregate Principal Outstanding Notes Balance of each Class of Notes during the Normal Amortisation Period</w:t>
      </w:r>
    </w:p>
    <w:p w14:paraId="5C37CC6D" w14:textId="3D76F451" w:rsidR="009F6E91" w:rsidRPr="00D427D8" w:rsidRDefault="00037A03" w:rsidP="00037A03">
      <w:pPr>
        <w:pStyle w:val="Body3"/>
      </w:pPr>
      <w:r w:rsidRPr="00D427D8">
        <w:t>Each Class of Notes shall be redeemed on each Distribution Date falling within the Normal Amortisation Period in an amount equal to the relevant Notes Principal Payment.</w:t>
      </w:r>
    </w:p>
    <w:p w14:paraId="63AA4C69" w14:textId="4666886B" w:rsidR="009F6E91" w:rsidRPr="00D427D8" w:rsidRDefault="00037A03" w:rsidP="00037A03">
      <w:pPr>
        <w:pStyle w:val="Body3"/>
      </w:pPr>
      <w:r w:rsidRPr="00D427D8">
        <w:t>The Calculation Agent shall calculate, in relation to any Distribution Date:</w:t>
      </w:r>
    </w:p>
    <w:p w14:paraId="174237AE" w14:textId="62F2DD4B" w:rsidR="009F6E91" w:rsidRPr="00D427D8" w:rsidRDefault="009F6E91" w:rsidP="00037A03">
      <w:pPr>
        <w:pStyle w:val="SchNumber4"/>
      </w:pPr>
      <w:r w:rsidRPr="00D427D8">
        <w:t>the Notes Redemption Amount for the relevant Class of Notes;</w:t>
      </w:r>
    </w:p>
    <w:p w14:paraId="625ED863" w14:textId="1A20804F" w:rsidR="009F6E91" w:rsidRPr="00D427D8" w:rsidRDefault="009F6E91" w:rsidP="00037A03">
      <w:pPr>
        <w:pStyle w:val="SchNumber4"/>
      </w:pPr>
      <w:r w:rsidRPr="00D427D8">
        <w:lastRenderedPageBreak/>
        <w:t>the Notes Principal Payment due and payable in respect of the relevant Class of Notes; and</w:t>
      </w:r>
    </w:p>
    <w:p w14:paraId="6BA0476C" w14:textId="6BE7060D" w:rsidR="009F6E91" w:rsidRPr="00D427D8" w:rsidRDefault="009F6E91" w:rsidP="00037A03">
      <w:pPr>
        <w:pStyle w:val="SchNumber4"/>
      </w:pPr>
      <w:r w:rsidRPr="00D427D8">
        <w:t>the aggregate Principal Outstanding Notes Balance for the relevant Class of Notes.</w:t>
      </w:r>
    </w:p>
    <w:p w14:paraId="7EE0E4EE" w14:textId="2106DFE4" w:rsidR="009F6E91" w:rsidRPr="00D427D8" w:rsidRDefault="00037A03" w:rsidP="00037A03">
      <w:pPr>
        <w:pStyle w:val="Body3"/>
      </w:pPr>
      <w:r w:rsidRPr="00D427D8">
        <w:t>The Notes Principal Payment in respect of a Class of Note will be equal to (x) the Notes Redemption Amount of such Class divided by (y) the number of outstanding Notes of such Class (the result of (x) being rounded down to the nearest euro cent), provided that no Notes Principal Payment shall exceed the Principal Outstanding Notes Balance of a Note of such Class, as calculated by the Calculation Agent before such payment.</w:t>
      </w:r>
    </w:p>
    <w:p w14:paraId="14BB717B" w14:textId="2D725BF3" w:rsidR="009F6E91" w:rsidRPr="00D427D8" w:rsidRDefault="00037A03" w:rsidP="00037A03">
      <w:pPr>
        <w:pStyle w:val="Body3"/>
      </w:pPr>
      <w:r w:rsidRPr="00D427D8">
        <w:t>The difference (if any) between (a) the Notes Redemption Amount and (b) the product of (i) the Notes Principal Payment and (ii) the number of outstanding Notes for a particular Class of Notes (due to the rounding for the payment on a single Note of any Class) will be kept on the Distribution Account and will form part of the Available Principal Distribution Amount on the next Distribution Date.</w:t>
      </w:r>
    </w:p>
    <w:p w14:paraId="75FD2843" w14:textId="2CFCF7BE" w:rsidR="009F6E91" w:rsidRPr="00D427D8" w:rsidRDefault="00037A03" w:rsidP="00037A03">
      <w:pPr>
        <w:pStyle w:val="Body3"/>
      </w:pPr>
      <w:r w:rsidRPr="00D427D8">
        <w:t>Each calculation by the Calculation Agent of the Notes Redemption Amount, the Notes Principal Payment, the aggregate Principal Outstanding Notes Balance of a Class of Notes and the Principal Outstanding Notes Balance of a Note of any Class shall in each case (in the absence of wilful default, bad faith or manifest error) be final and binding on all persons.</w:t>
      </w:r>
    </w:p>
    <w:p w14:paraId="0BFE9578" w14:textId="5EABA51E" w:rsidR="009F6E91" w:rsidRPr="00D427D8" w:rsidRDefault="00037A03" w:rsidP="00037A03">
      <w:pPr>
        <w:pStyle w:val="Body3"/>
      </w:pPr>
      <w:r w:rsidRPr="00D427D8">
        <w:t>The Calculation Agent will cause each determination of the Notes Redemption Amount and the aggregate Principal Outstanding Notes Balance of a Class of Notes to be notified in writing forthwith to the Paying Agent, to the Account Bank and to the Luxembourg Stock Exchange, for so long as the Notes are admitted to trading on the official list of the Luxembourg Stock Exchange.</w:t>
      </w:r>
    </w:p>
    <w:p w14:paraId="40B8CB46" w14:textId="0A62D692" w:rsidR="009F6E91" w:rsidRPr="00D427D8" w:rsidRDefault="009F6E91" w:rsidP="00037A03">
      <w:pPr>
        <w:pStyle w:val="SchHeading3"/>
      </w:pPr>
      <w:r w:rsidRPr="00D427D8">
        <w:t>Accelerated Amortisation Period</w:t>
      </w:r>
    </w:p>
    <w:p w14:paraId="0C5B1C7E" w14:textId="5082F1E8" w:rsidR="009F6E91" w:rsidRPr="00D427D8" w:rsidRDefault="00037A03" w:rsidP="00037A03">
      <w:pPr>
        <w:pStyle w:val="Body3"/>
      </w:pPr>
      <w:r w:rsidRPr="00D427D8">
        <w:t>During the Accelerated Amortisation Period, and from the Distribution Date following the date on which an Accelerated Amortisation Event has occurred and until the earlier of (i) the date on which the aggregate Principal Outstanding Notes Balance of each Class of Notes is reduced to zero and (ii) the Final Legal Maturity Date, each Class of Notes shall be repaid until redeemed in full, in accordance with the Accelerated Priority of Payments.</w:t>
      </w:r>
    </w:p>
    <w:p w14:paraId="1E60BC02" w14:textId="20ECCE7D" w:rsidR="009F6E91" w:rsidRPr="00D427D8" w:rsidRDefault="00037A03" w:rsidP="00037A03">
      <w:pPr>
        <w:pStyle w:val="Body3"/>
      </w:pPr>
      <w:r w:rsidRPr="00D427D8">
        <w:t>After an Accelerated Amortisation Event or on the Final Legal Maturity Date the whole Available Distribution Amount will be applied in accordance with the Accelerated Priority of Payments and therefore be used to redeem the Notes.</w:t>
      </w:r>
    </w:p>
    <w:p w14:paraId="00194EFB" w14:textId="210A96D1" w:rsidR="009F6E91" w:rsidRPr="00D427D8" w:rsidRDefault="009F6E91" w:rsidP="00037A03">
      <w:pPr>
        <w:pStyle w:val="SchHeading2"/>
      </w:pPr>
      <w:r w:rsidRPr="00D427D8">
        <w:t>Clean-Up Call</w:t>
      </w:r>
    </w:p>
    <w:p w14:paraId="65F793C7" w14:textId="14AC2D7F" w:rsidR="009F6E91" w:rsidRPr="00D427D8" w:rsidRDefault="00037A03" w:rsidP="00037A03">
      <w:pPr>
        <w:pStyle w:val="Body2"/>
        <w:rPr>
          <w:lang w:val="en-US"/>
        </w:rPr>
      </w:pPr>
      <w:r w:rsidRPr="00D427D8">
        <w:rPr>
          <w:lang w:val="en-US"/>
        </w:rPr>
        <w:t>If the Seller has exercised the Clean-Up Call, the Issuer shall redeem all, but not some only, of the Notes at their aggregate Principal Outstanding Notes Balance, together with any interest accrued up to but excluding the relevant Distribution Date, on any Distribution Date, upon giving notice of its intention to all, but not some only, of the Notes no later than thirty (30) days beforehand to the relevant Noteholders and the Collateral Agent.</w:t>
      </w:r>
    </w:p>
    <w:p w14:paraId="65ED13A8" w14:textId="065B09CB" w:rsidR="009F6E91" w:rsidRPr="00D427D8" w:rsidRDefault="00037A03" w:rsidP="00037A03">
      <w:pPr>
        <w:pStyle w:val="Body2"/>
      </w:pPr>
      <w:r w:rsidRPr="00D427D8">
        <w:t>If the Clean-Up Call Repurchase Price together with any monies standing from time to time to the credit of the Issuer Accounts (excluding any credit balance of the Reserve Account) does not at least equal to the sum of the aggregate Principal Outstanding Notes Balance of all Notes, the Notes Interest Amount and any arrears thereon and any other amounts due by the Issuer and ranking senior to the Most Senior Class of Notes in order to enable the Issuer to redeem in full all outstanding Notes in accordance with the Accelerated Priority of Payments, then the transfer of all Purchased Lease Receivables and the Collateral shall not take place and the Issuer shall not be liquidated.</w:t>
      </w:r>
    </w:p>
    <w:p w14:paraId="5317FDC1" w14:textId="2E4884E7" w:rsidR="009F6E91" w:rsidRPr="00D427D8" w:rsidRDefault="009F6E91" w:rsidP="00037A03">
      <w:pPr>
        <w:pStyle w:val="SchHeading2"/>
      </w:pPr>
      <w:r w:rsidRPr="00D427D8">
        <w:t>Optional Redemption of all Notes upon the occurrence of a Note Tax Event</w:t>
      </w:r>
    </w:p>
    <w:p w14:paraId="5A6EBA44" w14:textId="27FB3573" w:rsidR="009F6E91" w:rsidRPr="00D427D8" w:rsidRDefault="00037A03" w:rsidP="00037A03">
      <w:pPr>
        <w:pStyle w:val="Body2"/>
      </w:pPr>
      <w:r w:rsidRPr="00D427D8">
        <w:t xml:space="preserve">If a Note Tax Event has occurred, then the Issuer will deliver a Note Tax Event Notice and the Issuer shall redeem all, but not some only, of the Notes at their then respective aggregate Principal Outstanding Notes Balance (together with interest accrued and unpaid thereon) and shall use the </w:t>
      </w:r>
      <w:r w:rsidRPr="00D427D8">
        <w:lastRenderedPageBreak/>
        <w:t>Final Repurchase Price to redeem the Notes on and from the Distribution Date on which such Note Tax Event has occurred.</w:t>
      </w:r>
    </w:p>
    <w:p w14:paraId="64ECA4C8" w14:textId="3EE349C6" w:rsidR="009F6E91" w:rsidRPr="00D427D8" w:rsidRDefault="00037A03" w:rsidP="00037A03">
      <w:pPr>
        <w:pStyle w:val="Body2"/>
      </w:pPr>
      <w:r w:rsidRPr="00D427D8">
        <w:t>The Notes shall be redeemed by the Issuer in accordance with the Accelerated Priority of Payments.</w:t>
      </w:r>
    </w:p>
    <w:p w14:paraId="657A83F1" w14:textId="16F26B55" w:rsidR="009F6E91" w:rsidRPr="00D427D8" w:rsidRDefault="00037A03" w:rsidP="00037A03">
      <w:pPr>
        <w:pStyle w:val="Body2"/>
      </w:pPr>
      <w:bookmarkStart w:id="132" w:name="_Hlk170238607"/>
      <w:r w:rsidRPr="00D427D8">
        <w:t>If the Final Repurchase Price together with any monies standing from time to time to the credit of the Issuer Accounts (excluding any credit balance of the Reserve Account) does not at least equal to the sum of the aggregate Principal Outstanding Notes Balance of all Notes, the Notes Interest Amount and any arrears thereon and any other amounts due by the Issuer and ranking senior to the Most Senior Class of Notes in order to enable the Issuer to redeem in full all outstanding Notes in accordance with the Accelerated Priority of Payments, then the transfer of all Purchased Lease Receivables and the Collateral shall not take place and the Issuer shall not be liquidated.</w:t>
      </w:r>
    </w:p>
    <w:p w14:paraId="282494FC" w14:textId="2F1F5581" w:rsidR="009F6E91" w:rsidRPr="00D427D8" w:rsidRDefault="009F6E91" w:rsidP="00DF66DE">
      <w:pPr>
        <w:pStyle w:val="SchHeading2"/>
      </w:pPr>
      <w:bookmarkStart w:id="133" w:name="_Ref141870837"/>
      <w:bookmarkEnd w:id="132"/>
      <w:r w:rsidRPr="00D427D8">
        <w:t>Optional Redemption of all Notes upon the occurrence of a Regulatory Change Event</w:t>
      </w:r>
      <w:bookmarkEnd w:id="133"/>
    </w:p>
    <w:p w14:paraId="1E74589F" w14:textId="3588B3F9" w:rsidR="009F6E91" w:rsidRPr="00D427D8" w:rsidRDefault="00DF66DE" w:rsidP="00DF66DE">
      <w:pPr>
        <w:pStyle w:val="Body2"/>
      </w:pPr>
      <w:r w:rsidRPr="00D427D8">
        <w:t>If a Regulatory Change Event has occurred, then the Seller will deliver a Regulatory Change Event Notice and then the Issuer shall redeem all, but not some only, of the Notes at their then respective aggregate Principal Outstanding Notes Balance (together with interest accrued and unpaid thereon) and shall use the Final Repurchase Price to redeem the Notes on and from the Distribution Date on which such Regulatory Change Event has occurred.</w:t>
      </w:r>
    </w:p>
    <w:p w14:paraId="707893C4" w14:textId="62EA674D" w:rsidR="009F6E91" w:rsidRPr="00D427D8" w:rsidRDefault="00DF66DE" w:rsidP="00DF66DE">
      <w:pPr>
        <w:pStyle w:val="Body2"/>
      </w:pPr>
      <w:r w:rsidRPr="00D427D8">
        <w:t>The Notes shall be redeemed by the Issuer in accordance with the Accelerated Priority of Payments.</w:t>
      </w:r>
    </w:p>
    <w:p w14:paraId="5CC9B565" w14:textId="00E53E76" w:rsidR="009F6E91" w:rsidRPr="00D427D8" w:rsidRDefault="00DF66DE" w:rsidP="00DF66DE">
      <w:pPr>
        <w:pStyle w:val="Body2"/>
      </w:pPr>
      <w:r w:rsidRPr="00D427D8">
        <w:t>If the Final Repurchase Price together with any monies standing from time to time to the credit of the Issuer Accounts (excluding any credit balance of the Reserve Account) does not at least equal to the sum of the aggregate Principal Outstanding Notes Balance of all Notes, the Notes Interest Amount and any arrears thereon and any other amounts due by the Issuer and ranking senior to the Most Senior Class of Notes in order to enable the Issuer to redeem in full all outstanding Notes in accordance with the Accelerated Priority of Payments, then the transfer of all Purchased Lease Receivables and the Collateral shall not take place and the Issuer shall not be liquidated.</w:t>
      </w:r>
    </w:p>
    <w:p w14:paraId="4140D2CF" w14:textId="6020098E" w:rsidR="009F6E91" w:rsidRPr="00D427D8" w:rsidRDefault="009F6E91" w:rsidP="00C07594">
      <w:pPr>
        <w:pStyle w:val="SchHeading2"/>
      </w:pPr>
      <w:r w:rsidRPr="00D427D8">
        <w:t>No purchase</w:t>
      </w:r>
    </w:p>
    <w:p w14:paraId="6EE43759" w14:textId="0B4D2771" w:rsidR="009F6E91" w:rsidRPr="00D427D8" w:rsidRDefault="00C07594" w:rsidP="00C07594">
      <w:pPr>
        <w:pStyle w:val="Body2"/>
      </w:pPr>
      <w:r w:rsidRPr="00D427D8">
        <w:t>The Issuer shall not purchase any of the Notes.</w:t>
      </w:r>
    </w:p>
    <w:p w14:paraId="442C3D9A" w14:textId="675D1E26" w:rsidR="009F6E91" w:rsidRPr="00D427D8" w:rsidRDefault="00C07594" w:rsidP="00C07594">
      <w:pPr>
        <w:pStyle w:val="Body2"/>
      </w:pPr>
      <w:r w:rsidRPr="00D427D8">
        <w:t>For the avoidance of doubt, in accordance with article 244(4)(f) of the CRR, the Transaction Documents do not include any specific provisions allowing the Seller to purchase or repurchase the Notes in accordance with terms and conditions which would be contrary to prevailing market conditions and/or which would be contrary to arm's length principles.</w:t>
      </w:r>
    </w:p>
    <w:p w14:paraId="704428EA" w14:textId="481B88AB" w:rsidR="009F6E91" w:rsidRPr="00D427D8" w:rsidRDefault="009F6E91" w:rsidP="00C07594">
      <w:pPr>
        <w:pStyle w:val="SchHeading2"/>
      </w:pPr>
      <w:r w:rsidRPr="00D427D8">
        <w:t>Cancellation</w:t>
      </w:r>
    </w:p>
    <w:p w14:paraId="01E28F66" w14:textId="74DE601D" w:rsidR="009F6E91" w:rsidRPr="00D427D8" w:rsidRDefault="00C07594" w:rsidP="00C07594">
      <w:pPr>
        <w:pStyle w:val="Body2"/>
      </w:pPr>
      <w:r w:rsidRPr="00D427D8">
        <w:t xml:space="preserve">All Notes which are redeemed by the Issuer pursuant to paragraphs </w:t>
      </w:r>
      <w:r w:rsidRPr="00D427D8">
        <w:rPr>
          <w:rFonts w:cs="Arial"/>
        </w:rPr>
        <w:t>7.1</w:t>
      </w:r>
      <w:r w:rsidRPr="00D427D8">
        <w:t xml:space="preserve"> to </w:t>
      </w:r>
      <w:r w:rsidRPr="00D427D8">
        <w:rPr>
          <w:rFonts w:cs="Arial"/>
        </w:rPr>
        <w:t>7.8</w:t>
      </w:r>
      <w:r w:rsidRPr="00D427D8">
        <w:t xml:space="preserve"> of this Condition </w:t>
      </w:r>
      <w:r w:rsidRPr="00D427D8">
        <w:rPr>
          <w:rFonts w:cs="Arial"/>
        </w:rPr>
        <w:t>7</w:t>
      </w:r>
      <w:r w:rsidRPr="00D427D8">
        <w:t xml:space="preserve"> (</w:t>
      </w:r>
      <w:r w:rsidRPr="00D427D8">
        <w:rPr>
          <w:i/>
        </w:rPr>
        <w:t>Redemption</w:t>
      </w:r>
      <w:r w:rsidRPr="00D427D8">
        <w:t>) will be cancelled and accordingly may not be reissued or resold.</w:t>
      </w:r>
    </w:p>
    <w:p w14:paraId="6BA3EF3A" w14:textId="6356DA2A" w:rsidR="009F6E91" w:rsidRPr="00D427D8" w:rsidRDefault="009F6E91" w:rsidP="00C07594">
      <w:pPr>
        <w:pStyle w:val="SchHeading2"/>
      </w:pPr>
      <w:r w:rsidRPr="00D427D8">
        <w:t>Other methods of redemption</w:t>
      </w:r>
    </w:p>
    <w:p w14:paraId="0B1D869A" w14:textId="35858A62" w:rsidR="009F6E91" w:rsidRPr="00D427D8" w:rsidRDefault="00C07594" w:rsidP="00C07594">
      <w:pPr>
        <w:pStyle w:val="Body2"/>
      </w:pPr>
      <w:r w:rsidRPr="00D427D8">
        <w:t>The Notes shall only be redeemed as specified in these Conditions.</w:t>
      </w:r>
    </w:p>
    <w:p w14:paraId="06C1762D" w14:textId="7B2267CD" w:rsidR="009F6E91" w:rsidRPr="00D427D8" w:rsidRDefault="009F6E91" w:rsidP="00C07594">
      <w:pPr>
        <w:pStyle w:val="SchHeading1"/>
      </w:pPr>
      <w:r w:rsidRPr="00D427D8">
        <w:t>Payments and Paying Agent</w:t>
      </w:r>
    </w:p>
    <w:p w14:paraId="46DF409D" w14:textId="15FC797E" w:rsidR="009F6E91" w:rsidRPr="00D427D8" w:rsidRDefault="009F6E91" w:rsidP="00C07594">
      <w:pPr>
        <w:pStyle w:val="SchHeading2"/>
      </w:pPr>
      <w:r w:rsidRPr="00D427D8">
        <w:t>Method of Payment</w:t>
      </w:r>
    </w:p>
    <w:p w14:paraId="7DBE9D93" w14:textId="3600634E" w:rsidR="009F6E91" w:rsidRPr="00D427D8" w:rsidRDefault="00C07594" w:rsidP="00C07594">
      <w:pPr>
        <w:pStyle w:val="Body2"/>
      </w:pPr>
      <w:r w:rsidRPr="00D427D8">
        <w:t>Payments of principal and interest in respect of the Notes will be made in Euro by credit or transfer to a Euro denominated account (or any other account to which Euro may be credited or transferred) specified by the payee with a bank, in a country within the T2 System (as defined below). Such payments shall be made for the benefit of the Noteholders (including the depositary banks for Euroclear and Clearstream) and all payments validly made to such account holders in favour of the Noteholders will be an effective discharge of the Issuer and the Paying Agent, as the case may be, in respect of such payment.</w:t>
      </w:r>
    </w:p>
    <w:p w14:paraId="14B008BD" w14:textId="11CD9065" w:rsidR="009F6E91" w:rsidRPr="00D427D8" w:rsidRDefault="009F6E91" w:rsidP="00C07594">
      <w:pPr>
        <w:pStyle w:val="SchHeading2"/>
      </w:pPr>
      <w:r w:rsidRPr="00D427D8">
        <w:lastRenderedPageBreak/>
        <w:t>Payments subject to fiscal laws</w:t>
      </w:r>
    </w:p>
    <w:p w14:paraId="404C09B6" w14:textId="21CAF912" w:rsidR="009F6E91" w:rsidRPr="00D427D8" w:rsidRDefault="00C07594" w:rsidP="00C07594">
      <w:pPr>
        <w:pStyle w:val="Body2"/>
      </w:pPr>
      <w:r w:rsidRPr="00D427D8">
        <w:t>Payments in respect of principal and interest on the Notes will, in all cases, be made subject to any fiscal or other laws and regulations applicable thereto. No commission or expenses shall be charged to the Noteholders in respect of such payments.</w:t>
      </w:r>
    </w:p>
    <w:p w14:paraId="401D56CC" w14:textId="16294052" w:rsidR="009F6E91" w:rsidRPr="00D427D8" w:rsidRDefault="009F6E91" w:rsidP="00C07594">
      <w:pPr>
        <w:pStyle w:val="SchHeading2"/>
      </w:pPr>
      <w:r w:rsidRPr="00D427D8">
        <w:t>Payments on Business Days</w:t>
      </w:r>
    </w:p>
    <w:p w14:paraId="4097951E" w14:textId="3555532F" w:rsidR="009F6E91" w:rsidRPr="00D427D8" w:rsidRDefault="00C07594" w:rsidP="00C07594">
      <w:pPr>
        <w:pStyle w:val="Body2"/>
      </w:pPr>
      <w:r w:rsidRPr="00D427D8">
        <w:t>If the due date for payment of any amount of principal or interest in respect of any Note is not a Business Day, payment shall not be made of the amount due and credit or transfer instructions shall not be given in respect thereof until the immediately following Business Day unless such Business Day falls in the next calendar month in which case such Distribution Date shall be brought forward to the immediately preceding Business Day. If any payment is postponed as a result of the foregoing, the Noteholders shall not be entitled to any interest or other sums in respect of such postponed payment.</w:t>
      </w:r>
    </w:p>
    <w:p w14:paraId="124084E8" w14:textId="47954428" w:rsidR="009F6E91" w:rsidRPr="00D427D8" w:rsidRDefault="009F6E91" w:rsidP="00C07594">
      <w:pPr>
        <w:pStyle w:val="SchHeading2"/>
      </w:pPr>
      <w:r w:rsidRPr="00D427D8">
        <w:t>Paying Agent and Calculation Agent</w:t>
      </w:r>
    </w:p>
    <w:p w14:paraId="50376610" w14:textId="26EB2D46" w:rsidR="009F6E91" w:rsidRPr="00D427D8" w:rsidRDefault="00C07594" w:rsidP="00C07594">
      <w:pPr>
        <w:pStyle w:val="Body2"/>
      </w:pPr>
      <w:r w:rsidRPr="00D427D8">
        <w:t>The Issuer has appointed BNP Paribas, acting through its Luxembourg branch, as Paying Agent and France Titrisation as Calculation Agent in accordance with the Agency Agreement.</w:t>
      </w:r>
    </w:p>
    <w:p w14:paraId="78534CF9" w14:textId="38B2EF7B" w:rsidR="009F6E91" w:rsidRPr="00D427D8" w:rsidRDefault="006C2FCF" w:rsidP="006C2FCF">
      <w:pPr>
        <w:pStyle w:val="Body2"/>
        <w:jc w:val="left"/>
      </w:pPr>
      <w:r w:rsidRPr="00D427D8">
        <w:t>The initial specified office of the Paying Agent is as follows:</w:t>
      </w:r>
    </w:p>
    <w:p w14:paraId="2EBCF281" w14:textId="47B8F12E" w:rsidR="009F6E91" w:rsidRPr="00D427D8" w:rsidRDefault="006C2FCF" w:rsidP="006C2FCF">
      <w:pPr>
        <w:pStyle w:val="Body2"/>
        <w:jc w:val="left"/>
      </w:pPr>
      <w:r w:rsidRPr="00D427D8">
        <w:t>60, avenue J. F. Kennedy</w:t>
      </w:r>
      <w:r w:rsidRPr="00D427D8">
        <w:rPr>
          <w:rFonts w:cs="Arial"/>
        </w:rPr>
        <w:br/>
      </w:r>
      <w:r w:rsidRPr="00D427D8">
        <w:t>L-1855 Luxembourg</w:t>
      </w:r>
      <w:r w:rsidRPr="00D427D8">
        <w:rPr>
          <w:rFonts w:cs="Arial"/>
        </w:rPr>
        <w:br/>
      </w:r>
      <w:r w:rsidRPr="00D427D8">
        <w:t>Grand Duchy of Luxembourg</w:t>
      </w:r>
    </w:p>
    <w:p w14:paraId="21B0170E" w14:textId="79AFA3DC" w:rsidR="009F6E91" w:rsidRPr="00D427D8" w:rsidRDefault="006C2FCF" w:rsidP="006C2FCF">
      <w:pPr>
        <w:pStyle w:val="Body2"/>
        <w:jc w:val="left"/>
      </w:pPr>
      <w:r w:rsidRPr="00D427D8">
        <w:t>The initial specified office of the Calculation Agent is as follows:</w:t>
      </w:r>
    </w:p>
    <w:p w14:paraId="15B772BC" w14:textId="26527268" w:rsidR="009F6E91" w:rsidRPr="00D427D8" w:rsidRDefault="006C2FCF" w:rsidP="006C2FCF">
      <w:pPr>
        <w:pStyle w:val="Body2"/>
        <w:jc w:val="left"/>
        <w:rPr>
          <w:lang w:val="fr-FR"/>
        </w:rPr>
      </w:pPr>
      <w:r w:rsidRPr="00D427D8">
        <w:rPr>
          <w:lang w:val="fr-FR"/>
        </w:rPr>
        <w:t>9, rue du débarcadère</w:t>
      </w:r>
      <w:r w:rsidRPr="00D427D8">
        <w:rPr>
          <w:lang w:val="fr-FR"/>
        </w:rPr>
        <w:br/>
        <w:t>93500 Pantin</w:t>
      </w:r>
      <w:r w:rsidRPr="00D427D8">
        <w:rPr>
          <w:lang w:val="fr-FR"/>
        </w:rPr>
        <w:br/>
        <w:t>France</w:t>
      </w:r>
    </w:p>
    <w:p w14:paraId="39B94368" w14:textId="71F52FBD" w:rsidR="009F6E91" w:rsidRPr="00D427D8" w:rsidRDefault="009F6E91" w:rsidP="006C2FCF">
      <w:pPr>
        <w:pStyle w:val="SchHeading1"/>
      </w:pPr>
      <w:bookmarkStart w:id="134" w:name="_Ref141893499"/>
      <w:r w:rsidRPr="00D427D8">
        <w:t>Taxation</w:t>
      </w:r>
      <w:bookmarkEnd w:id="134"/>
    </w:p>
    <w:p w14:paraId="135BAD99" w14:textId="44649F7A" w:rsidR="009F6E91" w:rsidRPr="00D427D8" w:rsidRDefault="009F6E91" w:rsidP="006C2FCF">
      <w:pPr>
        <w:pStyle w:val="SchHeading2"/>
      </w:pPr>
      <w:r w:rsidRPr="00D427D8">
        <w:t>Withholding taxes</w:t>
      </w:r>
    </w:p>
    <w:p w14:paraId="3F1F7EA1" w14:textId="0CCE506C" w:rsidR="009F6E91" w:rsidRPr="00D427D8" w:rsidRDefault="009F6E91" w:rsidP="006C2FCF">
      <w:pPr>
        <w:pStyle w:val="SchNumber3"/>
      </w:pPr>
      <w:r w:rsidRPr="00D427D8">
        <w:t>All payments by or on behalf of the Issuer in respect of the Notes shall be made free and clear of, and without withholding or deduction for, any taxes, duties, assessments or governmental charges of whatever nature imposed, levied, collected, withheld or assessed by or within any jurisdiction or any authority therein or thereof having power to tax, unless such withholding or deduction is required by law.</w:t>
      </w:r>
    </w:p>
    <w:p w14:paraId="3649BB3C" w14:textId="77777777" w:rsidR="009F6E91" w:rsidRPr="00D427D8" w:rsidRDefault="009F6E91" w:rsidP="006C2FCF">
      <w:pPr>
        <w:pStyle w:val="SchNumber3"/>
      </w:pPr>
      <w:r w:rsidRPr="00D427D8">
        <w:t>In that event, the Issuer or Paying Agent (as the case may be) shall make the distributions after such withholding or deduction has been made and shall account to the relevant authorities for the amount so required to be withheld or deducted.</w:t>
      </w:r>
    </w:p>
    <w:p w14:paraId="45A0B0FB" w14:textId="6346E934" w:rsidR="009F6E91" w:rsidRPr="00D427D8" w:rsidRDefault="009F6E91" w:rsidP="006C2FCF">
      <w:pPr>
        <w:pStyle w:val="SchHeading2"/>
      </w:pPr>
      <w:r w:rsidRPr="00D427D8">
        <w:t>No Additional Amounts</w:t>
      </w:r>
    </w:p>
    <w:p w14:paraId="40B27243" w14:textId="7B4EBA86" w:rsidR="009F6E91" w:rsidRPr="00D427D8" w:rsidRDefault="006C2FCF" w:rsidP="006C2FCF">
      <w:pPr>
        <w:pStyle w:val="Body2"/>
      </w:pPr>
      <w:r w:rsidRPr="00D427D8">
        <w:t>If any law should require that any payment in respect of the Notes be subject to withholding or deduction in respect of any present or future taxes, duties, assessments or governmental charges of whatever nature, the Issuer shall be under no obligation to pay additional amounts as a consequence of any such withholding or deduction.</w:t>
      </w:r>
    </w:p>
    <w:p w14:paraId="18D64F75" w14:textId="66354C3C" w:rsidR="009F6E91" w:rsidRPr="00D427D8" w:rsidRDefault="009F6E91" w:rsidP="006C2FCF">
      <w:pPr>
        <w:pStyle w:val="SchHeading1"/>
      </w:pPr>
      <w:r w:rsidRPr="00D427D8">
        <w:t>Accelerated Redemption</w:t>
      </w:r>
    </w:p>
    <w:p w14:paraId="70B2EA2E" w14:textId="297A0B13" w:rsidR="009F6E91" w:rsidRPr="00D427D8" w:rsidRDefault="009F6E91" w:rsidP="006C2FCF">
      <w:pPr>
        <w:pStyle w:val="SchNumber3"/>
      </w:pPr>
      <w:r w:rsidRPr="00D427D8">
        <w:t xml:space="preserve">the occurrence of an Issuer Event of Default will be treated as an </w:t>
      </w:r>
      <w:r w:rsidR="00EF7333" w:rsidRPr="00D427D8">
        <w:t>"</w:t>
      </w:r>
      <w:r w:rsidRPr="00D427D8">
        <w:rPr>
          <w:b/>
        </w:rPr>
        <w:t>Accelerated Amortisation Event</w:t>
      </w:r>
      <w:r w:rsidR="00EF7333" w:rsidRPr="00D427D8">
        <w:t>"</w:t>
      </w:r>
      <w:r w:rsidRPr="00D427D8">
        <w:t>:</w:t>
      </w:r>
    </w:p>
    <w:p w14:paraId="1ACEED23" w14:textId="4B873593" w:rsidR="009F6E91" w:rsidRPr="00D427D8" w:rsidRDefault="009F6E91" w:rsidP="006C2FCF">
      <w:pPr>
        <w:pStyle w:val="SchNumber3"/>
      </w:pPr>
      <w:r w:rsidRPr="00D427D8">
        <w:t>If an Accelerated Amortisation Event occurs, the Revolving Period or the Normal Amortisation Period, as the case may be, shall automatically terminate and the Accelerated Amortisation Period shall irrevocably start. All Notes will become due and payable and will be redeemed by the Issuer in accordance with the Accelerated Priority of Payments.</w:t>
      </w:r>
    </w:p>
    <w:p w14:paraId="0F6C0619" w14:textId="25BA8D43" w:rsidR="009F6E91" w:rsidRPr="00D427D8" w:rsidRDefault="009F6E91" w:rsidP="006C2FCF">
      <w:pPr>
        <w:pStyle w:val="SchHeading1"/>
      </w:pPr>
      <w:bookmarkStart w:id="135" w:name="_Ref141896742"/>
      <w:bookmarkStart w:id="136" w:name="_Ref141872406"/>
      <w:r w:rsidRPr="00D427D8">
        <w:lastRenderedPageBreak/>
        <w:t>Resolutions of Noteholders</w:t>
      </w:r>
      <w:bookmarkEnd w:id="135"/>
      <w:bookmarkEnd w:id="136"/>
    </w:p>
    <w:p w14:paraId="3E32B144" w14:textId="326D6095" w:rsidR="009F6E91" w:rsidRPr="00D427D8" w:rsidRDefault="009F6E91" w:rsidP="006C2FCF">
      <w:pPr>
        <w:pStyle w:val="SchHeading2"/>
      </w:pPr>
      <w:r w:rsidRPr="00D427D8">
        <w:t>Resolutions of Noteholders</w:t>
      </w:r>
    </w:p>
    <w:p w14:paraId="39C762C8" w14:textId="1D1F3281" w:rsidR="009F6E91" w:rsidRPr="00D427D8" w:rsidRDefault="009F6E91" w:rsidP="006C2FCF">
      <w:pPr>
        <w:pStyle w:val="SchNumber3"/>
      </w:pPr>
      <w:r w:rsidRPr="00D427D8">
        <w:t>The Noteholders of any Class may agree by majority resolution to amend these Conditions, provided that no obligation to make any payment or render any other performance shall be imposed on any Noteholder of any Class by majority resolution.</w:t>
      </w:r>
    </w:p>
    <w:p w14:paraId="31256DC5" w14:textId="50E13A21" w:rsidR="009F6E91" w:rsidRPr="00D427D8" w:rsidRDefault="009F6E91" w:rsidP="006C2FCF">
      <w:pPr>
        <w:pStyle w:val="SchNumber3"/>
      </w:pPr>
      <w:r w:rsidRPr="00D427D8">
        <w:t>Majority resolutions shall be binding on all Noteholders of the relevant Class. Resolutions which do not provide for identical conditions for all Noteholders of the relevant Class are void, unless the Noteholders of such Class who are disadvantaged have expressly consented to their being treated disadvantageously.</w:t>
      </w:r>
    </w:p>
    <w:p w14:paraId="03F0F39D" w14:textId="6B7FF7D3" w:rsidR="009F6E91" w:rsidRPr="00D427D8" w:rsidRDefault="009F6E91" w:rsidP="006C2FCF">
      <w:pPr>
        <w:pStyle w:val="SchNumber3"/>
      </w:pPr>
      <w:bookmarkStart w:id="137" w:name="_Ref141872504"/>
      <w:r w:rsidRPr="00D427D8">
        <w:t xml:space="preserve">Noteholders of any Class may in particular agree by majority resolution in relation to such Class to a </w:t>
      </w:r>
      <w:bookmarkStart w:id="138" w:name="_Hlk141961604"/>
      <w:r w:rsidRPr="00D427D8">
        <w:t>Basic Terms Modification</w:t>
      </w:r>
      <w:bookmarkEnd w:id="137"/>
      <w:bookmarkEnd w:id="138"/>
      <w:r w:rsidRPr="00D427D8">
        <w:t>.</w:t>
      </w:r>
    </w:p>
    <w:p w14:paraId="4DBE87BB" w14:textId="3435CCCB" w:rsidR="009F6E91" w:rsidRPr="00D427D8" w:rsidRDefault="009F6E91" w:rsidP="006C2FCF">
      <w:pPr>
        <w:pStyle w:val="SchNumber3"/>
      </w:pPr>
      <w:r w:rsidRPr="00D427D8">
        <w:t xml:space="preserve">Resolutions shall be passed by simple majority of the votes cast. Resolutions relating to Basic Terms Modifications, require a majority of not less than 75% of the votes cast (a </w:t>
      </w:r>
      <w:r w:rsidR="00EF7333" w:rsidRPr="00D427D8">
        <w:t>"</w:t>
      </w:r>
      <w:r w:rsidRPr="00D427D8">
        <w:rPr>
          <w:b/>
          <w:bCs/>
        </w:rPr>
        <w:t>qualified majority</w:t>
      </w:r>
      <w:r w:rsidR="00EF7333" w:rsidRPr="00D427D8">
        <w:t>"</w:t>
      </w:r>
      <w:r w:rsidRPr="00D427D8">
        <w:t>).</w:t>
      </w:r>
    </w:p>
    <w:p w14:paraId="2169E588" w14:textId="429CC476" w:rsidR="009F6E91" w:rsidRPr="00D427D8" w:rsidRDefault="009F6E91" w:rsidP="006C2FCF">
      <w:pPr>
        <w:pStyle w:val="SchNumber3"/>
      </w:pPr>
      <w:r w:rsidRPr="00D427D8">
        <w:t>Noteholders of the relevant Class may pass resolutions by vote taken without a meeting.</w:t>
      </w:r>
    </w:p>
    <w:p w14:paraId="769748A7" w14:textId="1329C6F9" w:rsidR="009F6E91" w:rsidRPr="00D427D8" w:rsidRDefault="009F6E91" w:rsidP="006C2FCF">
      <w:pPr>
        <w:pStyle w:val="SchNumber3"/>
      </w:pPr>
      <w:r w:rsidRPr="00D427D8">
        <w:t>Each Noteholder participating in any vote shall cast votes in accordance with the nominal amount or the notional share of its entitlement to the outstanding Notes of the relevant Class. As long as the entitlement to the Notes of the relevant Class lies with, or the Notes of the relevant Class are held for the account of, the Issuer or any of its affiliates (Section 271 (2) of the German Commercial Code (</w:t>
      </w:r>
      <w:r w:rsidRPr="00D427D8">
        <w:rPr>
          <w:i/>
          <w:iCs/>
        </w:rPr>
        <w:t>Handelsgesetzbuch</w:t>
      </w:r>
      <w:r w:rsidRPr="00D427D8">
        <w:t>)), the right to vote in respect of such Notes shall be suspended. The Issuer may not transfer Notes, of which the voting rights are so suspended, to another person for the purpose of exercising such voting rights in the place of the Issuer; this shall also apply to any affiliate of the Issuer. No person shall be permitted to exercise such voting right for the purpose stipulated in sentence 3, first half sentence, herein above.</w:t>
      </w:r>
    </w:p>
    <w:p w14:paraId="24CB1BFE" w14:textId="44C30BB5" w:rsidR="009F6E91" w:rsidRPr="00D427D8" w:rsidRDefault="009F6E91" w:rsidP="006C2FCF">
      <w:pPr>
        <w:pStyle w:val="SchNumber3"/>
      </w:pPr>
      <w:r w:rsidRPr="00D427D8">
        <w:t>No person shall be permitted to offer, promise or grant any benefit or advantage to another person entitled to vote in consideration of such person abstaining from voting or voting in a certain way.</w:t>
      </w:r>
    </w:p>
    <w:p w14:paraId="1EFD935A" w14:textId="09A50303" w:rsidR="009F6E91" w:rsidRPr="00D427D8" w:rsidRDefault="009F6E91" w:rsidP="006C2FCF">
      <w:pPr>
        <w:pStyle w:val="SchNumber3"/>
      </w:pPr>
      <w:r w:rsidRPr="00D427D8">
        <w:t>A person entitled to vote may not demand, accept or accept a promise of, any benefit, advantage or consideration for abstaining from voting or voting in a certain way.</w:t>
      </w:r>
    </w:p>
    <w:p w14:paraId="010AA064" w14:textId="77777777" w:rsidR="009F6E91" w:rsidRPr="00D427D8" w:rsidRDefault="009F6E91" w:rsidP="00C237B1">
      <w:pPr>
        <w:pStyle w:val="SchNumber3"/>
      </w:pPr>
      <w:r w:rsidRPr="00D427D8">
        <w:t>Any Disenfranchised Noteholder shall not be entitled to vote in respect of any Disenfranchised Matter and the Notes held by a Disenfranchised Noteholder with respect to any Disenfranchised Matter shall be treated as if it were not outstanding and shall not be counted in or towards the required quorum.</w:t>
      </w:r>
    </w:p>
    <w:p w14:paraId="0FB7D4C1" w14:textId="740FAF7B" w:rsidR="009F6E91" w:rsidRPr="00D427D8" w:rsidRDefault="009F6E91" w:rsidP="00C237B1">
      <w:pPr>
        <w:pStyle w:val="SchNumber3"/>
      </w:pPr>
      <w:r w:rsidRPr="00D427D8">
        <w:t>The Noteholders of any Class may by qualified majority resolution appoint a common representative (</w:t>
      </w:r>
      <w:r w:rsidRPr="00D427D8">
        <w:rPr>
          <w:i/>
          <w:iCs/>
        </w:rPr>
        <w:t>gemeinsamer Vertreter</w:t>
      </w:r>
      <w:r w:rsidRPr="00D427D8">
        <w:t>) (</w:t>
      </w:r>
      <w:r w:rsidR="00EF7333" w:rsidRPr="00D427D8">
        <w:t>"</w:t>
      </w:r>
      <w:r w:rsidRPr="00D427D8">
        <w:rPr>
          <w:b/>
          <w:bCs/>
        </w:rPr>
        <w:t>Noteholders</w:t>
      </w:r>
      <w:r w:rsidR="00EF7333" w:rsidRPr="00D427D8">
        <w:rPr>
          <w:b/>
          <w:bCs/>
        </w:rPr>
        <w:t>'</w:t>
      </w:r>
      <w:r w:rsidRPr="00D427D8">
        <w:rPr>
          <w:b/>
          <w:bCs/>
        </w:rPr>
        <w:t xml:space="preserve"> Representative</w:t>
      </w:r>
      <w:r w:rsidR="00EF7333" w:rsidRPr="00D427D8">
        <w:t>"</w:t>
      </w:r>
      <w:r w:rsidRPr="00D427D8">
        <w:t>) to exercise rights of the Noteholders of such Class on behalf of each Noteholder. Any natural person having legal capacity or any qualified legal person may act as Noteholders</w:t>
      </w:r>
      <w:r w:rsidR="00EF7333" w:rsidRPr="00D427D8">
        <w:t>'</w:t>
      </w:r>
      <w:r w:rsidRPr="00D427D8">
        <w:t xml:space="preserve"> Representative. Any person who:</w:t>
      </w:r>
    </w:p>
    <w:p w14:paraId="1A699AFA" w14:textId="18E01923" w:rsidR="009F6E91" w:rsidRPr="00D427D8" w:rsidRDefault="009F6E91" w:rsidP="00C237B1">
      <w:pPr>
        <w:pStyle w:val="SchNumber4"/>
      </w:pPr>
      <w:r w:rsidRPr="00D427D8">
        <w:t>is a member of the management board, the supervisory board, the board of directors or any similar body, or an officer or employee, of the Issuer or any of its affiliates;</w:t>
      </w:r>
    </w:p>
    <w:p w14:paraId="606B23E6" w14:textId="77777777" w:rsidR="009F6E91" w:rsidRPr="00D427D8" w:rsidRDefault="009F6E91" w:rsidP="00C237B1">
      <w:pPr>
        <w:pStyle w:val="SchNumber4"/>
      </w:pPr>
      <w:r w:rsidRPr="00D427D8">
        <w:t>holds an interest of at least 20% in the share capital of the Issuer or of any of its affiliates;</w:t>
      </w:r>
    </w:p>
    <w:p w14:paraId="094D2429" w14:textId="77777777" w:rsidR="009F6E91" w:rsidRPr="00D427D8" w:rsidRDefault="009F6E91" w:rsidP="00C237B1">
      <w:pPr>
        <w:pStyle w:val="SchNumber4"/>
      </w:pPr>
      <w:r w:rsidRPr="00D427D8">
        <w:t>is a financial creditor of the Issuer or any of its affiliates, holding a claim in the amount of at least 20% of the outstanding Notes of such Class, or is a member of a corporate body, an officer or other employee of such financial creditor; or</w:t>
      </w:r>
    </w:p>
    <w:p w14:paraId="6F70DC68" w14:textId="77777777" w:rsidR="009F6E91" w:rsidRPr="00D427D8" w:rsidRDefault="009F6E91" w:rsidP="00C237B1">
      <w:pPr>
        <w:pStyle w:val="SchNumber4"/>
      </w:pPr>
      <w:r w:rsidRPr="00D427D8">
        <w:lastRenderedPageBreak/>
        <w:t>is subject to the control of any of the persons set forth in sub-paragraphs (A) to (C) above by reason of a special personal relationship with such person,</w:t>
      </w:r>
    </w:p>
    <w:p w14:paraId="57C485BB" w14:textId="2CB7F3D8" w:rsidR="009F6E91" w:rsidRPr="00D427D8" w:rsidRDefault="009F6E91" w:rsidP="00C237B1">
      <w:pPr>
        <w:pStyle w:val="SchNumber4"/>
      </w:pPr>
      <w:r w:rsidRPr="00D427D8">
        <w:t>must disclose the relevant circumstances to the Noteholders of such Class prior to being appointed as a Noteholders</w:t>
      </w:r>
      <w:r w:rsidR="00EF7333" w:rsidRPr="00D427D8">
        <w:t>'</w:t>
      </w:r>
      <w:r w:rsidRPr="00D427D8">
        <w:t xml:space="preserve"> Representative. If any such circumstances arise after the appointment of a Noteholders</w:t>
      </w:r>
      <w:r w:rsidR="00EF7333" w:rsidRPr="00D427D8">
        <w:t>'</w:t>
      </w:r>
      <w:r w:rsidRPr="00D427D8">
        <w:t xml:space="preserve"> Representative, the Noteholders</w:t>
      </w:r>
      <w:r w:rsidR="00EF7333" w:rsidRPr="00D427D8">
        <w:t>'</w:t>
      </w:r>
      <w:r w:rsidRPr="00D427D8">
        <w:t xml:space="preserve"> Representative shall inform the Noteholders of the relevant Class promptly in appropriate form and manner.</w:t>
      </w:r>
    </w:p>
    <w:p w14:paraId="294B2BD4" w14:textId="561EFD38" w:rsidR="009F6E91" w:rsidRPr="00D427D8" w:rsidRDefault="00C237B1" w:rsidP="00C237B1">
      <w:pPr>
        <w:pStyle w:val="Body3"/>
      </w:pPr>
      <w:r w:rsidRPr="00D427D8">
        <w:t>If the Noteholders of different Classes appoint a Noteholders' Representative, such person may be the same person as is appointed Noteholders' Representative of such other Class.</w:t>
      </w:r>
    </w:p>
    <w:p w14:paraId="43DD3623" w14:textId="22A87995" w:rsidR="009F6E91" w:rsidRPr="00D427D8" w:rsidRDefault="009F6E91" w:rsidP="00C237B1">
      <w:pPr>
        <w:pStyle w:val="SchNumber3"/>
      </w:pPr>
      <w:r w:rsidRPr="00D427D8">
        <w:t>The Noteholders</w:t>
      </w:r>
      <w:r w:rsidR="00EF7333" w:rsidRPr="00D427D8">
        <w:t>'</w:t>
      </w:r>
      <w:r w:rsidRPr="00D427D8">
        <w:t xml:space="preserve"> Representative shall have the duties and powers provided by law or granted by majority resolution of the Noteholders of the relevant Class. The Noteholders</w:t>
      </w:r>
      <w:r w:rsidR="00EF7333" w:rsidRPr="00D427D8">
        <w:t>'</w:t>
      </w:r>
      <w:r w:rsidRPr="00D427D8">
        <w:t xml:space="preserve"> Representative shall comply with the instructions of the Noteholders of the relevant Class. To the extent that the Noteholders</w:t>
      </w:r>
      <w:r w:rsidR="00EF7333" w:rsidRPr="00D427D8">
        <w:t>'</w:t>
      </w:r>
      <w:r w:rsidRPr="00D427D8">
        <w:t xml:space="preserve"> Representative has been authorised to assert certain rights of the Noteholders of the relevant Class, the Noteholders of such Class shall not be entitled to assert such rights themselves, unless explicitly provided for in the relevant majority resolution. The Noteholders</w:t>
      </w:r>
      <w:r w:rsidR="00EF7333" w:rsidRPr="00D427D8">
        <w:t>'</w:t>
      </w:r>
      <w:r w:rsidRPr="00D427D8">
        <w:t xml:space="preserve"> Representative shall provide reports to the Noteholders of the relevant Class on its activities.</w:t>
      </w:r>
    </w:p>
    <w:p w14:paraId="1872B98E" w14:textId="15A90114" w:rsidR="009F6E91" w:rsidRPr="00D427D8" w:rsidRDefault="009F6E91" w:rsidP="00C237B1">
      <w:pPr>
        <w:pStyle w:val="SchNumber3"/>
      </w:pPr>
      <w:r w:rsidRPr="00D427D8">
        <w:t>The Noteholders</w:t>
      </w:r>
      <w:r w:rsidR="00EF7333" w:rsidRPr="00D427D8">
        <w:t>'</w:t>
      </w:r>
      <w:r w:rsidRPr="00D427D8">
        <w:t xml:space="preserve"> Representative shall be liable for the performance of its duties towards the Noteholders of the relevant Class who shall be joint and several creditors (</w:t>
      </w:r>
      <w:r w:rsidRPr="00D427D8">
        <w:rPr>
          <w:i/>
          <w:iCs/>
        </w:rPr>
        <w:t>Gesamtgläubiger</w:t>
      </w:r>
      <w:r w:rsidRPr="00D427D8">
        <w:t>); in the performance of its duties it shall act with the diligence and care of a prudent business manager. The liability of the Noteholders</w:t>
      </w:r>
      <w:r w:rsidR="00EF7333" w:rsidRPr="00D427D8">
        <w:t>'</w:t>
      </w:r>
      <w:r w:rsidRPr="00D427D8">
        <w:t xml:space="preserve"> Representative may be limited by a resolution passed by the Noteholders of the relevant Class. The Noteholders of the relevant Class shall decide upon the assertion of claims for compensation of the Noteholders of such Class against the Noteholders</w:t>
      </w:r>
      <w:r w:rsidR="00EF7333" w:rsidRPr="00D427D8">
        <w:t>'</w:t>
      </w:r>
      <w:r w:rsidRPr="00D427D8">
        <w:t xml:space="preserve"> Representative.</w:t>
      </w:r>
    </w:p>
    <w:p w14:paraId="04453217" w14:textId="56CCFDC1" w:rsidR="009F6E91" w:rsidRPr="00D427D8" w:rsidRDefault="009F6E91" w:rsidP="00C237B1">
      <w:pPr>
        <w:pStyle w:val="SchNumber3"/>
      </w:pPr>
      <w:r w:rsidRPr="00D427D8">
        <w:t>Each Noteholders</w:t>
      </w:r>
      <w:r w:rsidR="00EF7333" w:rsidRPr="00D427D8">
        <w:t>'</w:t>
      </w:r>
      <w:r w:rsidRPr="00D427D8">
        <w:t xml:space="preserve"> Representative may be removed from office at any time by the Noteholders of the relevant Class without specifying any reasons. Each Noteholders</w:t>
      </w:r>
      <w:r w:rsidR="00EF7333" w:rsidRPr="00D427D8">
        <w:t>'</w:t>
      </w:r>
      <w:r w:rsidRPr="00D427D8">
        <w:t xml:space="preserve"> Representative may demand from the Issuer to furnish all information required for the performance of the duties entrusted to it. The Issuer shall bear the costs and expenses arising from the appointment of each Noteholders</w:t>
      </w:r>
      <w:r w:rsidR="00EF7333" w:rsidRPr="00D427D8">
        <w:t>'</w:t>
      </w:r>
      <w:r w:rsidRPr="00D427D8">
        <w:t xml:space="preserve"> Representative, including reasonable remuneration of such Noteholders</w:t>
      </w:r>
      <w:r w:rsidR="00EF7333" w:rsidRPr="00D427D8">
        <w:t>'</w:t>
      </w:r>
      <w:r w:rsidRPr="00D427D8">
        <w:t xml:space="preserve"> Representative.</w:t>
      </w:r>
    </w:p>
    <w:p w14:paraId="6D9F43FD" w14:textId="00CA19A9" w:rsidR="009F6E91" w:rsidRPr="00D427D8" w:rsidRDefault="009F6E91" w:rsidP="00C237B1">
      <w:pPr>
        <w:pStyle w:val="SchHeading1"/>
      </w:pPr>
      <w:bookmarkStart w:id="139" w:name="_Ref141869838"/>
      <w:r w:rsidRPr="00D427D8">
        <w:t>Notice to the Noteholders</w:t>
      </w:r>
      <w:bookmarkEnd w:id="139"/>
    </w:p>
    <w:p w14:paraId="1200447D" w14:textId="291F152A" w:rsidR="009F6E91" w:rsidRPr="00D427D8" w:rsidRDefault="009F6E91" w:rsidP="00C237B1">
      <w:pPr>
        <w:pStyle w:val="SchNumber2"/>
      </w:pPr>
      <w:r w:rsidRPr="00D427D8">
        <w:t xml:space="preserve">Notices may be given to Noteholders in any manner deemed acceptable by the Issuer </w:t>
      </w:r>
      <w:r w:rsidRPr="00D427D8">
        <w:rPr>
          <w:i/>
        </w:rPr>
        <w:t xml:space="preserve">provided that </w:t>
      </w:r>
      <w:r w:rsidRPr="00D427D8">
        <w:t>for so long as the Notes are listed on the official list of the Luxembourg Stock Exchange and admitted to trading on the regulated market of the Luxembourg Stock Exchange, such notice shall be in accordance with the rules of the Luxembourg Stock Exchange.</w:t>
      </w:r>
    </w:p>
    <w:p w14:paraId="2F502164" w14:textId="287BA85A" w:rsidR="009F6E91" w:rsidRPr="00D427D8" w:rsidRDefault="009F6E91" w:rsidP="00C237B1">
      <w:pPr>
        <w:pStyle w:val="SchNumber2"/>
        <w:rPr>
          <w:szCs w:val="19"/>
        </w:rPr>
      </w:pPr>
      <w:r w:rsidRPr="00D427D8">
        <w:rPr>
          <w:szCs w:val="19"/>
        </w:rPr>
        <w:t>Any notice to the Noteholders shall be validly given if published on the website of the Corporate Service Provider (</w:t>
      </w:r>
      <w:hyperlink r:id="rId34" w:history="1">
        <w:r w:rsidRPr="00D427D8">
          <w:t>https://cm.gcm.cscglobal.com/en/default/offering_circulars/results</w:t>
        </w:r>
      </w:hyperlink>
      <w:r w:rsidRPr="00D427D8">
        <w:rPr>
          <w:szCs w:val="19"/>
        </w:rPr>
        <w:t xml:space="preserve">) and the website of the Luxembourg Stock Exchange </w:t>
      </w:r>
      <w:hyperlink r:id="rId35" w:history="1">
        <w:r w:rsidRPr="00D427D8">
          <w:rPr>
            <w:szCs w:val="19"/>
          </w:rPr>
          <w:t>(www.luxs</w:t>
        </w:r>
      </w:hyperlink>
      <w:r w:rsidRPr="00D427D8">
        <w:rPr>
          <w:szCs w:val="19"/>
        </w:rPr>
        <w:t>e.com). Any such notice shall be deemed to have been given on the third day following such publication or, if published more than once or on different dates, on the third day following the date on which the first publication is made.</w:t>
      </w:r>
    </w:p>
    <w:p w14:paraId="301DB2B9" w14:textId="2AF65219" w:rsidR="009F6E91" w:rsidRPr="00D427D8" w:rsidRDefault="009F6E91" w:rsidP="00C237B1">
      <w:pPr>
        <w:pStyle w:val="SchNumber2"/>
      </w:pPr>
      <w:r w:rsidRPr="00D427D8">
        <w:t>Such notices shall be forthwith notified to the Rating Agencies and the Luxembourg Stock Exchange.</w:t>
      </w:r>
    </w:p>
    <w:p w14:paraId="7E5E424A" w14:textId="46B854E9" w:rsidR="009F6E91" w:rsidRPr="00D427D8" w:rsidRDefault="009F6E91" w:rsidP="00C237B1">
      <w:pPr>
        <w:pStyle w:val="SchNumber2"/>
      </w:pPr>
      <w:r w:rsidRPr="00D427D8">
        <w:t>Notices relating to the convocation and decision(s) of the General Meetings shall also be published in a leading daily newspaper of general circulation in Europe.</w:t>
      </w:r>
    </w:p>
    <w:p w14:paraId="0121FDFC" w14:textId="289E4198" w:rsidR="009F6E91" w:rsidRPr="00D427D8" w:rsidRDefault="009F6E91" w:rsidP="00C237B1">
      <w:pPr>
        <w:pStyle w:val="SchNumber2"/>
      </w:pPr>
      <w:r w:rsidRPr="00D427D8">
        <w:t>Notices to Noteholders will be valid if published as described above, or, at the option of the Issuer, if submitted to Euroclear and Clearstream for communication by them to Noteholders. Any notice delivered to Euroclear and Clearstream, as aforesaid shall be deemed to have been given on the third day following such delivery.</w:t>
      </w:r>
    </w:p>
    <w:p w14:paraId="10194BA5" w14:textId="5A471A9E" w:rsidR="009F6E91" w:rsidRPr="00D427D8" w:rsidRDefault="009F6E91" w:rsidP="00C237B1">
      <w:pPr>
        <w:pStyle w:val="SchNumber2"/>
      </w:pPr>
      <w:r w:rsidRPr="00D427D8">
        <w:t>Upon the occurrence of a Sequential Redemption Event, an Accelerated Amortisation Event or a Revolving Period Termination Event notification will be given by the Issuer to the Rating Agencies and the Noteholders without undue delay.</w:t>
      </w:r>
    </w:p>
    <w:p w14:paraId="3577BB08" w14:textId="74D4F44A" w:rsidR="009F6E91" w:rsidRPr="00D427D8" w:rsidRDefault="009F6E91" w:rsidP="00C237B1">
      <w:pPr>
        <w:pStyle w:val="SchNumber2"/>
      </w:pPr>
      <w:r w:rsidRPr="00D427D8">
        <w:lastRenderedPageBreak/>
        <w:t>The Issuer will pay reasonable and duly documented expenses incurred with such notices.</w:t>
      </w:r>
    </w:p>
    <w:p w14:paraId="4D4EE8D3" w14:textId="64472576" w:rsidR="009F6E91" w:rsidRPr="00D427D8" w:rsidRDefault="009F6E91" w:rsidP="00C237B1">
      <w:pPr>
        <w:pStyle w:val="SchHeading1"/>
      </w:pPr>
      <w:bookmarkStart w:id="140" w:name="_Ref141868940"/>
      <w:r w:rsidRPr="00D427D8">
        <w:t>Subordination by Deferral of Interest</w:t>
      </w:r>
      <w:bookmarkEnd w:id="140"/>
    </w:p>
    <w:p w14:paraId="6746D0C0" w14:textId="28ACB35F" w:rsidR="009F6E91" w:rsidRPr="00D427D8" w:rsidRDefault="009F6E91" w:rsidP="00C237B1">
      <w:pPr>
        <w:pStyle w:val="SchHeading2"/>
      </w:pPr>
      <w:r w:rsidRPr="00D427D8">
        <w:t>Deferred Interest</w:t>
      </w:r>
    </w:p>
    <w:p w14:paraId="22C33762" w14:textId="6EFD7F6A" w:rsidR="009F6E91" w:rsidRPr="00D427D8" w:rsidRDefault="00C237B1" w:rsidP="00C237B1">
      <w:pPr>
        <w:pStyle w:val="Body2"/>
      </w:pPr>
      <w:r w:rsidRPr="00D427D8">
        <w:t>To the extent that, subject to and in accordance with the relevant Priority of Payments, the funds available to the Issuer to pay interest on any Class of Notes (other than the Most Senior Class of Notes then outstanding (other than where the Most Senior Class of Notes is the Class G Notes)) on a Distribution Date during the Revolving Period or the Normal Amortisation Period (after deducting the amounts paid senior to such interest under the Interest Priority of Payments) are insufficient to pay the full amount of such interest, payment of the shortfall attributable to such Class of Notes (the "</w:t>
      </w:r>
      <w:r w:rsidRPr="00D427D8">
        <w:rPr>
          <w:rStyle w:val="BoldText"/>
        </w:rPr>
        <w:t>Deferred Interest</w:t>
      </w:r>
      <w:r w:rsidRPr="00D427D8">
        <w:t>") will not then fall due but will instead be deferred until the first Distribution Date for such Notes thereafter on which sufficient funds are available or until the relevant Class of Notes becomes the Most Senior Class of Notes (after deducting the amounts paid senior to such interest under the Interest Priority of Payments and subject to and in accordance with the relevant Priority of Payments) to fund the payment of such deferred interest to the extent of such available funds. Pursuant to section 248 of the German Civil Code (</w:t>
      </w:r>
      <w:r w:rsidRPr="00D427D8">
        <w:rPr>
          <w:i/>
          <w:iCs/>
        </w:rPr>
        <w:t>Bürgerliches Gesetzbuch</w:t>
      </w:r>
      <w:r w:rsidRPr="00D427D8">
        <w:t>) no interest will accrue on Deferred Interest.</w:t>
      </w:r>
    </w:p>
    <w:p w14:paraId="36307814" w14:textId="3B21259D" w:rsidR="009F6E91" w:rsidRPr="00D427D8" w:rsidRDefault="00C237B1" w:rsidP="00C237B1">
      <w:pPr>
        <w:pStyle w:val="Body2"/>
      </w:pPr>
      <w:r w:rsidRPr="00D427D8">
        <w:t>Amounts of Deferred Interest shall not be deferred beyond the Final Legal Maturity Date, or any other date for redemption in full, of the applicable Class of Notes, when such amounts will become due and payable.</w:t>
      </w:r>
    </w:p>
    <w:p w14:paraId="7C7B6A0F" w14:textId="6170BC2E" w:rsidR="009F6E91" w:rsidRPr="00D427D8" w:rsidRDefault="00C237B1" w:rsidP="00C237B1">
      <w:pPr>
        <w:pStyle w:val="Body2"/>
      </w:pPr>
      <w:r w:rsidRPr="00D427D8">
        <w:t>Payments of interest due on a Distribution Date in respect of the Most Senior Class of Notes (other than where the Most Senior Class of Notes is the Class G Notes) then outstanding will not be deferred.</w:t>
      </w:r>
    </w:p>
    <w:p w14:paraId="25A0B6A4" w14:textId="0469F9FD" w:rsidR="009F6E91" w:rsidRPr="00D427D8" w:rsidRDefault="009F6E91" w:rsidP="00C237B1">
      <w:pPr>
        <w:pStyle w:val="SchHeading2"/>
      </w:pPr>
      <w:r w:rsidRPr="00D427D8">
        <w:t>Principal on the Class B Notes, the Class C Notes, the Class D Notes, the Class E Notes, the Class F Notes and the Class G Notes</w:t>
      </w:r>
    </w:p>
    <w:p w14:paraId="218B685A" w14:textId="7AD9FA58" w:rsidR="009F6E91" w:rsidRPr="00D427D8" w:rsidRDefault="00C237B1" w:rsidP="00C237B1">
      <w:pPr>
        <w:pStyle w:val="Body2"/>
      </w:pPr>
      <w:r w:rsidRPr="00D427D8">
        <w:t>All payments of principal on the Class B Notes, the Class C Notes, the Class D Notes, the Class E Notes, the Class F Notes and the Class G Notes shall be made in accordance with the relevant Priority of Payments.</w:t>
      </w:r>
    </w:p>
    <w:p w14:paraId="7C2F1610" w14:textId="70A81468" w:rsidR="009F6E91" w:rsidRPr="00D427D8" w:rsidRDefault="009F6E91" w:rsidP="00C237B1">
      <w:pPr>
        <w:pStyle w:val="SchHeading2"/>
      </w:pPr>
      <w:r w:rsidRPr="00D427D8">
        <w:t>General</w:t>
      </w:r>
    </w:p>
    <w:p w14:paraId="356E6E0E" w14:textId="0494C0CF" w:rsidR="009F6E91" w:rsidRPr="00D427D8" w:rsidRDefault="00C237B1" w:rsidP="00C237B1">
      <w:pPr>
        <w:pStyle w:val="Body2"/>
      </w:pPr>
      <w:r w:rsidRPr="00D427D8">
        <w:t xml:space="preserve">Any amounts of interest in respect of the Class B Notes, the Class C Notes, the Class D Notes, the Class E Notes, the Class F Notes or the Class G Notes otherwise payable under these Conditions which are not paid by virtue of this Condition </w:t>
      </w:r>
      <w:r w:rsidRPr="00D427D8">
        <w:rPr>
          <w:rFonts w:cs="Arial"/>
        </w:rPr>
        <w:t>13</w:t>
      </w:r>
      <w:r w:rsidRPr="00D427D8">
        <w:t xml:space="preserve"> (</w:t>
      </w:r>
      <w:r w:rsidRPr="00D427D8">
        <w:rPr>
          <w:i/>
        </w:rPr>
        <w:t>Subordination by Deferral of Interest</w:t>
      </w:r>
      <w:r w:rsidRPr="00D427D8">
        <w:t xml:space="preserve">), together with accrued interest thereon, shall in any event become due and payable on the Final Legal Maturity Date or on such earlier date as the Class B Notes, the Class C Notes, the Class D Notes, the Class E Notes, the Class F Notes or the Class G Notes become due and repayable in full under Condition </w:t>
      </w:r>
      <w:r w:rsidRPr="00D427D8">
        <w:rPr>
          <w:rFonts w:cs="Arial"/>
        </w:rPr>
        <w:t>7</w:t>
      </w:r>
      <w:r w:rsidRPr="00D427D8">
        <w:t xml:space="preserve"> (</w:t>
      </w:r>
      <w:r w:rsidRPr="00D427D8">
        <w:rPr>
          <w:i/>
        </w:rPr>
        <w:t>Redemption</w:t>
      </w:r>
      <w:r w:rsidRPr="00D427D8">
        <w:t xml:space="preserve">) or if applicable, Condition </w:t>
      </w:r>
      <w:r w:rsidRPr="00D427D8">
        <w:rPr>
          <w:rFonts w:cs="Arial"/>
        </w:rPr>
        <w:t>11</w:t>
      </w:r>
      <w:r w:rsidRPr="00D427D8">
        <w:t xml:space="preserve"> (</w:t>
      </w:r>
      <w:r w:rsidRPr="00D427D8">
        <w:rPr>
          <w:i/>
        </w:rPr>
        <w:t>Issuer Events of Default</w:t>
      </w:r>
      <w:r w:rsidRPr="00D427D8">
        <w:t>).</w:t>
      </w:r>
    </w:p>
    <w:p w14:paraId="6880EDDE" w14:textId="7B23CE24" w:rsidR="009F6E91" w:rsidRPr="00D427D8" w:rsidRDefault="009F6E91" w:rsidP="00C237B1">
      <w:pPr>
        <w:pStyle w:val="SchHeading2"/>
      </w:pPr>
      <w:r w:rsidRPr="00D427D8">
        <w:t>Notification</w:t>
      </w:r>
    </w:p>
    <w:p w14:paraId="3532553C" w14:textId="1A92B7EB" w:rsidR="009F6E91" w:rsidRPr="00D427D8" w:rsidRDefault="00C237B1" w:rsidP="00C237B1">
      <w:pPr>
        <w:pStyle w:val="Body2"/>
      </w:pPr>
      <w:r w:rsidRPr="00D427D8">
        <w:t xml:space="preserve">As soon as practicable after becoming aware that any part of a payment of interest on the Class B Notes, the Class C Notes, the Class D Notes, the Class E Notes, the Class F Notes and/or the Class G Notes will be deferred or that a payment previously deferred will be made in accordance with this Condition </w:t>
      </w:r>
      <w:r w:rsidRPr="00D427D8">
        <w:rPr>
          <w:rFonts w:cs="Arial"/>
        </w:rPr>
        <w:t>13</w:t>
      </w:r>
      <w:r w:rsidRPr="00D427D8">
        <w:t xml:space="preserve"> (</w:t>
      </w:r>
      <w:r w:rsidRPr="00D427D8">
        <w:rPr>
          <w:i/>
        </w:rPr>
        <w:t>Subordination by Deferral of Interest</w:t>
      </w:r>
      <w:r w:rsidRPr="00D427D8">
        <w:t xml:space="preserve">), the Issuer will give notice thereof to the Class B Noteholders, the Class C Noteholders, the Class D Noteholders, the Class E Noteholders, the Class F Noteholders and/or the Class G Noteholders as the case may be, in accordance with Condition </w:t>
      </w:r>
      <w:r w:rsidRPr="00D427D8">
        <w:rPr>
          <w:rFonts w:cs="Arial"/>
        </w:rPr>
        <w:t>12</w:t>
      </w:r>
      <w:r w:rsidRPr="00D427D8">
        <w:t xml:space="preserve"> (</w:t>
      </w:r>
      <w:r w:rsidRPr="00D427D8">
        <w:rPr>
          <w:i/>
        </w:rPr>
        <w:t>Notice to the Noteholders</w:t>
      </w:r>
      <w:r w:rsidRPr="00D427D8">
        <w:t xml:space="preserve">). Such notification shall be made by the publication by Stellantis Bank of the Monthly Investor Report on the </w:t>
      </w:r>
      <w:bookmarkStart w:id="141" w:name="_Hlk83147941"/>
      <w:r w:rsidRPr="00D427D8">
        <w:t xml:space="preserve">EU Securitisation Repository Website at </w:t>
      </w:r>
      <w:r w:rsidRPr="00D427D8">
        <w:rPr>
          <w:iCs/>
        </w:rPr>
        <w:t>(https://www.eurodw.eu/)</w:t>
      </w:r>
      <w:bookmarkEnd w:id="141"/>
      <w:r w:rsidRPr="00D427D8">
        <w:t xml:space="preserve"> on each Determination Date.</w:t>
      </w:r>
    </w:p>
    <w:p w14:paraId="66FCB4BD" w14:textId="27A83EBB" w:rsidR="009F6E91" w:rsidRPr="00D427D8" w:rsidRDefault="009F6E91" w:rsidP="00C237B1">
      <w:pPr>
        <w:pStyle w:val="SchHeading2"/>
      </w:pPr>
      <w:r w:rsidRPr="00D427D8">
        <w:t>Application</w:t>
      </w:r>
    </w:p>
    <w:p w14:paraId="07AE9D9E" w14:textId="44B7DD31" w:rsidR="009F6E91" w:rsidRPr="00D427D8" w:rsidRDefault="00C237B1" w:rsidP="00C237B1">
      <w:pPr>
        <w:pStyle w:val="Body2"/>
      </w:pPr>
      <w:r w:rsidRPr="00D427D8">
        <w:t xml:space="preserve">This Condition </w:t>
      </w:r>
      <w:r w:rsidRPr="00D427D8">
        <w:rPr>
          <w:rFonts w:cs="Arial"/>
        </w:rPr>
        <w:t>13</w:t>
      </w:r>
      <w:r w:rsidRPr="00D427D8">
        <w:t xml:space="preserve"> (</w:t>
      </w:r>
      <w:r w:rsidRPr="00D427D8">
        <w:rPr>
          <w:i/>
        </w:rPr>
        <w:t>Subordination by Deferral of Interest</w:t>
      </w:r>
      <w:r w:rsidRPr="00D427D8">
        <w:t>) shall cease to apply:</w:t>
      </w:r>
    </w:p>
    <w:p w14:paraId="50E1598A" w14:textId="507C0DB8" w:rsidR="009F6E91" w:rsidRPr="00D427D8" w:rsidRDefault="009F6E91" w:rsidP="00530709">
      <w:pPr>
        <w:pStyle w:val="SchNumber3"/>
      </w:pPr>
      <w:r w:rsidRPr="00D427D8">
        <w:t>in respect of the Class B Notes, upon the redemption in full of the Class A Notes;</w:t>
      </w:r>
    </w:p>
    <w:p w14:paraId="7034E43D" w14:textId="4227248F" w:rsidR="009F6E91" w:rsidRPr="00D427D8" w:rsidRDefault="009F6E91" w:rsidP="00530709">
      <w:pPr>
        <w:pStyle w:val="SchNumber3"/>
      </w:pPr>
      <w:r w:rsidRPr="00D427D8">
        <w:lastRenderedPageBreak/>
        <w:t>in respect of the Class C Notes, upon the redemption in full of the Class A Notes and the Class B Notes;</w:t>
      </w:r>
    </w:p>
    <w:p w14:paraId="3824E196" w14:textId="72B25E2F" w:rsidR="009F6E91" w:rsidRPr="00D427D8" w:rsidRDefault="009F6E91" w:rsidP="00530709">
      <w:pPr>
        <w:pStyle w:val="SchNumber3"/>
      </w:pPr>
      <w:r w:rsidRPr="00D427D8">
        <w:t>in respect of the Class D Notes, upon the redemption in full of the Class A Notes, the Class B Notes and the Class C Notes;</w:t>
      </w:r>
    </w:p>
    <w:p w14:paraId="79EF00D8" w14:textId="3FD421EB" w:rsidR="009F6E91" w:rsidRPr="00D427D8" w:rsidRDefault="009F6E91" w:rsidP="00530709">
      <w:pPr>
        <w:pStyle w:val="SchNumber3"/>
      </w:pPr>
      <w:r w:rsidRPr="00D427D8">
        <w:t>in respect of the Class E Notes, upon the redemption in full of all Class A Notes, Class B Notes, Class C Notes and Class D Notes; and</w:t>
      </w:r>
    </w:p>
    <w:p w14:paraId="61005800" w14:textId="4825FD20" w:rsidR="009F6E91" w:rsidRPr="00D427D8" w:rsidRDefault="009F6E91" w:rsidP="00530709">
      <w:pPr>
        <w:pStyle w:val="SchNumber3"/>
      </w:pPr>
      <w:r w:rsidRPr="00D427D8">
        <w:t>in respect of the Class F Notes, upon the redemption in full of all Class A Notes, Class B Notes, Class C Notes, Class D Notes and Class E Notes.</w:t>
      </w:r>
    </w:p>
    <w:p w14:paraId="653CE9D0" w14:textId="1874FB22" w:rsidR="009F6E91" w:rsidRPr="00D427D8" w:rsidRDefault="009F6E91" w:rsidP="00530709">
      <w:pPr>
        <w:pStyle w:val="SchHeading1"/>
      </w:pPr>
      <w:r w:rsidRPr="00D427D8">
        <w:t>Final Legal Maturity Date</w:t>
      </w:r>
    </w:p>
    <w:p w14:paraId="6CE2CD64" w14:textId="510AB53A" w:rsidR="009F6E91" w:rsidRPr="00D427D8" w:rsidRDefault="00530709" w:rsidP="00530709">
      <w:pPr>
        <w:pStyle w:val="Body2"/>
      </w:pPr>
      <w:r w:rsidRPr="00D427D8">
        <w:t>After the Final Legal Maturity Date, any part of the principal amount of the Notes or of the interest due on thereon which may remain unpaid shall be automatically cancelled, so that the Noteholders, after such date, shall have no right to assert a claim in this respect against the Issuer, regardless of the amounts which may remain unpaid after the Final Legal Maturity Date.</w:t>
      </w:r>
    </w:p>
    <w:p w14:paraId="53EE66B2" w14:textId="5AD30F6E" w:rsidR="009F6E91" w:rsidRPr="00D427D8" w:rsidRDefault="009F6E91" w:rsidP="00530709">
      <w:pPr>
        <w:pStyle w:val="SchHeading1"/>
      </w:pPr>
      <w:r w:rsidRPr="00D427D8">
        <w:t>Further issues</w:t>
      </w:r>
    </w:p>
    <w:p w14:paraId="7BE68DC2" w14:textId="00E3B03F" w:rsidR="009F6E91" w:rsidRPr="00D427D8" w:rsidRDefault="00530709" w:rsidP="00530709">
      <w:pPr>
        <w:pStyle w:val="Body2"/>
      </w:pPr>
      <w:r w:rsidRPr="00D427D8">
        <w:t>The Issuer shall not issue any further Notes after the Closing Date.</w:t>
      </w:r>
    </w:p>
    <w:p w14:paraId="56D9362C" w14:textId="6E03E51F" w:rsidR="009F6E91" w:rsidRPr="00D427D8" w:rsidRDefault="009F6E91" w:rsidP="00530709">
      <w:pPr>
        <w:pStyle w:val="SchHeading1"/>
      </w:pPr>
      <w:bookmarkStart w:id="142" w:name="_Ref141868765"/>
      <w:r w:rsidRPr="00D427D8">
        <w:t>Non Petition and Limited Recourse</w:t>
      </w:r>
      <w:bookmarkEnd w:id="142"/>
    </w:p>
    <w:p w14:paraId="660028FF" w14:textId="7C7B44F3" w:rsidR="009F6E91" w:rsidRPr="00D427D8" w:rsidRDefault="009F6E91" w:rsidP="00530709">
      <w:pPr>
        <w:pStyle w:val="SchHeading2"/>
      </w:pPr>
      <w:r w:rsidRPr="00D427D8">
        <w:t>Limited Recourse</w:t>
      </w:r>
    </w:p>
    <w:p w14:paraId="2F31B7DF" w14:textId="6FEF9A70" w:rsidR="009F6E91" w:rsidRPr="00D427D8" w:rsidRDefault="009F6E91" w:rsidP="00530709">
      <w:pPr>
        <w:pStyle w:val="SchNumber3"/>
      </w:pPr>
      <w:r w:rsidRPr="00D427D8">
        <w:t>The Issuer</w:t>
      </w:r>
      <w:r w:rsidR="00EF7333" w:rsidRPr="00D427D8">
        <w:t>'</w:t>
      </w:r>
      <w:r w:rsidRPr="00D427D8">
        <w:t xml:space="preserve">s ability to satisfy its payment obligations under the Notes in full is dependent upon it </w:t>
      </w:r>
      <w:r w:rsidRPr="00D427D8">
        <w:rPr>
          <w:szCs w:val="19"/>
        </w:rPr>
        <w:t>receiving</w:t>
      </w:r>
      <w:r w:rsidRPr="00D427D8">
        <w:t xml:space="preserve"> in full the amounts payable to it under the Transaction Documents and/or the amount of the proceeds resulting from realisation of the Transaction Security in accordance with the Transaction Documents.</w:t>
      </w:r>
    </w:p>
    <w:p w14:paraId="2167BBCF" w14:textId="05C74434" w:rsidR="009F6E91" w:rsidRPr="00D427D8" w:rsidRDefault="009F6E91" w:rsidP="00530709">
      <w:pPr>
        <w:pStyle w:val="SchNumber3"/>
      </w:pPr>
      <w:r w:rsidRPr="00D427D8">
        <w:t xml:space="preserve">If the claims under the Notes are enforced, such enforcement will be limited to the Transaction Security </w:t>
      </w:r>
      <w:bookmarkStart w:id="143" w:name="_Hlk168063592"/>
      <w:r w:rsidRPr="00D427D8">
        <w:t>and the additional free assets (</w:t>
      </w:r>
      <w:r w:rsidRPr="00D427D8">
        <w:rPr>
          <w:i/>
          <w:iCs/>
        </w:rPr>
        <w:t>sonstiges freies Vermögen</w:t>
      </w:r>
      <w:r w:rsidRPr="00D427D8">
        <w:t xml:space="preserve">), if any, of the Issuer allocated to its </w:t>
      </w:r>
      <w:bookmarkEnd w:id="143"/>
      <w:r w:rsidRPr="00D427D8">
        <w:t>Compartment Lease 2025-1.</w:t>
      </w:r>
    </w:p>
    <w:p w14:paraId="239CA6DA" w14:textId="09C2A535" w:rsidR="009F6E91" w:rsidRPr="00D427D8" w:rsidRDefault="009F6E91" w:rsidP="00530709">
      <w:pPr>
        <w:pStyle w:val="SchNumber3"/>
      </w:pPr>
      <w:r w:rsidRPr="00D427D8">
        <w:t xml:space="preserve">To the extent that the Security, </w:t>
      </w:r>
      <w:bookmarkStart w:id="144" w:name="_Hlk168064813"/>
      <w:r w:rsidRPr="00D427D8">
        <w:t>or the proceeds of the realisation thereof, and the Issuer</w:t>
      </w:r>
      <w:r w:rsidR="00EF7333" w:rsidRPr="00D427D8">
        <w:t>'</w:t>
      </w:r>
      <w:r w:rsidRPr="00D427D8">
        <w:t>s additional free assets (</w:t>
      </w:r>
      <w:r w:rsidRPr="00D427D8">
        <w:rPr>
          <w:i/>
          <w:iCs/>
        </w:rPr>
        <w:t>sonstiges freies Vermögen</w:t>
      </w:r>
      <w:r w:rsidRPr="00D427D8">
        <w:t>), if any, allocated to its Compartment Lease 2025-1,</w:t>
      </w:r>
      <w:bookmarkEnd w:id="144"/>
      <w:r w:rsidRPr="00D427D8">
        <w:t xml:space="preserve"> prove ultimately insufficient to satisfy the claims of the Noteholders in full, </w:t>
      </w:r>
      <w:bookmarkStart w:id="145" w:name="_Hlk167205840"/>
      <w:r w:rsidRPr="00D427D8">
        <w:t xml:space="preserve">then claims in respect of any shortfall shall be extinguished </w:t>
      </w:r>
      <w:bookmarkEnd w:id="145"/>
      <w:r w:rsidRPr="00D427D8">
        <w:t>and neither the Noteholders, nor the Collateral Agent nor the ER Collateral Agent shall have any further claims against the Issuer.</w:t>
      </w:r>
    </w:p>
    <w:p w14:paraId="4BB9CAF1" w14:textId="3375352B" w:rsidR="009F6E91" w:rsidRPr="00D427D8" w:rsidRDefault="009F6E91" w:rsidP="00530709">
      <w:pPr>
        <w:pStyle w:val="SchNumber3"/>
      </w:pPr>
      <w:r w:rsidRPr="00D427D8">
        <w:t xml:space="preserve">Such assets and proceeds shall be deemed to be </w:t>
      </w:r>
      <w:r w:rsidR="00EF7333" w:rsidRPr="00D427D8">
        <w:t>"</w:t>
      </w:r>
      <w:r w:rsidRPr="00D427D8">
        <w:t>ultimately insufficient</w:t>
      </w:r>
      <w:r w:rsidR="00EF7333" w:rsidRPr="00D427D8">
        <w:t>"</w:t>
      </w:r>
      <w:r w:rsidRPr="00D427D8">
        <w:t xml:space="preserve"> at such time when, in the opinion of the Collateral Agent and the ER Collateral Agent, no further assets are available and no further proceeds can be realised to satisfy any outstanding claims of the Noteholders, and neither assets nor proceeds will become available thereafter.</w:t>
      </w:r>
    </w:p>
    <w:p w14:paraId="31AB5FE9" w14:textId="20112740" w:rsidR="009F6E91" w:rsidRPr="00D427D8" w:rsidRDefault="009F6E91" w:rsidP="00530709">
      <w:pPr>
        <w:pStyle w:val="SchHeading2"/>
      </w:pPr>
      <w:r w:rsidRPr="00D427D8">
        <w:t>No Interest in Transaction Security</w:t>
      </w:r>
    </w:p>
    <w:p w14:paraId="168B37C0" w14:textId="4E894221" w:rsidR="009F6E91" w:rsidRPr="00D427D8" w:rsidRDefault="00530709" w:rsidP="00530709">
      <w:pPr>
        <w:pStyle w:val="Body2"/>
      </w:pPr>
      <w:r w:rsidRPr="00D427D8">
        <w:t>The Noteholders have no direct right to, or interest in, any asset forming part of the Transaction Security.</w:t>
      </w:r>
    </w:p>
    <w:p w14:paraId="75E68CE0" w14:textId="4D1B7739" w:rsidR="009F6E91" w:rsidRPr="00D427D8" w:rsidRDefault="009F6E91" w:rsidP="00530709">
      <w:pPr>
        <w:pStyle w:val="SchHeading2"/>
      </w:pPr>
      <w:r w:rsidRPr="00D427D8">
        <w:t>Collateral Agency Agreement</w:t>
      </w:r>
    </w:p>
    <w:p w14:paraId="28B75C32" w14:textId="6CED9837" w:rsidR="009F6E91" w:rsidRPr="00D427D8" w:rsidRDefault="009F6E91" w:rsidP="00530709">
      <w:pPr>
        <w:pStyle w:val="SchNumber3"/>
      </w:pPr>
      <w:r w:rsidRPr="00D427D8">
        <w:t>The Collateral Agency Agreement, a copy of which (excluding any schedules thereto) is attached as Annex C Collateral Agency Agreement, constitutes an integral part of these Conditions.</w:t>
      </w:r>
    </w:p>
    <w:p w14:paraId="1D58B685" w14:textId="71F57881" w:rsidR="009F6E91" w:rsidRPr="00D427D8" w:rsidRDefault="009F6E91" w:rsidP="00530709">
      <w:pPr>
        <w:pStyle w:val="SchNumber3"/>
      </w:pPr>
      <w:r w:rsidRPr="00D427D8">
        <w:t>No person (other than the Collateral Agent):</w:t>
      </w:r>
    </w:p>
    <w:p w14:paraId="6F5EC350" w14:textId="6831034B" w:rsidR="009F6E91" w:rsidRPr="00D427D8" w:rsidRDefault="009F6E91" w:rsidP="00530709">
      <w:pPr>
        <w:pStyle w:val="SchNumber4"/>
      </w:pPr>
      <w:r w:rsidRPr="00D427D8">
        <w:t>shall have the power or shall otherwise be entitled to enforce the Security; or</w:t>
      </w:r>
    </w:p>
    <w:p w14:paraId="2177BA58" w14:textId="77777777" w:rsidR="009F6E91" w:rsidRPr="00D427D8" w:rsidRDefault="009F6E91" w:rsidP="00530709">
      <w:pPr>
        <w:pStyle w:val="SchNumber4"/>
      </w:pPr>
      <w:r w:rsidRPr="00D427D8">
        <w:lastRenderedPageBreak/>
        <w:t>shall have any recourse to the Security except through the Collateral Agent.</w:t>
      </w:r>
    </w:p>
    <w:p w14:paraId="09347333" w14:textId="711CD6E2" w:rsidR="009F6E91" w:rsidRPr="00D427D8" w:rsidRDefault="009F6E91" w:rsidP="00530709">
      <w:pPr>
        <w:pStyle w:val="SchNumber3"/>
      </w:pPr>
      <w:r w:rsidRPr="00D427D8">
        <w:t>As long as the Notes are outstanding, the Issuer shall ensure that a Collateral Agent is appointed (</w:t>
      </w:r>
      <w:r w:rsidRPr="00D427D8">
        <w:rPr>
          <w:i/>
          <w:iCs/>
        </w:rPr>
        <w:t>beauftragt</w:t>
      </w:r>
      <w:r w:rsidRPr="00D427D8">
        <w:t>) and fulfils its obligations in accordance with the terms of the Collateral Agency Agreement.</w:t>
      </w:r>
    </w:p>
    <w:p w14:paraId="3C342BF7" w14:textId="31B9AFA8" w:rsidR="009F6E91" w:rsidRPr="00D427D8" w:rsidRDefault="009F6E91" w:rsidP="00530709">
      <w:pPr>
        <w:pStyle w:val="SchHeading2"/>
      </w:pPr>
      <w:r w:rsidRPr="00D427D8">
        <w:t>ER Collateral Agency Agreement</w:t>
      </w:r>
    </w:p>
    <w:p w14:paraId="388784AA" w14:textId="7A6C9D33" w:rsidR="009F6E91" w:rsidRPr="00D427D8" w:rsidRDefault="009F6E91" w:rsidP="00530709">
      <w:pPr>
        <w:pStyle w:val="SchNumber3"/>
      </w:pPr>
      <w:r w:rsidRPr="00D427D8">
        <w:t>The ER Collateral Agency Agreement, a copy of which (excluding any schedules thereto) is attached as Annex D ER Collateral Agency Agreement, constitutes an integral part of these Conditions.</w:t>
      </w:r>
    </w:p>
    <w:p w14:paraId="41F930BE" w14:textId="33D7AC88" w:rsidR="009F6E91" w:rsidRPr="00D427D8" w:rsidRDefault="009F6E91" w:rsidP="00530709">
      <w:pPr>
        <w:pStyle w:val="SchNumber3"/>
      </w:pPr>
      <w:r w:rsidRPr="00D427D8">
        <w:t>No person (other than the ER Collateral Agent):</w:t>
      </w:r>
    </w:p>
    <w:p w14:paraId="0FCFD1B4" w14:textId="3B583B33" w:rsidR="009F6E91" w:rsidRPr="00D427D8" w:rsidRDefault="009F6E91" w:rsidP="00530709">
      <w:pPr>
        <w:pStyle w:val="SchNumber4"/>
      </w:pPr>
      <w:r w:rsidRPr="00D427D8">
        <w:t>shall have the power or shall otherwise be entitled to enforce the ER Security; or</w:t>
      </w:r>
    </w:p>
    <w:p w14:paraId="32AC905A" w14:textId="77777777" w:rsidR="009F6E91" w:rsidRPr="00D427D8" w:rsidRDefault="009F6E91" w:rsidP="00530709">
      <w:pPr>
        <w:pStyle w:val="SchNumber4"/>
      </w:pPr>
      <w:r w:rsidRPr="00D427D8">
        <w:t>shall have any recourse to the ER Security except through the ER Collateral Agent.</w:t>
      </w:r>
    </w:p>
    <w:p w14:paraId="212A9BBF" w14:textId="7402B2BF" w:rsidR="009F6E91" w:rsidRPr="00D427D8" w:rsidRDefault="009F6E91" w:rsidP="00530709">
      <w:pPr>
        <w:pStyle w:val="SchNumber3"/>
      </w:pPr>
      <w:r w:rsidRPr="00D427D8">
        <w:t>As long as the Notes are outstanding, the Issuer shall ensure that a ER Collateral Agent is appointed (</w:t>
      </w:r>
      <w:r w:rsidRPr="00D427D8">
        <w:rPr>
          <w:i/>
          <w:iCs/>
        </w:rPr>
        <w:t>beauftragt</w:t>
      </w:r>
      <w:r w:rsidRPr="00D427D8">
        <w:t>) and fulfils its obligations in accordance with the terms of the ER Collateral Agency Agreement.</w:t>
      </w:r>
    </w:p>
    <w:p w14:paraId="7AA5BA10" w14:textId="2679C143" w:rsidR="009F6E91" w:rsidRPr="00D427D8" w:rsidRDefault="009F6E91" w:rsidP="00530709">
      <w:pPr>
        <w:pStyle w:val="SchHeading1"/>
      </w:pPr>
      <w:r w:rsidRPr="00D427D8">
        <w:t>Presentation period</w:t>
      </w:r>
    </w:p>
    <w:p w14:paraId="42DFE32F" w14:textId="582C15CE" w:rsidR="009F6E91" w:rsidRPr="00D427D8" w:rsidRDefault="00530709" w:rsidP="00530709">
      <w:pPr>
        <w:pStyle w:val="Body2"/>
      </w:pPr>
      <w:r w:rsidRPr="00D427D8">
        <w:t>The presentation period for a Global Note provided in section 801 paragraph 1, sentence 1 of the German Civil Code (</w:t>
      </w:r>
      <w:r w:rsidRPr="00D427D8">
        <w:rPr>
          <w:i/>
          <w:iCs/>
        </w:rPr>
        <w:t>Bürgerliches Gesetzbuch</w:t>
      </w:r>
      <w:r w:rsidRPr="00D427D8">
        <w:t>) shall end five years after the date on which the last payment in respect of the Notes represented by such Global Note was due.</w:t>
      </w:r>
    </w:p>
    <w:p w14:paraId="221B6728" w14:textId="27F7E981" w:rsidR="009F6E91" w:rsidRPr="00D427D8" w:rsidRDefault="009F6E91" w:rsidP="00530709">
      <w:pPr>
        <w:pStyle w:val="SchHeading1"/>
      </w:pPr>
      <w:r w:rsidRPr="00D427D8">
        <w:t>Replacement of Notes</w:t>
      </w:r>
    </w:p>
    <w:p w14:paraId="10511E49" w14:textId="4061B79F" w:rsidR="009F6E91" w:rsidRPr="00D427D8" w:rsidRDefault="00530709" w:rsidP="00530709">
      <w:pPr>
        <w:pStyle w:val="Body2"/>
      </w:pPr>
      <w:r w:rsidRPr="00D427D8">
        <w:t>If any Global Note is mutilated, defaced, lost, stolen or destroyed, it may be replaced by the Issuer. Replacement of any mutilated, defaced, lost, stolen or destroyed Global Note will only be made against payment of such costs as may be incurred in connection therewith, and on such terms as to evidence and indemnity as the Issuer may reasonably require. Mutilated or defaced Global Notes must be surrendered before new ones will be issued.</w:t>
      </w:r>
    </w:p>
    <w:p w14:paraId="13038534" w14:textId="6CC5BC3F" w:rsidR="009F6E91" w:rsidRPr="00D427D8" w:rsidRDefault="009F6E91" w:rsidP="00530709">
      <w:pPr>
        <w:pStyle w:val="SchHeading1"/>
      </w:pPr>
      <w:r w:rsidRPr="00D427D8">
        <w:t>Governing law and submission to jurisdiction</w:t>
      </w:r>
    </w:p>
    <w:p w14:paraId="0919D597" w14:textId="26904552" w:rsidR="009F6E91" w:rsidRPr="00D427D8" w:rsidRDefault="009F6E91" w:rsidP="00530709">
      <w:pPr>
        <w:pStyle w:val="SchNumber3"/>
      </w:pPr>
      <w:r w:rsidRPr="00D427D8">
        <w:t>The Notes and any non-contractual obligations arising from them shall be governed by and shall be construed in accordance with German law.</w:t>
      </w:r>
    </w:p>
    <w:p w14:paraId="3F23B016" w14:textId="07C01F0D" w:rsidR="009F6E91" w:rsidRPr="00D427D8" w:rsidRDefault="009F6E91" w:rsidP="00530709">
      <w:pPr>
        <w:pStyle w:val="SchNumber3"/>
      </w:pPr>
      <w:r w:rsidRPr="00D427D8">
        <w:t>The place of jurisdiction for merchants, legal entities incorporated under public law, special assets governed by public law and persons without general jurisdiction in Germany for all proceedings in relation to the Notes shall be the courts of Frankfurt am Main.</w:t>
      </w:r>
    </w:p>
    <w:p w14:paraId="5727189A" w14:textId="528A8221" w:rsidR="009F6E91" w:rsidRPr="00D427D8" w:rsidRDefault="009F6E91" w:rsidP="00530709">
      <w:pPr>
        <w:pStyle w:val="SchNumber3"/>
      </w:pPr>
      <w:r w:rsidRPr="00D427D8">
        <w:t xml:space="preserve">For any legal proceedings brought in connection with these Conditions which have been initiated against the Issuer in a court of Germany, the Issuer grants </w:t>
      </w:r>
      <w:r w:rsidR="00E54B23">
        <w:t>CSC (Deutschland) GmbH</w:t>
      </w:r>
      <w:r w:rsidRPr="00D427D8">
        <w:t xml:space="preserve"> authority to accept service of process. The Issuer undertakes to maintain an agent for accepting such service in Germany for as long as any of the Notes are outstanding.</w:t>
      </w:r>
    </w:p>
    <w:bookmarkEnd w:id="112"/>
    <w:p w14:paraId="11E7B945" w14:textId="77777777" w:rsidR="009F6E91" w:rsidRPr="00D427D8" w:rsidRDefault="009F6E91" w:rsidP="00EF7333">
      <w:pPr>
        <w:pStyle w:val="Body1"/>
      </w:pPr>
      <w:r w:rsidRPr="00D427D8">
        <w:br w:type="page"/>
      </w:r>
    </w:p>
    <w:p w14:paraId="01BB4012" w14:textId="77777777" w:rsidR="009F6E91" w:rsidRPr="00D427D8" w:rsidRDefault="009F6E91" w:rsidP="00926C3A">
      <w:pPr>
        <w:pStyle w:val="CentredHeading"/>
      </w:pPr>
      <w:bookmarkStart w:id="146" w:name="_Toc194046508"/>
      <w:bookmarkStart w:id="147" w:name="_Toc198539666"/>
      <w:r w:rsidRPr="00D427D8">
        <w:lastRenderedPageBreak/>
        <w:t>ANNEX A</w:t>
      </w:r>
      <w:r w:rsidRPr="00D427D8">
        <w:br/>
        <w:t>MASTER AGREEMENT DEFINITONS SCHEDULE</w:t>
      </w:r>
      <w:bookmarkEnd w:id="146"/>
      <w:bookmarkEnd w:id="147"/>
    </w:p>
    <w:p w14:paraId="0795A844" w14:textId="77777777" w:rsidR="009F6E91" w:rsidRPr="00D427D8" w:rsidRDefault="009F6E91" w:rsidP="009F6E91">
      <w:pPr>
        <w:pStyle w:val="Body1"/>
        <w:rPr>
          <w:rStyle w:val="ItalicText"/>
        </w:rPr>
      </w:pPr>
      <w:r w:rsidRPr="00D427D8">
        <w:rPr>
          <w:rStyle w:val="ItalicText"/>
        </w:rPr>
        <w:t>The following is the text of the Master Agreement Definitions Schedule. The text will be attached as Appendix 1 to the Conditions of all Classes and constitutes an integral part of the Conditions of all Classes. In case of any overlap or inconsistency in the definitions of a term or expression in the Master Agreement Definitions Schedule and elsewhere in the Prospectus, the definitions of the Master Agreement Definitions Schedule will prevail.</w:t>
      </w:r>
    </w:p>
    <w:p w14:paraId="1364F540" w14:textId="78D3BA8A" w:rsidR="009F6E91" w:rsidRPr="00D427D8" w:rsidRDefault="009F6E91" w:rsidP="00C8283A">
      <w:pPr>
        <w:pStyle w:val="SchNumber1"/>
        <w:numPr>
          <w:ilvl w:val="2"/>
          <w:numId w:val="30"/>
        </w:numPr>
        <w:rPr>
          <w:rStyle w:val="BoldText"/>
        </w:rPr>
      </w:pPr>
      <w:r w:rsidRPr="00D427D8">
        <w:rPr>
          <w:rStyle w:val="BoldText"/>
        </w:rPr>
        <w:t>Definitions</w:t>
      </w:r>
    </w:p>
    <w:p w14:paraId="232159BB" w14:textId="77777777" w:rsidR="009F6E91" w:rsidRPr="00D427D8" w:rsidRDefault="009F6E91" w:rsidP="009F6E91">
      <w:pPr>
        <w:pStyle w:val="Body2"/>
      </w:pPr>
      <w:bookmarkStart w:id="148" w:name="_Hlk200128664"/>
      <w:r w:rsidRPr="00D427D8">
        <w:t>The following terms shall have the following meanings whenever used in the Transaction Documents, unless otherwise defined therein.</w:t>
      </w:r>
    </w:p>
    <w:p w14:paraId="517C1C15" w14:textId="04F1A2C5" w:rsidR="009F6E91" w:rsidRPr="00D427D8" w:rsidRDefault="00EF7333" w:rsidP="009F6E91">
      <w:pPr>
        <w:pStyle w:val="Body2"/>
      </w:pPr>
      <w:r w:rsidRPr="00D427D8">
        <w:rPr>
          <w:rStyle w:val="BoldText"/>
        </w:rPr>
        <w:t>"</w:t>
      </w:r>
      <w:r w:rsidR="009F6E91" w:rsidRPr="00D427D8">
        <w:rPr>
          <w:rStyle w:val="BoldText"/>
        </w:rPr>
        <w:t>€STR</w:t>
      </w:r>
      <w:r w:rsidRPr="00D427D8">
        <w:t>"</w:t>
      </w:r>
      <w:r w:rsidR="009F6E91" w:rsidRPr="00D427D8">
        <w:t xml:space="preserve"> or </w:t>
      </w:r>
      <w:r w:rsidRPr="00D427D8">
        <w:t>"</w:t>
      </w:r>
      <w:r w:rsidR="009F6E91" w:rsidRPr="00D427D8">
        <w:rPr>
          <w:rStyle w:val="BoldText"/>
        </w:rPr>
        <w:t>Euro Short-Term Rate</w:t>
      </w:r>
      <w:r w:rsidRPr="00D427D8">
        <w:t>"</w:t>
      </w:r>
      <w:r w:rsidR="009F6E91" w:rsidRPr="00D427D8">
        <w:t xml:space="preserve"> means the overnight rate calculated on the basis of unsecured borrowing deposit transactions carried out by ECB</w:t>
      </w:r>
      <w:r w:rsidRPr="00D427D8">
        <w:t>'</w:t>
      </w:r>
      <w:r w:rsidR="009F6E91" w:rsidRPr="00D427D8">
        <w:t>s money market statistical reporting agents with financial corporations calculated by the European Central Bank.</w:t>
      </w:r>
    </w:p>
    <w:p w14:paraId="214E3C37" w14:textId="65250517" w:rsidR="009F6E91" w:rsidRPr="00D427D8" w:rsidRDefault="00EF7333" w:rsidP="009F6E91">
      <w:pPr>
        <w:pStyle w:val="Body2"/>
      </w:pPr>
      <w:bookmarkStart w:id="149" w:name="_Hlk197448438"/>
      <w:r w:rsidRPr="00D427D8">
        <w:t>"</w:t>
      </w:r>
      <w:bookmarkStart w:id="150" w:name="_Hlk141953447"/>
      <w:r w:rsidR="009F6E91" w:rsidRPr="00D427D8">
        <w:rPr>
          <w:b/>
        </w:rPr>
        <w:t>1-Month EURIBOR</w:t>
      </w:r>
      <w:bookmarkEnd w:id="150"/>
      <w:r w:rsidRPr="00D427D8">
        <w:t>"</w:t>
      </w:r>
      <w:r w:rsidR="009F6E91" w:rsidRPr="00D427D8">
        <w:t xml:space="preserve"> means for every Interest Period the 1-month euro interbank offered rate, except as provided below, the offered quotation (expressed as a percentage rate per annum) for deposits in EUR for that Interest Period which appears on the Reuters 3000 page EURIBOR01 (the </w:t>
      </w:r>
      <w:r w:rsidRPr="00D427D8">
        <w:t>"</w:t>
      </w:r>
      <w:r w:rsidR="009F6E91" w:rsidRPr="00D427D8">
        <w:rPr>
          <w:b/>
        </w:rPr>
        <w:t>Screen Page</w:t>
      </w:r>
      <w:r w:rsidRPr="00D427D8">
        <w:t>"</w:t>
      </w:r>
      <w:r w:rsidR="009F6E91" w:rsidRPr="00D427D8">
        <w:t>) as of as published on the Interest Determination Date at 11:00 a.m. Central European Time by the screen rate provider or any other information vendor appointed for that purpose (with respect to the first Interest Period, the linear interpolation between one week and one month), as determined by the Calculation Agent:</w:t>
      </w:r>
    </w:p>
    <w:p w14:paraId="5168DF66" w14:textId="2C809BC6" w:rsidR="009F6E91" w:rsidRPr="00D427D8" w:rsidRDefault="009F6E91" w:rsidP="00C8283A">
      <w:pPr>
        <w:pStyle w:val="SchNumber3"/>
        <w:numPr>
          <w:ilvl w:val="4"/>
          <w:numId w:val="54"/>
        </w:numPr>
      </w:pPr>
      <w:r w:rsidRPr="00D427D8">
        <w:t>If the Screen Page is not available or if no such quotation appears thereon, in each case as at such time, and a Benchmark Event has not occurred, the Calculation Agent shall in consultation with the Issuer determine EURIBOR on the basis of such other screen rate as agreed between the Issuer and the Calculation Agent. If the Calculation Agent cannot determine EURIBOR on the basis of such other screen rate as agreed, EURIBOR shall be the offered quotation or the arithmetic mean of the offered quotations on the Screen Page on the last day preceding the second Business Day prior to the commencement of the relevant Interest Determination Date on which such quotations were offered.</w:t>
      </w:r>
    </w:p>
    <w:p w14:paraId="3F4F2897" w14:textId="5CE4D06C" w:rsidR="009F6E91" w:rsidRPr="00D427D8" w:rsidRDefault="009F6E91" w:rsidP="002845C4">
      <w:pPr>
        <w:pStyle w:val="SchNumber3"/>
      </w:pPr>
      <w:r w:rsidRPr="00D427D8">
        <w:t>Following a Benchmark Event,</w:t>
      </w:r>
    </w:p>
    <w:p w14:paraId="5AD50F35" w14:textId="32D0A341" w:rsidR="009F6E91" w:rsidRPr="00D427D8" w:rsidRDefault="009F6E91" w:rsidP="002845C4">
      <w:pPr>
        <w:pStyle w:val="SchNumber4"/>
      </w:pPr>
      <w:r w:rsidRPr="00D427D8">
        <w:t xml:space="preserve">the Calculation Agent shall appoint a determination agent which may be (A) BNP Paribas; (B) any other leading bank, broker-dealer or benchmark agent in Paris (France), (C) an affiliate of BNP Paribas; or (D) such other entity that the Calculation Agent in its sole and absolute discretion determines to be competent to carry out such role (the </w:t>
      </w:r>
      <w:r w:rsidR="00EF7333" w:rsidRPr="00D427D8">
        <w:t>"</w:t>
      </w:r>
      <w:r w:rsidRPr="00D427D8">
        <w:rPr>
          <w:b/>
        </w:rPr>
        <w:t>Rate Determination Agent</w:t>
      </w:r>
      <w:r w:rsidR="00EF7333" w:rsidRPr="00D427D8">
        <w:t>"</w:t>
      </w:r>
      <w:r w:rsidRPr="00D427D8">
        <w:t>) to carry out the tasks referred to in paragraph (ii) below;</w:t>
      </w:r>
    </w:p>
    <w:p w14:paraId="3AB542BD" w14:textId="617566F1" w:rsidR="009F6E91" w:rsidRPr="00D427D8" w:rsidRDefault="009F6E91" w:rsidP="002845C4">
      <w:pPr>
        <w:pStyle w:val="SchNumber4"/>
      </w:pPr>
      <w:r w:rsidRPr="00D427D8">
        <w:t>the Rate Determination Agent, shall be entitled to determine a Substitute Reference Rate in its due discretion which shall replace the EURIBOR affected by such Benchmark Event. Any Substitute Reference Rate shall apply from (and including) the interest determination date determined by the Issuer in its due discretion, which shall be no earlier than on the Interest Determination Date, falling on or immediately following the date of the Benchmark Event, with first effect for the Interest Period for which the Class A Notes Interest Rate, the Class B Notes Interest Rate, the Class C Notes Interest Rate, the Class D Notes Interest Rate, the Class E Notes Interest Rate, the Class F Notes Interest Rate and the Class G Notes Interest Rate, as the case may be, is determined. If the Rate Determination Agent decides to determine a Substitute Reference Rate, the Rate Determination Agent shall weigh up the interests of the Noteholders, the Counterparty and the Issuer</w:t>
      </w:r>
      <w:r w:rsidR="00EF7333" w:rsidRPr="00D427D8">
        <w:t>'</w:t>
      </w:r>
      <w:r w:rsidRPr="00D427D8">
        <w:t xml:space="preserve">s own interests and determine the Alternative Reference Rate and any adjustment, if any, in a manner that to the greatest possible extent upholds the economic character of the Notes for either side (the </w:t>
      </w:r>
      <w:r w:rsidR="00EF7333" w:rsidRPr="00D427D8">
        <w:t>"</w:t>
      </w:r>
      <w:r w:rsidRPr="00D427D8">
        <w:rPr>
          <w:b/>
        </w:rPr>
        <w:t>Substitution Objective</w:t>
      </w:r>
      <w:r w:rsidR="00EF7333" w:rsidRPr="00D427D8">
        <w:t>"</w:t>
      </w:r>
      <w:r w:rsidRPr="00D427D8">
        <w:t>). Notwithstanding the generality of the foregoing, the Rate Determination Agent may in particular:</w:t>
      </w:r>
    </w:p>
    <w:p w14:paraId="56CE285F" w14:textId="5EDF4648" w:rsidR="009F6E91" w:rsidRPr="00D427D8" w:rsidRDefault="009F6E91" w:rsidP="002845C4">
      <w:pPr>
        <w:pStyle w:val="SchNumber5"/>
      </w:pPr>
      <w:r w:rsidRPr="00D427D8">
        <w:lastRenderedPageBreak/>
        <w:t>firstly, implement an Official Substitution Concept, an Industry Solution or a Generally Accepted Market Practice;</w:t>
      </w:r>
    </w:p>
    <w:p w14:paraId="3DEFAAF0" w14:textId="36981CDC" w:rsidR="009F6E91" w:rsidRPr="00D427D8" w:rsidRDefault="009F6E91" w:rsidP="002845C4">
      <w:pPr>
        <w:pStyle w:val="SchNumber5"/>
      </w:pPr>
      <w:r w:rsidRPr="00D427D8">
        <w:t>secondly, determine an unsecured or secured overnight money market reference rate calculated by the European Central Bank or any other third party on swap basis (overnight index swap – OIS); and</w:t>
      </w:r>
    </w:p>
    <w:p w14:paraId="2E7D9EA4" w14:textId="0498028F" w:rsidR="009F6E91" w:rsidRPr="00D427D8" w:rsidRDefault="009F6E91" w:rsidP="002845C4">
      <w:pPr>
        <w:pStyle w:val="SchNumber5"/>
      </w:pPr>
      <w:r w:rsidRPr="00D427D8">
        <w:t>thirdly, determine €STR for the Relevant Period to be the Substitute Reference Rate.</w:t>
      </w:r>
    </w:p>
    <w:p w14:paraId="243BD12C" w14:textId="1199C784" w:rsidR="009F6E91" w:rsidRPr="00D427D8" w:rsidRDefault="002845C4" w:rsidP="002845C4">
      <w:pPr>
        <w:pStyle w:val="Body3"/>
      </w:pPr>
      <w:r w:rsidRPr="00D427D8">
        <w:t>If the Rate Determination Agent determines a Substitute Reference Rate, it shall also be entitled to make, in its due discretion, any such procedural determinations relating to the determination of the current Substitute Reference Rate (e.g. the interest determination date, the relevant time, the relevant screen page for obtaining the Alternative Reference Rate and the fallback provisions in the event that the relevant screen page is not available) and to make such adjustments to the definition of "Business Day" in and the business day convention provisions in accordance with the generally accepted market practice which are necessary or expedient to make for substitution of the EURIBOR by the Substitute Reference Rate operative.</w:t>
      </w:r>
    </w:p>
    <w:p w14:paraId="25D4456D" w14:textId="77777777" w:rsidR="009F6E91" w:rsidRPr="00D427D8" w:rsidRDefault="009F6E91" w:rsidP="009F6E91">
      <w:pPr>
        <w:pStyle w:val="Body3"/>
      </w:pPr>
      <w:r w:rsidRPr="00D427D8">
        <w:t>To the extent that the Rate Determination Agent applies a Substitute Reference Rate, the Rate Determination Agent shall be entitled to determine an Adjustment Spread for overnight rate calculated on the basis of unsecured borrowing deposit transactions.</w:t>
      </w:r>
    </w:p>
    <w:p w14:paraId="5B78222A" w14:textId="77777777" w:rsidR="009F6E91" w:rsidRPr="00D427D8" w:rsidRDefault="009F6E91" w:rsidP="009F6E91">
      <w:pPr>
        <w:pStyle w:val="Body3"/>
      </w:pPr>
      <w:r w:rsidRPr="00D427D8">
        <w:t>If the Rate Determination Agent uses an overnight rate as Substitute Reference Rate in accordance with (i) above, the interest rate shall be a quote-based rate for tradable EUR interest swaps derived from the respective overnight rate looking forward (rate for overnight indexed swaps) for the relevant Interest Period calculated on such date as determined by the Rate Determination Agent in its reasonable discretion and in accordance with prevailing market standards, if any.</w:t>
      </w:r>
    </w:p>
    <w:p w14:paraId="2AC38E9C" w14:textId="44211511" w:rsidR="009F6E91" w:rsidRPr="00D427D8" w:rsidRDefault="009F6E91" w:rsidP="009F6E91">
      <w:pPr>
        <w:pStyle w:val="Body3"/>
      </w:pPr>
      <w:r w:rsidRPr="00D427D8">
        <w:t>Any Substitute Reference Rate shall only become effective if the Rate Determination Agent has provided at least 30 days</w:t>
      </w:r>
      <w:r w:rsidR="00EF7333" w:rsidRPr="00D427D8">
        <w:t>'</w:t>
      </w:r>
      <w:r w:rsidRPr="00D427D8">
        <w:t xml:space="preserve"> prior written notice to the Noteholders of the proposed Substitute Reference Rate in accordance with Condition 12 (</w:t>
      </w:r>
      <w:r w:rsidRPr="00D427D8">
        <w:rPr>
          <w:i/>
        </w:rPr>
        <w:t>Notice to the Noteholders</w:t>
      </w:r>
      <w:r w:rsidRPr="00D427D8">
        <w:t>). If Noteholders of any Class of Notes representing at least ten (10) per cent. of the aggregate Principal Outstanding Notes Balance of any Class of Notes then outstanding have notified the Calculation Agent (acting on behalf of the Issuer) or the Rate Determination Agent in writing (or otherwise in accordance with the then current practice of any applicable clearing system through which such Notes may be held) within the notification period referred to above that they do not consent to the proposed Substitute Reference Rate, then such modification will not be made unless an Extraordinary Resolution of the holders of any Class of Notes then outstanding is passed in favour of such modification in accordance with Condition 11 (</w:t>
      </w:r>
      <w:r w:rsidRPr="00D427D8">
        <w:rPr>
          <w:i/>
        </w:rPr>
        <w:t>Meetings of Noteholders</w:t>
      </w:r>
      <w:r w:rsidRPr="00D427D8">
        <w:t>) provided that objections made in writing to the Calculation Agent (acting on behalf of the Issuer) or the Rate Determination Agent other than through the applicable clearing system must be accompanied by evidence to the Calculation Agent</w:t>
      </w:r>
      <w:r w:rsidR="00EF7333" w:rsidRPr="00D427D8">
        <w:t>'</w:t>
      </w:r>
      <w:r w:rsidRPr="00D427D8">
        <w:t>s (acting on behalf of the Issuer) or the Rate Determination Agent</w:t>
      </w:r>
      <w:r w:rsidR="00EF7333" w:rsidRPr="00D427D8">
        <w:t>'</w:t>
      </w:r>
      <w:r w:rsidRPr="00D427D8">
        <w:t>s satisfaction (having regard to prevailing market practices) of the relevant Noteholder</w:t>
      </w:r>
      <w:r w:rsidR="00EF7333" w:rsidRPr="00D427D8">
        <w:t>'</w:t>
      </w:r>
      <w:r w:rsidRPr="00D427D8">
        <w:t>s holding of any Class of Notes. For the avoidance of doubt, until Extraordinary Resolutions are passed, the Notes Interest Rate shall remain the last rate of the 1-Month EURIBOR prior to its discontinuation.</w:t>
      </w:r>
    </w:p>
    <w:p w14:paraId="2B42B8FC" w14:textId="3035875D" w:rsidR="009F6E91" w:rsidRPr="00D427D8" w:rsidRDefault="002845C4" w:rsidP="002845C4">
      <w:pPr>
        <w:pStyle w:val="Body3"/>
      </w:pPr>
      <w:r w:rsidRPr="00D427D8">
        <w:t xml:space="preserve">The Rate Determination Agent is entitled, but not obliged, to determine, in its due discretion, a Substitute Reference Rate pursuant to this provisions several times in relation to the same Benchmark Event, </w:t>
      </w:r>
      <w:r w:rsidRPr="00D427D8">
        <w:rPr>
          <w:i/>
        </w:rPr>
        <w:t>provided that</w:t>
      </w:r>
      <w:r w:rsidRPr="00D427D8">
        <w:t xml:space="preserve"> each later determination is better suitable than the earlier one to realise the Substitution Objective. This paragraph shall apply </w:t>
      </w:r>
      <w:r w:rsidRPr="00D427D8">
        <w:rPr>
          <w:i/>
        </w:rPr>
        <w:t>mutatis mutandis</w:t>
      </w:r>
      <w:r w:rsidRPr="00D427D8">
        <w:t xml:space="preserve"> in the event of a Benchmark Event occurring in relation to any Alternative Reference Rate previously determined by the Rate Determination Agent.</w:t>
      </w:r>
    </w:p>
    <w:p w14:paraId="39BF6BDF" w14:textId="7D7C8FFF" w:rsidR="009F6E91" w:rsidRPr="00D427D8" w:rsidRDefault="002845C4" w:rsidP="002845C4">
      <w:pPr>
        <w:pStyle w:val="Body3"/>
      </w:pPr>
      <w:r w:rsidRPr="00D427D8">
        <w:t xml:space="preserve">If the Rate Determination Agent has determined a Substitute Reference Rate following the occurrence of a Benchmark Event, it will cause the occurrence of the Benchmark Event, the Substitute Reference Rate determined by it and any further determinations of it pursuant to this paragraph associated therewith to be notified to the Calculation Agent, the Paying Agent, </w:t>
      </w:r>
      <w:r w:rsidRPr="00D427D8">
        <w:lastRenderedPageBreak/>
        <w:t>the Luxembourg Stock Exchange and to the Noteholders in accordance with Condition 12 (</w:t>
      </w:r>
      <w:r w:rsidRPr="00D427D8">
        <w:rPr>
          <w:i/>
        </w:rPr>
        <w:t>Notice to the Noteholders</w:t>
      </w:r>
      <w:r w:rsidRPr="00D427D8">
        <w:t>) as soon as possible, but in no event later than two Business Days following the determination of the Substitute Reference Rate but in no event later than the first day of the Interest Period to which the Substitute Reference Rate applies for the first time. For the avoidance of doubt, if the Rate Determination Agent should not determine a Substitute Reference Rate, the fallback provisions pursuant to paragraph (a) above shall apply.</w:t>
      </w:r>
    </w:p>
    <w:p w14:paraId="7F9A190F" w14:textId="511CA2BD" w:rsidR="009F6E91" w:rsidRPr="00D427D8" w:rsidRDefault="009F6E91" w:rsidP="002845C4">
      <w:pPr>
        <w:pStyle w:val="SchNumber3"/>
      </w:pPr>
      <w:r w:rsidRPr="00D427D8">
        <w:t>For the purpose of this definition the following definitions shall apply:</w:t>
      </w:r>
    </w:p>
    <w:p w14:paraId="55C0467D" w14:textId="631E064E" w:rsidR="009F6E91" w:rsidRPr="00D427D8" w:rsidRDefault="002845C4" w:rsidP="002845C4">
      <w:pPr>
        <w:pStyle w:val="Body3"/>
      </w:pPr>
      <w:r w:rsidRPr="00D427D8">
        <w:t>"</w:t>
      </w:r>
      <w:r w:rsidRPr="00D427D8">
        <w:rPr>
          <w:rStyle w:val="BoldText"/>
        </w:rPr>
        <w:t>Generally Accepted Market Practice</w:t>
      </w:r>
      <w:r w:rsidRPr="00D427D8">
        <w:t>" means the use of a certain reference rate, subject to certain adjustments (if any), as substitute rate for the EURIBOR or of provisions, contractual or otherwise, providing for a certain procedure to determine payment obligations which would otherwise have been determined by reference to the EURIBOR in a material number of bond issues following the occurrence of a Benchmark Event, or any other generally accepted market practice to replace the EURIBOR as reference rate for the determination of payment obligations.</w:t>
      </w:r>
    </w:p>
    <w:p w14:paraId="4C5D14EF" w14:textId="794C3EF2" w:rsidR="009F6E91" w:rsidRPr="00D427D8" w:rsidRDefault="002845C4" w:rsidP="002845C4">
      <w:pPr>
        <w:pStyle w:val="Body3"/>
      </w:pPr>
      <w:r w:rsidRPr="00D427D8">
        <w:t>"</w:t>
      </w:r>
      <w:r w:rsidRPr="00D427D8">
        <w:rPr>
          <w:rStyle w:val="BoldText"/>
        </w:rPr>
        <w:t>Industry Solution</w:t>
      </w:r>
      <w:r w:rsidRPr="00D427D8">
        <w:t xml:space="preserve">" means any statement by the International Swaps and Derivatives Association (ISDA), the International Capital Markets Association (ICMA), the Association for Financial Markets in Europe (AFME), the Securities Industry and Financial Markets Association (SIFMA), the SIFMA Asset Management Group (SIFMA AMG), the Loan Markets Association (LMA), the </w:t>
      </w:r>
      <w:r w:rsidRPr="00D427D8">
        <w:rPr>
          <w:i/>
          <w:iCs/>
        </w:rPr>
        <w:t>Deutsche Kreditwirtschaft</w:t>
      </w:r>
      <w:r w:rsidRPr="00D427D8">
        <w:t xml:space="preserve"> (DK), the </w:t>
      </w:r>
      <w:r w:rsidRPr="00D427D8">
        <w:rPr>
          <w:i/>
          <w:iCs/>
        </w:rPr>
        <w:t>Bundesverband Öffentlicher Banken Deutschlands</w:t>
      </w:r>
      <w:r w:rsidRPr="00D427D8">
        <w:t xml:space="preserve"> (VÖB), the </w:t>
      </w:r>
      <w:r w:rsidRPr="00D427D8">
        <w:rPr>
          <w:i/>
          <w:iCs/>
        </w:rPr>
        <w:t xml:space="preserve">Deutsche Sparkassen- und Giroverband </w:t>
      </w:r>
      <w:r w:rsidRPr="00D427D8">
        <w:t xml:space="preserve">(DSGV), the </w:t>
      </w:r>
      <w:r w:rsidRPr="00D427D8">
        <w:rPr>
          <w:i/>
          <w:iCs/>
        </w:rPr>
        <w:t>Bundesverband deutscher Banken</w:t>
      </w:r>
      <w:r w:rsidRPr="00D427D8">
        <w:t xml:space="preserve"> (BdB), the </w:t>
      </w:r>
      <w:r w:rsidRPr="00D427D8">
        <w:rPr>
          <w:i/>
          <w:iCs/>
        </w:rPr>
        <w:t>Bundesverband der Deutschen Volksbanken und Raiffeisenbanken</w:t>
      </w:r>
      <w:r w:rsidRPr="00D427D8">
        <w:t xml:space="preserve"> (BVR), the </w:t>
      </w:r>
      <w:r w:rsidRPr="00D427D8">
        <w:rPr>
          <w:i/>
          <w:iCs/>
        </w:rPr>
        <w:t>Deutscher Derivate Verband</w:t>
      </w:r>
      <w:r w:rsidRPr="00D427D8">
        <w:t xml:space="preserve"> (DDV) or any other private association of the financial industry pursuant to which a certain reference rate, subject to certain adjustments (if any), should or could be used to replace the EURIBOR or pursuant to which a certain procedure should or could be used in order to determine payment obligations which would otherwise be determined by reference to the EURIBOR.</w:t>
      </w:r>
    </w:p>
    <w:p w14:paraId="29F8E167" w14:textId="78BB4AC8" w:rsidR="009F6E91" w:rsidRPr="00D427D8" w:rsidRDefault="002845C4" w:rsidP="002845C4">
      <w:pPr>
        <w:pStyle w:val="Body3"/>
      </w:pPr>
      <w:r w:rsidRPr="00D427D8">
        <w:t>"</w:t>
      </w:r>
      <w:r w:rsidRPr="00D427D8">
        <w:rPr>
          <w:rStyle w:val="BoldText"/>
        </w:rPr>
        <w:t>Official Substitution Concept</w:t>
      </w:r>
      <w:r w:rsidRPr="00D427D8">
        <w:t>" means any binding or non-binding statement by any central bank, supervisory authority or supervisory or expert body or working group of the financial sector established under public law or composed of publically appointed members pursuant to which a certain reference rate, subject to certain adjustments (if any), should or could be used to replace the EURIBOR or pursuant to which a certain procedure should or could be used in order to determine payment obligations which would otherwise be determined by reference to the EURIBOR.</w:t>
      </w:r>
    </w:p>
    <w:p w14:paraId="4BEBF852" w14:textId="1DDFE5BF" w:rsidR="009F6E91" w:rsidRPr="00D427D8" w:rsidRDefault="002845C4" w:rsidP="002845C4">
      <w:pPr>
        <w:pStyle w:val="Body3"/>
      </w:pPr>
      <w:r w:rsidRPr="00D427D8">
        <w:t>"</w:t>
      </w:r>
      <w:r w:rsidRPr="00D427D8">
        <w:rPr>
          <w:rStyle w:val="BoldText"/>
        </w:rPr>
        <w:t>Relevant Period</w:t>
      </w:r>
      <w:r w:rsidRPr="00D427D8">
        <w:t>" means the number of weeks until an Official Substitution Concept, an Industry Solution or a Generally Accepted Market Practice has been implemented.</w:t>
      </w:r>
    </w:p>
    <w:bookmarkEnd w:id="149"/>
    <w:p w14:paraId="36A23BB4" w14:textId="6B4FA4E7" w:rsidR="009F6E91" w:rsidRPr="00D427D8" w:rsidRDefault="00EF7333" w:rsidP="009F6E91">
      <w:pPr>
        <w:pStyle w:val="Body2"/>
      </w:pPr>
      <w:r w:rsidRPr="00D427D8">
        <w:t>"</w:t>
      </w:r>
      <w:r w:rsidR="009F6E91" w:rsidRPr="00D427D8">
        <w:rPr>
          <w:b/>
        </w:rPr>
        <w:t>Accelerated Amortisation Event</w:t>
      </w:r>
      <w:r w:rsidRPr="00D427D8">
        <w:t>"</w:t>
      </w:r>
      <w:r w:rsidR="009F6E91" w:rsidRPr="00D427D8">
        <w:t xml:space="preserve"> means an Issuer Event of Default.</w:t>
      </w:r>
    </w:p>
    <w:p w14:paraId="08D94109" w14:textId="2618972C" w:rsidR="009F6E91" w:rsidRPr="00D427D8" w:rsidRDefault="00EF7333" w:rsidP="002845C4">
      <w:pPr>
        <w:pStyle w:val="DefHead"/>
      </w:pPr>
      <w:r w:rsidRPr="00D427D8">
        <w:t>"</w:t>
      </w:r>
      <w:r w:rsidR="009F6E91" w:rsidRPr="00D427D8">
        <w:rPr>
          <w:rStyle w:val="BoldText"/>
        </w:rPr>
        <w:t>Accelerated Amortisation Period</w:t>
      </w:r>
      <w:r w:rsidRPr="00D427D8">
        <w:t>"</w:t>
      </w:r>
      <w:r w:rsidR="009F6E91" w:rsidRPr="00D427D8">
        <w:t xml:space="preserve"> means the period which will commence on the Distribution Date falling on or following the date on which an Accelerated Amortisation Event has occurred and will end on the earlier of:</w:t>
      </w:r>
    </w:p>
    <w:p w14:paraId="11A0A52E" w14:textId="529C0EE4" w:rsidR="009F6E91" w:rsidRPr="00D427D8" w:rsidRDefault="009F6E91" w:rsidP="002845C4">
      <w:pPr>
        <w:pStyle w:val="DefLevel1"/>
      </w:pPr>
      <w:r w:rsidRPr="00D427D8">
        <w:t>the date on which the aggregate Principal Outstanding Notes Balance of each Class of Notes is reduced to zero; or</w:t>
      </w:r>
    </w:p>
    <w:p w14:paraId="5AED7DF2" w14:textId="47F41FB0" w:rsidR="009F6E91" w:rsidRPr="00D427D8" w:rsidRDefault="009F6E91" w:rsidP="002845C4">
      <w:pPr>
        <w:pStyle w:val="DefLevel1"/>
      </w:pPr>
      <w:r w:rsidRPr="00D427D8">
        <w:t>the Final Legal Maturity Date.</w:t>
      </w:r>
    </w:p>
    <w:p w14:paraId="64059B82" w14:textId="04E0333A" w:rsidR="009F6E91" w:rsidRPr="00D427D8" w:rsidRDefault="00EF7333" w:rsidP="009F6E91">
      <w:pPr>
        <w:pStyle w:val="Body2"/>
      </w:pPr>
      <w:r w:rsidRPr="00D427D8">
        <w:t>"</w:t>
      </w:r>
      <w:r w:rsidR="009F6E91" w:rsidRPr="00D427D8">
        <w:rPr>
          <w:b/>
        </w:rPr>
        <w:t>Accelerated Priority of Payments</w:t>
      </w:r>
      <w:r w:rsidRPr="00D427D8">
        <w:t>"</w:t>
      </w:r>
      <w:r w:rsidR="009F6E91" w:rsidRPr="00D427D8">
        <w:t xml:space="preserve"> has the meaning assigned to such term in the Priority of Payments Schedule.</w:t>
      </w:r>
    </w:p>
    <w:p w14:paraId="462BA7F6" w14:textId="13B86D3F" w:rsidR="009F6E91" w:rsidRPr="00D427D8" w:rsidRDefault="00EF7333" w:rsidP="009F6E91">
      <w:pPr>
        <w:pStyle w:val="Body2"/>
      </w:pPr>
      <w:r w:rsidRPr="00D427D8">
        <w:t>"</w:t>
      </w:r>
      <w:r w:rsidR="009F6E91" w:rsidRPr="00D427D8">
        <w:rPr>
          <w:b/>
        </w:rPr>
        <w:t>Account Bank</w:t>
      </w:r>
      <w:r w:rsidRPr="00D427D8">
        <w:t>"</w:t>
      </w:r>
      <w:r w:rsidR="009F6E91" w:rsidRPr="00D427D8">
        <w:t xml:space="preserve"> </w:t>
      </w:r>
      <w:bookmarkStart w:id="151" w:name="_Hlk188876936"/>
      <w:r w:rsidR="009F6E91" w:rsidRPr="00D427D8">
        <w:t>means BNP Paribas, Germany Branch, Senckenberganlage 19, D-60325 Frankfurt, Germany.</w:t>
      </w:r>
      <w:bookmarkEnd w:id="151"/>
    </w:p>
    <w:p w14:paraId="13D76B20" w14:textId="45240BE4" w:rsidR="009F6E91" w:rsidRPr="00D427D8" w:rsidRDefault="00EF7333" w:rsidP="009F6E91">
      <w:pPr>
        <w:pStyle w:val="Body2"/>
      </w:pPr>
      <w:r w:rsidRPr="00D427D8">
        <w:t>"</w:t>
      </w:r>
      <w:r w:rsidR="009F6E91" w:rsidRPr="00D427D8">
        <w:rPr>
          <w:b/>
        </w:rPr>
        <w:t>Account Bank Agreement</w:t>
      </w:r>
      <w:r w:rsidRPr="00D427D8">
        <w:t>"</w:t>
      </w:r>
      <w:r w:rsidR="009F6E91" w:rsidRPr="00D427D8">
        <w:t xml:space="preserve"> means the account bank agreement entered into on the Signing Date between the Account Bank and the Issuer.</w:t>
      </w:r>
    </w:p>
    <w:p w14:paraId="4A356D89" w14:textId="4E15A5F5" w:rsidR="009F6E91" w:rsidRPr="00D427D8" w:rsidRDefault="00EF7333" w:rsidP="009F6E91">
      <w:pPr>
        <w:pStyle w:val="Body2"/>
        <w:rPr>
          <w:lang w:val="en-US"/>
        </w:rPr>
      </w:pPr>
      <w:r w:rsidRPr="00D427D8">
        <w:rPr>
          <w:lang w:val="en-US"/>
        </w:rPr>
        <w:lastRenderedPageBreak/>
        <w:t>"</w:t>
      </w:r>
      <w:r w:rsidR="009F6E91" w:rsidRPr="00D427D8">
        <w:rPr>
          <w:b/>
          <w:lang w:val="en-US"/>
        </w:rPr>
        <w:t>Account Bank Downgrade</w:t>
      </w:r>
      <w:r w:rsidRPr="00D427D8">
        <w:rPr>
          <w:lang w:val="en-US"/>
        </w:rPr>
        <w:t>"</w:t>
      </w:r>
      <w:r w:rsidR="009F6E91" w:rsidRPr="00D427D8">
        <w:rPr>
          <w:lang w:val="en-US"/>
        </w:rPr>
        <w:t xml:space="preserve"> has the meaning assigned to such term in Clause 6.1 of the Account Bank Agreement.</w:t>
      </w:r>
    </w:p>
    <w:p w14:paraId="7EB80279" w14:textId="31859C5C" w:rsidR="009F6E91" w:rsidRPr="00D427D8" w:rsidRDefault="00EF7333" w:rsidP="009F6E91">
      <w:pPr>
        <w:pStyle w:val="Body2"/>
        <w:rPr>
          <w:lang w:val="fr-FR"/>
        </w:rPr>
      </w:pPr>
      <w:r w:rsidRPr="00D427D8">
        <w:rPr>
          <w:lang w:val="fr-FR"/>
        </w:rPr>
        <w:t>"</w:t>
      </w:r>
      <w:r w:rsidR="009F6E91" w:rsidRPr="00D427D8">
        <w:rPr>
          <w:b/>
          <w:lang w:val="fr-FR"/>
        </w:rPr>
        <w:t>ACPR</w:t>
      </w:r>
      <w:r w:rsidRPr="00D427D8">
        <w:rPr>
          <w:lang w:val="fr-FR"/>
        </w:rPr>
        <w:t>"</w:t>
      </w:r>
      <w:r w:rsidR="009F6E91" w:rsidRPr="00D427D8">
        <w:rPr>
          <w:lang w:val="fr-FR"/>
        </w:rPr>
        <w:t xml:space="preserve"> means the French Autorité de Contrôle Prudentiel et de Résolution.</w:t>
      </w:r>
    </w:p>
    <w:p w14:paraId="7443D6C3" w14:textId="50CB4413" w:rsidR="009F6E91" w:rsidRPr="00D427D8" w:rsidRDefault="00EF7333" w:rsidP="009F6E91">
      <w:pPr>
        <w:pStyle w:val="Body2"/>
        <w:rPr>
          <w:b/>
        </w:rPr>
      </w:pPr>
      <w:r w:rsidRPr="00D427D8">
        <w:t>"</w:t>
      </w:r>
      <w:r w:rsidR="009F6E91" w:rsidRPr="00D427D8">
        <w:rPr>
          <w:b/>
        </w:rPr>
        <w:t>Adjustment Spread</w:t>
      </w:r>
      <w:r w:rsidRPr="00D427D8">
        <w:t>"</w:t>
      </w:r>
      <w:r w:rsidR="009F6E91" w:rsidRPr="00D427D8">
        <w:t xml:space="preserve"> means in respect of a Substitute Reference Rate an adjustment spread which is recommended by a responsible authority or used in a material number of bonds after determination of a Benchmark Event and designed to eliminate or minimise any potential transfer of value between parties when the Substitute Reference Rate is applied and eliminate or minimise the risk of manipulation.</w:t>
      </w:r>
    </w:p>
    <w:p w14:paraId="6992EBF3" w14:textId="5C2070B9" w:rsidR="009F6E91" w:rsidRPr="00D427D8" w:rsidRDefault="00EF7333" w:rsidP="009F6E91">
      <w:pPr>
        <w:pStyle w:val="Body2"/>
      </w:pPr>
      <w:r w:rsidRPr="00D427D8">
        <w:t>"</w:t>
      </w:r>
      <w:r w:rsidR="009F6E91" w:rsidRPr="00D427D8">
        <w:rPr>
          <w:b/>
        </w:rPr>
        <w:t>Affiliate</w:t>
      </w:r>
      <w:r w:rsidRPr="00D427D8">
        <w:t>"</w:t>
      </w:r>
      <w:r w:rsidR="009F6E91" w:rsidRPr="00D427D8">
        <w:t xml:space="preserve"> means, with respect to any specified person, any other person (i) (directly or indirectly) controlling, controlled by or under common control with such specified person or (ii) directly or indirectly owning more than 50% of the share capital or similar rights of ownership. For the purposes of this definition, </w:t>
      </w:r>
      <w:r w:rsidRPr="00D427D8">
        <w:t>"</w:t>
      </w:r>
      <w:r w:rsidR="009F6E91" w:rsidRPr="00D427D8">
        <w:t>control</w:t>
      </w:r>
      <w:r w:rsidRPr="00D427D8">
        <w:t>"</w:t>
      </w:r>
      <w:r w:rsidR="009F6E91" w:rsidRPr="00D427D8">
        <w:t xml:space="preserve"> when used with respect to any specified person means the power to direct the management and policies of such person, directly or indirectly, whether through the ownership of voting securities, by contract or otherwise; and the terms </w:t>
      </w:r>
      <w:r w:rsidRPr="00D427D8">
        <w:t>"</w:t>
      </w:r>
      <w:r w:rsidR="009F6E91" w:rsidRPr="00D427D8">
        <w:t>controlling</w:t>
      </w:r>
      <w:r w:rsidRPr="00D427D8">
        <w:t>"</w:t>
      </w:r>
      <w:r w:rsidR="009F6E91" w:rsidRPr="00D427D8">
        <w:t xml:space="preserve"> and </w:t>
      </w:r>
      <w:r w:rsidRPr="00D427D8">
        <w:t>"</w:t>
      </w:r>
      <w:r w:rsidR="009F6E91" w:rsidRPr="00D427D8">
        <w:t>controlled</w:t>
      </w:r>
      <w:r w:rsidRPr="00D427D8">
        <w:t>"</w:t>
      </w:r>
      <w:r w:rsidR="009F6E91" w:rsidRPr="00D427D8">
        <w:t xml:space="preserve"> have meanings correlative to the foregoing.</w:t>
      </w:r>
    </w:p>
    <w:p w14:paraId="4472C5E2" w14:textId="02886063" w:rsidR="009F6E91" w:rsidRPr="00D427D8" w:rsidRDefault="00EF7333" w:rsidP="009F6E91">
      <w:pPr>
        <w:pStyle w:val="Body2"/>
      </w:pPr>
      <w:r w:rsidRPr="00D427D8">
        <w:t>"</w:t>
      </w:r>
      <w:r w:rsidR="009F6E91" w:rsidRPr="00D427D8">
        <w:rPr>
          <w:b/>
        </w:rPr>
        <w:t>Agency Agreement</w:t>
      </w:r>
      <w:bookmarkStart w:id="152" w:name="_Hlk146633061"/>
      <w:r w:rsidRPr="00D427D8">
        <w:t>"</w:t>
      </w:r>
      <w:r w:rsidR="009F6E91" w:rsidRPr="00D427D8">
        <w:t xml:space="preserve"> means the agency agreement entered into on the Signing Date between </w:t>
      </w:r>
      <w:bookmarkEnd w:id="152"/>
      <w:r w:rsidR="009F6E91" w:rsidRPr="00D427D8">
        <w:t>the Seller, the Issuer, the Calculation Agent, the Reporting Agent, the Collateral Agent, the ER Collateral Agent and the Paying Agent.</w:t>
      </w:r>
    </w:p>
    <w:p w14:paraId="021E4B91" w14:textId="3168B96C" w:rsidR="009F6E91" w:rsidRPr="00D427D8" w:rsidRDefault="00EF7333" w:rsidP="009F6E91">
      <w:pPr>
        <w:pStyle w:val="Body2"/>
      </w:pPr>
      <w:r w:rsidRPr="00D427D8">
        <w:t>"</w:t>
      </w:r>
      <w:r w:rsidR="009F6E91" w:rsidRPr="00D427D8">
        <w:rPr>
          <w:b/>
        </w:rPr>
        <w:t>Agents</w:t>
      </w:r>
      <w:r w:rsidRPr="00D427D8">
        <w:t>"</w:t>
      </w:r>
      <w:r w:rsidR="009F6E91" w:rsidRPr="00D427D8">
        <w:t xml:space="preserve"> means the Calculation Agent, the Reporting Agent and the Paying Agent.</w:t>
      </w:r>
    </w:p>
    <w:p w14:paraId="5F45B2B2" w14:textId="03F9FB8A" w:rsidR="009F6E91" w:rsidRPr="00D427D8" w:rsidRDefault="005B4227" w:rsidP="005B4227">
      <w:pPr>
        <w:pStyle w:val="Body2"/>
        <w:rPr>
          <w:lang w:bidi="he-IL"/>
        </w:rPr>
      </w:pPr>
      <w:r w:rsidRPr="00D427D8">
        <w:rPr>
          <w:lang w:bidi="he-IL"/>
        </w:rPr>
        <w:t>"</w:t>
      </w:r>
      <w:r w:rsidRPr="00D427D8">
        <w:rPr>
          <w:rStyle w:val="BoldText"/>
        </w:rPr>
        <w:t>Aggregate Discounted Asset Balance</w:t>
      </w:r>
      <w:r w:rsidRPr="00D427D8">
        <w:rPr>
          <w:lang w:bidi="he-IL"/>
        </w:rPr>
        <w:t xml:space="preserve">" means, as of the relevant Further Purchase </w:t>
      </w:r>
      <w:r w:rsidRPr="00D427D8">
        <w:t xml:space="preserve">Cut-Off </w:t>
      </w:r>
      <w:r w:rsidRPr="00D427D8">
        <w:rPr>
          <w:lang w:bidi="he-IL"/>
        </w:rPr>
        <w:t>Date, the sum of the Aggregate Discounted Receivables Balance and the Aggregate Discounted Expectancy Rights Balance.</w:t>
      </w:r>
    </w:p>
    <w:p w14:paraId="0FE53946" w14:textId="7CB20886" w:rsidR="009F6E91" w:rsidRPr="00D427D8" w:rsidRDefault="005B4227" w:rsidP="005B4227">
      <w:pPr>
        <w:pStyle w:val="Body2"/>
        <w:rPr>
          <w:lang w:bidi="he-IL"/>
        </w:rPr>
      </w:pPr>
      <w:r w:rsidRPr="00D427D8">
        <w:rPr>
          <w:lang w:bidi="he-IL"/>
        </w:rPr>
        <w:t>"</w:t>
      </w:r>
      <w:r w:rsidRPr="00D427D8">
        <w:rPr>
          <w:rStyle w:val="BoldText"/>
        </w:rPr>
        <w:t>Aggregate Discounted Expectancy Rights Balance</w:t>
      </w:r>
      <w:r w:rsidRPr="00D427D8">
        <w:rPr>
          <w:lang w:bidi="he-IL"/>
        </w:rPr>
        <w:t xml:space="preserve">" means, as of the relevant Further Purchase </w:t>
      </w:r>
      <w:r w:rsidRPr="00D427D8">
        <w:t xml:space="preserve">Cut-Off </w:t>
      </w:r>
      <w:r w:rsidRPr="00D427D8">
        <w:rPr>
          <w:lang w:bidi="he-IL"/>
        </w:rPr>
        <w:t>Date, the aggregate Discounted Expectancy Rights Balance of the Purchased Expectancy Rights.</w:t>
      </w:r>
    </w:p>
    <w:p w14:paraId="67D2FE68" w14:textId="288E9A8D" w:rsidR="009F6E91" w:rsidRPr="00D427D8" w:rsidRDefault="005B4227" w:rsidP="005B4227">
      <w:pPr>
        <w:pStyle w:val="Body2"/>
        <w:rPr>
          <w:lang w:bidi="he-IL"/>
        </w:rPr>
      </w:pPr>
      <w:r w:rsidRPr="00D427D8">
        <w:rPr>
          <w:lang w:bidi="he-IL"/>
        </w:rPr>
        <w:t>"</w:t>
      </w:r>
      <w:r w:rsidRPr="00D427D8">
        <w:rPr>
          <w:rStyle w:val="BoldText"/>
        </w:rPr>
        <w:t>Aggregate Discounted Receivables Balance</w:t>
      </w:r>
      <w:r w:rsidRPr="00D427D8">
        <w:rPr>
          <w:lang w:bidi="he-IL"/>
        </w:rPr>
        <w:t xml:space="preserve">" means, as of the relevant Further Purchase </w:t>
      </w:r>
      <w:r w:rsidRPr="00D427D8">
        <w:t xml:space="preserve">Cut-Off </w:t>
      </w:r>
      <w:r w:rsidRPr="00D427D8">
        <w:rPr>
          <w:lang w:bidi="he-IL"/>
        </w:rPr>
        <w:t xml:space="preserve">Date, the </w:t>
      </w:r>
      <w:bookmarkStart w:id="153" w:name="_Hlk83440516"/>
      <w:r w:rsidRPr="00D427D8">
        <w:rPr>
          <w:lang w:bidi="he-IL"/>
        </w:rPr>
        <w:t xml:space="preserve">aggregate </w:t>
      </w:r>
      <w:bookmarkEnd w:id="153"/>
      <w:r w:rsidRPr="00D427D8">
        <w:rPr>
          <w:lang w:bidi="he-IL"/>
        </w:rPr>
        <w:t>Discounted Receivables Balance of the Purchased Lease Receivables which are Performing Receivables.</w:t>
      </w:r>
    </w:p>
    <w:p w14:paraId="2476BCAA" w14:textId="491450E8" w:rsidR="009F6E91" w:rsidRPr="00D427D8" w:rsidRDefault="00EF7333" w:rsidP="005B4227">
      <w:pPr>
        <w:pStyle w:val="DefHead"/>
        <w:rPr>
          <w:lang w:bidi="he-IL"/>
        </w:rPr>
      </w:pPr>
      <w:bookmarkStart w:id="154" w:name="_Hlk86184065"/>
      <w:r w:rsidRPr="00D427D8">
        <w:rPr>
          <w:lang w:bidi="he-IL"/>
        </w:rPr>
        <w:t>"</w:t>
      </w:r>
      <w:r w:rsidR="009F6E91" w:rsidRPr="00D427D8">
        <w:rPr>
          <w:rStyle w:val="BoldText"/>
        </w:rPr>
        <w:t>Amortisation Principal Component</w:t>
      </w:r>
      <w:r w:rsidRPr="00D427D8">
        <w:rPr>
          <w:lang w:bidi="he-IL"/>
        </w:rPr>
        <w:t>"</w:t>
      </w:r>
      <w:r w:rsidR="009F6E91" w:rsidRPr="00D427D8">
        <w:rPr>
          <w:lang w:bidi="he-IL"/>
        </w:rPr>
        <w:t xml:space="preserve"> means, in respect of each Lease Agreement considered on an individual basis:</w:t>
      </w:r>
    </w:p>
    <w:p w14:paraId="7A309A46" w14:textId="77777777" w:rsidR="009F6E91" w:rsidRPr="00D427D8" w:rsidRDefault="009F6E91" w:rsidP="005B4227">
      <w:pPr>
        <w:pStyle w:val="DefLevel1"/>
        <w:rPr>
          <w:lang w:bidi="he-IL"/>
        </w:rPr>
      </w:pPr>
      <w:r w:rsidRPr="00D427D8">
        <w:rPr>
          <w:lang w:bidi="he-IL"/>
        </w:rPr>
        <w:t>in respect of the Scheduled Payments under that Lease Agreement and a given due date, the Scheduled Principal Payment on that due date; and</w:t>
      </w:r>
    </w:p>
    <w:p w14:paraId="359B6B70" w14:textId="77777777" w:rsidR="009F6E91" w:rsidRPr="00D427D8" w:rsidRDefault="009F6E91" w:rsidP="005B4227">
      <w:pPr>
        <w:pStyle w:val="DefLevel1"/>
        <w:rPr>
          <w:lang w:bidi="he-IL"/>
        </w:rPr>
      </w:pPr>
      <w:r w:rsidRPr="00D427D8">
        <w:rPr>
          <w:lang w:bidi="he-IL"/>
        </w:rPr>
        <w:t>any other amount applied to the payment of the Discounted Receivables Balance of the relevant Lease Agreement.</w:t>
      </w:r>
    </w:p>
    <w:bookmarkEnd w:id="154"/>
    <w:p w14:paraId="267572D8" w14:textId="1B631B8A" w:rsidR="009F6E91" w:rsidRPr="00D427D8" w:rsidRDefault="00EF7333" w:rsidP="009F6E91">
      <w:pPr>
        <w:pStyle w:val="Body2"/>
      </w:pPr>
      <w:r w:rsidRPr="00D427D8">
        <w:t>"</w:t>
      </w:r>
      <w:r w:rsidR="009F6E91" w:rsidRPr="00D427D8">
        <w:rPr>
          <w:b/>
          <w:bCs/>
        </w:rPr>
        <w:t>Applicable Risk Retention Commission Delegated Regulation</w:t>
      </w:r>
      <w:r w:rsidRPr="00D427D8">
        <w:t>"</w:t>
      </w:r>
      <w:r w:rsidR="009F6E91" w:rsidRPr="00D427D8">
        <w:t xml:space="preserve"> shall mean the regulatory technical standards set out in Commission Delegated Regulation (EU) No 2023/2175 specifying certain risk retention requirements or any successor delegated regulation.</w:t>
      </w:r>
    </w:p>
    <w:p w14:paraId="02C38311" w14:textId="63A30EB8" w:rsidR="009F6E91" w:rsidRPr="00D427D8" w:rsidRDefault="00EF7333" w:rsidP="009F6E91">
      <w:pPr>
        <w:pStyle w:val="Body2"/>
      </w:pPr>
      <w:r w:rsidRPr="00D427D8">
        <w:t>"</w:t>
      </w:r>
      <w:r w:rsidR="009F6E91" w:rsidRPr="00D427D8">
        <w:rPr>
          <w:b/>
        </w:rPr>
        <w:t>Arranger</w:t>
      </w:r>
      <w:r w:rsidRPr="00D427D8">
        <w:t>"</w:t>
      </w:r>
      <w:r w:rsidR="009F6E91" w:rsidRPr="00D427D8">
        <w:t xml:space="preserve"> means BNP Paribas.</w:t>
      </w:r>
    </w:p>
    <w:p w14:paraId="2187D84D" w14:textId="23EDE7E3" w:rsidR="009F6E91" w:rsidRPr="00D427D8" w:rsidRDefault="005B4227" w:rsidP="005B4227">
      <w:pPr>
        <w:pStyle w:val="Body2"/>
        <w:rPr>
          <w:lang w:bidi="he-IL"/>
        </w:rPr>
      </w:pPr>
      <w:r w:rsidRPr="00D427D8">
        <w:rPr>
          <w:lang w:bidi="he-IL"/>
        </w:rPr>
        <w:t>"</w:t>
      </w:r>
      <w:r w:rsidRPr="00D427D8">
        <w:rPr>
          <w:rStyle w:val="BoldText"/>
        </w:rPr>
        <w:t>Asset Purchase Agreements</w:t>
      </w:r>
      <w:r w:rsidRPr="00D427D8">
        <w:rPr>
          <w:lang w:bidi="he-IL"/>
        </w:rPr>
        <w:t>" means the Lease Receivables Purchase Agreement and the ER Purchase Agreement, collectively.</w:t>
      </w:r>
    </w:p>
    <w:p w14:paraId="7381D37F" w14:textId="130A0932" w:rsidR="009F6E91" w:rsidRPr="00D427D8" w:rsidRDefault="00EF7333" w:rsidP="009F6E91">
      <w:pPr>
        <w:pStyle w:val="Body2"/>
      </w:pPr>
      <w:r w:rsidRPr="00D427D8">
        <w:t>"</w:t>
      </w:r>
      <w:r w:rsidR="009F6E91" w:rsidRPr="00D427D8">
        <w:rPr>
          <w:b/>
        </w:rPr>
        <w:t>Auditor</w:t>
      </w:r>
      <w:r w:rsidRPr="00D427D8">
        <w:t>"</w:t>
      </w:r>
      <w:r w:rsidR="009F6E91" w:rsidRPr="00D427D8">
        <w:t xml:space="preserve"> means Ernst &amp; Young S.A., with its registered office at 35E avenue John F. Kennedy, L-1855 Luxembourg, Grand Duchy of Luxembourg.</w:t>
      </w:r>
    </w:p>
    <w:p w14:paraId="569B9197" w14:textId="63CCF4FD" w:rsidR="009F6E91" w:rsidRPr="00D427D8" w:rsidRDefault="00EF7333" w:rsidP="005B4227">
      <w:pPr>
        <w:pStyle w:val="DefHead"/>
        <w:rPr>
          <w:lang w:bidi="he-IL"/>
        </w:rPr>
      </w:pPr>
      <w:bookmarkStart w:id="155" w:name="_Hlk191566319"/>
      <w:r w:rsidRPr="00D427D8">
        <w:rPr>
          <w:lang w:bidi="he-IL"/>
        </w:rPr>
        <w:t>"</w:t>
      </w:r>
      <w:r w:rsidR="009F6E91" w:rsidRPr="00D427D8">
        <w:rPr>
          <w:rStyle w:val="BoldText"/>
        </w:rPr>
        <w:t>Available Collections</w:t>
      </w:r>
      <w:r w:rsidRPr="00D427D8">
        <w:rPr>
          <w:lang w:bidi="he-IL"/>
        </w:rPr>
        <w:t>"</w:t>
      </w:r>
      <w:r w:rsidR="009F6E91" w:rsidRPr="00D427D8">
        <w:rPr>
          <w:lang w:bidi="he-IL"/>
        </w:rPr>
        <w:t xml:space="preserve"> means, on any </w:t>
      </w:r>
      <w:r w:rsidR="00CF68B0">
        <w:t>Distribution</w:t>
      </w:r>
      <w:r w:rsidR="00CF68B0" w:rsidRPr="00D427D8">
        <w:t xml:space="preserve"> Date</w:t>
      </w:r>
      <w:r w:rsidR="00CF68B0" w:rsidRPr="00D427D8">
        <w:rPr>
          <w:lang w:bidi="he-IL"/>
        </w:rPr>
        <w:t xml:space="preserve"> </w:t>
      </w:r>
      <w:r w:rsidR="009F6E91" w:rsidRPr="00D427D8">
        <w:rPr>
          <w:lang w:bidi="he-IL"/>
        </w:rPr>
        <w:t>in respect of the Monthly Period ending on the immediately preceding Determination Date:</w:t>
      </w:r>
    </w:p>
    <w:p w14:paraId="292D41C5" w14:textId="77777777" w:rsidR="009F6E91" w:rsidRPr="00D427D8" w:rsidRDefault="009F6E91" w:rsidP="005B4227">
      <w:pPr>
        <w:pStyle w:val="DefLevel1"/>
        <w:rPr>
          <w:lang w:bidi="he-IL"/>
        </w:rPr>
      </w:pPr>
      <w:r w:rsidRPr="00D427D8">
        <w:rPr>
          <w:lang w:bidi="he-IL"/>
        </w:rPr>
        <w:t xml:space="preserve">any amounts received from the Lessees under the Lease Agreements (including any claims for excess mileage or damages under Kilometre Contracts and compensation claims under </w:t>
      </w:r>
      <w:r w:rsidRPr="00D427D8">
        <w:rPr>
          <w:lang w:bidi="he-IL"/>
        </w:rPr>
        <w:lastRenderedPageBreak/>
        <w:t>RW Contracts in respect of the Expectancy Right Value of the Leased Vehicle but excluding, prior to the occurrence of a Servicer Default, amounts attributable to VAT or insurance and service components);</w:t>
      </w:r>
    </w:p>
    <w:p w14:paraId="4840FC55" w14:textId="77777777" w:rsidR="009F6E91" w:rsidRPr="00D427D8" w:rsidRDefault="009F6E91" w:rsidP="005B4227">
      <w:pPr>
        <w:pStyle w:val="DefLevel1"/>
        <w:rPr>
          <w:lang w:bidi="he-IL"/>
        </w:rPr>
      </w:pPr>
      <w:r w:rsidRPr="00D427D8">
        <w:rPr>
          <w:lang w:bidi="he-IL"/>
        </w:rPr>
        <w:t>any Vehicle Realisation Proceeds;</w:t>
      </w:r>
    </w:p>
    <w:p w14:paraId="001D1396" w14:textId="77777777" w:rsidR="009F6E91" w:rsidRPr="00D427D8" w:rsidRDefault="009F6E91" w:rsidP="005B4227">
      <w:pPr>
        <w:pStyle w:val="DefLevel1"/>
        <w:rPr>
          <w:lang w:bidi="he-IL"/>
        </w:rPr>
      </w:pPr>
      <w:r w:rsidRPr="00D427D8">
        <w:rPr>
          <w:lang w:bidi="he-IL"/>
        </w:rPr>
        <w:t>any prepayments under the Lease Agreements;</w:t>
      </w:r>
    </w:p>
    <w:p w14:paraId="768518A3" w14:textId="77777777" w:rsidR="009F6E91" w:rsidRPr="00D427D8" w:rsidRDefault="009F6E91" w:rsidP="005B4227">
      <w:pPr>
        <w:pStyle w:val="DefLevel1"/>
        <w:rPr>
          <w:lang w:bidi="he-IL"/>
        </w:rPr>
      </w:pPr>
      <w:r w:rsidRPr="00D427D8">
        <w:rPr>
          <w:lang w:bidi="he-IL"/>
        </w:rPr>
        <w:t>any Recovery Proceeds;</w:t>
      </w:r>
    </w:p>
    <w:p w14:paraId="6B0F196E" w14:textId="75608856" w:rsidR="009F6E91" w:rsidRPr="00D427D8" w:rsidRDefault="009F6E91" w:rsidP="005B4227">
      <w:pPr>
        <w:pStyle w:val="DefLevel1"/>
        <w:rPr>
          <w:lang w:bidi="he-IL"/>
        </w:rPr>
      </w:pPr>
      <w:r w:rsidRPr="00D427D8">
        <w:rPr>
          <w:lang w:bidi="he-IL"/>
        </w:rPr>
        <w:t xml:space="preserve">payments received from the Seller under clause </w:t>
      </w:r>
      <w:r w:rsidRPr="00D427D8">
        <w:t>10.</w:t>
      </w:r>
      <w:r w:rsidR="00EA063E">
        <w:t>4</w:t>
      </w:r>
      <w:r w:rsidRPr="00D427D8">
        <w:t xml:space="preserve"> </w:t>
      </w:r>
      <w:r w:rsidRPr="00D427D8">
        <w:rPr>
          <w:lang w:bidi="he-IL"/>
        </w:rPr>
        <w:t>(</w:t>
      </w:r>
      <w:r w:rsidR="00EA063E" w:rsidRPr="00EA063E">
        <w:rPr>
          <w:i/>
          <w:iCs/>
        </w:rPr>
        <w:t>Repurchase of Lease Receivables</w:t>
      </w:r>
      <w:r w:rsidRPr="00D427D8">
        <w:rPr>
          <w:lang w:bidi="he-IL"/>
        </w:rPr>
        <w:t xml:space="preserve">) of the Lease Receivables Purchase Agreement and clause </w:t>
      </w:r>
      <w:r w:rsidR="00EA063E">
        <w:t>9</w:t>
      </w:r>
      <w:r w:rsidR="00EA063E" w:rsidRPr="00D427D8">
        <w:t>.</w:t>
      </w:r>
      <w:r w:rsidR="00EA063E">
        <w:t>4</w:t>
      </w:r>
      <w:r w:rsidR="00EA063E" w:rsidRPr="00D427D8">
        <w:t xml:space="preserve"> </w:t>
      </w:r>
      <w:r w:rsidR="00EA063E" w:rsidRPr="00D427D8">
        <w:rPr>
          <w:lang w:bidi="he-IL"/>
        </w:rPr>
        <w:t>(</w:t>
      </w:r>
      <w:r w:rsidR="00EA063E" w:rsidRPr="00EA063E">
        <w:rPr>
          <w:i/>
          <w:iCs/>
        </w:rPr>
        <w:t xml:space="preserve">Repurchase </w:t>
      </w:r>
      <w:r w:rsidR="00EA063E">
        <w:rPr>
          <w:i/>
          <w:iCs/>
        </w:rPr>
        <w:t>Expectancy Rights</w:t>
      </w:r>
      <w:r w:rsidR="00EA063E" w:rsidRPr="00D427D8">
        <w:rPr>
          <w:lang w:bidi="he-IL"/>
        </w:rPr>
        <w:t xml:space="preserve">) </w:t>
      </w:r>
      <w:r w:rsidRPr="00D427D8">
        <w:rPr>
          <w:lang w:bidi="he-IL"/>
        </w:rPr>
        <w:t>of the ER Purchase Agreement;</w:t>
      </w:r>
    </w:p>
    <w:p w14:paraId="3D4F6EB2" w14:textId="6B65120D" w:rsidR="009F6E91" w:rsidRPr="00D427D8" w:rsidRDefault="009F6E91" w:rsidP="005B4227">
      <w:pPr>
        <w:pStyle w:val="DefLevel1"/>
        <w:rPr>
          <w:lang w:bidi="he-IL"/>
        </w:rPr>
      </w:pPr>
      <w:r w:rsidRPr="00D427D8">
        <w:rPr>
          <w:lang w:bidi="he-IL"/>
        </w:rPr>
        <w:t>on a Clean-Up Call</w:t>
      </w:r>
      <w:r w:rsidR="00CE6AAC">
        <w:rPr>
          <w:lang w:bidi="he-IL"/>
        </w:rPr>
        <w:t>, Regulatory Change Event</w:t>
      </w:r>
      <w:r w:rsidRPr="00D427D8">
        <w:rPr>
          <w:lang w:bidi="he-IL"/>
        </w:rPr>
        <w:t xml:space="preserve"> or Note Tax Event only, the Final Repurchase Price;</w:t>
      </w:r>
    </w:p>
    <w:p w14:paraId="2B56857F" w14:textId="77777777" w:rsidR="009F6E91" w:rsidRPr="00D427D8" w:rsidRDefault="009F6E91" w:rsidP="005B4227">
      <w:pPr>
        <w:pStyle w:val="DefLevel1"/>
        <w:rPr>
          <w:lang w:bidi="he-IL"/>
        </w:rPr>
      </w:pPr>
      <w:r w:rsidRPr="00D427D8">
        <w:rPr>
          <w:lang w:bidi="he-IL"/>
        </w:rPr>
        <w:t>any Insurance Proceeds.</w:t>
      </w:r>
      <w:bookmarkEnd w:id="155"/>
    </w:p>
    <w:p w14:paraId="314C2304" w14:textId="385D5130" w:rsidR="009F6E91" w:rsidRPr="00D427D8" w:rsidRDefault="005B4227" w:rsidP="005B4227">
      <w:pPr>
        <w:pStyle w:val="Body2"/>
        <w:rPr>
          <w:lang w:bidi="he-IL"/>
        </w:rPr>
      </w:pPr>
      <w:r w:rsidRPr="00D427D8">
        <w:rPr>
          <w:lang w:bidi="he-IL"/>
        </w:rPr>
        <w:t>For the avoidance of doubt, any VAT contained in vehicle sales proceeds or otherwise payable in connection with the disposal of Purchased Expectancy Rights or the related Leased Vehicles and any Input VAT Refunds shall not form part of the Available Collections but shall be transferred to the VAT Account of the Issuer and shall be applied exclusively for input VAT payments due to the tax authorities and repayment of the VAT Bridge Loan.</w:t>
      </w:r>
    </w:p>
    <w:p w14:paraId="50E82E0A" w14:textId="280FC06E" w:rsidR="009F6E91" w:rsidRPr="00D427D8" w:rsidRDefault="00EF7333" w:rsidP="009F6E91">
      <w:pPr>
        <w:pStyle w:val="Body2"/>
      </w:pPr>
      <w:r w:rsidRPr="00D427D8">
        <w:t>"</w:t>
      </w:r>
      <w:r w:rsidR="009F6E91" w:rsidRPr="00D427D8">
        <w:rPr>
          <w:b/>
        </w:rPr>
        <w:t>Available Distribution Amount</w:t>
      </w:r>
      <w:r w:rsidRPr="00D427D8">
        <w:t>"</w:t>
      </w:r>
      <w:r w:rsidR="009F6E91" w:rsidRPr="00D427D8">
        <w:t xml:space="preserve"> has the meaning assigned to such term in the Priority of Payments Schedule.</w:t>
      </w:r>
    </w:p>
    <w:p w14:paraId="763B0A73" w14:textId="13CA08AE" w:rsidR="009F6E91" w:rsidRPr="00D427D8" w:rsidRDefault="00EF7333" w:rsidP="009F6E91">
      <w:pPr>
        <w:pStyle w:val="Body2"/>
        <w:rPr>
          <w:lang w:bidi="he-IL"/>
        </w:rPr>
      </w:pPr>
      <w:r w:rsidRPr="00D427D8">
        <w:rPr>
          <w:b/>
          <w:bCs/>
        </w:rPr>
        <w:t>"</w:t>
      </w:r>
      <w:r w:rsidR="009F6E91" w:rsidRPr="00D427D8">
        <w:rPr>
          <w:b/>
          <w:bCs/>
        </w:rPr>
        <w:t>Available Interest Collections</w:t>
      </w:r>
      <w:r w:rsidRPr="00D427D8">
        <w:rPr>
          <w:bCs/>
        </w:rPr>
        <w:t>"</w:t>
      </w:r>
      <w:r w:rsidR="009F6E91" w:rsidRPr="00D427D8">
        <w:rPr>
          <w:b/>
          <w:bCs/>
        </w:rPr>
        <w:t xml:space="preserve"> </w:t>
      </w:r>
      <w:r w:rsidR="009F6E91" w:rsidRPr="00D427D8">
        <w:t>means, with respect to any Determination Date and in respect to the relevant Monthly Period</w:t>
      </w:r>
      <w:r w:rsidR="009F6E91" w:rsidRPr="00D427D8">
        <w:rPr>
          <w:lang w:bidi="he-IL"/>
        </w:rPr>
        <w:t>, an amount equal to the difference between Available Collections and Available Principal Collections.</w:t>
      </w:r>
    </w:p>
    <w:p w14:paraId="520CCF4B" w14:textId="6B1D016C" w:rsidR="009F6E91" w:rsidRPr="00D427D8" w:rsidRDefault="00EF7333" w:rsidP="009F6E91">
      <w:pPr>
        <w:pStyle w:val="Body2"/>
      </w:pPr>
      <w:r w:rsidRPr="00D427D8">
        <w:t>"</w:t>
      </w:r>
      <w:r w:rsidR="009F6E91" w:rsidRPr="00D427D8">
        <w:rPr>
          <w:b/>
        </w:rPr>
        <w:t>Available Interest Distribution Amount</w:t>
      </w:r>
      <w:r w:rsidRPr="00D427D8">
        <w:t>"</w:t>
      </w:r>
      <w:r w:rsidR="009F6E91" w:rsidRPr="00D427D8">
        <w:t xml:space="preserve"> has the meaning assigned to such term in the Priority of Payments Schedule.</w:t>
      </w:r>
    </w:p>
    <w:p w14:paraId="50795147" w14:textId="61A9C1B2" w:rsidR="009F6E91" w:rsidRPr="00D427D8" w:rsidRDefault="00EF7333" w:rsidP="005B4227">
      <w:pPr>
        <w:pStyle w:val="DefHead"/>
        <w:rPr>
          <w:lang w:bidi="he-IL"/>
        </w:rPr>
      </w:pPr>
      <w:r w:rsidRPr="00D427D8">
        <w:rPr>
          <w:lang w:bidi="he-IL"/>
        </w:rPr>
        <w:t>"</w:t>
      </w:r>
      <w:r w:rsidR="009F6E91" w:rsidRPr="00D427D8">
        <w:rPr>
          <w:rStyle w:val="BoldText"/>
        </w:rPr>
        <w:t>Available Principal Collections</w:t>
      </w:r>
      <w:r w:rsidRPr="00D427D8">
        <w:rPr>
          <w:lang w:bidi="he-IL"/>
        </w:rPr>
        <w:t>"</w:t>
      </w:r>
      <w:r w:rsidR="009F6E91" w:rsidRPr="00D427D8">
        <w:rPr>
          <w:lang w:bidi="he-IL"/>
        </w:rPr>
        <w:t xml:space="preserve"> means, on any </w:t>
      </w:r>
      <w:r w:rsidR="00CF68B0">
        <w:t>Distribution</w:t>
      </w:r>
      <w:r w:rsidR="00CF68B0" w:rsidRPr="00D427D8">
        <w:t xml:space="preserve"> Date</w:t>
      </w:r>
      <w:r w:rsidR="00CF68B0" w:rsidRPr="00D427D8">
        <w:rPr>
          <w:lang w:bidi="he-IL"/>
        </w:rPr>
        <w:t xml:space="preserve"> </w:t>
      </w:r>
      <w:r w:rsidR="009F6E91" w:rsidRPr="00D427D8">
        <w:rPr>
          <w:lang w:bidi="he-IL"/>
        </w:rPr>
        <w:t xml:space="preserve">and in respect of the Monthly Period ending on the Cut-Off Date immediately preceding such </w:t>
      </w:r>
      <w:r w:rsidR="00CF68B0">
        <w:t>Distribution</w:t>
      </w:r>
      <w:r w:rsidR="00CF68B0" w:rsidRPr="00D427D8">
        <w:t xml:space="preserve"> Date</w:t>
      </w:r>
      <w:r w:rsidR="009F6E91" w:rsidRPr="00D427D8">
        <w:rPr>
          <w:lang w:bidi="he-IL"/>
        </w:rPr>
        <w:t>, the sum of (without double counting):</w:t>
      </w:r>
      <w:r w:rsidR="00CF68B0">
        <w:rPr>
          <w:lang w:bidi="he-IL"/>
        </w:rPr>
        <w:t xml:space="preserve"> </w:t>
      </w:r>
    </w:p>
    <w:p w14:paraId="592FF33F" w14:textId="77777777" w:rsidR="009F6E91" w:rsidRPr="00D427D8" w:rsidRDefault="009F6E91" w:rsidP="005B4227">
      <w:pPr>
        <w:pStyle w:val="DefLevel1"/>
        <w:rPr>
          <w:lang w:bidi="he-IL"/>
        </w:rPr>
      </w:pPr>
      <w:r w:rsidRPr="00D427D8">
        <w:rPr>
          <w:lang w:bidi="he-IL"/>
        </w:rPr>
        <w:t>for each Lease Agreement which is not in default, the amount of the Amortisation Principal Component payable under that Performing Lease Agreement during that Monthly Period;</w:t>
      </w:r>
    </w:p>
    <w:p w14:paraId="1F93ABA7" w14:textId="4F95FBEE" w:rsidR="009F6E91" w:rsidRPr="00D427D8" w:rsidRDefault="009F6E91" w:rsidP="005B4227">
      <w:pPr>
        <w:pStyle w:val="DefLevel1"/>
        <w:rPr>
          <w:lang w:bidi="he-IL"/>
        </w:rPr>
      </w:pPr>
      <w:r w:rsidRPr="00D427D8">
        <w:rPr>
          <w:lang w:bidi="he-IL"/>
        </w:rPr>
        <w:t>for each Expectancy Right the sum of the related Vehicle Realisation Proceeds less an amount equal to such Vehicle Realisation Proceeds multiplied by the applicable Discount Rate;</w:t>
      </w:r>
    </w:p>
    <w:p w14:paraId="7F2CF17E" w14:textId="7A26A6A4" w:rsidR="009F6E91" w:rsidRPr="00D427D8" w:rsidRDefault="009F6E91" w:rsidP="005B4227">
      <w:pPr>
        <w:pStyle w:val="DefLevel1"/>
        <w:rPr>
          <w:lang w:bidi="he-IL"/>
        </w:rPr>
      </w:pPr>
      <w:r w:rsidRPr="00D427D8">
        <w:rPr>
          <w:lang w:bidi="he-IL"/>
        </w:rPr>
        <w:t xml:space="preserve">the principal component of any payments received from the Seller </w:t>
      </w:r>
      <w:r w:rsidR="00B74CE4">
        <w:rPr>
          <w:lang w:bidi="he-IL"/>
        </w:rPr>
        <w:t xml:space="preserve">under </w:t>
      </w:r>
      <w:r w:rsidR="00CE6AAC" w:rsidRPr="00D427D8">
        <w:rPr>
          <w:lang w:bidi="he-IL"/>
        </w:rPr>
        <w:t xml:space="preserve">clause </w:t>
      </w:r>
      <w:r w:rsidR="00CE6AAC" w:rsidRPr="00D427D8">
        <w:t>10.</w:t>
      </w:r>
      <w:r w:rsidR="00CE6AAC">
        <w:t>4</w:t>
      </w:r>
      <w:r w:rsidR="00CE6AAC" w:rsidRPr="00D427D8">
        <w:t xml:space="preserve"> </w:t>
      </w:r>
      <w:r w:rsidR="00CE6AAC" w:rsidRPr="00D427D8">
        <w:rPr>
          <w:lang w:bidi="he-IL"/>
        </w:rPr>
        <w:t>(</w:t>
      </w:r>
      <w:r w:rsidR="00CE6AAC" w:rsidRPr="00EA063E">
        <w:rPr>
          <w:i/>
          <w:iCs/>
        </w:rPr>
        <w:t>Repurchase of Lease Receivables</w:t>
      </w:r>
      <w:r w:rsidR="00CE6AAC" w:rsidRPr="00D427D8">
        <w:rPr>
          <w:lang w:bidi="he-IL"/>
        </w:rPr>
        <w:t xml:space="preserve">) of the Lease Receivables Purchase Agreement and clause </w:t>
      </w:r>
      <w:r w:rsidR="00CE6AAC">
        <w:t>9</w:t>
      </w:r>
      <w:r w:rsidR="00CE6AAC" w:rsidRPr="00D427D8">
        <w:t>.</w:t>
      </w:r>
      <w:r w:rsidR="00CE6AAC">
        <w:t>4</w:t>
      </w:r>
      <w:r w:rsidR="00CE6AAC" w:rsidRPr="00D427D8">
        <w:t xml:space="preserve"> </w:t>
      </w:r>
      <w:r w:rsidR="00CE6AAC" w:rsidRPr="00D427D8">
        <w:rPr>
          <w:lang w:bidi="he-IL"/>
        </w:rPr>
        <w:t>(</w:t>
      </w:r>
      <w:r w:rsidR="00CE6AAC" w:rsidRPr="00EA063E">
        <w:rPr>
          <w:i/>
          <w:iCs/>
        </w:rPr>
        <w:t xml:space="preserve">Repurchase </w:t>
      </w:r>
      <w:r w:rsidR="00CE6AAC">
        <w:rPr>
          <w:i/>
          <w:iCs/>
        </w:rPr>
        <w:t>Expectancy Rights</w:t>
      </w:r>
      <w:r w:rsidR="00CE6AAC" w:rsidRPr="00D427D8">
        <w:rPr>
          <w:lang w:bidi="he-IL"/>
        </w:rPr>
        <w:t>) of the ER Purchase Agreement;</w:t>
      </w:r>
    </w:p>
    <w:p w14:paraId="7A396814" w14:textId="1A40ACCB" w:rsidR="009F6E91" w:rsidRPr="00D427D8" w:rsidRDefault="009F6E91" w:rsidP="005B4227">
      <w:pPr>
        <w:pStyle w:val="DefLevel1"/>
        <w:rPr>
          <w:lang w:bidi="he-IL"/>
        </w:rPr>
      </w:pPr>
      <w:r w:rsidRPr="00D427D8">
        <w:rPr>
          <w:lang w:bidi="he-IL"/>
        </w:rPr>
        <w:t>upon the occurrence of a Clean-Up Call</w:t>
      </w:r>
      <w:r w:rsidR="00CE6AAC">
        <w:rPr>
          <w:lang w:bidi="he-IL"/>
        </w:rPr>
        <w:t>, Regulatory Change Event</w:t>
      </w:r>
      <w:r w:rsidRPr="00D427D8">
        <w:rPr>
          <w:lang w:bidi="he-IL"/>
        </w:rPr>
        <w:t xml:space="preserve"> or Note Tax Event</w:t>
      </w:r>
      <w:r w:rsidR="00CE6AAC">
        <w:rPr>
          <w:lang w:bidi="he-IL"/>
        </w:rPr>
        <w:t>,</w:t>
      </w:r>
      <w:r w:rsidRPr="00D427D8">
        <w:rPr>
          <w:lang w:bidi="he-IL"/>
        </w:rPr>
        <w:t xml:space="preserve"> the Final Repurchase Price to the extent required to redeem the aggregate Principal Outstanding Notes Balance of all Notes; and</w:t>
      </w:r>
    </w:p>
    <w:p w14:paraId="075ACA78" w14:textId="77777777" w:rsidR="009F6E91" w:rsidRPr="00D427D8" w:rsidRDefault="009F6E91" w:rsidP="005B4227">
      <w:pPr>
        <w:pStyle w:val="DefLevel1"/>
        <w:rPr>
          <w:lang w:bidi="he-IL"/>
        </w:rPr>
      </w:pPr>
      <w:r w:rsidRPr="00D427D8">
        <w:rPr>
          <w:lang w:bidi="he-IL"/>
        </w:rPr>
        <w:t>any amount (other than covered by (a) through (c) above) (if any) paid to the Issuer by any other party to any transaction document which, according to such transaction document, is to be allocated to the Available Principal Distribution Amount.</w:t>
      </w:r>
    </w:p>
    <w:p w14:paraId="4116132B" w14:textId="10475B83" w:rsidR="009F6E91" w:rsidRPr="00D427D8" w:rsidRDefault="00EF7333" w:rsidP="009F6E91">
      <w:pPr>
        <w:pStyle w:val="Body2"/>
      </w:pPr>
      <w:r w:rsidRPr="00D427D8">
        <w:t>"</w:t>
      </w:r>
      <w:r w:rsidR="009F6E91" w:rsidRPr="00D427D8">
        <w:rPr>
          <w:b/>
        </w:rPr>
        <w:t>Available Principal Distribution Amount</w:t>
      </w:r>
      <w:r w:rsidRPr="00D427D8">
        <w:t>"</w:t>
      </w:r>
      <w:r w:rsidR="009F6E91" w:rsidRPr="00D427D8">
        <w:t xml:space="preserve"> has the meaning assigned to such term in the Priority of Payments Schedule.</w:t>
      </w:r>
    </w:p>
    <w:p w14:paraId="06EA2D98" w14:textId="6FC31386" w:rsidR="009F6E91" w:rsidRPr="00D427D8" w:rsidRDefault="005B4227" w:rsidP="005B4227">
      <w:pPr>
        <w:pStyle w:val="Body2"/>
        <w:rPr>
          <w:lang w:bidi="he-IL"/>
        </w:rPr>
      </w:pPr>
      <w:r w:rsidRPr="00D427D8">
        <w:rPr>
          <w:lang w:bidi="he-IL"/>
        </w:rPr>
        <w:t>"</w:t>
      </w:r>
      <w:bookmarkStart w:id="156" w:name="_Hlk85584471"/>
      <w:r w:rsidRPr="00D427D8">
        <w:rPr>
          <w:rStyle w:val="BoldText"/>
        </w:rPr>
        <w:t>B2B Lessee</w:t>
      </w:r>
      <w:bookmarkEnd w:id="156"/>
      <w:r w:rsidRPr="00D427D8">
        <w:rPr>
          <w:lang w:bidi="he-IL"/>
        </w:rPr>
        <w:t>" means a retail customer that is a natural or legal person (</w:t>
      </w:r>
      <w:r w:rsidRPr="00D427D8">
        <w:rPr>
          <w:i/>
          <w:lang w:bidi="he-IL"/>
        </w:rPr>
        <w:t>natürliche oder juristische Person</w:t>
      </w:r>
      <w:r w:rsidRPr="00D427D8">
        <w:rPr>
          <w:lang w:bidi="he-IL"/>
        </w:rPr>
        <w:t>) or a partnership with legal capacity (</w:t>
      </w:r>
      <w:r w:rsidRPr="00D427D8">
        <w:rPr>
          <w:i/>
          <w:lang w:bidi="he-IL"/>
        </w:rPr>
        <w:t>rechtsfähige Personengesellschaft</w:t>
      </w:r>
      <w:r w:rsidRPr="00D427D8">
        <w:rPr>
          <w:lang w:bidi="he-IL"/>
        </w:rPr>
        <w:t xml:space="preserve">) and that, when </w:t>
      </w:r>
      <w:r w:rsidRPr="00D427D8">
        <w:rPr>
          <w:lang w:bidi="he-IL"/>
        </w:rPr>
        <w:lastRenderedPageBreak/>
        <w:t>entering into the Lease Agreement, acted in the exercise of its trade, business or profession within the meaning of Section 14 of the German Civil Code (</w:t>
      </w:r>
      <w:r w:rsidRPr="00D427D8">
        <w:rPr>
          <w:i/>
          <w:lang w:bidi="he-IL"/>
        </w:rPr>
        <w:t>Unternehmer</w:t>
      </w:r>
      <w:r w:rsidRPr="00D427D8">
        <w:rPr>
          <w:lang w:bidi="he-IL"/>
        </w:rPr>
        <w:t>).</w:t>
      </w:r>
    </w:p>
    <w:p w14:paraId="60E3D2F2" w14:textId="53A525BC" w:rsidR="009F6E91" w:rsidRPr="00D427D8" w:rsidRDefault="005B4227" w:rsidP="005B4227">
      <w:pPr>
        <w:pStyle w:val="Body2"/>
        <w:rPr>
          <w:lang w:eastAsia="zh-CN" w:bidi="he-IL"/>
        </w:rPr>
      </w:pPr>
      <w:r w:rsidRPr="00D427D8">
        <w:rPr>
          <w:lang w:eastAsia="zh-CN" w:bidi="he-IL"/>
        </w:rPr>
        <w:t>"</w:t>
      </w:r>
      <w:r w:rsidRPr="00D427D8">
        <w:rPr>
          <w:rStyle w:val="BoldText"/>
        </w:rPr>
        <w:t>B2C Lessee</w:t>
      </w:r>
      <w:r w:rsidRPr="00D427D8">
        <w:rPr>
          <w:lang w:eastAsia="zh-CN" w:bidi="he-IL"/>
        </w:rPr>
        <w:t>" means a natural person (</w:t>
      </w:r>
      <w:r w:rsidRPr="00D427D8">
        <w:rPr>
          <w:i/>
          <w:lang w:eastAsia="zh-CN" w:bidi="he-IL"/>
        </w:rPr>
        <w:t>natürliche Person</w:t>
      </w:r>
      <w:r w:rsidRPr="00D427D8">
        <w:rPr>
          <w:lang w:eastAsia="zh-CN" w:bidi="he-IL"/>
        </w:rPr>
        <w:t>) who entered into a Lease Agreement for a purpose that is outside its trade, business or profession within the meaning of Section 13 of the German Civil Code (</w:t>
      </w:r>
      <w:r w:rsidRPr="00D427D8">
        <w:rPr>
          <w:i/>
          <w:lang w:eastAsia="zh-CN" w:bidi="he-IL"/>
        </w:rPr>
        <w:t>Verbraucher</w:t>
      </w:r>
      <w:r w:rsidRPr="00D427D8">
        <w:rPr>
          <w:lang w:eastAsia="zh-CN" w:bidi="he-IL"/>
        </w:rPr>
        <w:t>).</w:t>
      </w:r>
    </w:p>
    <w:p w14:paraId="1F2066A2" w14:textId="16EA5C1D" w:rsidR="009F6E91" w:rsidRPr="00D427D8" w:rsidRDefault="00EF7333" w:rsidP="009F6E91">
      <w:pPr>
        <w:pStyle w:val="Body2"/>
      </w:pPr>
      <w:r w:rsidRPr="00D427D8">
        <w:t>"</w:t>
      </w:r>
      <w:r w:rsidR="009F6E91" w:rsidRPr="00D427D8">
        <w:rPr>
          <w:b/>
        </w:rPr>
        <w:t>Back-up Servicer</w:t>
      </w:r>
      <w:r w:rsidRPr="00D427D8">
        <w:t>"</w:t>
      </w:r>
      <w:r w:rsidR="009F6E91" w:rsidRPr="00D427D8">
        <w:t xml:space="preserve"> means a back-up servicer which shall be nominated following the occurrence of a Servicer Default by the Issuer together with the Back-up Servicer Facilitator.</w:t>
      </w:r>
    </w:p>
    <w:p w14:paraId="390E0ABA" w14:textId="6C700E83" w:rsidR="009F6E91" w:rsidRPr="00D427D8" w:rsidRDefault="00EF7333" w:rsidP="009F6E91">
      <w:pPr>
        <w:pStyle w:val="Body2"/>
      </w:pPr>
      <w:r w:rsidRPr="00D427D8">
        <w:t>"</w:t>
      </w:r>
      <w:r w:rsidR="009F6E91" w:rsidRPr="00D427D8">
        <w:rPr>
          <w:b/>
          <w:bCs/>
        </w:rPr>
        <w:t>Back-up Servicer Facilitator</w:t>
      </w:r>
      <w:r w:rsidRPr="00D427D8">
        <w:t>"</w:t>
      </w:r>
      <w:r w:rsidR="009F6E91" w:rsidRPr="00D427D8">
        <w:t xml:space="preserve"> means CSC Administrative Services (Netherlands) B.V., Basisweg 10, 1043AP Amsterdam, Netherlands.</w:t>
      </w:r>
    </w:p>
    <w:p w14:paraId="6ABE4C0C" w14:textId="3940C480" w:rsidR="009F6E91" w:rsidRPr="00D427D8" w:rsidRDefault="00EF7333" w:rsidP="009F6E91">
      <w:pPr>
        <w:pStyle w:val="Body2"/>
      </w:pPr>
      <w:r w:rsidRPr="00D427D8">
        <w:t>"</w:t>
      </w:r>
      <w:r w:rsidR="009F6E91" w:rsidRPr="00D427D8">
        <w:rPr>
          <w:b/>
        </w:rPr>
        <w:t>Back-up Servicing Agreement</w:t>
      </w:r>
      <w:r w:rsidRPr="00D427D8">
        <w:t>"</w:t>
      </w:r>
      <w:r w:rsidR="009F6E91" w:rsidRPr="00D427D8">
        <w:t xml:space="preserve"> means a back-up servicing agreement to be entered into between the Issuer and the </w:t>
      </w:r>
      <w:r w:rsidR="009F6E91" w:rsidRPr="00D427D8">
        <w:rPr>
          <w:bCs/>
        </w:rPr>
        <w:t>Back-up</w:t>
      </w:r>
      <w:r w:rsidR="009F6E91" w:rsidRPr="00D427D8">
        <w:rPr>
          <w:b/>
        </w:rPr>
        <w:t xml:space="preserve"> </w:t>
      </w:r>
      <w:r w:rsidR="009F6E91" w:rsidRPr="00D427D8">
        <w:t>Servicer in the event that the Back-up Servicer is appointed.</w:t>
      </w:r>
    </w:p>
    <w:p w14:paraId="21785755" w14:textId="0853FF4B" w:rsidR="009F6E91" w:rsidRPr="00D427D8" w:rsidRDefault="00EF7333" w:rsidP="005B4227">
      <w:pPr>
        <w:pStyle w:val="DefHead"/>
      </w:pPr>
      <w:r w:rsidRPr="00D427D8">
        <w:t>"</w:t>
      </w:r>
      <w:r w:rsidR="009F6E91" w:rsidRPr="00D427D8">
        <w:rPr>
          <w:rStyle w:val="BoldText"/>
        </w:rPr>
        <w:t>Basic Representations</w:t>
      </w:r>
      <w:r w:rsidRPr="00D427D8">
        <w:t>"</w:t>
      </w:r>
      <w:r w:rsidR="009F6E91" w:rsidRPr="00D427D8">
        <w:t xml:space="preserve"> means that:</w:t>
      </w:r>
    </w:p>
    <w:p w14:paraId="20BB0BBB" w14:textId="7B707B20" w:rsidR="009F6E91" w:rsidRPr="00D427D8" w:rsidRDefault="009F6E91" w:rsidP="0097597D">
      <w:pPr>
        <w:pStyle w:val="DefLevel1"/>
      </w:pPr>
      <w:r w:rsidRPr="00D427D8">
        <w:t>the relevant person:</w:t>
      </w:r>
    </w:p>
    <w:p w14:paraId="42BDD315" w14:textId="28342584" w:rsidR="009F6E91" w:rsidRPr="00D427D8" w:rsidRDefault="009F6E91" w:rsidP="0097597D">
      <w:pPr>
        <w:pStyle w:val="DefLevel2"/>
      </w:pPr>
      <w:r w:rsidRPr="00D427D8">
        <w:t>is duly incorporated and validly existing in its jurisdiction of incorporation and currently has, and had at all relevant times, the power and authority to own all properties which it now owns and/or did own at the relevant times;</w:t>
      </w:r>
    </w:p>
    <w:p w14:paraId="0757B7C8" w14:textId="7390023B" w:rsidR="009F6E91" w:rsidRPr="00D427D8" w:rsidRDefault="009F6E91" w:rsidP="0097597D">
      <w:pPr>
        <w:pStyle w:val="DefLevel2"/>
      </w:pPr>
      <w:r w:rsidRPr="00D427D8">
        <w:t>has, and had at all relevant times, the power and authority to conduct its business in the manner in which it currently does and in which it did at the relevant times; and</w:t>
      </w:r>
    </w:p>
    <w:p w14:paraId="4B321D64" w14:textId="76B283FF" w:rsidR="009F6E91" w:rsidRPr="00D427D8" w:rsidRDefault="009F6E91" w:rsidP="0097597D">
      <w:pPr>
        <w:pStyle w:val="DefLevel2"/>
      </w:pPr>
      <w:r w:rsidRPr="00D427D8">
        <w:t>has the power and authority to execute and deliver the Transaction Documents to which it is a party and to carry out its terms, and the execution, delivery and performance of such Transaction Documents has been duly authorised by all necessary corporate and shareholder actions;</w:t>
      </w:r>
    </w:p>
    <w:p w14:paraId="5C9E65D6" w14:textId="4EAB7178" w:rsidR="009F6E91" w:rsidRPr="00D427D8" w:rsidRDefault="009F6E91" w:rsidP="0097597D">
      <w:pPr>
        <w:pStyle w:val="DefLevel1"/>
      </w:pPr>
      <w:r w:rsidRPr="00D427D8">
        <w:t>there are no proceedings, litigation, arbitration or, to the relevant person</w:t>
      </w:r>
      <w:r w:rsidR="00EF7333" w:rsidRPr="00D427D8">
        <w:t>'</w:t>
      </w:r>
      <w:r w:rsidRPr="00D427D8">
        <w:t>s knowledge, investigations pending, or threatened, before any court, regulatory body, administrative agency or other tribunal or governmental instrumentality having jurisdiction over the relevant person or its properties, in either case:</w:t>
      </w:r>
    </w:p>
    <w:p w14:paraId="43B59AC8" w14:textId="397EC380" w:rsidR="009F6E91" w:rsidRPr="00D427D8" w:rsidRDefault="009F6E91" w:rsidP="0097597D">
      <w:pPr>
        <w:pStyle w:val="DefLevel2"/>
      </w:pPr>
      <w:r w:rsidRPr="00D427D8">
        <w:t>asserting the invalidity of any Transaction Document to which it is a party; or</w:t>
      </w:r>
    </w:p>
    <w:p w14:paraId="28FFD4E8" w14:textId="4F1ED4B3" w:rsidR="009F6E91" w:rsidRPr="00D427D8" w:rsidRDefault="009F6E91" w:rsidP="0097597D">
      <w:pPr>
        <w:pStyle w:val="DefLevel2"/>
      </w:pPr>
      <w:r w:rsidRPr="00D427D8">
        <w:t>seeking any determination or ruling that might materially and adversely affect its ability to perform its obligations under, or the validity of, any Transaction Document to which it is a party;</w:t>
      </w:r>
    </w:p>
    <w:p w14:paraId="7997917C" w14:textId="33ECCC57" w:rsidR="009F6E91" w:rsidRPr="00D427D8" w:rsidRDefault="009F6E91" w:rsidP="0097597D">
      <w:pPr>
        <w:pStyle w:val="DefLevel1"/>
      </w:pPr>
      <w:r w:rsidRPr="00D427D8">
        <w:t>the consummation of the transactions contemplated by the Transaction Documents to which the relevant person is a party and the fulfilment of the terms of the Transaction Documents to which it is a party do not conflict with, result in any breach of any of the terms and provisions of or constitute (with or without notice or lapse of time) a default under its constitutional documents or any material indenture, agreement or other instrument to which the relevant person is a party or by which it is bound, or result in the creation or imposition of any lien upon any of its properties pursuant to the terms of any such indenture, agreement or other instrument, other than the Transaction Documents to which it is a party, or violate any law or, to the best of the relevant person</w:t>
      </w:r>
      <w:r w:rsidR="00EF7333" w:rsidRPr="00D427D8">
        <w:t>'</w:t>
      </w:r>
      <w:r w:rsidRPr="00D427D8">
        <w:t>s knowledge any order, rule or regulation applicable to the relevant person of any court or of any government or regulatory body, administrative agency or other governmental instrumentality having jurisdiction over the relevant person</w:t>
      </w:r>
      <w:r w:rsidR="00EF7333" w:rsidRPr="00D427D8">
        <w:t>'</w:t>
      </w:r>
      <w:r w:rsidRPr="00D427D8">
        <w:t>s or any of its properties;</w:t>
      </w:r>
    </w:p>
    <w:p w14:paraId="46B52DA5" w14:textId="04513F08" w:rsidR="009F6E91" w:rsidRPr="00D427D8" w:rsidRDefault="009F6E91" w:rsidP="0097597D">
      <w:pPr>
        <w:pStyle w:val="DefLevel1"/>
      </w:pPr>
      <w:r w:rsidRPr="00D427D8">
        <w:t>the relevant person is duly qualified to do business and has obtained and complied with all necessary licenses, authorisations, consents, permits and approvals in all jurisdictions in which the ownership or lease of property or the conduct of its business requires such qualification; and</w:t>
      </w:r>
    </w:p>
    <w:p w14:paraId="2FA4E67D" w14:textId="16694DF8" w:rsidR="009F6E91" w:rsidRPr="00D427D8" w:rsidRDefault="009F6E91" w:rsidP="0097597D">
      <w:pPr>
        <w:pStyle w:val="DefLevel1"/>
      </w:pPr>
      <w:r w:rsidRPr="00D427D8">
        <w:lastRenderedPageBreak/>
        <w:t>the Transaction Documents to which the relevant person is a party constitutes the legal, valid and binding obligation of it, enforceable in accordance with their terms, except as enforceability may be limited by bankruptcy, insolvency, reorganisation or other similar laws affecting the enforcement of creditors</w:t>
      </w:r>
      <w:r w:rsidR="00EF7333" w:rsidRPr="00D427D8">
        <w:t>'</w:t>
      </w:r>
      <w:r w:rsidRPr="00D427D8">
        <w:t xml:space="preserve"> rights in general.</w:t>
      </w:r>
    </w:p>
    <w:p w14:paraId="642B1131" w14:textId="16F8953D" w:rsidR="009F6E91" w:rsidRPr="00D427D8" w:rsidRDefault="00EF7333" w:rsidP="0097597D">
      <w:pPr>
        <w:pStyle w:val="DefHead"/>
      </w:pPr>
      <w:r w:rsidRPr="00D427D8">
        <w:t>"</w:t>
      </w:r>
      <w:r w:rsidR="009F6E91" w:rsidRPr="00D427D8">
        <w:rPr>
          <w:rStyle w:val="BoldText"/>
        </w:rPr>
        <w:t>Basic Terms Modification</w:t>
      </w:r>
      <w:r w:rsidRPr="00D427D8">
        <w:t>"</w:t>
      </w:r>
      <w:r w:rsidR="009F6E91" w:rsidRPr="00D427D8">
        <w:t xml:space="preserve"> means any modification to, consent or waiver under the Transaction Documents which would have the effect of:</w:t>
      </w:r>
    </w:p>
    <w:p w14:paraId="633F5F16" w14:textId="5D99DD4B" w:rsidR="009F6E91" w:rsidRPr="00D427D8" w:rsidRDefault="009F6E91" w:rsidP="0097597D">
      <w:pPr>
        <w:pStyle w:val="DefLevel1"/>
      </w:pPr>
      <w:r w:rsidRPr="00D427D8">
        <w:t>modifying any provision relating to (i) any date fixed for payment of principal or interest in respect of the Notes of any Class or (ii) the amount of principal or interest due on any date in respect of the Notes of any Class or (iii) the method of calculating the amount of any payment in respect of the Notes of any Class; or</w:t>
      </w:r>
    </w:p>
    <w:p w14:paraId="112FCA7A" w14:textId="72CB6447" w:rsidR="009F6E91" w:rsidRPr="00D427D8" w:rsidRDefault="009F6E91" w:rsidP="0097597D">
      <w:pPr>
        <w:pStyle w:val="DefLevel1"/>
      </w:pPr>
      <w:r w:rsidRPr="00D427D8">
        <w:t>altering the method of calculating the amount of any payment (including the priority of payment) in respect of the Notes of any Class or the date for any such payment; or</w:t>
      </w:r>
    </w:p>
    <w:p w14:paraId="71776AFB" w14:textId="7FD2F66B" w:rsidR="009F6E91" w:rsidRPr="00D427D8" w:rsidRDefault="009F6E91" w:rsidP="0097597D">
      <w:pPr>
        <w:pStyle w:val="DefLevel1"/>
      </w:pPr>
      <w:r w:rsidRPr="00D427D8">
        <w:t>altering the Interest Priority of Payments, the Principal Priority of Payments or the Accelerated Priority of Payments or of any payment items in the Priority of Payments; or</w:t>
      </w:r>
    </w:p>
    <w:p w14:paraId="0D501606" w14:textId="5B44662C" w:rsidR="009F6E91" w:rsidRPr="00D427D8" w:rsidRDefault="009F6E91" w:rsidP="0097597D">
      <w:pPr>
        <w:pStyle w:val="DefLevel1"/>
      </w:pPr>
      <w:r w:rsidRPr="00D427D8">
        <w:t>altering the quorum or majority required at any General Meeting or the majority required to pass an Extraordinary Resolution; or</w:t>
      </w:r>
    </w:p>
    <w:p w14:paraId="54699AF4" w14:textId="6A109733" w:rsidR="009F6E91" w:rsidRPr="00D427D8" w:rsidRDefault="009F6E91" w:rsidP="0097597D">
      <w:pPr>
        <w:pStyle w:val="DefLevel1"/>
      </w:pPr>
      <w:r w:rsidRPr="00D427D8">
        <w:t>modifying the provisions concerning the quorum required at any General Meeting of Noteholders or the minimum percentage required to pass a Resolution or any other provision of the Conditions which requires the written consent of the Noteholders of a requisite aggregate Principal Outstanding Notes Balance of the Notes of any Class outstanding; or</w:t>
      </w:r>
    </w:p>
    <w:p w14:paraId="726A5403" w14:textId="19856AFA" w:rsidR="009F6E91" w:rsidRPr="00D427D8" w:rsidRDefault="009F6E91" w:rsidP="0097597D">
      <w:pPr>
        <w:pStyle w:val="DefLevel1"/>
      </w:pPr>
      <w:r w:rsidRPr="00D427D8">
        <w:t>any item requiring approval by Extraordinary Resolution pursuant to the Conditions or any Transaction Document; or</w:t>
      </w:r>
    </w:p>
    <w:p w14:paraId="7425DAF7" w14:textId="1309BBF8" w:rsidR="009F6E91" w:rsidRPr="00D427D8" w:rsidRDefault="009F6E91" w:rsidP="0097597D">
      <w:pPr>
        <w:pStyle w:val="DefLevel1"/>
      </w:pPr>
      <w:r w:rsidRPr="00D427D8">
        <w:t xml:space="preserve">amending the definition of a </w:t>
      </w:r>
      <w:r w:rsidR="00EF7333" w:rsidRPr="00D427D8">
        <w:t>"</w:t>
      </w:r>
      <w:r w:rsidRPr="00D427D8">
        <w:t>Basic Terms Modification</w:t>
      </w:r>
      <w:r w:rsidR="00EF7333" w:rsidRPr="00D427D8">
        <w:t>"</w:t>
      </w:r>
      <w:r w:rsidRPr="00D427D8">
        <w:t>.</w:t>
      </w:r>
    </w:p>
    <w:p w14:paraId="6B4E3AE0" w14:textId="7845E03D" w:rsidR="009F6E91" w:rsidRPr="00D427D8" w:rsidRDefault="0097597D" w:rsidP="0097597D">
      <w:pPr>
        <w:pStyle w:val="Body2"/>
      </w:pPr>
      <w:r w:rsidRPr="00D427D8">
        <w:t>For the avoidance of doubt, the approval of a Basic Terms Modification may only be made by Extraordinary Resolution and no Extraordinary Resolution involving a Basic Terms Modification that is passed by Noteholders of one Class of Notes shall be effective unless it is sanctioned by an Extraordinary Resolution of each of the other Classes of Notes affected.</w:t>
      </w:r>
    </w:p>
    <w:p w14:paraId="33359B09" w14:textId="7F8034B3" w:rsidR="009F6E91" w:rsidRPr="00D427D8" w:rsidRDefault="0097597D" w:rsidP="0097597D">
      <w:pPr>
        <w:pStyle w:val="Body2"/>
      </w:pPr>
      <w:r w:rsidRPr="00D427D8">
        <w:t>"</w:t>
      </w:r>
      <w:r w:rsidRPr="00D427D8">
        <w:rPr>
          <w:rStyle w:val="BoldText"/>
        </w:rPr>
        <w:t>Benchmark Event</w:t>
      </w:r>
      <w:r w:rsidRPr="00D427D8">
        <w:t>" means (i) any permanent and final termination of the determination, provision or publication of the EURIBOR by the European Money Markets Institute in circumstances where no successor administrator exists, or any other permanent and final discontinuation of the existence of the EURIBOR and (ii) the applicability of any law or any other legal provision, or of any administrative or judicial order, decree or other binding measure, pursuant to which the EURIBOR may no longer be used as a reference rate to determine the payment obligations under the Notes, or pursuant to which any such use is subject to not only immaterial restrictions or adverse consequences.</w:t>
      </w:r>
    </w:p>
    <w:p w14:paraId="2A898542" w14:textId="059D86D1" w:rsidR="009F6E91" w:rsidRPr="00D427D8" w:rsidRDefault="00EF7333" w:rsidP="009F6E91">
      <w:pPr>
        <w:pStyle w:val="Body2"/>
        <w:rPr>
          <w:lang w:val="de-DE"/>
        </w:rPr>
      </w:pPr>
      <w:r w:rsidRPr="00D427D8">
        <w:rPr>
          <w:lang w:val="de-DE"/>
        </w:rPr>
        <w:t>"</w:t>
      </w:r>
      <w:r w:rsidR="009F6E91" w:rsidRPr="00D427D8">
        <w:rPr>
          <w:b/>
          <w:lang w:val="de-DE"/>
        </w:rPr>
        <w:t>BGB</w:t>
      </w:r>
      <w:r w:rsidRPr="00D427D8">
        <w:rPr>
          <w:lang w:val="de-DE"/>
        </w:rPr>
        <w:t>"</w:t>
      </w:r>
      <w:r w:rsidR="009F6E91" w:rsidRPr="00D427D8">
        <w:rPr>
          <w:lang w:val="de-DE"/>
        </w:rPr>
        <w:t xml:space="preserve"> means the German Civil Code (</w:t>
      </w:r>
      <w:r w:rsidR="009F6E91" w:rsidRPr="00D427D8">
        <w:rPr>
          <w:i/>
          <w:lang w:val="de-DE"/>
        </w:rPr>
        <w:t>Bürgerliches Gesetzbuch</w:t>
      </w:r>
      <w:r w:rsidR="009F6E91" w:rsidRPr="00D427D8">
        <w:rPr>
          <w:lang w:val="de-DE"/>
        </w:rPr>
        <w:t>).</w:t>
      </w:r>
    </w:p>
    <w:p w14:paraId="78C9F869" w14:textId="257D426C" w:rsidR="009F6E91" w:rsidRPr="00D427D8" w:rsidRDefault="00EF7333" w:rsidP="009F6E91">
      <w:pPr>
        <w:pStyle w:val="Body2"/>
      </w:pPr>
      <w:r w:rsidRPr="00D427D8">
        <w:t>"</w:t>
      </w:r>
      <w:r w:rsidR="009F6E91" w:rsidRPr="00D427D8">
        <w:rPr>
          <w:b/>
        </w:rPr>
        <w:t>BNP Group</w:t>
      </w:r>
      <w:r w:rsidRPr="00D427D8">
        <w:t>"</w:t>
      </w:r>
      <w:r w:rsidR="009F6E91" w:rsidRPr="00D427D8">
        <w:t xml:space="preserve"> means BNP Paribas </w:t>
      </w:r>
      <w:r w:rsidR="009F6E91" w:rsidRPr="00D427D8">
        <w:rPr>
          <w:lang w:val="en-US"/>
        </w:rPr>
        <w:t xml:space="preserve">and each company which forms part of its group within the meaning of </w:t>
      </w:r>
      <w:r w:rsidR="009F6E91" w:rsidRPr="00D427D8">
        <w:t>article L. 233-3 of the French Commercial Code.</w:t>
      </w:r>
    </w:p>
    <w:p w14:paraId="774BC043" w14:textId="7DD8F98C" w:rsidR="009F6E91" w:rsidRPr="00D427D8" w:rsidRDefault="00EF7333" w:rsidP="009F6E91">
      <w:pPr>
        <w:pStyle w:val="Body2"/>
      </w:pPr>
      <w:r w:rsidRPr="00D427D8">
        <w:t>"</w:t>
      </w:r>
      <w:r w:rsidR="009F6E91" w:rsidRPr="00D427D8">
        <w:rPr>
          <w:b/>
        </w:rPr>
        <w:t>Business Day</w:t>
      </w:r>
      <w:r w:rsidRPr="00D427D8">
        <w:t>"</w:t>
      </w:r>
      <w:r w:rsidR="009F6E91" w:rsidRPr="00D427D8">
        <w:t xml:space="preserve"> means any day on which the T2 SYSTEM is open for settlement of payments in EUR and which is not a Saturday, a Sunday or any other day on which banks in Frankfurt, Paris, London or Luxembourg may, or are required to, remain closed.</w:t>
      </w:r>
    </w:p>
    <w:p w14:paraId="301BCEBD" w14:textId="61A13BA8" w:rsidR="009F6E91" w:rsidRPr="00D427D8" w:rsidRDefault="00EF7333" w:rsidP="009F6E91">
      <w:pPr>
        <w:pStyle w:val="Body2"/>
        <w:rPr>
          <w:lang w:val="fr-FR"/>
        </w:rPr>
      </w:pPr>
      <w:r w:rsidRPr="00D427D8">
        <w:rPr>
          <w:lang w:val="fr-FR"/>
        </w:rPr>
        <w:t>"</w:t>
      </w:r>
      <w:r w:rsidR="009F6E91" w:rsidRPr="00D427D8">
        <w:rPr>
          <w:b/>
          <w:bCs/>
          <w:lang w:val="fr-FR"/>
        </w:rPr>
        <w:t>Calculation Agent</w:t>
      </w:r>
      <w:r w:rsidRPr="00D427D8">
        <w:rPr>
          <w:lang w:val="fr-FR"/>
        </w:rPr>
        <w:t>"</w:t>
      </w:r>
      <w:r w:rsidR="009F6E91" w:rsidRPr="00D427D8">
        <w:rPr>
          <w:lang w:val="fr-FR"/>
        </w:rPr>
        <w:t xml:space="preserve"> means France Titrisation, 1, boulevard des Haussmann, 75009 Paris, France (business address : 9, rue du Débarcadère, 93500).</w:t>
      </w:r>
    </w:p>
    <w:p w14:paraId="35D70100" w14:textId="53E15126" w:rsidR="009F6E91" w:rsidRPr="00D427D8" w:rsidRDefault="0097597D" w:rsidP="0097597D">
      <w:pPr>
        <w:pStyle w:val="Body2"/>
        <w:rPr>
          <w:lang w:bidi="he-IL"/>
        </w:rPr>
      </w:pPr>
      <w:r w:rsidRPr="00D427D8">
        <w:rPr>
          <w:lang w:bidi="he-IL"/>
        </w:rPr>
        <w:t>"</w:t>
      </w:r>
      <w:r w:rsidRPr="00D427D8">
        <w:rPr>
          <w:rStyle w:val="BoldText"/>
        </w:rPr>
        <w:t>Car Dealer</w:t>
      </w:r>
      <w:r w:rsidRPr="00D427D8">
        <w:rPr>
          <w:lang w:bidi="he-IL"/>
        </w:rPr>
        <w:t>" means an independent car dealer being authorised Stellantis Bank (including representatives) in Germany which has entered into a Leased Vehicle Put Option with the Seller.</w:t>
      </w:r>
    </w:p>
    <w:p w14:paraId="144E3CC3" w14:textId="2574C9C7" w:rsidR="009F6E91" w:rsidRPr="00D427D8" w:rsidRDefault="00EF7333" w:rsidP="009F6E91">
      <w:pPr>
        <w:pStyle w:val="Body2"/>
      </w:pPr>
      <w:r w:rsidRPr="00D427D8">
        <w:t>"</w:t>
      </w:r>
      <w:r w:rsidR="009F6E91" w:rsidRPr="00D427D8">
        <w:rPr>
          <w:b/>
        </w:rPr>
        <w:t>Class A Noteholder</w:t>
      </w:r>
      <w:r w:rsidRPr="00D427D8">
        <w:t>"</w:t>
      </w:r>
      <w:r w:rsidR="009F6E91" w:rsidRPr="00D427D8">
        <w:t xml:space="preserve"> means any holder of any Class A Note.</w:t>
      </w:r>
    </w:p>
    <w:p w14:paraId="187DBD90" w14:textId="46A199FE" w:rsidR="009F6E91" w:rsidRPr="00D427D8" w:rsidRDefault="00EF7333" w:rsidP="009F6E91">
      <w:pPr>
        <w:pStyle w:val="Body2"/>
      </w:pPr>
      <w:bookmarkStart w:id="157" w:name="_Hlk197448515"/>
      <w:r w:rsidRPr="00D427D8">
        <w:t>"</w:t>
      </w:r>
      <w:r w:rsidR="009F6E91" w:rsidRPr="00D427D8">
        <w:rPr>
          <w:b/>
        </w:rPr>
        <w:t>Class A Notes</w:t>
      </w:r>
      <w:r w:rsidRPr="00D427D8">
        <w:t>"</w:t>
      </w:r>
      <w:r w:rsidR="009F6E91" w:rsidRPr="00D427D8">
        <w:t xml:space="preserve"> means the EUR </w:t>
      </w:r>
      <w:r w:rsidR="00526BA1">
        <w:t>717,500,000</w:t>
      </w:r>
      <w:r w:rsidR="00526BA1" w:rsidRPr="00D427D8">
        <w:t xml:space="preserve"> </w:t>
      </w:r>
      <w:r w:rsidR="009F6E91" w:rsidRPr="00D427D8">
        <w:t xml:space="preserve">class A asset-backed floating rate notes due </w:t>
      </w:r>
      <w:r w:rsidR="00526BA1">
        <w:t>2034</w:t>
      </w:r>
      <w:r w:rsidR="00526BA1" w:rsidRPr="00D427D8">
        <w:t>.</w:t>
      </w:r>
    </w:p>
    <w:bookmarkEnd w:id="157"/>
    <w:p w14:paraId="2ADE040C" w14:textId="34AE3412" w:rsidR="009F6E91" w:rsidRPr="00D427D8" w:rsidRDefault="00EF7333" w:rsidP="009F6E91">
      <w:pPr>
        <w:pStyle w:val="Body2"/>
      </w:pPr>
      <w:r w:rsidRPr="00D427D8">
        <w:lastRenderedPageBreak/>
        <w:t>"</w:t>
      </w:r>
      <w:r w:rsidR="009F6E91" w:rsidRPr="00D427D8">
        <w:rPr>
          <w:b/>
        </w:rPr>
        <w:t>Class A Notes Interest Amount</w:t>
      </w:r>
      <w:r w:rsidRPr="00D427D8">
        <w:t>"</w:t>
      </w:r>
      <w:r w:rsidR="009F6E91" w:rsidRPr="00D427D8">
        <w:t xml:space="preserve"> means on each Distribution Date and with respect to each Class A Note:</w:t>
      </w:r>
      <w:r w:rsidR="009F6E91" w:rsidRPr="00D427D8" w:rsidDel="00631B5E">
        <w:t xml:space="preserve"> </w:t>
      </w:r>
      <w:r w:rsidR="009F6E91" w:rsidRPr="00D427D8">
        <w:t xml:space="preserve">the amount of interest payable to the Class A Noteholders on such Distribution Date as calculated by the Calculation Agent as follows: the product (rounding the resultant figure to the lower cent) of (i) the Class A Notes Interest Rate, (ii) the Principal Outstanding Notes Balance of a Class A Note as of the preceding Distribution Date, and (iii) the actual number of days in the relevant Interest Period divided by 360) (see </w:t>
      </w:r>
      <w:r w:rsidRPr="00D427D8">
        <w:t>"</w:t>
      </w:r>
      <w:r w:rsidR="009F6E91" w:rsidRPr="00D427D8">
        <w:t>TERMS AND CONDITIONS OF THE NOTES – Condition 6 (</w:t>
      </w:r>
      <w:r w:rsidR="009F6E91" w:rsidRPr="00D427D8">
        <w:rPr>
          <w:i/>
        </w:rPr>
        <w:t>Interest</w:t>
      </w:r>
      <w:r w:rsidR="009F6E91" w:rsidRPr="00D427D8">
        <w:t>)</w:t>
      </w:r>
      <w:r w:rsidRPr="00D427D8">
        <w:t>"</w:t>
      </w:r>
      <w:r w:rsidR="009F6E91" w:rsidRPr="00D427D8">
        <w:t>).</w:t>
      </w:r>
    </w:p>
    <w:p w14:paraId="224E05D2" w14:textId="1159AA25" w:rsidR="009F6E91" w:rsidRPr="00D427D8" w:rsidRDefault="00EF7333" w:rsidP="009F6E91">
      <w:pPr>
        <w:pStyle w:val="Body2"/>
      </w:pPr>
      <w:r w:rsidRPr="00D427D8">
        <w:t>"</w:t>
      </w:r>
      <w:r w:rsidR="009F6E91" w:rsidRPr="00D427D8">
        <w:rPr>
          <w:b/>
        </w:rPr>
        <w:t>Class A Notes Interest Rate</w:t>
      </w:r>
      <w:r w:rsidRPr="00D427D8">
        <w:t>"</w:t>
      </w:r>
      <w:r w:rsidR="009F6E91" w:rsidRPr="00D427D8">
        <w:t xml:space="preserve"> means, with respect to the Class A Notes, an annual interest rate equal to the sum of 1-Month EURIBOR plus the Relevant Margin subject to a minimum interest rate of 0.00 per cent. per annum.</w:t>
      </w:r>
    </w:p>
    <w:p w14:paraId="26420B61" w14:textId="30139D12" w:rsidR="009F6E91" w:rsidRPr="00D427D8" w:rsidRDefault="00EF7333" w:rsidP="009F6E91">
      <w:pPr>
        <w:pStyle w:val="Body2"/>
      </w:pPr>
      <w:r w:rsidRPr="00D427D8">
        <w:t>"</w:t>
      </w:r>
      <w:r w:rsidR="009F6E91" w:rsidRPr="00D427D8">
        <w:rPr>
          <w:b/>
        </w:rPr>
        <w:t>Class A Notes Principal Payment</w:t>
      </w:r>
      <w:r w:rsidRPr="00D427D8">
        <w:t>"</w:t>
      </w:r>
      <w:r w:rsidR="009F6E91" w:rsidRPr="00D427D8">
        <w:t xml:space="preserve"> means the principal amount payable with respect to a Class A Note on each Distribution Date as calculated by the Calculation Agent as set out in the section </w:t>
      </w:r>
      <w:r w:rsidRPr="00D427D8">
        <w:t>"</w:t>
      </w:r>
      <w:r w:rsidR="009F6E91" w:rsidRPr="00D427D8">
        <w:t xml:space="preserve">TERMS AND CONDITIONS OF THE NOTES – Condition </w:t>
      </w:r>
      <w:bookmarkStart w:id="158" w:name="_Hlk141962325"/>
      <w:r w:rsidR="009F6E91" w:rsidRPr="00D427D8">
        <w:t>7</w:t>
      </w:r>
      <w:bookmarkEnd w:id="158"/>
      <w:r w:rsidR="009F6E91" w:rsidRPr="00D427D8">
        <w:t xml:space="preserve"> (</w:t>
      </w:r>
      <w:r w:rsidR="009F6E91" w:rsidRPr="00D427D8">
        <w:rPr>
          <w:i/>
        </w:rPr>
        <w:t>Redemption</w:t>
      </w:r>
      <w:r w:rsidR="009F6E91" w:rsidRPr="00D427D8">
        <w:t>)</w:t>
      </w:r>
      <w:r w:rsidRPr="00D427D8">
        <w:t>"</w:t>
      </w:r>
      <w:r w:rsidR="009F6E91" w:rsidRPr="00D427D8">
        <w:t>.</w:t>
      </w:r>
    </w:p>
    <w:p w14:paraId="4EBB43A8" w14:textId="73D47E9A" w:rsidR="009F6E91" w:rsidRPr="00D427D8" w:rsidRDefault="00EF7333" w:rsidP="0097597D">
      <w:pPr>
        <w:pStyle w:val="DefHead"/>
      </w:pPr>
      <w:r w:rsidRPr="00D427D8">
        <w:t>"</w:t>
      </w:r>
      <w:r w:rsidR="009F6E91" w:rsidRPr="00D427D8">
        <w:rPr>
          <w:rStyle w:val="BoldText"/>
        </w:rPr>
        <w:t>Class A Notes Redemption Amount</w:t>
      </w:r>
      <w:r w:rsidRPr="00D427D8">
        <w:t>"</w:t>
      </w:r>
      <w:r w:rsidR="009F6E91" w:rsidRPr="00D427D8">
        <w:t xml:space="preserve"> means:</w:t>
      </w:r>
    </w:p>
    <w:p w14:paraId="011F5F73" w14:textId="104751FD" w:rsidR="009F6E91" w:rsidRPr="00D427D8" w:rsidRDefault="009F6E91" w:rsidP="0097597D">
      <w:pPr>
        <w:pStyle w:val="DefLevel1"/>
      </w:pPr>
      <w:r w:rsidRPr="00D427D8">
        <w:t>with respect to each Distribution Date during the Revolving Period, zero;</w:t>
      </w:r>
    </w:p>
    <w:p w14:paraId="2B9D62F8" w14:textId="1B210A17" w:rsidR="009F6E91" w:rsidRPr="00D427D8" w:rsidRDefault="009F6E91" w:rsidP="0097597D">
      <w:pPr>
        <w:pStyle w:val="DefLevel1"/>
      </w:pPr>
      <w:r w:rsidRPr="00D427D8">
        <w:t>with respect to each Distribution Date during the Normal Amortisation Period and prior to the occurrence of a Sequential Redemption Event on the corresponding Determination Date, the minimum between:</w:t>
      </w:r>
    </w:p>
    <w:p w14:paraId="4FEA93AB" w14:textId="6CD2B0A4" w:rsidR="009F6E91" w:rsidRPr="00D427D8" w:rsidRDefault="009F6E91" w:rsidP="0097597D">
      <w:pPr>
        <w:pStyle w:val="DefLevel2"/>
      </w:pPr>
      <w:r w:rsidRPr="00D427D8">
        <w:t>the Required Notes Redemption Amount as determined on the immediately following Distribution Date;</w:t>
      </w:r>
    </w:p>
    <w:p w14:paraId="752FE8B6" w14:textId="69CF66B5" w:rsidR="009F6E91" w:rsidRPr="00D427D8" w:rsidRDefault="009F6E91" w:rsidP="0097597D">
      <w:pPr>
        <w:pStyle w:val="DefLevel2"/>
      </w:pPr>
      <w:r w:rsidRPr="00D427D8">
        <w:t>the positive difference between:</w:t>
      </w:r>
    </w:p>
    <w:p w14:paraId="49FF91B1" w14:textId="221223E7" w:rsidR="009F6E91" w:rsidRPr="00D427D8" w:rsidRDefault="009F6E91" w:rsidP="0097597D">
      <w:pPr>
        <w:pStyle w:val="DefLevel3"/>
      </w:pPr>
      <w:r w:rsidRPr="00D427D8">
        <w:t>the aggregate Principal Outstanding Notes Balance of the Class A Notes on the immediately preceding Distribution Date after giving effect to any payment of the Class A Notes Redemption Amount in accordance with item fourth (4th) of the Principal Priority of Payments; and</w:t>
      </w:r>
    </w:p>
    <w:p w14:paraId="6C850BA4" w14:textId="2CF8119D" w:rsidR="009F6E91" w:rsidRPr="00D427D8" w:rsidRDefault="009F6E91" w:rsidP="0097597D">
      <w:pPr>
        <w:pStyle w:val="DefLevel3"/>
      </w:pPr>
      <w:r w:rsidRPr="00D427D8">
        <w:t>the Class A Notes Target Principal Balance;</w:t>
      </w:r>
    </w:p>
    <w:p w14:paraId="471C7256" w14:textId="5D8CCA27" w:rsidR="009F6E91" w:rsidRPr="00D427D8" w:rsidRDefault="009F6E91" w:rsidP="00560450">
      <w:pPr>
        <w:pStyle w:val="DefLevel1"/>
      </w:pPr>
      <w:r w:rsidRPr="00D427D8">
        <w:t>with respect to each Distribution Date during the Normal Amortisation Period after the occurrence of a Sequential Redemption Event and for so long as the Class A Notes are the Most Senior Class of Notes, the minimum between:</w:t>
      </w:r>
    </w:p>
    <w:p w14:paraId="295B2C7A" w14:textId="54A41395" w:rsidR="009F6E91" w:rsidRPr="00D427D8" w:rsidRDefault="009F6E91" w:rsidP="00560450">
      <w:pPr>
        <w:pStyle w:val="DefLevel2"/>
      </w:pPr>
      <w:r w:rsidRPr="00D427D8">
        <w:t>the Required Notes Redemption Amount as determined on the immediately following Distribution Date;</w:t>
      </w:r>
    </w:p>
    <w:p w14:paraId="29C618FE" w14:textId="35900F33" w:rsidR="009F6E91" w:rsidRPr="00D427D8" w:rsidRDefault="009F6E91" w:rsidP="00560450">
      <w:pPr>
        <w:pStyle w:val="DefLevel2"/>
      </w:pPr>
      <w:r w:rsidRPr="00D427D8">
        <w:t>the aggregate Principal Outstanding Notes Balance of the Class A Notes on the immediately preceding Distribution Date after giving effect to any payment of the Class A Notes Redemption Amount in accordance with item fourth (4th) of the Principal Priority of Payments;</w:t>
      </w:r>
    </w:p>
    <w:p w14:paraId="2FB9857E" w14:textId="7D34240A" w:rsidR="009F6E91" w:rsidRPr="00D427D8" w:rsidRDefault="009F6E91" w:rsidP="00560450">
      <w:pPr>
        <w:pStyle w:val="DefLevel1"/>
      </w:pPr>
      <w:r w:rsidRPr="00D427D8">
        <w:t>with respect to each Distribution Date during the Accelerated Amortisation Period, the then aggregate Principal Outstanding Notes Balance of the Class A Notes, to the extent there are sufficient funds in the Available Distribution Amount.</w:t>
      </w:r>
    </w:p>
    <w:p w14:paraId="7B42F59B" w14:textId="31AC581E" w:rsidR="009F6E91" w:rsidRPr="00D427D8" w:rsidRDefault="00EF7333" w:rsidP="009F6E91">
      <w:pPr>
        <w:pStyle w:val="Body2"/>
      </w:pPr>
      <w:r w:rsidRPr="00D427D8">
        <w:t>"</w:t>
      </w:r>
      <w:r w:rsidR="009F6E91" w:rsidRPr="00D427D8">
        <w:rPr>
          <w:rStyle w:val="BoldText"/>
        </w:rPr>
        <w:t>Class A Notes Subordination Percentage</w:t>
      </w:r>
      <w:r w:rsidRPr="00D427D8">
        <w:t>"</w:t>
      </w:r>
      <w:r w:rsidR="009F6E91" w:rsidRPr="00D427D8">
        <w:t xml:space="preserve"> means </w:t>
      </w:r>
      <w:r w:rsidR="00CB16CF" w:rsidRPr="00CB16CF">
        <w:t xml:space="preserve">28.25 </w:t>
      </w:r>
      <w:r w:rsidR="009F6E91" w:rsidRPr="00D427D8">
        <w:t>per cent.</w:t>
      </w:r>
    </w:p>
    <w:p w14:paraId="52D53C69" w14:textId="62E6A685" w:rsidR="009F6E91" w:rsidRPr="00D427D8" w:rsidRDefault="00EF7333" w:rsidP="00560450">
      <w:pPr>
        <w:pStyle w:val="DefHead"/>
      </w:pPr>
      <w:r w:rsidRPr="00D427D8">
        <w:t>"</w:t>
      </w:r>
      <w:r w:rsidR="009F6E91" w:rsidRPr="00D427D8">
        <w:rPr>
          <w:b/>
          <w:bCs/>
        </w:rPr>
        <w:t>Class A Notes Target Principal Balance</w:t>
      </w:r>
      <w:r w:rsidRPr="00D427D8">
        <w:t>"</w:t>
      </w:r>
      <w:r w:rsidR="009F6E91" w:rsidRPr="00D427D8">
        <w:t xml:space="preserve"> means, with respect to any Distribution Date during the Normal Amortisation Period and prior to the occurrence of a Sequential Redemption Event, the positive difference between:</w:t>
      </w:r>
    </w:p>
    <w:p w14:paraId="597B60C9" w14:textId="545786B9" w:rsidR="009F6E91" w:rsidRPr="00D427D8" w:rsidRDefault="009F6E91" w:rsidP="00560450">
      <w:pPr>
        <w:pStyle w:val="DefLevel1"/>
      </w:pPr>
      <w:r w:rsidRPr="00D427D8">
        <w:t>the Aggregate Discounted Asset Balance as at the relevant Determination Date;</w:t>
      </w:r>
    </w:p>
    <w:p w14:paraId="6D3CD449" w14:textId="3CD8410C" w:rsidR="009F6E91" w:rsidRPr="00D427D8" w:rsidRDefault="009F6E91" w:rsidP="00560450">
      <w:pPr>
        <w:pStyle w:val="DefLevel1"/>
      </w:pPr>
      <w:r w:rsidRPr="00D427D8">
        <w:t>minus the Class A Notes Target Subordination Amount.</w:t>
      </w:r>
    </w:p>
    <w:p w14:paraId="51A8E97B" w14:textId="79CD3F7C" w:rsidR="009F6E91" w:rsidRPr="00D427D8" w:rsidRDefault="00EF7333" w:rsidP="00560450">
      <w:pPr>
        <w:pStyle w:val="DefHead"/>
      </w:pPr>
      <w:r w:rsidRPr="00D427D8">
        <w:lastRenderedPageBreak/>
        <w:t>"</w:t>
      </w:r>
      <w:r w:rsidR="009F6E91" w:rsidRPr="00D427D8">
        <w:rPr>
          <w:rStyle w:val="BoldText"/>
        </w:rPr>
        <w:t>Class A Notes Target Subordination Amount</w:t>
      </w:r>
      <w:r w:rsidRPr="00D427D8">
        <w:t>"</w:t>
      </w:r>
      <w:r w:rsidR="009F6E91" w:rsidRPr="00D427D8">
        <w:t xml:space="preserve"> means, with respect to any Distribution Date during the Normal Amortisation Period and prior to the occurrence of a Sequential Redemption Event, the product of:</w:t>
      </w:r>
    </w:p>
    <w:p w14:paraId="5812025A" w14:textId="4F443B08" w:rsidR="009F6E91" w:rsidRPr="00D427D8" w:rsidRDefault="009F6E91" w:rsidP="00560450">
      <w:pPr>
        <w:pStyle w:val="DefLevel1"/>
      </w:pPr>
      <w:r w:rsidRPr="00D427D8">
        <w:t>the Class A Notes Subordination Percentage with respect to such Distribution Date, by</w:t>
      </w:r>
    </w:p>
    <w:p w14:paraId="45F11B66" w14:textId="07997B4D" w:rsidR="009F6E91" w:rsidRPr="00D427D8" w:rsidRDefault="009F6E91" w:rsidP="00560450">
      <w:pPr>
        <w:pStyle w:val="DefLevel1"/>
      </w:pPr>
      <w:r w:rsidRPr="00D427D8">
        <w:t>the Aggregate Discounted Asset Balance as at the relevant Determination Date.</w:t>
      </w:r>
    </w:p>
    <w:p w14:paraId="4DB4F6B0" w14:textId="3744C766" w:rsidR="009F6E91" w:rsidRPr="00D427D8" w:rsidRDefault="00EF7333" w:rsidP="009F6E91">
      <w:pPr>
        <w:pStyle w:val="Body2"/>
      </w:pPr>
      <w:r w:rsidRPr="00D427D8">
        <w:t>"</w:t>
      </w:r>
      <w:r w:rsidR="009F6E91" w:rsidRPr="00D427D8">
        <w:rPr>
          <w:b/>
        </w:rPr>
        <w:t>Class A Principal Deficiency Sub-Ledger</w:t>
      </w:r>
      <w:r w:rsidRPr="00D427D8">
        <w:t>"</w:t>
      </w:r>
      <w:r w:rsidR="009F6E91" w:rsidRPr="00D427D8">
        <w:t xml:space="preserve"> means the sub-ledger of the Principal Deficiency Ledger established by  the Issuer in respect of the Class A Notes in order to record as debits Default Amounts and the application of the Available Distribution Amount to pay any Interest Deficiency on a Distribution Date.</w:t>
      </w:r>
    </w:p>
    <w:p w14:paraId="3268A796" w14:textId="6AC7E080" w:rsidR="009F6E91" w:rsidRPr="00D427D8" w:rsidRDefault="00EF7333" w:rsidP="009F6E91">
      <w:pPr>
        <w:pStyle w:val="Body2"/>
      </w:pPr>
      <w:r w:rsidRPr="00D427D8">
        <w:t>"</w:t>
      </w:r>
      <w:r w:rsidR="009F6E91" w:rsidRPr="00D427D8">
        <w:rPr>
          <w:b/>
        </w:rPr>
        <w:t>Class B Noteholder</w:t>
      </w:r>
      <w:r w:rsidRPr="00D427D8">
        <w:t>"</w:t>
      </w:r>
      <w:r w:rsidR="009F6E91" w:rsidRPr="00D427D8">
        <w:t xml:space="preserve"> means any holder of any Class B Note.</w:t>
      </w:r>
    </w:p>
    <w:p w14:paraId="73F203AD" w14:textId="75E004AB" w:rsidR="009F6E91" w:rsidRPr="00D427D8" w:rsidRDefault="00EF7333" w:rsidP="009F6E91">
      <w:pPr>
        <w:pStyle w:val="Body2"/>
      </w:pPr>
      <w:r w:rsidRPr="00D427D8">
        <w:t>"</w:t>
      </w:r>
      <w:r w:rsidR="009F6E91" w:rsidRPr="00D427D8">
        <w:rPr>
          <w:b/>
        </w:rPr>
        <w:t>Class B Notes</w:t>
      </w:r>
      <w:r w:rsidRPr="00D427D8">
        <w:t>"</w:t>
      </w:r>
      <w:r w:rsidR="009F6E91" w:rsidRPr="00D427D8">
        <w:t xml:space="preserve"> means the EUR </w:t>
      </w:r>
      <w:r w:rsidR="00526BA1">
        <w:t>57,500,000</w:t>
      </w:r>
      <w:r w:rsidR="00526BA1" w:rsidRPr="00D427D8">
        <w:t xml:space="preserve"> </w:t>
      </w:r>
      <w:r w:rsidR="009F6E91" w:rsidRPr="00D427D8">
        <w:t xml:space="preserve">class B asset-backed floating rate notes due </w:t>
      </w:r>
      <w:r w:rsidR="00526BA1">
        <w:t>2034</w:t>
      </w:r>
      <w:r w:rsidR="00526BA1" w:rsidRPr="00D427D8">
        <w:t>.</w:t>
      </w:r>
    </w:p>
    <w:p w14:paraId="2683EA0D" w14:textId="63FF04EE" w:rsidR="009F6E91" w:rsidRPr="00D427D8" w:rsidRDefault="00EF7333" w:rsidP="00560450">
      <w:pPr>
        <w:pStyle w:val="DefHead"/>
      </w:pPr>
      <w:r w:rsidRPr="00D427D8">
        <w:t>"</w:t>
      </w:r>
      <w:r w:rsidR="009F6E91" w:rsidRPr="00D427D8">
        <w:rPr>
          <w:rStyle w:val="BoldText"/>
        </w:rPr>
        <w:t>Class B Notes Deferred Interest</w:t>
      </w:r>
      <w:r w:rsidRPr="00D427D8">
        <w:t>"</w:t>
      </w:r>
      <w:r w:rsidR="009F6E91" w:rsidRPr="00D427D8">
        <w:t xml:space="preserve"> means, in relation to a Distribution Date, the difference between:</w:t>
      </w:r>
    </w:p>
    <w:p w14:paraId="2DB6C546" w14:textId="261BE0D6" w:rsidR="009F6E91" w:rsidRPr="00D427D8" w:rsidRDefault="009F6E91" w:rsidP="00560450">
      <w:pPr>
        <w:pStyle w:val="DefLevel1"/>
      </w:pPr>
      <w:r w:rsidRPr="00D427D8">
        <w:t>the Class B Notes Interest Amount due and payable on the relevant Distribution Date; and</w:t>
      </w:r>
    </w:p>
    <w:p w14:paraId="57BACC05" w14:textId="168D3D7F" w:rsidR="009F6E91" w:rsidRPr="00D427D8" w:rsidRDefault="009F6E91" w:rsidP="00560450">
      <w:pPr>
        <w:pStyle w:val="DefLevel1"/>
      </w:pPr>
      <w:r w:rsidRPr="00D427D8">
        <w:t>the amount of interest actually paid in relation to a Class B Note with respect to such Class B Notes Interest Amount.</w:t>
      </w:r>
    </w:p>
    <w:p w14:paraId="3431C17F" w14:textId="77DCE1BB" w:rsidR="009F6E91" w:rsidRPr="00D427D8" w:rsidRDefault="00EF7333" w:rsidP="00560450">
      <w:pPr>
        <w:pStyle w:val="DefHead"/>
      </w:pPr>
      <w:r w:rsidRPr="00D427D8">
        <w:t>"</w:t>
      </w:r>
      <w:r w:rsidR="009F6E91" w:rsidRPr="00D427D8">
        <w:rPr>
          <w:rStyle w:val="BoldText"/>
        </w:rPr>
        <w:t>Class B Notes Interest Amount</w:t>
      </w:r>
      <w:r w:rsidRPr="00D427D8">
        <w:t>"</w:t>
      </w:r>
      <w:r w:rsidR="009F6E91" w:rsidRPr="00D427D8">
        <w:t xml:space="preserve"> means on each Distribution Date and with respect to each Class B Note:</w:t>
      </w:r>
    </w:p>
    <w:p w14:paraId="73D8EB44" w14:textId="0300EA5A" w:rsidR="009F6E91" w:rsidRPr="00D427D8" w:rsidRDefault="009F6E91" w:rsidP="00560450">
      <w:pPr>
        <w:pStyle w:val="DefLevel1"/>
      </w:pPr>
      <w:r w:rsidRPr="00D427D8">
        <w:t xml:space="preserve">the amount of interest payable to the Class B Noteholders on such Distribution Date as calculated by the </w:t>
      </w:r>
      <w:bookmarkStart w:id="159" w:name="_Hlk141897074"/>
      <w:r w:rsidRPr="00D427D8">
        <w:t xml:space="preserve">Calculation Agent </w:t>
      </w:r>
      <w:bookmarkEnd w:id="159"/>
      <w:r w:rsidRPr="00D427D8">
        <w:t xml:space="preserve">as follows: the product (rounding the resultant figure to the lower cent) of (i) the Class B Notes Interest Rate, (ii) the Principal Outstanding Notes Balance of a Class B Note as of the preceding Distribution Date, and (iii) the actual number of days in the relevant Interest Period divided by 360) (see </w:t>
      </w:r>
      <w:r w:rsidR="00EF7333" w:rsidRPr="00D427D8">
        <w:t>"</w:t>
      </w:r>
      <w:r w:rsidRPr="00D427D8">
        <w:t>TERMS AND CONDITIONS OF THE NOTES – Condition 6 (</w:t>
      </w:r>
      <w:r w:rsidRPr="00D427D8">
        <w:rPr>
          <w:rStyle w:val="ItalicText"/>
        </w:rPr>
        <w:t>Interest</w:t>
      </w:r>
      <w:r w:rsidRPr="00D427D8">
        <w:t>)</w:t>
      </w:r>
      <w:r w:rsidR="00EF7333" w:rsidRPr="00D427D8">
        <w:t>"</w:t>
      </w:r>
      <w:r w:rsidRPr="00D427D8">
        <w:t>); and</w:t>
      </w:r>
    </w:p>
    <w:p w14:paraId="63C69081" w14:textId="2D07226B" w:rsidR="009F6E91" w:rsidRPr="00D427D8" w:rsidRDefault="009F6E91" w:rsidP="00560450">
      <w:pPr>
        <w:pStyle w:val="DefLevel1"/>
      </w:pPr>
      <w:r w:rsidRPr="00D427D8">
        <w:t>any Class B Notes Deferred Interest (if any) remaining unpaid,</w:t>
      </w:r>
    </w:p>
    <w:p w14:paraId="53A287FE" w14:textId="77777777" w:rsidR="009F6E91" w:rsidRPr="00D427D8" w:rsidRDefault="009F6E91" w:rsidP="009F6E91">
      <w:pPr>
        <w:pStyle w:val="Body2"/>
      </w:pPr>
      <w:r w:rsidRPr="00D427D8">
        <w:t>provided that the Issuer shall always pay the amount referred to item (b) in priority to the amount referred to in item (a).</w:t>
      </w:r>
    </w:p>
    <w:p w14:paraId="1D480107" w14:textId="4CD3F9C8" w:rsidR="009F6E91" w:rsidRPr="00D427D8" w:rsidRDefault="00EF7333" w:rsidP="009F6E91">
      <w:pPr>
        <w:pStyle w:val="Body2"/>
      </w:pPr>
      <w:r w:rsidRPr="00D427D8">
        <w:t>"</w:t>
      </w:r>
      <w:r w:rsidR="009F6E91" w:rsidRPr="00D427D8">
        <w:rPr>
          <w:b/>
        </w:rPr>
        <w:t>Class B Notes Interest Rate</w:t>
      </w:r>
      <w:r w:rsidRPr="00D427D8">
        <w:t>"</w:t>
      </w:r>
      <w:r w:rsidR="009F6E91" w:rsidRPr="00D427D8">
        <w:t xml:space="preserve"> means, with respect to the Class B Notes, an annual interest rate equal to the sum of 1-Month EURIBOR plus the Relevant Margin subject to a minimum interest rate of 0.00 per cent. per annum.</w:t>
      </w:r>
    </w:p>
    <w:p w14:paraId="6E5C36A4" w14:textId="307BFA69" w:rsidR="009F6E91" w:rsidRPr="00D427D8" w:rsidRDefault="00EF7333" w:rsidP="009F6E91">
      <w:pPr>
        <w:pStyle w:val="Body2"/>
      </w:pPr>
      <w:r w:rsidRPr="00D427D8">
        <w:t>"</w:t>
      </w:r>
      <w:r w:rsidR="009F6E91" w:rsidRPr="00D427D8">
        <w:rPr>
          <w:b/>
        </w:rPr>
        <w:t>Class B Notes Principal Payment</w:t>
      </w:r>
      <w:r w:rsidRPr="00D427D8">
        <w:t>"</w:t>
      </w:r>
      <w:r w:rsidR="009F6E91" w:rsidRPr="00D427D8">
        <w:t xml:space="preserve"> means the principal amount payable with respect to a Class B Note on each Distribution Date as calculated by the Calculation Agent as set out in the section </w:t>
      </w:r>
      <w:r w:rsidRPr="00D427D8">
        <w:t>"</w:t>
      </w:r>
      <w:r w:rsidR="009F6E91" w:rsidRPr="00D427D8">
        <w:t xml:space="preserve">TERMS AND CONDITIONS OF THE NOTES – Condition </w:t>
      </w:r>
      <w:bookmarkStart w:id="160" w:name="_Hlk141962517"/>
      <w:r w:rsidR="009F6E91" w:rsidRPr="00D427D8">
        <w:t>7</w:t>
      </w:r>
      <w:bookmarkEnd w:id="160"/>
      <w:r w:rsidR="009F6E91" w:rsidRPr="00D427D8">
        <w:t xml:space="preserve"> (</w:t>
      </w:r>
      <w:r w:rsidR="009F6E91" w:rsidRPr="00D427D8">
        <w:rPr>
          <w:i/>
        </w:rPr>
        <w:t>Redemption</w:t>
      </w:r>
      <w:r w:rsidR="009F6E91" w:rsidRPr="00D427D8">
        <w:t>)</w:t>
      </w:r>
      <w:r w:rsidRPr="00D427D8">
        <w:t>"</w:t>
      </w:r>
      <w:r w:rsidR="009F6E91" w:rsidRPr="00D427D8">
        <w:t>.</w:t>
      </w:r>
    </w:p>
    <w:p w14:paraId="62A92E42" w14:textId="71173615" w:rsidR="009F6E91" w:rsidRPr="00D427D8" w:rsidRDefault="00EF7333" w:rsidP="00560450">
      <w:pPr>
        <w:pStyle w:val="DefHead"/>
      </w:pPr>
      <w:r w:rsidRPr="00D427D8">
        <w:t>"</w:t>
      </w:r>
      <w:r w:rsidR="009F6E91" w:rsidRPr="00D427D8">
        <w:rPr>
          <w:rStyle w:val="BoldText"/>
        </w:rPr>
        <w:t>Class B Notes Redemption Amount</w:t>
      </w:r>
      <w:r w:rsidRPr="00D427D8">
        <w:t>"</w:t>
      </w:r>
      <w:r w:rsidR="009F6E91" w:rsidRPr="00D427D8">
        <w:t xml:space="preserve"> means:</w:t>
      </w:r>
    </w:p>
    <w:p w14:paraId="0F607D69" w14:textId="05C03765" w:rsidR="009F6E91" w:rsidRPr="00D427D8" w:rsidRDefault="009F6E91" w:rsidP="00560450">
      <w:pPr>
        <w:pStyle w:val="DefLevel1"/>
      </w:pPr>
      <w:r w:rsidRPr="00D427D8">
        <w:t>with respect to each Distribution Date during the Revolving Period, zero;</w:t>
      </w:r>
    </w:p>
    <w:p w14:paraId="03B7DA0C" w14:textId="3A19CCF9" w:rsidR="009F6E91" w:rsidRPr="00D427D8" w:rsidRDefault="009F6E91" w:rsidP="00560450">
      <w:pPr>
        <w:pStyle w:val="DefLevel1"/>
      </w:pPr>
      <w:r w:rsidRPr="00D427D8">
        <w:t>with respect to each Distribution Date during the Normal Amortisation Period and prior to the occurrence of a Sequential Redemption Event on the corresponding Determination Date, the minimum between:</w:t>
      </w:r>
    </w:p>
    <w:p w14:paraId="3F34BAFA" w14:textId="72A3E9B9" w:rsidR="009F6E91" w:rsidRPr="00D427D8" w:rsidRDefault="009F6E91" w:rsidP="00560450">
      <w:pPr>
        <w:pStyle w:val="DefLevel2"/>
      </w:pPr>
      <w:r w:rsidRPr="00D427D8">
        <w:t>the Required Notes Redemption Amount as determined on the immediately following Distribution Date;</w:t>
      </w:r>
    </w:p>
    <w:p w14:paraId="64F5E0A2" w14:textId="154A4204" w:rsidR="009F6E91" w:rsidRPr="00D427D8" w:rsidRDefault="009F6E91" w:rsidP="00560450">
      <w:pPr>
        <w:pStyle w:val="DefLevel2"/>
      </w:pPr>
      <w:r w:rsidRPr="00D427D8">
        <w:t>the positive difference between:</w:t>
      </w:r>
    </w:p>
    <w:p w14:paraId="47B7A28F" w14:textId="43C86C75" w:rsidR="009F6E91" w:rsidRPr="00D427D8" w:rsidRDefault="009F6E91" w:rsidP="003A1FA3">
      <w:pPr>
        <w:pStyle w:val="DefLevel3"/>
      </w:pPr>
      <w:r w:rsidRPr="00D427D8">
        <w:t xml:space="preserve">the aggregate Principal Outstanding Notes Balance of the Class B Notes on the immediately preceding Distribution Date after giving effect to any </w:t>
      </w:r>
      <w:r w:rsidRPr="00D427D8">
        <w:lastRenderedPageBreak/>
        <w:t>payment of the Class B Notes Redemption Amount in accordance with item fifth (5th) of the Principal Priority of Payments; and</w:t>
      </w:r>
    </w:p>
    <w:p w14:paraId="6AE41D84" w14:textId="7AF595B9" w:rsidR="009F6E91" w:rsidRPr="00D427D8" w:rsidRDefault="009F6E91" w:rsidP="003A1FA3">
      <w:pPr>
        <w:pStyle w:val="DefLevel3"/>
      </w:pPr>
      <w:r w:rsidRPr="00D427D8">
        <w:t>the Class B Notes Target Principal Balance;</w:t>
      </w:r>
    </w:p>
    <w:p w14:paraId="4C4D3B6D" w14:textId="0AD9378A" w:rsidR="009F6E91" w:rsidRPr="00D427D8" w:rsidRDefault="009F6E91" w:rsidP="00560450">
      <w:pPr>
        <w:pStyle w:val="DefLevel1"/>
      </w:pPr>
      <w:r w:rsidRPr="00D427D8">
        <w:t>with respect to each Distribution Date during the Normal Amortisation Period after the occurrence of a Sequential Redemption Event and for so long as the Class B Notes are the Most Senior Class of Notes, the minimum between:</w:t>
      </w:r>
    </w:p>
    <w:p w14:paraId="49EDA2C8" w14:textId="5CD344D4" w:rsidR="009F6E91" w:rsidRPr="00D427D8" w:rsidRDefault="009F6E91" w:rsidP="00560450">
      <w:pPr>
        <w:pStyle w:val="DefLevel2"/>
      </w:pPr>
      <w:r w:rsidRPr="00D427D8">
        <w:t>the Required Notes Redemption Amount as determined on the immediately following Distribution Date;</w:t>
      </w:r>
    </w:p>
    <w:p w14:paraId="3C8AB8DC" w14:textId="30046DC1" w:rsidR="009F6E91" w:rsidRPr="00D427D8" w:rsidRDefault="009F6E91" w:rsidP="00560450">
      <w:pPr>
        <w:pStyle w:val="DefLevel2"/>
      </w:pPr>
      <w:r w:rsidRPr="00D427D8">
        <w:t>the aggregate Principal Outstanding Notes Balance of the Class B Notes on the immediately preceding Distribution Date after giving effect to any payment of the Class B Notes Redemption Amount in accordance with item fifth (5th) of the Principal Priority of Payments,</w:t>
      </w:r>
    </w:p>
    <w:p w14:paraId="30E2A079" w14:textId="77777777" w:rsidR="009F6E91" w:rsidRPr="00D427D8" w:rsidRDefault="009F6E91" w:rsidP="009F6E91">
      <w:pPr>
        <w:pStyle w:val="Body3"/>
      </w:pPr>
      <w:r w:rsidRPr="00D427D8">
        <w:t>provided that so long as the Class B Notes are not the Most Senior Class of Notes, the Class B Notes Redemption Amount shall be equal to zero;</w:t>
      </w:r>
    </w:p>
    <w:p w14:paraId="0132FF8D" w14:textId="4A345CC2" w:rsidR="009F6E91" w:rsidRPr="00D427D8" w:rsidRDefault="009F6E91" w:rsidP="00560450">
      <w:pPr>
        <w:pStyle w:val="DefLevel1"/>
      </w:pPr>
      <w:r w:rsidRPr="00D427D8">
        <w:t>with respect to each Distribution Date during the Accelerated Amortisation Period, the then aggregate Principal Outstanding Notes Balance of the Class B Notes, to the extent there are sufficient funds in the Available Distribution Amount.</w:t>
      </w:r>
    </w:p>
    <w:p w14:paraId="1C82838A" w14:textId="7B333CE6" w:rsidR="009F6E91" w:rsidRPr="00D427D8" w:rsidRDefault="00EF7333" w:rsidP="009F6E91">
      <w:pPr>
        <w:pStyle w:val="Body2"/>
      </w:pPr>
      <w:r w:rsidRPr="00D427D8">
        <w:t>"</w:t>
      </w:r>
      <w:r w:rsidR="009F6E91" w:rsidRPr="00D427D8">
        <w:rPr>
          <w:rStyle w:val="BoldText"/>
        </w:rPr>
        <w:t>Class B Notes Subordination Percentage</w:t>
      </w:r>
      <w:r w:rsidRPr="00D427D8">
        <w:t>"</w:t>
      </w:r>
      <w:r w:rsidR="009F6E91" w:rsidRPr="00D427D8">
        <w:t xml:space="preserve"> means </w:t>
      </w:r>
      <w:r w:rsidR="00CB16CF" w:rsidRPr="00CB16CF">
        <w:t xml:space="preserve">22.50 </w:t>
      </w:r>
      <w:r w:rsidR="009F6E91" w:rsidRPr="00D427D8">
        <w:t>per cent.</w:t>
      </w:r>
    </w:p>
    <w:p w14:paraId="55FD0B44" w14:textId="1647AF97" w:rsidR="009F6E91" w:rsidRPr="00D427D8" w:rsidRDefault="00EF7333" w:rsidP="003A1FA3">
      <w:pPr>
        <w:pStyle w:val="DefHead"/>
      </w:pPr>
      <w:r w:rsidRPr="00D427D8">
        <w:t>"</w:t>
      </w:r>
      <w:r w:rsidR="009F6E91" w:rsidRPr="00D427D8">
        <w:rPr>
          <w:b/>
          <w:bCs/>
        </w:rPr>
        <w:t>Class B Notes Target Principal Balance</w:t>
      </w:r>
      <w:r w:rsidRPr="00D427D8">
        <w:t>"</w:t>
      </w:r>
      <w:r w:rsidR="009F6E91" w:rsidRPr="00D427D8">
        <w:t xml:space="preserve"> means, with respect to any Distribution Date during the Normal Amortisation Period and prior to the occurrence of a Sequential Redemption Event, the positive difference between:</w:t>
      </w:r>
    </w:p>
    <w:p w14:paraId="67A615A4" w14:textId="55D75E16" w:rsidR="009F6E91" w:rsidRPr="00D427D8" w:rsidRDefault="009F6E91" w:rsidP="003A1FA3">
      <w:pPr>
        <w:pStyle w:val="DefLevel1"/>
      </w:pPr>
      <w:r w:rsidRPr="00D427D8">
        <w:t>the Aggregate Discounted Asset Balance as at the relevant Determination Date;</w:t>
      </w:r>
    </w:p>
    <w:p w14:paraId="69992651" w14:textId="42414324" w:rsidR="009F6E91" w:rsidRPr="00D427D8" w:rsidRDefault="009F6E91" w:rsidP="003A1FA3">
      <w:pPr>
        <w:pStyle w:val="DefLevel1"/>
      </w:pPr>
      <w:r w:rsidRPr="00D427D8">
        <w:t>minus the Class A Notes Target Principal Balance; and</w:t>
      </w:r>
    </w:p>
    <w:p w14:paraId="335FE74A" w14:textId="5CB98B0D" w:rsidR="009F6E91" w:rsidRPr="00D427D8" w:rsidRDefault="009F6E91" w:rsidP="003A1FA3">
      <w:pPr>
        <w:pStyle w:val="DefLevel1"/>
      </w:pPr>
      <w:r w:rsidRPr="00D427D8">
        <w:t>minus the Class B Notes Target Subordination Amount.</w:t>
      </w:r>
    </w:p>
    <w:p w14:paraId="0138D103" w14:textId="32DE15A0" w:rsidR="009F6E91" w:rsidRPr="00D427D8" w:rsidRDefault="00EF7333" w:rsidP="003A1FA3">
      <w:pPr>
        <w:pStyle w:val="DefHead"/>
      </w:pPr>
      <w:r w:rsidRPr="00D427D8">
        <w:t>"</w:t>
      </w:r>
      <w:r w:rsidR="009F6E91" w:rsidRPr="00D427D8">
        <w:rPr>
          <w:rStyle w:val="BoldText"/>
        </w:rPr>
        <w:t>Class B</w:t>
      </w:r>
      <w:r w:rsidR="009F6E91" w:rsidRPr="00D427D8">
        <w:t xml:space="preserve"> </w:t>
      </w:r>
      <w:r w:rsidR="009F6E91" w:rsidRPr="00D427D8">
        <w:rPr>
          <w:rStyle w:val="BoldText"/>
        </w:rPr>
        <w:t>Notes Target Subordination Amount</w:t>
      </w:r>
      <w:r w:rsidRPr="00D427D8">
        <w:t>"</w:t>
      </w:r>
      <w:r w:rsidR="009F6E91" w:rsidRPr="00D427D8">
        <w:t xml:space="preserve"> means, with respect to any Distribution Date during the Normal Amortisation Period and prior to the occurrence of a Sequential Redemption Event, the product of:</w:t>
      </w:r>
    </w:p>
    <w:p w14:paraId="7BB70C5F" w14:textId="55185CCB" w:rsidR="009F6E91" w:rsidRPr="00D427D8" w:rsidRDefault="009F6E91" w:rsidP="003A1FA3">
      <w:pPr>
        <w:pStyle w:val="DefLevel1"/>
      </w:pPr>
      <w:r w:rsidRPr="00D427D8">
        <w:t>the Class B Notes Subordination Percentage with respect to such Distribution Date, by</w:t>
      </w:r>
    </w:p>
    <w:p w14:paraId="38627FC4" w14:textId="22ACC73E" w:rsidR="009F6E91" w:rsidRPr="00D427D8" w:rsidRDefault="009F6E91" w:rsidP="003A1FA3">
      <w:pPr>
        <w:pStyle w:val="DefLevel1"/>
      </w:pPr>
      <w:r w:rsidRPr="00D427D8">
        <w:t>the Aggregate Discounted Asset Balance as at the relevant Determination Date.</w:t>
      </w:r>
    </w:p>
    <w:p w14:paraId="35CC4CC2" w14:textId="484D9A61" w:rsidR="009F6E91" w:rsidRPr="00D427D8" w:rsidRDefault="00EF7333" w:rsidP="009F6E91">
      <w:pPr>
        <w:pStyle w:val="Body2"/>
      </w:pPr>
      <w:r w:rsidRPr="00D427D8">
        <w:t>"</w:t>
      </w:r>
      <w:r w:rsidR="009F6E91" w:rsidRPr="00D427D8">
        <w:rPr>
          <w:b/>
        </w:rPr>
        <w:t>Class B Principal Deficiency Sub-Ledger</w:t>
      </w:r>
      <w:r w:rsidRPr="00D427D8">
        <w:t>"</w:t>
      </w:r>
      <w:r w:rsidR="009F6E91" w:rsidRPr="00D427D8">
        <w:t xml:space="preserve"> means the sub-ledger of the Principal Deficiency Ledger established by the Issuer in respect of the Class B Notes in order to record as debits Default Amounts and the application of the Available Distribution Amount to pay any Interest Deficiency on a Distribution Date.</w:t>
      </w:r>
    </w:p>
    <w:p w14:paraId="79A97E0C" w14:textId="0FCEE084" w:rsidR="009F6E91" w:rsidRPr="00D427D8" w:rsidRDefault="00EF7333" w:rsidP="009F6E91">
      <w:pPr>
        <w:pStyle w:val="Body2"/>
      </w:pPr>
      <w:r w:rsidRPr="00D427D8">
        <w:t>"</w:t>
      </w:r>
      <w:r w:rsidR="009F6E91" w:rsidRPr="00D427D8">
        <w:rPr>
          <w:b/>
        </w:rPr>
        <w:t>Class C Noteholder</w:t>
      </w:r>
      <w:r w:rsidRPr="00D427D8">
        <w:t>"</w:t>
      </w:r>
      <w:r w:rsidR="009F6E91" w:rsidRPr="00D427D8">
        <w:t xml:space="preserve"> means any holder of any Class C Note.</w:t>
      </w:r>
    </w:p>
    <w:p w14:paraId="76558ED0" w14:textId="1F230CA0" w:rsidR="009F6E91" w:rsidRPr="00D427D8" w:rsidRDefault="00EF7333" w:rsidP="009F6E91">
      <w:pPr>
        <w:pStyle w:val="Body2"/>
      </w:pPr>
      <w:r w:rsidRPr="00D427D8">
        <w:t>"</w:t>
      </w:r>
      <w:r w:rsidR="009F6E91" w:rsidRPr="00D427D8">
        <w:rPr>
          <w:b/>
        </w:rPr>
        <w:t>Class C Notes</w:t>
      </w:r>
      <w:r w:rsidRPr="00D427D8">
        <w:t>"</w:t>
      </w:r>
      <w:r w:rsidR="009F6E91" w:rsidRPr="00D427D8">
        <w:t xml:space="preserve"> means the EUR </w:t>
      </w:r>
      <w:r w:rsidR="00526BA1">
        <w:t>55,</w:t>
      </w:r>
      <w:r w:rsidR="00C9516B">
        <w:t>0</w:t>
      </w:r>
      <w:r w:rsidR="00526BA1">
        <w:t>00,000</w:t>
      </w:r>
      <w:r w:rsidR="00526BA1" w:rsidRPr="00D427D8">
        <w:t xml:space="preserve"> </w:t>
      </w:r>
      <w:r w:rsidR="009F6E91" w:rsidRPr="00D427D8">
        <w:t xml:space="preserve">class C asset-backed floating rate notes due </w:t>
      </w:r>
      <w:r w:rsidR="00526BA1">
        <w:t>2034</w:t>
      </w:r>
      <w:r w:rsidR="00526BA1" w:rsidRPr="00D427D8">
        <w:t>.</w:t>
      </w:r>
    </w:p>
    <w:p w14:paraId="4B54B686" w14:textId="6ECC0632" w:rsidR="009F6E91" w:rsidRPr="00D427D8" w:rsidRDefault="00EF7333" w:rsidP="003A1FA3">
      <w:pPr>
        <w:pStyle w:val="DefHead"/>
      </w:pPr>
      <w:r w:rsidRPr="00D427D8">
        <w:t>"</w:t>
      </w:r>
      <w:r w:rsidR="009F6E91" w:rsidRPr="00D427D8">
        <w:rPr>
          <w:rStyle w:val="BoldText"/>
        </w:rPr>
        <w:t>Class C Notes Deferred Interest</w:t>
      </w:r>
      <w:r w:rsidRPr="00D427D8">
        <w:t>"</w:t>
      </w:r>
      <w:r w:rsidR="009F6E91" w:rsidRPr="00D427D8">
        <w:t xml:space="preserve"> means, in relation to a Distribution Date, the difference between:</w:t>
      </w:r>
    </w:p>
    <w:p w14:paraId="0BEB215A" w14:textId="596453CA" w:rsidR="009F6E91" w:rsidRPr="00D427D8" w:rsidRDefault="009F6E91" w:rsidP="003A1FA3">
      <w:pPr>
        <w:pStyle w:val="DefLevel1"/>
      </w:pPr>
      <w:r w:rsidRPr="00D427D8">
        <w:t>the Class C Notes Interest Amount due and payable on the relevant Distribution Date; and</w:t>
      </w:r>
    </w:p>
    <w:p w14:paraId="566B3809" w14:textId="78EF440C" w:rsidR="009F6E91" w:rsidRPr="00D427D8" w:rsidRDefault="009F6E91" w:rsidP="003A1FA3">
      <w:pPr>
        <w:pStyle w:val="DefLevel1"/>
      </w:pPr>
      <w:r w:rsidRPr="00D427D8">
        <w:t>the amount of interest actually paid in relation to a Class C Note with respect to such Class C Notes Interest Amount.</w:t>
      </w:r>
    </w:p>
    <w:p w14:paraId="6A518FE7" w14:textId="2D4FD77C" w:rsidR="009F6E91" w:rsidRPr="00D427D8" w:rsidRDefault="00EF7333" w:rsidP="003A1FA3">
      <w:pPr>
        <w:pStyle w:val="DefHead"/>
      </w:pPr>
      <w:r w:rsidRPr="00D427D8">
        <w:t>"</w:t>
      </w:r>
      <w:r w:rsidR="009F6E91" w:rsidRPr="00D427D8">
        <w:rPr>
          <w:rStyle w:val="BoldText"/>
        </w:rPr>
        <w:t>Class C Notes Interest Amount</w:t>
      </w:r>
      <w:r w:rsidRPr="00D427D8">
        <w:t>"</w:t>
      </w:r>
      <w:r w:rsidR="009F6E91" w:rsidRPr="00D427D8">
        <w:t xml:space="preserve"> means on each Distribution Date and with respect to each Class C Note:</w:t>
      </w:r>
    </w:p>
    <w:p w14:paraId="560A7A91" w14:textId="4EEFB2AC" w:rsidR="009F6E91" w:rsidRPr="00D427D8" w:rsidRDefault="009F6E91" w:rsidP="003A1FA3">
      <w:pPr>
        <w:pStyle w:val="DefLevel1"/>
      </w:pPr>
      <w:r w:rsidRPr="00D427D8">
        <w:lastRenderedPageBreak/>
        <w:t xml:space="preserve">the amount of interest payable to the Class C Noteholders on such Distribution Date as calculated by the Calculation Agent as follows: the product (rounding the resultant figure to the lower cent) of (i) the Class C Notes Interest Rate, (ii) the Principal Outstanding Notes Balance of a Class C Note as of the preceding Distribution Date, and (iii) the actual number of days in the relevant Interest Period divided by 360) (see </w:t>
      </w:r>
      <w:r w:rsidR="00EF7333" w:rsidRPr="00D427D8">
        <w:t>"</w:t>
      </w:r>
      <w:r w:rsidRPr="00D427D8">
        <w:t>TERMS AND CONDITIONS OF THE NOTES – Condition 6 (Interest)</w:t>
      </w:r>
      <w:r w:rsidR="00EF7333" w:rsidRPr="00D427D8">
        <w:t>"</w:t>
      </w:r>
      <w:r w:rsidRPr="00D427D8">
        <w:t>); and</w:t>
      </w:r>
    </w:p>
    <w:p w14:paraId="6B0CEADC" w14:textId="7417C5DF" w:rsidR="009F6E91" w:rsidRPr="00D427D8" w:rsidRDefault="009F6E91" w:rsidP="003A1FA3">
      <w:pPr>
        <w:pStyle w:val="DefLevel1"/>
      </w:pPr>
      <w:r w:rsidRPr="00D427D8">
        <w:t>any Class C Notes Deferred Interest (if any) remaining unpaid,</w:t>
      </w:r>
    </w:p>
    <w:p w14:paraId="699AE01F" w14:textId="77777777" w:rsidR="009F6E91" w:rsidRPr="00D427D8" w:rsidRDefault="009F6E91" w:rsidP="009F6E91">
      <w:pPr>
        <w:pStyle w:val="Body2"/>
      </w:pPr>
      <w:r w:rsidRPr="00D427D8">
        <w:t>provided that the Issuer shall always pay the amount referred to item (b) in priority to the amount referred to in item (a).</w:t>
      </w:r>
    </w:p>
    <w:p w14:paraId="7594FC2C" w14:textId="3D945EDB" w:rsidR="009F6E91" w:rsidRPr="00D427D8" w:rsidRDefault="00EF7333" w:rsidP="009F6E91">
      <w:pPr>
        <w:pStyle w:val="Body2"/>
      </w:pPr>
      <w:r w:rsidRPr="00D427D8">
        <w:t>"</w:t>
      </w:r>
      <w:r w:rsidR="009F6E91" w:rsidRPr="00D427D8">
        <w:rPr>
          <w:b/>
        </w:rPr>
        <w:t>Class C Notes Interest Rate</w:t>
      </w:r>
      <w:r w:rsidRPr="00D427D8">
        <w:t>"</w:t>
      </w:r>
      <w:r w:rsidR="009F6E91" w:rsidRPr="00D427D8">
        <w:t xml:space="preserve"> means, with respect to the Class C Notes, an annual interest rate equal to the sum of 1-Month EURIBOR plus the Relevant Margin subject to a minimum interest rate of 0.00 per cent. per annum.</w:t>
      </w:r>
    </w:p>
    <w:p w14:paraId="6F9B07F0" w14:textId="1503C329" w:rsidR="009F6E91" w:rsidRPr="00D427D8" w:rsidRDefault="00EF7333" w:rsidP="009F6E91">
      <w:pPr>
        <w:pStyle w:val="Body2"/>
      </w:pPr>
      <w:r w:rsidRPr="00D427D8">
        <w:t>"</w:t>
      </w:r>
      <w:r w:rsidR="009F6E91" w:rsidRPr="00D427D8">
        <w:rPr>
          <w:b/>
        </w:rPr>
        <w:t>Class C Notes Principal Payment</w:t>
      </w:r>
      <w:r w:rsidRPr="00D427D8">
        <w:t>"</w:t>
      </w:r>
      <w:r w:rsidR="009F6E91" w:rsidRPr="00D427D8">
        <w:t xml:space="preserve"> means the principal amount payable with respect to a Class C Note on each Distribution Date as calculated by the Calculation Agent as set out in the section </w:t>
      </w:r>
      <w:r w:rsidRPr="00D427D8">
        <w:t>"</w:t>
      </w:r>
      <w:r w:rsidR="009F6E91" w:rsidRPr="00D427D8">
        <w:t>TERMS AND CONDITIONS OF THE NOTES – Condition 7 (</w:t>
      </w:r>
      <w:r w:rsidR="009F6E91" w:rsidRPr="00D427D8">
        <w:rPr>
          <w:i/>
        </w:rPr>
        <w:t>Redemption</w:t>
      </w:r>
      <w:r w:rsidR="009F6E91" w:rsidRPr="00D427D8">
        <w:t>)</w:t>
      </w:r>
      <w:r w:rsidRPr="00D427D8">
        <w:t>"</w:t>
      </w:r>
      <w:r w:rsidR="009F6E91" w:rsidRPr="00D427D8">
        <w:t>.</w:t>
      </w:r>
    </w:p>
    <w:p w14:paraId="298C6804" w14:textId="422A05BB" w:rsidR="009F6E91" w:rsidRPr="00D427D8" w:rsidRDefault="00EF7333" w:rsidP="003A1FA3">
      <w:pPr>
        <w:pStyle w:val="DefHead"/>
      </w:pPr>
      <w:r w:rsidRPr="00D427D8">
        <w:t>"</w:t>
      </w:r>
      <w:r w:rsidR="009F6E91" w:rsidRPr="00D427D8">
        <w:rPr>
          <w:rStyle w:val="BoldText"/>
        </w:rPr>
        <w:t>Class C Notes Redemption Amount</w:t>
      </w:r>
      <w:r w:rsidRPr="00D427D8">
        <w:t>"</w:t>
      </w:r>
      <w:r w:rsidR="009F6E91" w:rsidRPr="00D427D8">
        <w:t xml:space="preserve"> means:</w:t>
      </w:r>
    </w:p>
    <w:p w14:paraId="0A7F359A" w14:textId="4F0EECB4" w:rsidR="009F6E91" w:rsidRPr="00D427D8" w:rsidRDefault="009F6E91" w:rsidP="003A1FA3">
      <w:pPr>
        <w:pStyle w:val="DefLevel1"/>
      </w:pPr>
      <w:r w:rsidRPr="00D427D8">
        <w:t>with respect to each Distribution Date during the Revolving Period, zero;</w:t>
      </w:r>
    </w:p>
    <w:p w14:paraId="4D3807BF" w14:textId="0A9B966D" w:rsidR="009F6E91" w:rsidRPr="00D427D8" w:rsidRDefault="009F6E91" w:rsidP="003A1FA3">
      <w:pPr>
        <w:pStyle w:val="DefLevel1"/>
      </w:pPr>
      <w:r w:rsidRPr="00D427D8">
        <w:t>with respect to each Distribution Date during the Normal Amortisation Period and prior to the occurrence of a Sequential Redemption Event on the corresponding Determination Date, the minimum between:</w:t>
      </w:r>
    </w:p>
    <w:p w14:paraId="798E0A11" w14:textId="34F35ECE" w:rsidR="009F6E91" w:rsidRPr="00D427D8" w:rsidRDefault="009F6E91" w:rsidP="003A1FA3">
      <w:pPr>
        <w:pStyle w:val="DefLevel2"/>
      </w:pPr>
      <w:r w:rsidRPr="00D427D8">
        <w:t>the Required Notes Redemption Amount as determined on the immediately following Distribution Date;</w:t>
      </w:r>
    </w:p>
    <w:p w14:paraId="59252CA7" w14:textId="7788C891" w:rsidR="009F6E91" w:rsidRPr="00D427D8" w:rsidRDefault="009F6E91" w:rsidP="003A1FA3">
      <w:pPr>
        <w:pStyle w:val="DefLevel2"/>
      </w:pPr>
      <w:r w:rsidRPr="00D427D8">
        <w:t>the positive difference between:</w:t>
      </w:r>
    </w:p>
    <w:p w14:paraId="022EF3E4" w14:textId="3A7DD684" w:rsidR="009F6E91" w:rsidRPr="00D427D8" w:rsidRDefault="009F6E91" w:rsidP="003A1FA3">
      <w:pPr>
        <w:pStyle w:val="DefLevel3"/>
      </w:pPr>
      <w:r w:rsidRPr="00D427D8">
        <w:t>the aggregate Principal Outstanding Notes Balance of the Class C Notes on the immediately preceding Distribution Date after giving effect to any payment of the Class C Notes Redemption Amount in accordance with item sixth (6th) of the Principal Priority of Payments; and</w:t>
      </w:r>
    </w:p>
    <w:p w14:paraId="5E4F108C" w14:textId="089B469F" w:rsidR="009F6E91" w:rsidRPr="00D427D8" w:rsidRDefault="009F6E91" w:rsidP="003A1FA3">
      <w:pPr>
        <w:pStyle w:val="DefLevel3"/>
      </w:pPr>
      <w:r w:rsidRPr="00D427D8">
        <w:t>the Class C Notes Target Principal Balance;</w:t>
      </w:r>
    </w:p>
    <w:p w14:paraId="1A3AB6D6" w14:textId="0DE68FB2" w:rsidR="009F6E91" w:rsidRPr="00D427D8" w:rsidRDefault="009F6E91" w:rsidP="003A1FA3">
      <w:pPr>
        <w:pStyle w:val="DefLevel1"/>
      </w:pPr>
      <w:r w:rsidRPr="00D427D8">
        <w:t>with respect to each Distribution Date during the Normal Amortisation Period after the occurrence of a Sequential Redemption Event and for so long as the Class C Notes are the Most Senior Class of Notes, the minimum between:</w:t>
      </w:r>
    </w:p>
    <w:p w14:paraId="5984F067" w14:textId="55836AAB" w:rsidR="009F6E91" w:rsidRPr="00D427D8" w:rsidRDefault="009F6E91" w:rsidP="003A1FA3">
      <w:pPr>
        <w:pStyle w:val="DefLevel2"/>
      </w:pPr>
      <w:r w:rsidRPr="00D427D8">
        <w:t>the Required Notes Redemption Amount as determined on the immediately following Distribution Date;</w:t>
      </w:r>
    </w:p>
    <w:p w14:paraId="5C079641" w14:textId="2DA01609" w:rsidR="009F6E91" w:rsidRPr="00D427D8" w:rsidRDefault="009F6E91" w:rsidP="003A1FA3">
      <w:pPr>
        <w:pStyle w:val="DefLevel2"/>
      </w:pPr>
      <w:r w:rsidRPr="00D427D8">
        <w:t>the aggregate Principal Outstanding Notes Balance of the Class C Notes on the immediately preceding Distribution Date after giving effect to any payment of the Class C Notes Redemption Amount in accordance with item sixth (6th) of the Principal Priority of Payments,</w:t>
      </w:r>
    </w:p>
    <w:p w14:paraId="2A1C189A" w14:textId="77777777" w:rsidR="009F6E91" w:rsidRPr="00D427D8" w:rsidRDefault="009F6E91" w:rsidP="009F6E91">
      <w:pPr>
        <w:pStyle w:val="Body3"/>
      </w:pPr>
      <w:r w:rsidRPr="00D427D8">
        <w:t>provided that so long as the Class C Notes are not the Most Senior Class of Notes, the Class C Notes Redemption Amount shall be equal to zero;</w:t>
      </w:r>
    </w:p>
    <w:p w14:paraId="12E88F62" w14:textId="612346B3" w:rsidR="009F6E91" w:rsidRPr="00D427D8" w:rsidRDefault="009F6E91" w:rsidP="003A1FA3">
      <w:pPr>
        <w:pStyle w:val="DefLevel1"/>
      </w:pPr>
      <w:r w:rsidRPr="00D427D8">
        <w:t>with respect to each Distribution Date during the Accelerated Amortisation Period, the then aggregate Principal Outstanding Notes Balance of the Class C Notes, to the extent there are sufficient funds in the Available Distribution Amount.</w:t>
      </w:r>
    </w:p>
    <w:p w14:paraId="7ED1685B" w14:textId="2A97F722" w:rsidR="009F6E91" w:rsidRPr="00D427D8" w:rsidRDefault="00EF7333" w:rsidP="009F6E91">
      <w:pPr>
        <w:pStyle w:val="Body2"/>
      </w:pPr>
      <w:r w:rsidRPr="00D427D8">
        <w:t>"</w:t>
      </w:r>
      <w:r w:rsidR="009F6E91" w:rsidRPr="00D427D8">
        <w:rPr>
          <w:rStyle w:val="BoldText"/>
        </w:rPr>
        <w:t>Class C Notes Subordination Percentage</w:t>
      </w:r>
      <w:r w:rsidRPr="00D427D8">
        <w:t>"</w:t>
      </w:r>
      <w:r w:rsidR="009F6E91" w:rsidRPr="00D427D8">
        <w:t xml:space="preserve"> means </w:t>
      </w:r>
      <w:r w:rsidR="00CB16CF" w:rsidRPr="00CB16CF">
        <w:t>17.00</w:t>
      </w:r>
      <w:r w:rsidR="00CB16CF">
        <w:t xml:space="preserve"> </w:t>
      </w:r>
      <w:r w:rsidR="009F6E91" w:rsidRPr="00D427D8">
        <w:t>per cent.</w:t>
      </w:r>
    </w:p>
    <w:p w14:paraId="429D6F62" w14:textId="69CB9B1A" w:rsidR="009F6E91" w:rsidRPr="00D427D8" w:rsidRDefault="00EF7333" w:rsidP="00346204">
      <w:pPr>
        <w:pStyle w:val="DefHead"/>
      </w:pPr>
      <w:r w:rsidRPr="00D427D8">
        <w:lastRenderedPageBreak/>
        <w:t>"</w:t>
      </w:r>
      <w:r w:rsidR="009F6E91" w:rsidRPr="00D427D8">
        <w:rPr>
          <w:rStyle w:val="BoldText"/>
        </w:rPr>
        <w:t>Class C Notes Target Principal Balance</w:t>
      </w:r>
      <w:r w:rsidRPr="00D427D8">
        <w:t>"</w:t>
      </w:r>
      <w:r w:rsidR="009F6E91" w:rsidRPr="00D427D8">
        <w:t xml:space="preserve"> means, with respect to any Distribution Date during the Normal Amortisation Period and prior to the occurrence of a Sequential Redemption Event, the positive difference between:</w:t>
      </w:r>
    </w:p>
    <w:p w14:paraId="2CC6D40D" w14:textId="215C3338" w:rsidR="009F6E91" w:rsidRPr="00D427D8" w:rsidRDefault="009F6E91" w:rsidP="00346204">
      <w:pPr>
        <w:pStyle w:val="DefLevel1"/>
      </w:pPr>
      <w:r w:rsidRPr="00D427D8">
        <w:t>the Aggregate Discounted Asset Balance as at the relevant Determination Date;</w:t>
      </w:r>
    </w:p>
    <w:p w14:paraId="62C1BB35" w14:textId="6925BE4A" w:rsidR="009F6E91" w:rsidRPr="00D427D8" w:rsidRDefault="009F6E91" w:rsidP="00346204">
      <w:pPr>
        <w:pStyle w:val="DefLevel1"/>
      </w:pPr>
      <w:r w:rsidRPr="00D427D8">
        <w:t>minus the Aggregate Discounted Asset Balance of the Class A Notes Target Principal Balance and the Class B Notes Target Principal Balance;</w:t>
      </w:r>
    </w:p>
    <w:p w14:paraId="3D37BAD8" w14:textId="6801F9A4" w:rsidR="009F6E91" w:rsidRPr="00D427D8" w:rsidRDefault="009F6E91" w:rsidP="00346204">
      <w:pPr>
        <w:pStyle w:val="DefLevel1"/>
      </w:pPr>
      <w:r w:rsidRPr="00D427D8">
        <w:t>minus the Class C Notes Target Subordination Amount.</w:t>
      </w:r>
    </w:p>
    <w:p w14:paraId="1E07BB1A" w14:textId="54C3E448" w:rsidR="009F6E91" w:rsidRPr="00D427D8" w:rsidRDefault="00EF7333" w:rsidP="00346204">
      <w:pPr>
        <w:pStyle w:val="DefHead"/>
      </w:pPr>
      <w:r w:rsidRPr="00D427D8">
        <w:t>"</w:t>
      </w:r>
      <w:r w:rsidR="009F6E91" w:rsidRPr="00D427D8">
        <w:rPr>
          <w:b/>
        </w:rPr>
        <w:t>Class C Notes Target Subordination Amount</w:t>
      </w:r>
      <w:r w:rsidRPr="00D427D8">
        <w:t>"</w:t>
      </w:r>
      <w:r w:rsidR="009F6E91" w:rsidRPr="00D427D8">
        <w:t xml:space="preserve"> means, with respect to any Distribution Date during the Normal Amortisation Period and prior to the occurrence of a Sequential Redemption Event, the product of:</w:t>
      </w:r>
    </w:p>
    <w:p w14:paraId="29A184A0" w14:textId="2ED303D6" w:rsidR="009F6E91" w:rsidRPr="00D427D8" w:rsidRDefault="009F6E91" w:rsidP="00346204">
      <w:pPr>
        <w:pStyle w:val="DefLevel1"/>
      </w:pPr>
      <w:r w:rsidRPr="00D427D8">
        <w:t>the Class C Notes Subordination Percentage with respect to such Distribution Date, by</w:t>
      </w:r>
    </w:p>
    <w:p w14:paraId="3469C019" w14:textId="7046FADC" w:rsidR="009F6E91" w:rsidRPr="00D427D8" w:rsidRDefault="009F6E91" w:rsidP="00346204">
      <w:pPr>
        <w:pStyle w:val="DefLevel1"/>
      </w:pPr>
      <w:r w:rsidRPr="00D427D8">
        <w:t>the Aggregate Discounted Asset Balance as at the relevant Determination Date.</w:t>
      </w:r>
    </w:p>
    <w:p w14:paraId="57FB4DFB" w14:textId="02E34407" w:rsidR="009F6E91" w:rsidRPr="00D427D8" w:rsidRDefault="00EF7333" w:rsidP="009F6E91">
      <w:pPr>
        <w:pStyle w:val="Body2"/>
      </w:pPr>
      <w:r w:rsidRPr="00D427D8">
        <w:t>"</w:t>
      </w:r>
      <w:r w:rsidR="009F6E91" w:rsidRPr="00D427D8">
        <w:rPr>
          <w:b/>
        </w:rPr>
        <w:t>Class C Principal Deficiency Sub-Ledger</w:t>
      </w:r>
      <w:r w:rsidRPr="00D427D8">
        <w:t>"</w:t>
      </w:r>
      <w:r w:rsidR="009F6E91" w:rsidRPr="00D427D8">
        <w:t xml:space="preserve"> means the sub-ledger of the Principal Deficiency Ledger established by Issuer in respect of the Class A Notes in order to record as debits Default Amounts and the application of the Available Distribution Amount to pay any Interest Deficiency on a Distribution Date.</w:t>
      </w:r>
    </w:p>
    <w:p w14:paraId="5EEB7A49" w14:textId="4AB2F6BF" w:rsidR="009F6E91" w:rsidRPr="00D427D8" w:rsidRDefault="00EF7333" w:rsidP="009F6E91">
      <w:pPr>
        <w:pStyle w:val="Body2"/>
      </w:pPr>
      <w:r w:rsidRPr="00D427D8">
        <w:t>"</w:t>
      </w:r>
      <w:r w:rsidR="009F6E91" w:rsidRPr="00D427D8">
        <w:rPr>
          <w:b/>
        </w:rPr>
        <w:t>Class D Noteholder</w:t>
      </w:r>
      <w:r w:rsidRPr="00D427D8">
        <w:t>"</w:t>
      </w:r>
      <w:r w:rsidR="009F6E91" w:rsidRPr="00D427D8">
        <w:t xml:space="preserve"> means any holder of any Class D Note.</w:t>
      </w:r>
    </w:p>
    <w:p w14:paraId="0ABF3623" w14:textId="33DD9892" w:rsidR="009F6E91" w:rsidRPr="00D427D8" w:rsidRDefault="00EF7333" w:rsidP="009F6E91">
      <w:pPr>
        <w:pStyle w:val="Body2"/>
      </w:pPr>
      <w:r w:rsidRPr="00D427D8">
        <w:t>"</w:t>
      </w:r>
      <w:r w:rsidR="009F6E91" w:rsidRPr="00D427D8">
        <w:rPr>
          <w:b/>
        </w:rPr>
        <w:t>Class D Notes</w:t>
      </w:r>
      <w:r w:rsidRPr="00D427D8">
        <w:t>"</w:t>
      </w:r>
      <w:r w:rsidR="009F6E91" w:rsidRPr="00D427D8">
        <w:t xml:space="preserve"> means the EUR </w:t>
      </w:r>
      <w:r w:rsidR="00526BA1">
        <w:t>45,</w:t>
      </w:r>
      <w:r w:rsidR="00C9516B">
        <w:t>0</w:t>
      </w:r>
      <w:r w:rsidR="00526BA1">
        <w:t>00,000</w:t>
      </w:r>
      <w:r w:rsidR="00526BA1" w:rsidRPr="00D427D8">
        <w:t xml:space="preserve"> </w:t>
      </w:r>
      <w:r w:rsidR="009F6E91" w:rsidRPr="00D427D8">
        <w:t xml:space="preserve">class D asset-backed floating rate notes due </w:t>
      </w:r>
      <w:r w:rsidR="00526BA1">
        <w:t>2034</w:t>
      </w:r>
      <w:r w:rsidR="00526BA1" w:rsidRPr="00D427D8">
        <w:t>.</w:t>
      </w:r>
    </w:p>
    <w:p w14:paraId="648C9A9B" w14:textId="310E3CE0" w:rsidR="009F6E91" w:rsidRPr="00D427D8" w:rsidRDefault="00EF7333" w:rsidP="00346204">
      <w:pPr>
        <w:pStyle w:val="DefHead"/>
      </w:pPr>
      <w:r w:rsidRPr="00D427D8">
        <w:t>"</w:t>
      </w:r>
      <w:r w:rsidR="009F6E91" w:rsidRPr="00D427D8">
        <w:rPr>
          <w:b/>
        </w:rPr>
        <w:t>Class D Notes Deferred Interest</w:t>
      </w:r>
      <w:r w:rsidRPr="00D427D8">
        <w:t>"</w:t>
      </w:r>
      <w:r w:rsidR="009F6E91" w:rsidRPr="00D427D8">
        <w:t xml:space="preserve"> means, in relation to a Distribution Date, the difference between:</w:t>
      </w:r>
    </w:p>
    <w:p w14:paraId="01140780" w14:textId="6E12CD1E" w:rsidR="009F6E91" w:rsidRPr="00D427D8" w:rsidRDefault="009F6E91" w:rsidP="00346204">
      <w:pPr>
        <w:pStyle w:val="DefLevel1"/>
      </w:pPr>
      <w:r w:rsidRPr="00D427D8">
        <w:t>the Class D Notes Interest Amount due and payable on the relevant Distribution Date; and</w:t>
      </w:r>
    </w:p>
    <w:p w14:paraId="78706F25" w14:textId="6253FA32" w:rsidR="009F6E91" w:rsidRPr="00D427D8" w:rsidRDefault="009F6E91" w:rsidP="00346204">
      <w:pPr>
        <w:pStyle w:val="DefLevel1"/>
      </w:pPr>
      <w:r w:rsidRPr="00D427D8">
        <w:t>the amount of interest actually paid in relation to a Class D Note with respect to such Class D Notes Interest Amount.</w:t>
      </w:r>
    </w:p>
    <w:p w14:paraId="0C64E0BF" w14:textId="793F5167" w:rsidR="009F6E91" w:rsidRPr="00D427D8" w:rsidRDefault="00EF7333" w:rsidP="00346204">
      <w:pPr>
        <w:pStyle w:val="DefHead"/>
      </w:pPr>
      <w:r w:rsidRPr="00D427D8">
        <w:t>"</w:t>
      </w:r>
      <w:r w:rsidR="009F6E91" w:rsidRPr="00D427D8">
        <w:rPr>
          <w:b/>
        </w:rPr>
        <w:t>Class D Notes Interest Amount</w:t>
      </w:r>
      <w:r w:rsidRPr="00D427D8">
        <w:t>"</w:t>
      </w:r>
      <w:r w:rsidR="009F6E91" w:rsidRPr="00D427D8">
        <w:t xml:space="preserve"> means on each Distribution Date and with respect to each Class D Note:</w:t>
      </w:r>
    </w:p>
    <w:p w14:paraId="150EB99C" w14:textId="0C1F841F" w:rsidR="009F6E91" w:rsidRPr="00D427D8" w:rsidRDefault="009F6E91" w:rsidP="00346204">
      <w:pPr>
        <w:pStyle w:val="DefLevel1"/>
      </w:pPr>
      <w:r w:rsidRPr="00D427D8">
        <w:t xml:space="preserve">the amount of interest payable to the Class D Noteholders on such Distribution Date as calculated by the Calculation Agent as follows: the product (rounding the resultant figure to the lower cent) of (i) the Class D Notes Interest Rate, (ii) the Principal Outstanding Notes Balance of a Class D Note as of the preceding Distribution Date, and (iii) the actual number of days in the relevant Interest Period divided by 360) (see </w:t>
      </w:r>
      <w:r w:rsidR="00EF7333" w:rsidRPr="00D427D8">
        <w:t>"</w:t>
      </w:r>
      <w:r w:rsidRPr="00D427D8">
        <w:t>TERMS AND CONDITIONS OF THE NOTES – Condition 6 (</w:t>
      </w:r>
      <w:r w:rsidRPr="00D427D8">
        <w:rPr>
          <w:i/>
        </w:rPr>
        <w:t>Interest</w:t>
      </w:r>
      <w:r w:rsidRPr="00D427D8">
        <w:t>)</w:t>
      </w:r>
      <w:r w:rsidR="00EF7333" w:rsidRPr="00D427D8">
        <w:t>"</w:t>
      </w:r>
      <w:r w:rsidRPr="00D427D8">
        <w:t>); and</w:t>
      </w:r>
    </w:p>
    <w:p w14:paraId="70F34E51" w14:textId="350A0019" w:rsidR="009F6E91" w:rsidRPr="00D427D8" w:rsidRDefault="009F6E91" w:rsidP="00346204">
      <w:pPr>
        <w:pStyle w:val="DefLevel1"/>
      </w:pPr>
      <w:r w:rsidRPr="00D427D8">
        <w:t>any Class D Notes Deferred Interest (if any) remaining unpaid,</w:t>
      </w:r>
    </w:p>
    <w:p w14:paraId="41105F8E" w14:textId="77777777" w:rsidR="009F6E91" w:rsidRPr="00D427D8" w:rsidRDefault="009F6E91" w:rsidP="009F6E91">
      <w:pPr>
        <w:pStyle w:val="Body2"/>
      </w:pPr>
      <w:r w:rsidRPr="00D427D8">
        <w:t>provided that the Issuer shall always pay the amount referred to item (b) in priority to the amount referred to in item (a).</w:t>
      </w:r>
    </w:p>
    <w:p w14:paraId="2C2E943E" w14:textId="749072AE" w:rsidR="009F6E91" w:rsidRPr="00D427D8" w:rsidRDefault="00EF7333" w:rsidP="009F6E91">
      <w:pPr>
        <w:pStyle w:val="Body2"/>
      </w:pPr>
      <w:r w:rsidRPr="00D427D8">
        <w:t>"</w:t>
      </w:r>
      <w:r w:rsidR="009F6E91" w:rsidRPr="00D427D8">
        <w:rPr>
          <w:b/>
        </w:rPr>
        <w:t>Class D Notes Interest Rate</w:t>
      </w:r>
      <w:r w:rsidRPr="00D427D8">
        <w:t>"</w:t>
      </w:r>
      <w:r w:rsidR="009F6E91" w:rsidRPr="00D427D8">
        <w:t xml:space="preserve"> means, with respect to the Class D Notes, an annual interest rate equal to the sum of 1-Month EURIBOR plus the Relevant Margin subject to a minimum interest rate of 0.00 per cent. per annum.</w:t>
      </w:r>
    </w:p>
    <w:p w14:paraId="11F9D735" w14:textId="688B1C73" w:rsidR="009F6E91" w:rsidRPr="00D427D8" w:rsidRDefault="00EF7333" w:rsidP="009F6E91">
      <w:pPr>
        <w:pStyle w:val="Body2"/>
      </w:pPr>
      <w:r w:rsidRPr="00D427D8">
        <w:t>"</w:t>
      </w:r>
      <w:r w:rsidR="009F6E91" w:rsidRPr="00D427D8">
        <w:rPr>
          <w:b/>
        </w:rPr>
        <w:t>Class D Notes Principal Payment</w:t>
      </w:r>
      <w:r w:rsidRPr="00D427D8">
        <w:t>"</w:t>
      </w:r>
      <w:r w:rsidR="009F6E91" w:rsidRPr="00D427D8">
        <w:t xml:space="preserve"> means the principal amount payable with respect to a Class D Note on each Distribution Date as calculated by the Calculation Agent as set out in the section </w:t>
      </w:r>
      <w:r w:rsidRPr="00D427D8">
        <w:t>"</w:t>
      </w:r>
      <w:r w:rsidR="009F6E91" w:rsidRPr="00D427D8">
        <w:t>TERMS AND CONDITIONS OF THE NOTES – Condition 7 (</w:t>
      </w:r>
      <w:r w:rsidR="009F6E91" w:rsidRPr="00D427D8">
        <w:rPr>
          <w:i/>
        </w:rPr>
        <w:t>Redemption</w:t>
      </w:r>
      <w:r w:rsidR="009F6E91" w:rsidRPr="00D427D8">
        <w:t>)</w:t>
      </w:r>
      <w:r w:rsidRPr="00D427D8">
        <w:t>"</w:t>
      </w:r>
      <w:r w:rsidR="009F6E91" w:rsidRPr="00D427D8">
        <w:t>.</w:t>
      </w:r>
    </w:p>
    <w:p w14:paraId="38C1C713" w14:textId="41014F5B" w:rsidR="009F6E91" w:rsidRPr="00D427D8" w:rsidRDefault="00EF7333" w:rsidP="00346204">
      <w:pPr>
        <w:pStyle w:val="DefHead"/>
      </w:pPr>
      <w:r w:rsidRPr="00D427D8">
        <w:t>"</w:t>
      </w:r>
      <w:r w:rsidR="009F6E91" w:rsidRPr="00D427D8">
        <w:rPr>
          <w:rStyle w:val="BoldText"/>
        </w:rPr>
        <w:t>Class D Notes Redemption Amount</w:t>
      </w:r>
      <w:r w:rsidRPr="00D427D8">
        <w:t>"</w:t>
      </w:r>
      <w:r w:rsidR="009F6E91" w:rsidRPr="00D427D8">
        <w:t xml:space="preserve"> means:</w:t>
      </w:r>
    </w:p>
    <w:p w14:paraId="7CFEEDEE" w14:textId="5BB293AD" w:rsidR="009F6E91" w:rsidRPr="00D427D8" w:rsidRDefault="009F6E91" w:rsidP="00346204">
      <w:pPr>
        <w:pStyle w:val="DefLevel1"/>
      </w:pPr>
      <w:r w:rsidRPr="00D427D8">
        <w:t>with respect to each Distribution Date during the Revolving Period, zero;</w:t>
      </w:r>
    </w:p>
    <w:p w14:paraId="5AFAAEFB" w14:textId="6CD83075" w:rsidR="009F6E91" w:rsidRPr="00D427D8" w:rsidRDefault="009F6E91" w:rsidP="00346204">
      <w:pPr>
        <w:pStyle w:val="DefLevel1"/>
      </w:pPr>
      <w:r w:rsidRPr="00D427D8">
        <w:lastRenderedPageBreak/>
        <w:t>with respect to each Distribution Date during the Normal Amortisation Period and prior to the occurrence of a Sequential Redemption Event on the corresponding Determination Date, the minimum between:</w:t>
      </w:r>
    </w:p>
    <w:p w14:paraId="5E17C632" w14:textId="717A3108" w:rsidR="009F6E91" w:rsidRPr="00D427D8" w:rsidRDefault="009F6E91" w:rsidP="00346204">
      <w:pPr>
        <w:pStyle w:val="DefLevel2"/>
      </w:pPr>
      <w:r w:rsidRPr="00D427D8">
        <w:t>the Required Notes Redemption Amount as determined on the immediately following Distribution Date;</w:t>
      </w:r>
    </w:p>
    <w:p w14:paraId="511B6566" w14:textId="77B7F0F8" w:rsidR="009F6E91" w:rsidRPr="00D427D8" w:rsidRDefault="009F6E91" w:rsidP="00346204">
      <w:pPr>
        <w:pStyle w:val="DefLevel2"/>
      </w:pPr>
      <w:r w:rsidRPr="00D427D8">
        <w:t>the positive difference between:</w:t>
      </w:r>
    </w:p>
    <w:p w14:paraId="230DCFDA" w14:textId="47F0EBDF" w:rsidR="009F6E91" w:rsidRPr="00D427D8" w:rsidRDefault="009F6E91" w:rsidP="00346204">
      <w:pPr>
        <w:pStyle w:val="DefLevel3"/>
      </w:pPr>
      <w:r w:rsidRPr="00D427D8">
        <w:t>the aggregate Principal Outstanding Notes Balance of the Class D Notes on the immediately preceding Distribution Date after giving effect to any payment of the Class D Notes Redemption Amount in accordance with item seventh (7</w:t>
      </w:r>
      <w:r w:rsidRPr="00D427D8">
        <w:rPr>
          <w:vertAlign w:val="superscript"/>
        </w:rPr>
        <w:t>th</w:t>
      </w:r>
      <w:r w:rsidRPr="00D427D8">
        <w:t>) of the Principal Priority of Payments; and</w:t>
      </w:r>
    </w:p>
    <w:p w14:paraId="63EB90D8" w14:textId="0095A700" w:rsidR="009F6E91" w:rsidRPr="00D427D8" w:rsidRDefault="009F6E91" w:rsidP="00346204">
      <w:pPr>
        <w:pStyle w:val="DefLevel3"/>
      </w:pPr>
      <w:r w:rsidRPr="00D427D8">
        <w:t>the Class D Notes Target Principal Balance;</w:t>
      </w:r>
    </w:p>
    <w:p w14:paraId="5F20A694" w14:textId="3CC7E5D3" w:rsidR="009F6E91" w:rsidRPr="00D427D8" w:rsidRDefault="009F6E91" w:rsidP="00346204">
      <w:pPr>
        <w:pStyle w:val="DefLevel1"/>
      </w:pPr>
      <w:r w:rsidRPr="00D427D8">
        <w:t>with respect to each Distribution Date during the Normal Amortisation Period after the occurrence of a Sequential Redemption Event and for so long as the Class D Notes are the Most Senior Class of Notes, the minimum between:</w:t>
      </w:r>
    </w:p>
    <w:p w14:paraId="02A35C21" w14:textId="66A45E0A" w:rsidR="009F6E91" w:rsidRPr="00D427D8" w:rsidRDefault="009F6E91" w:rsidP="00346204">
      <w:pPr>
        <w:pStyle w:val="DefLevel2"/>
      </w:pPr>
      <w:r w:rsidRPr="00D427D8">
        <w:t>the Required Notes Redemption Amount as determined on the immediately following Distribution Date;</w:t>
      </w:r>
    </w:p>
    <w:p w14:paraId="501201BA" w14:textId="4AB8A0E4" w:rsidR="009F6E91" w:rsidRPr="00D427D8" w:rsidRDefault="009F6E91" w:rsidP="00346204">
      <w:pPr>
        <w:pStyle w:val="DefLevel2"/>
      </w:pPr>
      <w:r w:rsidRPr="00D427D8">
        <w:t>the aggregate Principal Outstanding Notes Balance of the Class D Notes on the immediately preceding Distribution Date after giving effect to any payment of the Class D Notes Redemption Amount in accordance with item seventh (7</w:t>
      </w:r>
      <w:r w:rsidRPr="00D427D8">
        <w:rPr>
          <w:vertAlign w:val="superscript"/>
        </w:rPr>
        <w:t>th</w:t>
      </w:r>
      <w:r w:rsidRPr="00D427D8">
        <w:t>) of the Principal Priority of Payments,</w:t>
      </w:r>
    </w:p>
    <w:p w14:paraId="5DD92F10" w14:textId="77777777" w:rsidR="009F6E91" w:rsidRPr="00D427D8" w:rsidRDefault="009F6E91" w:rsidP="009F6E91">
      <w:pPr>
        <w:pStyle w:val="Body3"/>
      </w:pPr>
      <w:r w:rsidRPr="00D427D8">
        <w:t>provided that so long as the Class D Notes are not the Most Senior Class of Notes, the Class D Notes Redemption Amount shall be equal to zero;</w:t>
      </w:r>
    </w:p>
    <w:p w14:paraId="6FEF5845" w14:textId="5BC8AA17" w:rsidR="009F6E91" w:rsidRPr="00D427D8" w:rsidRDefault="009F6E91" w:rsidP="00346204">
      <w:pPr>
        <w:pStyle w:val="DefLevel1"/>
      </w:pPr>
      <w:r w:rsidRPr="00D427D8">
        <w:t>with respect to each Distribution Date during the Accelerated Amortisation Period, the then aggregate Principal Outstanding Notes Balance of the Class D Notes, to the extent there are sufficient funds in the Available Distribution Amount.</w:t>
      </w:r>
    </w:p>
    <w:p w14:paraId="4C1A38A4" w14:textId="61D172BD" w:rsidR="009F6E91" w:rsidRPr="00D427D8" w:rsidRDefault="00EF7333" w:rsidP="009F6E91">
      <w:pPr>
        <w:pStyle w:val="Body2"/>
      </w:pPr>
      <w:r w:rsidRPr="00D427D8">
        <w:t>"</w:t>
      </w:r>
      <w:r w:rsidR="009F6E91" w:rsidRPr="00D427D8">
        <w:rPr>
          <w:rStyle w:val="BoldText"/>
        </w:rPr>
        <w:t>Class D Notes Subordination Percentage</w:t>
      </w:r>
      <w:r w:rsidRPr="00D427D8">
        <w:t>"</w:t>
      </w:r>
      <w:r w:rsidR="009F6E91" w:rsidRPr="00D427D8">
        <w:t xml:space="preserve"> means </w:t>
      </w:r>
      <w:r w:rsidR="00CB16CF" w:rsidRPr="00CB16CF">
        <w:t xml:space="preserve">12.50 </w:t>
      </w:r>
      <w:r w:rsidR="009F6E91" w:rsidRPr="00D427D8">
        <w:t>per cent.</w:t>
      </w:r>
    </w:p>
    <w:p w14:paraId="24FBC2DF" w14:textId="45A494A8" w:rsidR="009F6E91" w:rsidRPr="00D427D8" w:rsidRDefault="00EF7333" w:rsidP="00346204">
      <w:pPr>
        <w:pStyle w:val="DefHead"/>
      </w:pPr>
      <w:r w:rsidRPr="00D427D8">
        <w:t>"</w:t>
      </w:r>
      <w:r w:rsidR="009F6E91" w:rsidRPr="00D427D8">
        <w:rPr>
          <w:b/>
        </w:rPr>
        <w:t>Class D Notes Target Principal Balance</w:t>
      </w:r>
      <w:r w:rsidRPr="00D427D8">
        <w:t>"</w:t>
      </w:r>
      <w:r w:rsidR="009F6E91" w:rsidRPr="00D427D8">
        <w:t xml:space="preserve"> means, with respect to any Distribution Date during the Normal Amortisation Period and prior to the occurrence of a Sequential Redemption Event, the positive difference between:</w:t>
      </w:r>
    </w:p>
    <w:p w14:paraId="696FAFF0" w14:textId="3C321769" w:rsidR="009F6E91" w:rsidRPr="00D427D8" w:rsidRDefault="009F6E91" w:rsidP="00346204">
      <w:pPr>
        <w:pStyle w:val="DefLevel1"/>
      </w:pPr>
      <w:r w:rsidRPr="00D427D8">
        <w:t>the Aggregate Discounted Asset Balance as at the relevant Determination Date;</w:t>
      </w:r>
    </w:p>
    <w:p w14:paraId="7CBD7C9A" w14:textId="68B8F5ED" w:rsidR="009F6E91" w:rsidRPr="00D427D8" w:rsidRDefault="009F6E91" w:rsidP="00346204">
      <w:pPr>
        <w:pStyle w:val="DefLevel1"/>
      </w:pPr>
      <w:r w:rsidRPr="00D427D8">
        <w:t>minus the aggregate of the Class A Notes Target Principal Balance, the Class B Notes Target Principal Balance and the Class C Notes Target Principal Balance;</w:t>
      </w:r>
    </w:p>
    <w:p w14:paraId="0C6207CD" w14:textId="1ABF7CB0" w:rsidR="009F6E91" w:rsidRPr="00D427D8" w:rsidRDefault="009F6E91" w:rsidP="00346204">
      <w:pPr>
        <w:pStyle w:val="DefLevel1"/>
      </w:pPr>
      <w:r w:rsidRPr="00D427D8">
        <w:t>minus the Class D Notes Target Subordination Amount.</w:t>
      </w:r>
    </w:p>
    <w:p w14:paraId="27D1EDA9" w14:textId="0BEE1683" w:rsidR="009F6E91" w:rsidRPr="00D427D8" w:rsidRDefault="00EF7333" w:rsidP="00346204">
      <w:pPr>
        <w:pStyle w:val="DefHead"/>
      </w:pPr>
      <w:r w:rsidRPr="00D427D8">
        <w:t>"</w:t>
      </w:r>
      <w:r w:rsidR="009F6E91" w:rsidRPr="00D427D8">
        <w:rPr>
          <w:b/>
        </w:rPr>
        <w:t>Class D Notes Target Subordination Amount</w:t>
      </w:r>
      <w:r w:rsidRPr="00D427D8">
        <w:t>"</w:t>
      </w:r>
      <w:r w:rsidR="009F6E91" w:rsidRPr="00D427D8">
        <w:t xml:space="preserve"> means, with respect to any Distribution Date during the Normal Amortisation Period and prior to the occurrence of a Sequential Redemption Event, the product of:</w:t>
      </w:r>
    </w:p>
    <w:p w14:paraId="3B9729FC" w14:textId="3F1F1B84" w:rsidR="009F6E91" w:rsidRPr="00D427D8" w:rsidRDefault="009F6E91" w:rsidP="00346204">
      <w:pPr>
        <w:pStyle w:val="DefLevel1"/>
      </w:pPr>
      <w:r w:rsidRPr="00D427D8">
        <w:t>the Class D Notes Subordination Percentage with respect to such Distribution Date, by</w:t>
      </w:r>
    </w:p>
    <w:p w14:paraId="31328E3A" w14:textId="276F7DE8" w:rsidR="009F6E91" w:rsidRPr="00D427D8" w:rsidRDefault="009F6E91" w:rsidP="00346204">
      <w:pPr>
        <w:pStyle w:val="DefLevel1"/>
      </w:pPr>
      <w:r w:rsidRPr="00D427D8">
        <w:t>the Aggregate Discounted Asset Balance as at the relevant Determination Date.</w:t>
      </w:r>
    </w:p>
    <w:p w14:paraId="7B870D33" w14:textId="18042702" w:rsidR="009F6E91" w:rsidRPr="00D427D8" w:rsidRDefault="00EF7333" w:rsidP="009F6E91">
      <w:pPr>
        <w:pStyle w:val="Body2"/>
      </w:pPr>
      <w:r w:rsidRPr="00D427D8">
        <w:t>"</w:t>
      </w:r>
      <w:r w:rsidR="009F6E91" w:rsidRPr="00D427D8">
        <w:rPr>
          <w:b/>
        </w:rPr>
        <w:t>Class D Principal Deficiency Sub-Ledger</w:t>
      </w:r>
      <w:r w:rsidRPr="00D427D8">
        <w:t>"</w:t>
      </w:r>
      <w:r w:rsidR="009F6E91" w:rsidRPr="00D427D8">
        <w:t xml:space="preserve"> means the sub-ledger of the Principal Deficiency Ledger established by Issuer in respect of the Class D Notes in order to record as debits Default Amounts and the application of the Available Distribution Amount to pay any Interest Deficiency on a Distribution Date.</w:t>
      </w:r>
    </w:p>
    <w:p w14:paraId="07125E55" w14:textId="5FB5FC0F" w:rsidR="009F6E91" w:rsidRPr="00D427D8" w:rsidRDefault="00EF7333" w:rsidP="009F6E91">
      <w:pPr>
        <w:pStyle w:val="Body2"/>
      </w:pPr>
      <w:r w:rsidRPr="00D427D8">
        <w:t>"</w:t>
      </w:r>
      <w:r w:rsidR="009F6E91" w:rsidRPr="00D427D8">
        <w:rPr>
          <w:b/>
        </w:rPr>
        <w:t>Class E Noteholder</w:t>
      </w:r>
      <w:r w:rsidRPr="00D427D8">
        <w:t>"</w:t>
      </w:r>
      <w:r w:rsidR="009F6E91" w:rsidRPr="00D427D8">
        <w:t xml:space="preserve"> means any holder of any Class E Note.</w:t>
      </w:r>
    </w:p>
    <w:p w14:paraId="66B99FA5" w14:textId="5540FA14" w:rsidR="009F6E91" w:rsidRPr="00D427D8" w:rsidRDefault="00EF7333" w:rsidP="009F6E91">
      <w:pPr>
        <w:pStyle w:val="Body2"/>
      </w:pPr>
      <w:r w:rsidRPr="00D427D8">
        <w:lastRenderedPageBreak/>
        <w:t>"</w:t>
      </w:r>
      <w:r w:rsidR="009F6E91" w:rsidRPr="00D427D8">
        <w:rPr>
          <w:b/>
        </w:rPr>
        <w:t>Class E Notes</w:t>
      </w:r>
      <w:r w:rsidRPr="00D427D8">
        <w:t>"</w:t>
      </w:r>
      <w:r w:rsidR="009F6E91" w:rsidRPr="00D427D8">
        <w:t xml:space="preserve"> means the EUR </w:t>
      </w:r>
      <w:r w:rsidR="00526BA1">
        <w:t xml:space="preserve">85,000,000 </w:t>
      </w:r>
      <w:r w:rsidR="009F6E91" w:rsidRPr="00D427D8">
        <w:t xml:space="preserve">class E asset-backed floating rate notes due </w:t>
      </w:r>
      <w:r w:rsidR="00526BA1">
        <w:t>2034</w:t>
      </w:r>
      <w:r w:rsidR="009F6E91" w:rsidRPr="00D427D8">
        <w:t>.</w:t>
      </w:r>
    </w:p>
    <w:p w14:paraId="7A2E62B1" w14:textId="2D62999A" w:rsidR="009F6E91" w:rsidRPr="00D427D8" w:rsidRDefault="00EF7333" w:rsidP="00CD533D">
      <w:pPr>
        <w:pStyle w:val="DefHead"/>
      </w:pPr>
      <w:r w:rsidRPr="00D427D8">
        <w:t>"</w:t>
      </w:r>
      <w:r w:rsidR="009F6E91" w:rsidRPr="00D427D8">
        <w:rPr>
          <w:b/>
        </w:rPr>
        <w:t>Class E Notes Deferred Interest</w:t>
      </w:r>
      <w:r w:rsidRPr="00D427D8">
        <w:t>"</w:t>
      </w:r>
      <w:r w:rsidR="009F6E91" w:rsidRPr="00D427D8">
        <w:t xml:space="preserve"> means, in relation to a Distribution Date, the difference between:</w:t>
      </w:r>
    </w:p>
    <w:p w14:paraId="608D13C3" w14:textId="7B3DF6C8" w:rsidR="009F6E91" w:rsidRPr="00D427D8" w:rsidRDefault="009F6E91" w:rsidP="0049109A">
      <w:pPr>
        <w:pStyle w:val="DefLevel1"/>
      </w:pPr>
      <w:r w:rsidRPr="00D427D8">
        <w:t>the Class E Notes Interest Amount due and payable on the relevant Distribution Date; and</w:t>
      </w:r>
    </w:p>
    <w:p w14:paraId="1F3C1C99" w14:textId="13315E21" w:rsidR="009F6E91" w:rsidRPr="00D427D8" w:rsidRDefault="009F6E91" w:rsidP="0049109A">
      <w:pPr>
        <w:pStyle w:val="DefLevel1"/>
      </w:pPr>
      <w:r w:rsidRPr="00D427D8">
        <w:t>the amount of interest actually paid in relation to a Class E Note with respect to such Class E Notes Interest Amount.</w:t>
      </w:r>
    </w:p>
    <w:p w14:paraId="6021DD9E" w14:textId="22ED20E7" w:rsidR="009F6E91" w:rsidRPr="00D427D8" w:rsidRDefault="00EF7333" w:rsidP="0093166A">
      <w:pPr>
        <w:pStyle w:val="DefHead"/>
      </w:pPr>
      <w:r w:rsidRPr="00D427D8">
        <w:t>"</w:t>
      </w:r>
      <w:r w:rsidR="009F6E91" w:rsidRPr="00D427D8">
        <w:rPr>
          <w:b/>
        </w:rPr>
        <w:t>Class E Notes Interest Amount</w:t>
      </w:r>
      <w:r w:rsidRPr="00D427D8">
        <w:t>"</w:t>
      </w:r>
      <w:r w:rsidR="009F6E91" w:rsidRPr="00D427D8">
        <w:t xml:space="preserve"> means on each Distribution Date and with respect to each Class E Note:</w:t>
      </w:r>
    </w:p>
    <w:p w14:paraId="0E3FCD8B" w14:textId="21D88B34" w:rsidR="009F6E91" w:rsidRPr="00D427D8" w:rsidRDefault="009F6E91" w:rsidP="0093166A">
      <w:pPr>
        <w:pStyle w:val="DefLevel1"/>
      </w:pPr>
      <w:r w:rsidRPr="00D427D8">
        <w:t xml:space="preserve">the amount of interest payable to the Class E Noteholders on such Distribution Date as calculated by the Calculation Agent as follows: the product (rounding the resultant figure to the lower cent) of (i) the Class E Notes Interest Rate, (ii) the Principal Outstanding Notes Balance of a Class E Note as of the preceding Distribution Date, and (iii) the actual number of days in the relevant Interest Period divided by 360) (see </w:t>
      </w:r>
      <w:r w:rsidR="00EF7333" w:rsidRPr="00D427D8">
        <w:t>"</w:t>
      </w:r>
      <w:r w:rsidRPr="00D427D8">
        <w:t>TERMS AND CONDITIONS OF THE NOTES – Condition 6 (</w:t>
      </w:r>
      <w:r w:rsidRPr="00D427D8">
        <w:rPr>
          <w:i/>
        </w:rPr>
        <w:t>Interest</w:t>
      </w:r>
      <w:r w:rsidRPr="00D427D8">
        <w:t>)</w:t>
      </w:r>
      <w:r w:rsidR="00EF7333" w:rsidRPr="00D427D8">
        <w:t>"</w:t>
      </w:r>
      <w:r w:rsidRPr="00D427D8">
        <w:t>); and</w:t>
      </w:r>
    </w:p>
    <w:p w14:paraId="40BD0A7D" w14:textId="37844B01" w:rsidR="009F6E91" w:rsidRPr="00D427D8" w:rsidRDefault="009F6E91" w:rsidP="0093166A">
      <w:pPr>
        <w:pStyle w:val="DefLevel1"/>
      </w:pPr>
      <w:r w:rsidRPr="00D427D8">
        <w:t>any Class E Notes Deferred Interest (if any) remaining unpaid,</w:t>
      </w:r>
    </w:p>
    <w:p w14:paraId="2F4831B5" w14:textId="77777777" w:rsidR="009F6E91" w:rsidRPr="00D427D8" w:rsidRDefault="009F6E91" w:rsidP="009F6E91">
      <w:pPr>
        <w:pStyle w:val="Body2"/>
      </w:pPr>
      <w:r w:rsidRPr="00D427D8">
        <w:t>provided that the Issuer shall always pay the amount referred to item (b) in priority to the amount referred to in item (a).</w:t>
      </w:r>
    </w:p>
    <w:p w14:paraId="7FA7AD7D" w14:textId="4A2F29CA" w:rsidR="009F6E91" w:rsidRPr="00D427D8" w:rsidRDefault="00EF7333" w:rsidP="009F6E91">
      <w:pPr>
        <w:pStyle w:val="Body2"/>
      </w:pPr>
      <w:r w:rsidRPr="00D427D8">
        <w:t>"</w:t>
      </w:r>
      <w:r w:rsidR="009F6E91" w:rsidRPr="00D427D8">
        <w:rPr>
          <w:b/>
        </w:rPr>
        <w:t>Class E Notes Interest Rate</w:t>
      </w:r>
      <w:r w:rsidRPr="00D427D8">
        <w:t>"</w:t>
      </w:r>
      <w:r w:rsidR="009F6E91" w:rsidRPr="00D427D8">
        <w:t xml:space="preserve"> means, with respect to the Class E Notes, an annual interest rate equal to the sum of 1-Month EURIBOR plus the Relevant Margin subject to a minimum interest rate of 0.00 per cent. per annum.</w:t>
      </w:r>
    </w:p>
    <w:p w14:paraId="5EB79237" w14:textId="374B55B5" w:rsidR="009F6E91" w:rsidRPr="00D427D8" w:rsidRDefault="00EF7333" w:rsidP="009F6E91">
      <w:pPr>
        <w:pStyle w:val="Body2"/>
      </w:pPr>
      <w:r w:rsidRPr="00D427D8">
        <w:t>"</w:t>
      </w:r>
      <w:r w:rsidR="009F6E91" w:rsidRPr="00D427D8">
        <w:rPr>
          <w:b/>
        </w:rPr>
        <w:t>Class E Notes Principal Payment</w:t>
      </w:r>
      <w:r w:rsidRPr="00D427D8">
        <w:t>"</w:t>
      </w:r>
      <w:r w:rsidR="009F6E91" w:rsidRPr="00D427D8">
        <w:t xml:space="preserve"> means the principal amount payable with respect to a Class E Note on each Distribution Date as calculated by the Calculation Agent as set out in the section </w:t>
      </w:r>
      <w:r w:rsidRPr="00D427D8">
        <w:t>"</w:t>
      </w:r>
      <w:r w:rsidR="009F6E91" w:rsidRPr="00D427D8">
        <w:t>TERMS AND CONDITIONS OF THE NOTES – Condition 7 (</w:t>
      </w:r>
      <w:r w:rsidR="009F6E91" w:rsidRPr="00D427D8">
        <w:rPr>
          <w:i/>
        </w:rPr>
        <w:t>Redemption</w:t>
      </w:r>
      <w:r w:rsidR="009F6E91" w:rsidRPr="00D427D8">
        <w:t>)</w:t>
      </w:r>
      <w:r w:rsidRPr="00D427D8">
        <w:t>"</w:t>
      </w:r>
      <w:r w:rsidR="009F6E91" w:rsidRPr="00D427D8">
        <w:t>.</w:t>
      </w:r>
    </w:p>
    <w:p w14:paraId="437120EC" w14:textId="411854CA" w:rsidR="009F6E91" w:rsidRPr="00D427D8" w:rsidRDefault="00EF7333" w:rsidP="0093166A">
      <w:pPr>
        <w:pStyle w:val="DefHead"/>
      </w:pPr>
      <w:r w:rsidRPr="00D427D8">
        <w:t>"</w:t>
      </w:r>
      <w:r w:rsidR="009F6E91" w:rsidRPr="00D427D8">
        <w:rPr>
          <w:rStyle w:val="BoldText"/>
        </w:rPr>
        <w:t>Class E Notes Redemption Amount</w:t>
      </w:r>
      <w:r w:rsidRPr="00D427D8">
        <w:t>"</w:t>
      </w:r>
      <w:r w:rsidR="009F6E91" w:rsidRPr="00D427D8">
        <w:t xml:space="preserve"> means:</w:t>
      </w:r>
    </w:p>
    <w:p w14:paraId="6608C883" w14:textId="693E3190" w:rsidR="009F6E91" w:rsidRPr="00D427D8" w:rsidRDefault="009F6E91" w:rsidP="0093166A">
      <w:pPr>
        <w:pStyle w:val="DefLevel1"/>
      </w:pPr>
      <w:r w:rsidRPr="00D427D8">
        <w:t>with respect to each Distribution Date during the Revolving Period, zero;</w:t>
      </w:r>
    </w:p>
    <w:p w14:paraId="7A012E11" w14:textId="1200571A" w:rsidR="009F6E91" w:rsidRPr="00D427D8" w:rsidRDefault="009F6E91" w:rsidP="0093166A">
      <w:pPr>
        <w:pStyle w:val="DefLevel1"/>
      </w:pPr>
      <w:r w:rsidRPr="00D427D8">
        <w:t>with respect to each Distribution Date during the Normal Amortisation Period and prior to the occurrence of a Sequential Redemption Event on the corresponding Determination Date, the minimum between:</w:t>
      </w:r>
    </w:p>
    <w:p w14:paraId="1A513245" w14:textId="28011CF4" w:rsidR="009F6E91" w:rsidRPr="00D427D8" w:rsidRDefault="009F6E91" w:rsidP="0093166A">
      <w:pPr>
        <w:pStyle w:val="DefLevel2"/>
      </w:pPr>
      <w:r w:rsidRPr="00D427D8">
        <w:t>the Required Notes Redemption Amount as determined on the immediately following Distribution Date;</w:t>
      </w:r>
    </w:p>
    <w:p w14:paraId="380250B7" w14:textId="4DC0731D" w:rsidR="009F6E91" w:rsidRPr="00D427D8" w:rsidRDefault="009F6E91" w:rsidP="0093166A">
      <w:pPr>
        <w:pStyle w:val="DefLevel2"/>
      </w:pPr>
      <w:r w:rsidRPr="00D427D8">
        <w:t>the positive difference between:</w:t>
      </w:r>
    </w:p>
    <w:p w14:paraId="4BDF598A" w14:textId="08346E70" w:rsidR="009F6E91" w:rsidRPr="00D427D8" w:rsidRDefault="009F6E91" w:rsidP="0093166A">
      <w:pPr>
        <w:pStyle w:val="DefLevel3"/>
      </w:pPr>
      <w:r w:rsidRPr="00D427D8">
        <w:t>the aggregate Principal Outstanding Notes Balance of the Class E Notes on the immediately preceding Distribution Date after giving effect to any payment of the Class E Notes Redemption Amount in accordance with item eighth (8</w:t>
      </w:r>
      <w:r w:rsidRPr="00D427D8">
        <w:rPr>
          <w:vertAlign w:val="superscript"/>
        </w:rPr>
        <w:t>th</w:t>
      </w:r>
      <w:r w:rsidRPr="00D427D8">
        <w:t>) of the Principal Priority of Payments; and</w:t>
      </w:r>
    </w:p>
    <w:p w14:paraId="527AF3E6" w14:textId="5E7D8472" w:rsidR="009F6E91" w:rsidRPr="00D427D8" w:rsidRDefault="009F6E91" w:rsidP="0093166A">
      <w:pPr>
        <w:pStyle w:val="DefLevel3"/>
      </w:pPr>
      <w:r w:rsidRPr="00D427D8">
        <w:t>the Class E Notes Target Principal Balance;</w:t>
      </w:r>
    </w:p>
    <w:p w14:paraId="51EBA68E" w14:textId="321A489A" w:rsidR="009F6E91" w:rsidRPr="00D427D8" w:rsidRDefault="009F6E91" w:rsidP="0093166A">
      <w:pPr>
        <w:pStyle w:val="DefLevel1"/>
      </w:pPr>
      <w:r w:rsidRPr="00D427D8">
        <w:t>with respect to each Distribution Date during the Normal Amortisation Period after the occurrence of a Sequential Redemption Event and for so long as the Class E Notes are the Most Senior Class of Notes, the minimum between:</w:t>
      </w:r>
    </w:p>
    <w:p w14:paraId="586173EB" w14:textId="6B0CFB65" w:rsidR="009F6E91" w:rsidRPr="00D427D8" w:rsidRDefault="009F6E91" w:rsidP="0093166A">
      <w:pPr>
        <w:pStyle w:val="DefLevel2"/>
      </w:pPr>
      <w:r w:rsidRPr="00D427D8">
        <w:t>the Required Notes Redemption Amount as determined on the immediately following Distribution Date;</w:t>
      </w:r>
    </w:p>
    <w:p w14:paraId="2DA8F283" w14:textId="6C15460D" w:rsidR="009F6E91" w:rsidRPr="00D427D8" w:rsidRDefault="009F6E91" w:rsidP="0093166A">
      <w:pPr>
        <w:pStyle w:val="DefLevel2"/>
      </w:pPr>
      <w:r w:rsidRPr="00D427D8">
        <w:t>the aggregate Principal Outstanding Notes Balance of the Class E Notes on the immediately preceding Distribution Date after giving effect to any payment of the Class E Notes Redemption Amount in accordance with item eighth (8</w:t>
      </w:r>
      <w:r w:rsidRPr="00D427D8">
        <w:rPr>
          <w:vertAlign w:val="superscript"/>
        </w:rPr>
        <w:t>th</w:t>
      </w:r>
      <w:r w:rsidRPr="00D427D8">
        <w:t>) of the Principal Priority of Payments,</w:t>
      </w:r>
    </w:p>
    <w:p w14:paraId="456C53E5" w14:textId="77777777" w:rsidR="009F6E91" w:rsidRPr="00D427D8" w:rsidRDefault="009F6E91" w:rsidP="009F6E91">
      <w:pPr>
        <w:pStyle w:val="Body3"/>
      </w:pPr>
      <w:r w:rsidRPr="00D427D8">
        <w:lastRenderedPageBreak/>
        <w:t>provided that so long as the Class E Notes are not the Most Senior Class of Notes, the Class E Notes Redemption Amount shall be equal to zero;</w:t>
      </w:r>
    </w:p>
    <w:p w14:paraId="67DB5CE5" w14:textId="356012B7" w:rsidR="009F6E91" w:rsidRPr="00D427D8" w:rsidRDefault="009F6E91" w:rsidP="0093166A">
      <w:pPr>
        <w:pStyle w:val="DefLevel1"/>
      </w:pPr>
      <w:r w:rsidRPr="00D427D8">
        <w:t>with respect to each Distribution Date during the Accelerated Amortisation Period, the then aggregate Principal Outstanding Notes Balance of the Class E Notes, to the extent there are sufficient funds in the Available Distribution Amount.</w:t>
      </w:r>
    </w:p>
    <w:p w14:paraId="65879BD3" w14:textId="37A9964E" w:rsidR="009F6E91" w:rsidRPr="00D427D8" w:rsidRDefault="00EF7333" w:rsidP="009F6E91">
      <w:pPr>
        <w:pStyle w:val="Body2"/>
      </w:pPr>
      <w:r w:rsidRPr="00D427D8">
        <w:t>"</w:t>
      </w:r>
      <w:r w:rsidR="009F6E91" w:rsidRPr="00D427D8">
        <w:rPr>
          <w:rStyle w:val="BoldText"/>
        </w:rPr>
        <w:t>Class E Notes Subordination Percentage</w:t>
      </w:r>
      <w:r w:rsidRPr="00D427D8">
        <w:t>"</w:t>
      </w:r>
      <w:r w:rsidR="009F6E91" w:rsidRPr="00D427D8">
        <w:t xml:space="preserve"> means </w:t>
      </w:r>
      <w:r w:rsidR="00CB16CF" w:rsidRPr="00CB16CF">
        <w:t xml:space="preserve">4.00 </w:t>
      </w:r>
      <w:r w:rsidR="009F6E91" w:rsidRPr="00D427D8">
        <w:t>per cent.</w:t>
      </w:r>
    </w:p>
    <w:p w14:paraId="1E71D74E" w14:textId="2B5685DC" w:rsidR="009F6E91" w:rsidRPr="00D427D8" w:rsidRDefault="00EF7333" w:rsidP="00F2390A">
      <w:pPr>
        <w:pStyle w:val="DefHead"/>
      </w:pPr>
      <w:r w:rsidRPr="00D427D8">
        <w:t>"</w:t>
      </w:r>
      <w:r w:rsidR="009F6E91" w:rsidRPr="00D427D8">
        <w:rPr>
          <w:b/>
        </w:rPr>
        <w:t>Class E Notes Target Principal Balance</w:t>
      </w:r>
      <w:r w:rsidRPr="00D427D8">
        <w:t>"</w:t>
      </w:r>
      <w:r w:rsidR="009F6E91" w:rsidRPr="00D427D8">
        <w:t xml:space="preserve"> means, with respect to any Distribution Date during the Normal Amortisation Period and prior to the occurrence of a Sequential Redemption Event, the positive difference between:</w:t>
      </w:r>
    </w:p>
    <w:p w14:paraId="105D8329" w14:textId="41BAB6FE" w:rsidR="009F6E91" w:rsidRPr="00D427D8" w:rsidRDefault="009F6E91" w:rsidP="00F2390A">
      <w:pPr>
        <w:pStyle w:val="DefLevel1"/>
      </w:pPr>
      <w:r w:rsidRPr="00D427D8">
        <w:t>the Aggregate Discounted Asset Balance as at the relevant Determination Date;</w:t>
      </w:r>
    </w:p>
    <w:p w14:paraId="6E7D7BBB" w14:textId="330B172D" w:rsidR="009F6E91" w:rsidRPr="00D427D8" w:rsidRDefault="009F6E91" w:rsidP="00F2390A">
      <w:pPr>
        <w:pStyle w:val="DefLevel1"/>
      </w:pPr>
      <w:r w:rsidRPr="00D427D8">
        <w:t>minus the aggregate of the Class A Notes Target Principal Balance, the Class B Notes Target Principal Balance, the Class C Notes Target Principal Balance and the Class D Notes Target Principal Balance;</w:t>
      </w:r>
    </w:p>
    <w:p w14:paraId="5F00ABD8" w14:textId="4B84D836" w:rsidR="009F6E91" w:rsidRPr="00D427D8" w:rsidRDefault="009F6E91" w:rsidP="00F2390A">
      <w:pPr>
        <w:pStyle w:val="DefLevel1"/>
      </w:pPr>
      <w:r w:rsidRPr="00D427D8">
        <w:t>minus the Class E Notes Target Subordination Amount.</w:t>
      </w:r>
    </w:p>
    <w:p w14:paraId="37CD6180" w14:textId="661918D1" w:rsidR="009F6E91" w:rsidRPr="00D427D8" w:rsidRDefault="00EF7333" w:rsidP="00C43470">
      <w:pPr>
        <w:pStyle w:val="DefHead"/>
      </w:pPr>
      <w:r w:rsidRPr="00D427D8">
        <w:t>"</w:t>
      </w:r>
      <w:r w:rsidR="009F6E91" w:rsidRPr="00D427D8">
        <w:rPr>
          <w:b/>
        </w:rPr>
        <w:t>Class E Notes Target Subordination Amount</w:t>
      </w:r>
      <w:r w:rsidRPr="00D427D8">
        <w:t>"</w:t>
      </w:r>
      <w:r w:rsidR="009F6E91" w:rsidRPr="00D427D8">
        <w:t xml:space="preserve"> means, with respect to any Distribution Date during the Normal Amortisation Period and prior to the occurrence of a Sequential Redemption Event, the product of:</w:t>
      </w:r>
    </w:p>
    <w:p w14:paraId="5D2231C8" w14:textId="426778AB" w:rsidR="009F6E91" w:rsidRPr="00D427D8" w:rsidRDefault="009F6E91" w:rsidP="000E13E7">
      <w:pPr>
        <w:pStyle w:val="DefLevel1"/>
      </w:pPr>
      <w:r w:rsidRPr="00D427D8">
        <w:t>the Class E Notes Subordination Percentage with respect to such Distribution Date, by</w:t>
      </w:r>
    </w:p>
    <w:p w14:paraId="03DCAE09" w14:textId="168D04ED" w:rsidR="009F6E91" w:rsidRPr="00D427D8" w:rsidRDefault="009F6E91" w:rsidP="000E13E7">
      <w:pPr>
        <w:pStyle w:val="DefLevel1"/>
      </w:pPr>
      <w:r w:rsidRPr="00D427D8">
        <w:t>the Aggregate Discounted Asset Balance as at the relevant Determination Date.</w:t>
      </w:r>
    </w:p>
    <w:p w14:paraId="440D43B8" w14:textId="5BA361EE" w:rsidR="009F6E91" w:rsidRPr="00D427D8" w:rsidRDefault="00EF7333" w:rsidP="009F6E91">
      <w:pPr>
        <w:pStyle w:val="Body2"/>
      </w:pPr>
      <w:r w:rsidRPr="00D427D8">
        <w:t>"</w:t>
      </w:r>
      <w:r w:rsidR="009F6E91" w:rsidRPr="00D427D8">
        <w:rPr>
          <w:b/>
        </w:rPr>
        <w:t>Class E Principal Deficiency Sub-Ledger</w:t>
      </w:r>
      <w:r w:rsidRPr="00D427D8">
        <w:t>"</w:t>
      </w:r>
      <w:r w:rsidR="009F6E91" w:rsidRPr="00D427D8">
        <w:t xml:space="preserve"> means the sub-ledger of the Principal Deficiency Ledger established by the Issuer in respect of the Class E Notes in order to record as debits Default Amounts and the application of the Available Distribution Amount to pay any Interest Deficiency on a Distribution Date.</w:t>
      </w:r>
    </w:p>
    <w:p w14:paraId="4BEBC960" w14:textId="2FA6EAF4" w:rsidR="009F6E91" w:rsidRPr="00D427D8" w:rsidRDefault="00EF7333" w:rsidP="009F6E91">
      <w:pPr>
        <w:pStyle w:val="Body2"/>
      </w:pPr>
      <w:r w:rsidRPr="00D427D8">
        <w:t>"</w:t>
      </w:r>
      <w:r w:rsidR="009F6E91" w:rsidRPr="00D427D8">
        <w:rPr>
          <w:b/>
        </w:rPr>
        <w:t>Class F Noteholder</w:t>
      </w:r>
      <w:r w:rsidRPr="00D427D8">
        <w:t>"</w:t>
      </w:r>
      <w:r w:rsidR="009F6E91" w:rsidRPr="00D427D8">
        <w:t xml:space="preserve"> means any holder of any Class F Notes.</w:t>
      </w:r>
    </w:p>
    <w:p w14:paraId="2F99586B" w14:textId="393D155E" w:rsidR="009F6E91" w:rsidRPr="00D427D8" w:rsidRDefault="00EF7333" w:rsidP="009F6E91">
      <w:pPr>
        <w:pStyle w:val="Body2"/>
      </w:pPr>
      <w:r w:rsidRPr="00D427D8">
        <w:t>"</w:t>
      </w:r>
      <w:r w:rsidR="009F6E91" w:rsidRPr="00D427D8">
        <w:rPr>
          <w:b/>
        </w:rPr>
        <w:t>Class F Notes</w:t>
      </w:r>
      <w:r w:rsidRPr="00D427D8">
        <w:t>"</w:t>
      </w:r>
      <w:r w:rsidR="009F6E91" w:rsidRPr="00D427D8">
        <w:t xml:space="preserve"> means the EUR </w:t>
      </w:r>
      <w:r w:rsidR="00526BA1">
        <w:t xml:space="preserve">30,000,000 </w:t>
      </w:r>
      <w:r w:rsidR="009F6E91" w:rsidRPr="00D427D8">
        <w:t xml:space="preserve">class F asset-backed floating rate notes due </w:t>
      </w:r>
      <w:r w:rsidR="00526BA1">
        <w:t>2034</w:t>
      </w:r>
      <w:r w:rsidR="009F6E91" w:rsidRPr="00D427D8">
        <w:t>.</w:t>
      </w:r>
    </w:p>
    <w:p w14:paraId="28E1D3F8" w14:textId="274A9FE1" w:rsidR="009F6E91" w:rsidRPr="00D427D8" w:rsidRDefault="00EF7333" w:rsidP="009F6E91">
      <w:pPr>
        <w:pStyle w:val="Body2"/>
      </w:pPr>
      <w:r w:rsidRPr="00D427D8">
        <w:t>"</w:t>
      </w:r>
      <w:r w:rsidR="009F6E91" w:rsidRPr="00D427D8">
        <w:rPr>
          <w:b/>
        </w:rPr>
        <w:t>Class F Notes Deferred Interest</w:t>
      </w:r>
      <w:r w:rsidRPr="00D427D8">
        <w:t>"</w:t>
      </w:r>
      <w:r w:rsidR="009F6E91" w:rsidRPr="00D427D8">
        <w:t xml:space="preserve"> means, in relation to a Distribution Date, the difference between:</w:t>
      </w:r>
    </w:p>
    <w:p w14:paraId="7A8D956D" w14:textId="3B02B28B" w:rsidR="009F6E91" w:rsidRPr="00D427D8" w:rsidRDefault="009F6E91" w:rsidP="00971E01">
      <w:pPr>
        <w:pStyle w:val="DefLevel1"/>
        <w:numPr>
          <w:ilvl w:val="1"/>
          <w:numId w:val="56"/>
        </w:numPr>
      </w:pPr>
      <w:r w:rsidRPr="00D427D8">
        <w:t>the Class F Notes Interest Amount due and payable on the relevant Distribution Date; and</w:t>
      </w:r>
    </w:p>
    <w:p w14:paraId="24AA699D" w14:textId="71884C0B" w:rsidR="009F6E91" w:rsidRPr="00D427D8" w:rsidRDefault="009F6E91" w:rsidP="00C43470">
      <w:pPr>
        <w:pStyle w:val="DefLevel1"/>
      </w:pPr>
      <w:r w:rsidRPr="00D427D8">
        <w:t>the amount of interest actually paid in relation to a Class F Note with respect to such Class F Notes Interest Amount.</w:t>
      </w:r>
    </w:p>
    <w:p w14:paraId="38A27EFB" w14:textId="088EB180" w:rsidR="009F6E91" w:rsidRPr="00D427D8" w:rsidRDefault="00EF7333" w:rsidP="00C43470">
      <w:pPr>
        <w:pStyle w:val="DefHead"/>
      </w:pPr>
      <w:r w:rsidRPr="00D427D8">
        <w:t>"</w:t>
      </w:r>
      <w:r w:rsidR="009F6E91" w:rsidRPr="00D427D8">
        <w:rPr>
          <w:b/>
        </w:rPr>
        <w:t>Class F Notes Interest Amount</w:t>
      </w:r>
      <w:r w:rsidRPr="00D427D8">
        <w:t>"</w:t>
      </w:r>
      <w:r w:rsidR="009F6E91" w:rsidRPr="00D427D8">
        <w:t xml:space="preserve"> means on each Distribution Date and with respect to each Class F Note:</w:t>
      </w:r>
    </w:p>
    <w:p w14:paraId="4CEE3FF2" w14:textId="79E079B9" w:rsidR="009F6E91" w:rsidRPr="00D427D8" w:rsidRDefault="009F6E91" w:rsidP="00C43470">
      <w:pPr>
        <w:pStyle w:val="DefLevel1"/>
      </w:pPr>
      <w:r w:rsidRPr="00D427D8">
        <w:t xml:space="preserve">the amount of interest payable to the Class F Noteholders on such Distribution Date as calculated by the Calculation Agent as follows: the product (rounding the resultant figure to the lower cent) of (i) the Class F Notes Interest Rate, (ii) the Principal Outstanding Notes Balance of a Class F Note as of the preceding Distribution Date, and (iii) the actual number of days in the relevant Interest Period divided by 360) (see </w:t>
      </w:r>
      <w:r w:rsidR="00EF7333" w:rsidRPr="00D427D8">
        <w:t>"</w:t>
      </w:r>
      <w:r w:rsidRPr="00D427D8">
        <w:t>TERMS AND CONDITIONS OF THE NOTES – Condition 6 (</w:t>
      </w:r>
      <w:r w:rsidRPr="00D427D8">
        <w:rPr>
          <w:i/>
        </w:rPr>
        <w:t>Interest</w:t>
      </w:r>
      <w:r w:rsidRPr="00D427D8">
        <w:t>)</w:t>
      </w:r>
      <w:r w:rsidR="00EF7333" w:rsidRPr="00D427D8">
        <w:t>"</w:t>
      </w:r>
      <w:r w:rsidRPr="00D427D8">
        <w:t>); and</w:t>
      </w:r>
    </w:p>
    <w:p w14:paraId="6B17FBCE" w14:textId="1427907B" w:rsidR="009F6E91" w:rsidRPr="00D427D8" w:rsidRDefault="009F6E91" w:rsidP="00C43470">
      <w:pPr>
        <w:pStyle w:val="DefLevel1"/>
      </w:pPr>
      <w:r w:rsidRPr="00D427D8">
        <w:t>any Class F Notes Deferred Interest (if any) remaining unpaid,</w:t>
      </w:r>
    </w:p>
    <w:p w14:paraId="12240653" w14:textId="77777777" w:rsidR="009F6E91" w:rsidRPr="00D427D8" w:rsidRDefault="009F6E91" w:rsidP="009F6E91">
      <w:pPr>
        <w:pStyle w:val="Body2"/>
      </w:pPr>
      <w:r w:rsidRPr="00D427D8">
        <w:t>provided that the Issuer shall always pay the amount referred to item (b) in priority to the amount referred to in item (a).</w:t>
      </w:r>
    </w:p>
    <w:p w14:paraId="0B1354A1" w14:textId="60A06693" w:rsidR="009F6E91" w:rsidRPr="00D427D8" w:rsidRDefault="00EF7333" w:rsidP="009F6E91">
      <w:pPr>
        <w:pStyle w:val="Body2"/>
      </w:pPr>
      <w:r w:rsidRPr="00D427D8">
        <w:t>"</w:t>
      </w:r>
      <w:r w:rsidR="009F6E91" w:rsidRPr="00D427D8">
        <w:rPr>
          <w:b/>
        </w:rPr>
        <w:t>Class F Notes Interest Rate</w:t>
      </w:r>
      <w:r w:rsidRPr="00D427D8">
        <w:t>"</w:t>
      </w:r>
      <w:r w:rsidR="009F6E91" w:rsidRPr="00D427D8">
        <w:t xml:space="preserve"> means, with respect to the Class F Notes, an annual interest rate equal to the sum of </w:t>
      </w:r>
      <w:bookmarkStart w:id="161" w:name="_Hlk144119922"/>
      <w:r w:rsidR="009F6E91" w:rsidRPr="00D427D8">
        <w:t xml:space="preserve">1-Month EURIBOR plus the Relevant Margin subject to a minimum interest rate of 0.00 </w:t>
      </w:r>
      <w:bookmarkEnd w:id="161"/>
      <w:r w:rsidR="009F6E91" w:rsidRPr="00D427D8">
        <w:t>per cent. per annum.</w:t>
      </w:r>
    </w:p>
    <w:p w14:paraId="7FA259FC" w14:textId="321A4B2F" w:rsidR="009F6E91" w:rsidRPr="00D427D8" w:rsidRDefault="00EF7333" w:rsidP="009F6E91">
      <w:pPr>
        <w:pStyle w:val="Body2"/>
      </w:pPr>
      <w:r w:rsidRPr="00D427D8">
        <w:lastRenderedPageBreak/>
        <w:t>"</w:t>
      </w:r>
      <w:r w:rsidR="009F6E91" w:rsidRPr="00D427D8">
        <w:rPr>
          <w:b/>
        </w:rPr>
        <w:t>Class F Notes Principal Payment</w:t>
      </w:r>
      <w:r w:rsidRPr="00D427D8">
        <w:t>"</w:t>
      </w:r>
      <w:r w:rsidR="009F6E91" w:rsidRPr="00D427D8">
        <w:t xml:space="preserve"> means the principal amount payable with respect to a Class F Note on each Distribution Date as calculated by the Calculation Agent as set out in the section </w:t>
      </w:r>
      <w:r w:rsidRPr="00D427D8">
        <w:t>"</w:t>
      </w:r>
      <w:r w:rsidR="009F6E91" w:rsidRPr="00D427D8">
        <w:t>TERMS AND CONDITIONS OF THE NOTES – Condition 7 (</w:t>
      </w:r>
      <w:r w:rsidR="009F6E91" w:rsidRPr="00D427D8">
        <w:rPr>
          <w:i/>
        </w:rPr>
        <w:t>Redemption</w:t>
      </w:r>
      <w:r w:rsidR="009F6E91" w:rsidRPr="00D427D8">
        <w:t>)</w:t>
      </w:r>
      <w:r w:rsidRPr="00D427D8">
        <w:t>"</w:t>
      </w:r>
      <w:r w:rsidR="009F6E91" w:rsidRPr="00D427D8">
        <w:t>.</w:t>
      </w:r>
    </w:p>
    <w:p w14:paraId="12630CEA" w14:textId="26534336" w:rsidR="009F6E91" w:rsidRPr="00D427D8" w:rsidRDefault="00EF7333" w:rsidP="00C43470">
      <w:pPr>
        <w:pStyle w:val="DefHead"/>
      </w:pPr>
      <w:r w:rsidRPr="00D427D8">
        <w:t>"</w:t>
      </w:r>
      <w:r w:rsidR="009F6E91" w:rsidRPr="00D427D8">
        <w:rPr>
          <w:rStyle w:val="BoldText"/>
        </w:rPr>
        <w:t>Class F Notes Redemption Amount</w:t>
      </w:r>
      <w:r w:rsidRPr="00D427D8">
        <w:t>"</w:t>
      </w:r>
      <w:r w:rsidR="009F6E91" w:rsidRPr="00D427D8">
        <w:t xml:space="preserve"> means:</w:t>
      </w:r>
    </w:p>
    <w:p w14:paraId="7CF323ED" w14:textId="4CDE83C4" w:rsidR="009F6E91" w:rsidRPr="00D427D8" w:rsidRDefault="009F6E91" w:rsidP="00C43470">
      <w:pPr>
        <w:pStyle w:val="DefLevel1"/>
      </w:pPr>
      <w:r w:rsidRPr="00D427D8">
        <w:t>with respect to each Distribution Date during the Revolving Period, zero;</w:t>
      </w:r>
    </w:p>
    <w:p w14:paraId="16B640C6" w14:textId="0F71E22E" w:rsidR="009F6E91" w:rsidRPr="00D427D8" w:rsidRDefault="009F6E91" w:rsidP="00C43470">
      <w:pPr>
        <w:pStyle w:val="DefLevel1"/>
      </w:pPr>
      <w:r w:rsidRPr="00D427D8">
        <w:t>with respect to each Distribution Date during the Normal Amortisation Period and prior to the occurrence of a Sequential Redemption Event on the corresponding Determination Date, the minimum between:</w:t>
      </w:r>
    </w:p>
    <w:p w14:paraId="68DFA134" w14:textId="072D6460" w:rsidR="009F6E91" w:rsidRPr="00D427D8" w:rsidRDefault="009F6E91" w:rsidP="00C43470">
      <w:pPr>
        <w:pStyle w:val="DefLevel2"/>
      </w:pPr>
      <w:r w:rsidRPr="00D427D8">
        <w:t>the Required Notes Redemption Amount as determined on the immediately following Distribution Date;</w:t>
      </w:r>
    </w:p>
    <w:p w14:paraId="66382759" w14:textId="73706FE5" w:rsidR="009F6E91" w:rsidRPr="00D427D8" w:rsidRDefault="009F6E91" w:rsidP="00C43470">
      <w:pPr>
        <w:pStyle w:val="DefLevel2"/>
      </w:pPr>
      <w:r w:rsidRPr="00D427D8">
        <w:t>the positive difference between:</w:t>
      </w:r>
    </w:p>
    <w:p w14:paraId="134A6AE9" w14:textId="104EF2E1" w:rsidR="009F6E91" w:rsidRPr="00D427D8" w:rsidRDefault="009F6E91" w:rsidP="00C43470">
      <w:pPr>
        <w:pStyle w:val="DefLevel3"/>
      </w:pPr>
      <w:r w:rsidRPr="00D427D8">
        <w:t>the aggregate Principal Outstanding Notes Balance of the Class F Notes on the immediately preceding Distribution Date after giving effect to any payment of the Class F Notes Redemption Amount in accordance with item ninth (9</w:t>
      </w:r>
      <w:r w:rsidRPr="00D427D8">
        <w:rPr>
          <w:vertAlign w:val="superscript"/>
        </w:rPr>
        <w:t>th</w:t>
      </w:r>
      <w:r w:rsidRPr="00D427D8">
        <w:t>) of the Principal Priority of Payments; and</w:t>
      </w:r>
    </w:p>
    <w:p w14:paraId="28F41D80" w14:textId="3FC85B49" w:rsidR="009F6E91" w:rsidRPr="00D427D8" w:rsidRDefault="009F6E91" w:rsidP="00C43470">
      <w:pPr>
        <w:pStyle w:val="DefLevel3"/>
      </w:pPr>
      <w:r w:rsidRPr="00D427D8">
        <w:t>the Class F Notes Target Principal Balance;</w:t>
      </w:r>
    </w:p>
    <w:p w14:paraId="381C7B76" w14:textId="1EFEA860" w:rsidR="009F6E91" w:rsidRPr="00D427D8" w:rsidRDefault="009F6E91" w:rsidP="00C43470">
      <w:pPr>
        <w:pStyle w:val="DefLevel1"/>
      </w:pPr>
      <w:r w:rsidRPr="00D427D8">
        <w:t>with respect to each Distribution Date during the Normal Amortisation Period after the occurrence of a Sequential Redemption Event and for so long as the Class F Notes are the Most Senior Class of Notes, the minimum between:</w:t>
      </w:r>
    </w:p>
    <w:p w14:paraId="37B92E0B" w14:textId="3B8186CC" w:rsidR="009F6E91" w:rsidRPr="00D427D8" w:rsidRDefault="009F6E91" w:rsidP="00C43470">
      <w:pPr>
        <w:pStyle w:val="DefLevel2"/>
      </w:pPr>
      <w:r w:rsidRPr="00D427D8">
        <w:t>the Required Notes Redemption Amount as determined on the immediately following Distribution Date;</w:t>
      </w:r>
    </w:p>
    <w:p w14:paraId="56281D1C" w14:textId="731D1B72" w:rsidR="009F6E91" w:rsidRPr="00D427D8" w:rsidRDefault="009F6E91" w:rsidP="00C43470">
      <w:pPr>
        <w:pStyle w:val="DefLevel2"/>
      </w:pPr>
      <w:r w:rsidRPr="00D427D8">
        <w:t>the aggregate Principal Outstanding Notes Balance of the Class F Notes on the immediately preceding Distribution Date after giving effect to any payment of the Class F Notes Redemption Amount in accordance with item ninth (9</w:t>
      </w:r>
      <w:r w:rsidRPr="00D427D8">
        <w:rPr>
          <w:vertAlign w:val="superscript"/>
        </w:rPr>
        <w:t>th</w:t>
      </w:r>
      <w:r w:rsidRPr="00D427D8">
        <w:t>) of the Principal Priority of Payments,</w:t>
      </w:r>
    </w:p>
    <w:p w14:paraId="5BF18F17" w14:textId="77777777" w:rsidR="009F6E91" w:rsidRPr="00D427D8" w:rsidRDefault="009F6E91" w:rsidP="009F6E91">
      <w:pPr>
        <w:pStyle w:val="Body3"/>
      </w:pPr>
      <w:r w:rsidRPr="00D427D8">
        <w:t>provided that so long as the Class F Notes are not the Most Senior Class of Notes, the Class F Notes Redemption Amount shall be equal to zero;</w:t>
      </w:r>
    </w:p>
    <w:p w14:paraId="5D0B4FFA" w14:textId="2A8E1E0D" w:rsidR="009F6E91" w:rsidRPr="00D427D8" w:rsidRDefault="009F6E91" w:rsidP="00C43470">
      <w:pPr>
        <w:pStyle w:val="DefLevel1"/>
      </w:pPr>
      <w:r w:rsidRPr="00D427D8">
        <w:t>with respect to each Distribution Date during the Accelerated Amortisation Period, the then aggregate Principal Outstanding Notes Balance of the Class F Notes, to the extent there are sufficient funds in the Available Distribution Amount.</w:t>
      </w:r>
    </w:p>
    <w:p w14:paraId="160815DF" w14:textId="5A406009" w:rsidR="009F6E91" w:rsidRPr="00D427D8" w:rsidRDefault="00EF7333" w:rsidP="009F6E91">
      <w:pPr>
        <w:pStyle w:val="Body2"/>
      </w:pPr>
      <w:r w:rsidRPr="00D427D8">
        <w:t>"</w:t>
      </w:r>
      <w:r w:rsidR="009F6E91" w:rsidRPr="00D427D8">
        <w:rPr>
          <w:rStyle w:val="BoldText"/>
        </w:rPr>
        <w:t>Class F Notes Subordination Percentage</w:t>
      </w:r>
      <w:r w:rsidRPr="00D427D8">
        <w:t>"</w:t>
      </w:r>
      <w:r w:rsidR="009F6E91" w:rsidRPr="00D427D8">
        <w:t xml:space="preserve"> means </w:t>
      </w:r>
      <w:r w:rsidR="00CB16CF" w:rsidRPr="00CB16CF">
        <w:t>1.00</w:t>
      </w:r>
      <w:r w:rsidR="009F6E91" w:rsidRPr="00D427D8">
        <w:t xml:space="preserve"> per cent.</w:t>
      </w:r>
    </w:p>
    <w:p w14:paraId="4F3BBCA4" w14:textId="5BBE4473" w:rsidR="009F6E91" w:rsidRPr="00D427D8" w:rsidRDefault="00EF7333" w:rsidP="00C43470">
      <w:pPr>
        <w:pStyle w:val="DefHead"/>
      </w:pPr>
      <w:r w:rsidRPr="00D427D8">
        <w:t>"</w:t>
      </w:r>
      <w:r w:rsidR="009F6E91" w:rsidRPr="00D427D8">
        <w:rPr>
          <w:b/>
        </w:rPr>
        <w:t>Class F Notes Target Principal Balance</w:t>
      </w:r>
      <w:r w:rsidRPr="00D427D8">
        <w:t>"</w:t>
      </w:r>
      <w:r w:rsidR="009F6E91" w:rsidRPr="00D427D8">
        <w:t xml:space="preserve"> means, with respect to any Distribution Date during the Normal Amortisation Period and prior to the occurrence of a Sequential Redemption Event, the positive difference between:</w:t>
      </w:r>
    </w:p>
    <w:p w14:paraId="41C0B4FF" w14:textId="2923B4E3" w:rsidR="009F6E91" w:rsidRPr="00D427D8" w:rsidRDefault="009F6E91" w:rsidP="00C43470">
      <w:pPr>
        <w:pStyle w:val="DefLevel1"/>
      </w:pPr>
      <w:r w:rsidRPr="00D427D8">
        <w:t>the Aggregate Discounted Asset Balance as at the relevant Determination Date;</w:t>
      </w:r>
    </w:p>
    <w:p w14:paraId="18EC772D" w14:textId="59DF2BF9" w:rsidR="009F6E91" w:rsidRPr="00D427D8" w:rsidRDefault="009F6E91" w:rsidP="00C43470">
      <w:pPr>
        <w:pStyle w:val="DefLevel1"/>
      </w:pPr>
      <w:r w:rsidRPr="00D427D8">
        <w:t>minus the aggregate of the Class A Notes Target Principal Balance, the Class B Notes Target Principal Balance, the Class C Notes Target Principal Balance, the Class D Notes Target Principal Balance and the Class E Notes Target Principal Balance;</w:t>
      </w:r>
    </w:p>
    <w:p w14:paraId="42A4B956" w14:textId="61A6E28C" w:rsidR="009F6E91" w:rsidRPr="00D427D8" w:rsidRDefault="009F6E91" w:rsidP="00C43470">
      <w:pPr>
        <w:pStyle w:val="DefLevel1"/>
      </w:pPr>
      <w:r w:rsidRPr="00D427D8">
        <w:t>minus the Class F Notes Target Subordination Amount.</w:t>
      </w:r>
    </w:p>
    <w:p w14:paraId="4466F6BA" w14:textId="015739C1" w:rsidR="009F6E91" w:rsidRPr="00D427D8" w:rsidRDefault="00EF7333" w:rsidP="00C43470">
      <w:pPr>
        <w:pStyle w:val="DefHead"/>
      </w:pPr>
      <w:r w:rsidRPr="00D427D8">
        <w:t>"</w:t>
      </w:r>
      <w:r w:rsidR="009F6E91" w:rsidRPr="00D427D8">
        <w:rPr>
          <w:b/>
        </w:rPr>
        <w:t>Class F Notes Target Subordination Amount</w:t>
      </w:r>
      <w:r w:rsidRPr="00D427D8">
        <w:t>"</w:t>
      </w:r>
      <w:r w:rsidR="009F6E91" w:rsidRPr="00D427D8">
        <w:t xml:space="preserve"> means, with respect to any Distribution Date during the Normal Amortisation Period and prior to the occurrence of a Sequential Redemption Event, the product of:</w:t>
      </w:r>
    </w:p>
    <w:p w14:paraId="3D141948" w14:textId="5A4DEEB2" w:rsidR="009F6E91" w:rsidRPr="00D427D8" w:rsidRDefault="009F6E91" w:rsidP="00C43470">
      <w:pPr>
        <w:pStyle w:val="DefLevel1"/>
      </w:pPr>
      <w:r w:rsidRPr="00D427D8">
        <w:t>the Class F Notes Subordination Percentage with respect to such Distribution Date, by</w:t>
      </w:r>
    </w:p>
    <w:p w14:paraId="471AC595" w14:textId="7ACB1AB2" w:rsidR="009F6E91" w:rsidRPr="00D427D8" w:rsidRDefault="009F6E91" w:rsidP="00C43470">
      <w:pPr>
        <w:pStyle w:val="DefLevel1"/>
      </w:pPr>
      <w:r w:rsidRPr="00D427D8">
        <w:lastRenderedPageBreak/>
        <w:t>the Aggregate Discounted Asset Balance as at the relevant Determination Date.</w:t>
      </w:r>
    </w:p>
    <w:p w14:paraId="691ACA94" w14:textId="3D68C4E9" w:rsidR="009F6E91" w:rsidRPr="00D427D8" w:rsidRDefault="00EF7333" w:rsidP="009F6E91">
      <w:pPr>
        <w:pStyle w:val="Body2"/>
      </w:pPr>
      <w:r w:rsidRPr="00D427D8">
        <w:t>"</w:t>
      </w:r>
      <w:r w:rsidR="009F6E91" w:rsidRPr="00D427D8">
        <w:rPr>
          <w:b/>
        </w:rPr>
        <w:t>Class F Principal Deficiency Sub-Ledger</w:t>
      </w:r>
      <w:r w:rsidRPr="00D427D8">
        <w:t>"</w:t>
      </w:r>
      <w:r w:rsidR="009F6E91" w:rsidRPr="00D427D8">
        <w:t xml:space="preserve"> means the sub-ledger of the Principal Deficiency Ledger established by the Issuer in respect of the Class F Notes in order to record as debits Default Amounts and the application of the Available Distribution Amount to pay any Interest Deficiency on a Distribution Date.</w:t>
      </w:r>
    </w:p>
    <w:p w14:paraId="43DA8DB8" w14:textId="03268273" w:rsidR="009F6E91" w:rsidRPr="00D427D8" w:rsidRDefault="00EF7333" w:rsidP="009F6E91">
      <w:pPr>
        <w:pStyle w:val="Body2"/>
      </w:pPr>
      <w:r w:rsidRPr="00D427D8">
        <w:t>"</w:t>
      </w:r>
      <w:r w:rsidR="009F6E91" w:rsidRPr="00D427D8">
        <w:rPr>
          <w:b/>
        </w:rPr>
        <w:t>Class G Noteholder</w:t>
      </w:r>
      <w:r w:rsidRPr="00D427D8">
        <w:t>"</w:t>
      </w:r>
      <w:r w:rsidR="009F6E91" w:rsidRPr="00D427D8">
        <w:t xml:space="preserve"> means any holder of any Class G Notes.</w:t>
      </w:r>
    </w:p>
    <w:p w14:paraId="327BB2A6" w14:textId="2861E648" w:rsidR="009F6E91" w:rsidRPr="00D427D8" w:rsidRDefault="00EF7333" w:rsidP="009F6E91">
      <w:pPr>
        <w:pStyle w:val="Body2"/>
      </w:pPr>
      <w:r w:rsidRPr="00D427D8">
        <w:t>"</w:t>
      </w:r>
      <w:r w:rsidR="009F6E91" w:rsidRPr="00D427D8">
        <w:rPr>
          <w:b/>
        </w:rPr>
        <w:t>Class G Notes</w:t>
      </w:r>
      <w:r w:rsidRPr="00D427D8">
        <w:t>"</w:t>
      </w:r>
      <w:r w:rsidR="009F6E91" w:rsidRPr="00D427D8">
        <w:t xml:space="preserve"> means the EUR </w:t>
      </w:r>
      <w:r w:rsidR="00526BA1">
        <w:t xml:space="preserve">10,000,000 </w:t>
      </w:r>
      <w:r w:rsidR="009F6E91" w:rsidRPr="00D427D8">
        <w:t xml:space="preserve">class G asset-backed floating rate notes due </w:t>
      </w:r>
      <w:r w:rsidR="00526BA1">
        <w:t>2034</w:t>
      </w:r>
      <w:r w:rsidR="009F6E91" w:rsidRPr="00D427D8">
        <w:t>.</w:t>
      </w:r>
    </w:p>
    <w:p w14:paraId="4E8145DF" w14:textId="065BD68B" w:rsidR="009F6E91" w:rsidRPr="00D427D8" w:rsidRDefault="00EF7333" w:rsidP="00C43470">
      <w:pPr>
        <w:pStyle w:val="DefHead"/>
      </w:pPr>
      <w:r w:rsidRPr="00D427D8">
        <w:t>"</w:t>
      </w:r>
      <w:r w:rsidR="009F6E91" w:rsidRPr="00D427D8">
        <w:rPr>
          <w:b/>
        </w:rPr>
        <w:t>Class G Notes Deferred Interest</w:t>
      </w:r>
      <w:r w:rsidRPr="00D427D8">
        <w:t>"</w:t>
      </w:r>
      <w:r w:rsidR="009F6E91" w:rsidRPr="00D427D8">
        <w:t xml:space="preserve"> means, in relation to a Distribution Date, the difference between:</w:t>
      </w:r>
    </w:p>
    <w:p w14:paraId="5062655C" w14:textId="5CCC1E6A" w:rsidR="009F6E91" w:rsidRPr="00D427D8" w:rsidRDefault="009F6E91" w:rsidP="006222D6">
      <w:pPr>
        <w:pStyle w:val="DefLevel1"/>
      </w:pPr>
      <w:r w:rsidRPr="00D427D8">
        <w:t>the Class G Notes Interest Amount due and payable on the relevant Distribution Date; and</w:t>
      </w:r>
    </w:p>
    <w:p w14:paraId="69D76318" w14:textId="1DB7BD2C" w:rsidR="009F6E91" w:rsidRPr="00D427D8" w:rsidRDefault="009F6E91" w:rsidP="006222D6">
      <w:pPr>
        <w:pStyle w:val="DefLevel1"/>
      </w:pPr>
      <w:r w:rsidRPr="00D427D8">
        <w:t>the amount of interest actually paid in relation to a Class G Note with respect to such Class G Notes Interest Amount.</w:t>
      </w:r>
    </w:p>
    <w:p w14:paraId="07018669" w14:textId="5740B856" w:rsidR="009F6E91" w:rsidRPr="00D427D8" w:rsidRDefault="00EF7333" w:rsidP="006222D6">
      <w:pPr>
        <w:pStyle w:val="DefHead"/>
      </w:pPr>
      <w:r w:rsidRPr="00D427D8">
        <w:t>"</w:t>
      </w:r>
      <w:r w:rsidR="009F6E91" w:rsidRPr="00D427D8">
        <w:rPr>
          <w:b/>
        </w:rPr>
        <w:t>Class G Notes Interest Amount</w:t>
      </w:r>
      <w:r w:rsidRPr="00D427D8">
        <w:t>"</w:t>
      </w:r>
      <w:r w:rsidR="009F6E91" w:rsidRPr="00D427D8">
        <w:t xml:space="preserve"> means on each Distribution Date and with respect to each Class G Note:</w:t>
      </w:r>
    </w:p>
    <w:p w14:paraId="608E12D4" w14:textId="2872A562" w:rsidR="009F6E91" w:rsidRPr="00D427D8" w:rsidRDefault="009F6E91" w:rsidP="006222D6">
      <w:pPr>
        <w:pStyle w:val="DefLevel1"/>
      </w:pPr>
      <w:r w:rsidRPr="00D427D8">
        <w:t xml:space="preserve">the amount of interest payable to the Class G Noteholders on such Distribution Date as calculated by the Calculation Agent as follows: the product (rounding the resultant figure to the lower cent) of (i) the Class G Notes Interest Rate, (ii) the Principal Outstanding Notes Balance of a Class G Note as of the preceding Distribution Date, and (iii) of (1) the number of days in the relevant Interest Period and (2) the number of Distribution Dates that occur in one calendar year or that would occur in one calendar year if interest were payable in respect of the whole of such year (see </w:t>
      </w:r>
      <w:r w:rsidR="00EF7333" w:rsidRPr="00D427D8">
        <w:t>"</w:t>
      </w:r>
      <w:r w:rsidRPr="00D427D8">
        <w:t>TERMS AND CONDITIONS OF THE NOTES – Condition 6 (</w:t>
      </w:r>
      <w:r w:rsidRPr="00D427D8">
        <w:rPr>
          <w:i/>
        </w:rPr>
        <w:t>Interest</w:t>
      </w:r>
      <w:r w:rsidRPr="00D427D8">
        <w:t>)</w:t>
      </w:r>
      <w:r w:rsidR="00EF7333" w:rsidRPr="00D427D8">
        <w:t>"</w:t>
      </w:r>
      <w:r w:rsidRPr="00D427D8">
        <w:t>); and</w:t>
      </w:r>
    </w:p>
    <w:p w14:paraId="4575410E" w14:textId="51BDCE9C" w:rsidR="009F6E91" w:rsidRPr="00D427D8" w:rsidRDefault="009F6E91" w:rsidP="006222D6">
      <w:pPr>
        <w:pStyle w:val="DefLevel1"/>
      </w:pPr>
      <w:r w:rsidRPr="00D427D8">
        <w:t>any Class G Notes Deferred Interest (if any) remaining unpaid,</w:t>
      </w:r>
    </w:p>
    <w:p w14:paraId="3E4DA175" w14:textId="77777777" w:rsidR="009F6E91" w:rsidRPr="00D427D8" w:rsidRDefault="009F6E91" w:rsidP="009F6E91">
      <w:pPr>
        <w:pStyle w:val="Body2"/>
      </w:pPr>
      <w:r w:rsidRPr="00D427D8">
        <w:t>provided that the Issuer shall always pay the amount referred to item (b) in priority to the amount referred to in item (a).</w:t>
      </w:r>
    </w:p>
    <w:p w14:paraId="4337EA82" w14:textId="61DFABC0" w:rsidR="009F6E91" w:rsidRPr="00D427D8" w:rsidRDefault="00EF7333" w:rsidP="009F6E91">
      <w:pPr>
        <w:pStyle w:val="Body2"/>
      </w:pPr>
      <w:r w:rsidRPr="00D427D8">
        <w:t>"</w:t>
      </w:r>
      <w:r w:rsidR="009F6E91" w:rsidRPr="00D427D8">
        <w:rPr>
          <w:b/>
        </w:rPr>
        <w:t>Class G Notes Interest Rate</w:t>
      </w:r>
      <w:r w:rsidRPr="00D427D8">
        <w:t>"</w:t>
      </w:r>
      <w:r w:rsidR="009F6E91" w:rsidRPr="00D427D8">
        <w:t xml:space="preserve"> means, with respect to the Class G Notes, an annual interest rate equal to 1-Month EURIBOR plus the Relevant Margin subject to a minimum interest rate of 0.00  per cent. per annum.</w:t>
      </w:r>
    </w:p>
    <w:p w14:paraId="532C515F" w14:textId="09D87C7E" w:rsidR="009F6E91" w:rsidRPr="00D427D8" w:rsidRDefault="00EF7333" w:rsidP="009F6E91">
      <w:pPr>
        <w:pStyle w:val="Body2"/>
      </w:pPr>
      <w:r w:rsidRPr="00D427D8">
        <w:t>"</w:t>
      </w:r>
      <w:r w:rsidR="009F6E91" w:rsidRPr="00D427D8">
        <w:rPr>
          <w:b/>
        </w:rPr>
        <w:t>Class G Notes Principal Payment</w:t>
      </w:r>
      <w:r w:rsidRPr="00D427D8">
        <w:t>"</w:t>
      </w:r>
      <w:r w:rsidR="009F6E91" w:rsidRPr="00D427D8">
        <w:t xml:space="preserve"> means the principal amount payable with respect to a Class G Note on each Distribution Date as calculated by the Calculation Agent as set out in the section </w:t>
      </w:r>
      <w:r w:rsidRPr="00D427D8">
        <w:t>"</w:t>
      </w:r>
      <w:r w:rsidR="009F6E91" w:rsidRPr="00D427D8">
        <w:t>TERMS AND CONDITIONS OF THE NOTES – Condition 7 (</w:t>
      </w:r>
      <w:r w:rsidR="009F6E91" w:rsidRPr="00D427D8">
        <w:rPr>
          <w:i/>
        </w:rPr>
        <w:t>Redemption</w:t>
      </w:r>
      <w:r w:rsidR="009F6E91" w:rsidRPr="00D427D8">
        <w:t>)</w:t>
      </w:r>
      <w:r w:rsidRPr="00D427D8">
        <w:t>"</w:t>
      </w:r>
      <w:r w:rsidR="009F6E91" w:rsidRPr="00D427D8">
        <w:t>.</w:t>
      </w:r>
    </w:p>
    <w:p w14:paraId="663A82AD" w14:textId="08C6F6F1" w:rsidR="009F6E91" w:rsidRPr="00D427D8" w:rsidRDefault="00EF7333" w:rsidP="006222D6">
      <w:pPr>
        <w:pStyle w:val="DefHead"/>
      </w:pPr>
      <w:r w:rsidRPr="00D427D8">
        <w:t>"</w:t>
      </w:r>
      <w:r w:rsidR="009F6E91" w:rsidRPr="00D427D8">
        <w:rPr>
          <w:rStyle w:val="BoldText"/>
        </w:rPr>
        <w:t>Class G Notes Redemption Amount</w:t>
      </w:r>
      <w:r w:rsidRPr="00D427D8">
        <w:t>"</w:t>
      </w:r>
      <w:r w:rsidR="009F6E91" w:rsidRPr="00D427D8">
        <w:t xml:space="preserve"> means:</w:t>
      </w:r>
    </w:p>
    <w:p w14:paraId="6DB40687" w14:textId="79AC17ED" w:rsidR="009F6E91" w:rsidRPr="00D427D8" w:rsidRDefault="009F6E91" w:rsidP="006222D6">
      <w:pPr>
        <w:pStyle w:val="DefLevel1"/>
      </w:pPr>
      <w:r w:rsidRPr="00D427D8">
        <w:t>with respect to each Distribution Date during the Revolving Period, zero;</w:t>
      </w:r>
    </w:p>
    <w:p w14:paraId="2E6B6786" w14:textId="5A1ED675" w:rsidR="009F6E91" w:rsidRPr="00D427D8" w:rsidRDefault="009F6E91" w:rsidP="006222D6">
      <w:pPr>
        <w:pStyle w:val="DefLevel1"/>
      </w:pPr>
      <w:r w:rsidRPr="00D427D8">
        <w:t>with respect to each Distribution Date during the Normal Amortisation Period and prior to the occurrence of a Sequential Redemption Event on the corresponding Determination Date, the minimum between:</w:t>
      </w:r>
    </w:p>
    <w:p w14:paraId="696F4A88" w14:textId="3EB2CE5D" w:rsidR="009F6E91" w:rsidRPr="00D427D8" w:rsidRDefault="009F6E91" w:rsidP="006222D6">
      <w:pPr>
        <w:pStyle w:val="DefLevel2"/>
      </w:pPr>
      <w:r w:rsidRPr="00D427D8">
        <w:t>the Required Notes Redemption Amount as determined on the immediately following Distribution Date;</w:t>
      </w:r>
    </w:p>
    <w:p w14:paraId="6D8B2EDA" w14:textId="6CA399A1" w:rsidR="009F6E91" w:rsidRPr="00D427D8" w:rsidRDefault="009F6E91" w:rsidP="006222D6">
      <w:pPr>
        <w:pStyle w:val="DefLevel2"/>
      </w:pPr>
      <w:r w:rsidRPr="00D427D8">
        <w:t>the positive difference between:</w:t>
      </w:r>
    </w:p>
    <w:p w14:paraId="0F914D2C" w14:textId="0462C62E" w:rsidR="009F6E91" w:rsidRPr="00D427D8" w:rsidRDefault="009F6E91" w:rsidP="006222D6">
      <w:pPr>
        <w:pStyle w:val="DefLevel3"/>
      </w:pPr>
      <w:r w:rsidRPr="00D427D8">
        <w:t>the aggregate Principal Outstanding Notes Balance of the Class G Notes on the immediately preceding Distribution Date after giving effect to any payment of the Class G Notes Redemption Amount in accordance with item tenth (10</w:t>
      </w:r>
      <w:r w:rsidRPr="00D427D8">
        <w:rPr>
          <w:vertAlign w:val="superscript"/>
        </w:rPr>
        <w:t>th</w:t>
      </w:r>
      <w:r w:rsidRPr="00D427D8">
        <w:t>) of the Principal Priority of Payments; and</w:t>
      </w:r>
    </w:p>
    <w:p w14:paraId="544A3AB8" w14:textId="5C599133" w:rsidR="009F6E91" w:rsidRPr="00D427D8" w:rsidRDefault="009F6E91" w:rsidP="006222D6">
      <w:pPr>
        <w:pStyle w:val="DefLevel3"/>
      </w:pPr>
      <w:r w:rsidRPr="00D427D8">
        <w:t>the Class G Notes Target Principal Balance;</w:t>
      </w:r>
    </w:p>
    <w:p w14:paraId="3EBB855A" w14:textId="6C162DFA" w:rsidR="009F6E91" w:rsidRPr="00D427D8" w:rsidRDefault="009F6E91" w:rsidP="006222D6">
      <w:pPr>
        <w:pStyle w:val="DefLevel1"/>
      </w:pPr>
      <w:r w:rsidRPr="00D427D8">
        <w:lastRenderedPageBreak/>
        <w:t>with respect to each Distribution Date during the Normal Amortisation Period after the occurrence of a Sequential Redemption Event and for so long as the Class G Notes are the Most Senior Class of Notes, the minimum between:</w:t>
      </w:r>
    </w:p>
    <w:p w14:paraId="3AF7A5BD" w14:textId="5B499924" w:rsidR="009F6E91" w:rsidRPr="00D427D8" w:rsidRDefault="009F6E91" w:rsidP="006222D6">
      <w:pPr>
        <w:pStyle w:val="DefLevel2"/>
      </w:pPr>
      <w:r w:rsidRPr="00D427D8">
        <w:t>the Required Notes Redemption Amount as determined on the immediately following Distribution Date;</w:t>
      </w:r>
    </w:p>
    <w:p w14:paraId="499E078C" w14:textId="3184EA66" w:rsidR="009F6E91" w:rsidRPr="00D427D8" w:rsidRDefault="009F6E91" w:rsidP="006222D6">
      <w:pPr>
        <w:pStyle w:val="DefLevel2"/>
      </w:pPr>
      <w:r w:rsidRPr="00D427D8">
        <w:t>the aggregate Principal Outstanding Notes Balance of the Class G Notes on the immediately preceding Distribution Date after giving effect to any payment of the Class G Notes Redemption Amount in accordance with item tenth (10</w:t>
      </w:r>
      <w:r w:rsidRPr="00D427D8">
        <w:rPr>
          <w:vertAlign w:val="superscript"/>
        </w:rPr>
        <w:t>th</w:t>
      </w:r>
      <w:r w:rsidRPr="00D427D8">
        <w:t>) of the Principal Priority of Payments,</w:t>
      </w:r>
    </w:p>
    <w:p w14:paraId="4E944F10" w14:textId="77777777" w:rsidR="009F6E91" w:rsidRPr="00D427D8" w:rsidRDefault="009F6E91" w:rsidP="009F6E91">
      <w:pPr>
        <w:pStyle w:val="Body3"/>
      </w:pPr>
      <w:r w:rsidRPr="00D427D8">
        <w:t>provided that so long as the Class G Notes are not the Most Senior Class of Notes, the Class G Notes Redemption Amount shall be equal to zero;</w:t>
      </w:r>
    </w:p>
    <w:p w14:paraId="2AAA0469" w14:textId="29EECA1B" w:rsidR="009F6E91" w:rsidRPr="00D427D8" w:rsidRDefault="009F6E91" w:rsidP="006222D6">
      <w:pPr>
        <w:pStyle w:val="DefLevel1"/>
      </w:pPr>
      <w:r w:rsidRPr="00D427D8">
        <w:t>with respect to each Distribution Date during the Accelerated Amortisation Period, the then aggregate Principal Outstanding Notes Balance of the Class G Notes, to the extent there are sufficient funds in the Available Distribution Amount.</w:t>
      </w:r>
    </w:p>
    <w:p w14:paraId="577803B0" w14:textId="26BA67A9" w:rsidR="009F6E91" w:rsidRPr="00D427D8" w:rsidRDefault="00EF7333" w:rsidP="009F6E91">
      <w:pPr>
        <w:pStyle w:val="Body2"/>
      </w:pPr>
      <w:r w:rsidRPr="00D427D8">
        <w:t>"</w:t>
      </w:r>
      <w:r w:rsidR="009F6E91" w:rsidRPr="00D427D8">
        <w:rPr>
          <w:rStyle w:val="BoldText"/>
        </w:rPr>
        <w:t>Class G Notes Subordination Percentage</w:t>
      </w:r>
      <w:r w:rsidRPr="00D427D8">
        <w:t>"</w:t>
      </w:r>
      <w:r w:rsidR="009F6E91" w:rsidRPr="00D427D8">
        <w:t xml:space="preserve"> means 0 per cent.</w:t>
      </w:r>
    </w:p>
    <w:p w14:paraId="32326515" w14:textId="1954EAAD" w:rsidR="009F6E91" w:rsidRPr="00D427D8" w:rsidRDefault="00EF7333" w:rsidP="00F802F3">
      <w:pPr>
        <w:pStyle w:val="DefHead"/>
      </w:pPr>
      <w:r w:rsidRPr="00D427D8">
        <w:t>"</w:t>
      </w:r>
      <w:r w:rsidR="009F6E91" w:rsidRPr="00D427D8">
        <w:rPr>
          <w:b/>
        </w:rPr>
        <w:t>Class G Notes Target Principal Balance</w:t>
      </w:r>
      <w:r w:rsidRPr="00D427D8">
        <w:t>"</w:t>
      </w:r>
      <w:r w:rsidR="009F6E91" w:rsidRPr="00D427D8">
        <w:t xml:space="preserve"> means, with respect to any Distribution Date during the Normal Amortisation Period and prior to the occurrence of a Sequential Redemption Event, the positive difference between:</w:t>
      </w:r>
    </w:p>
    <w:p w14:paraId="525CB0EB" w14:textId="48CC3211" w:rsidR="009F6E91" w:rsidRPr="00D427D8" w:rsidRDefault="009F6E91" w:rsidP="00F802F3">
      <w:pPr>
        <w:pStyle w:val="DefLevel1"/>
      </w:pPr>
      <w:r w:rsidRPr="00D427D8">
        <w:t>the Aggregate Discounted Asset Balance as at the relevant Determination Date;</w:t>
      </w:r>
    </w:p>
    <w:p w14:paraId="48FBFC7D" w14:textId="5CA9A239" w:rsidR="009F6E91" w:rsidRPr="00D427D8" w:rsidRDefault="009F6E91" w:rsidP="00F802F3">
      <w:pPr>
        <w:pStyle w:val="DefLevel1"/>
      </w:pPr>
      <w:r w:rsidRPr="00D427D8">
        <w:t>minus the aggregate of the Class A Notes Target Principal Balance, the Class B Notes Target Principal Balance, the Class C Notes Target Principal Balance, the Class D Notes Target Principal Balance, the Class E Notes Target Principal Balance and the Class F Notes Target Principal Balance;</w:t>
      </w:r>
    </w:p>
    <w:p w14:paraId="06122E71" w14:textId="72C13BB2" w:rsidR="009F6E91" w:rsidRPr="00D427D8" w:rsidRDefault="009F6E91" w:rsidP="00F802F3">
      <w:pPr>
        <w:pStyle w:val="DefLevel1"/>
      </w:pPr>
      <w:r w:rsidRPr="00D427D8">
        <w:t>minus the Class G Notes Target Subordination Amount.</w:t>
      </w:r>
    </w:p>
    <w:p w14:paraId="028C4F2A" w14:textId="145AD5E6" w:rsidR="009F6E91" w:rsidRPr="00D427D8" w:rsidRDefault="00EF7333" w:rsidP="00F802F3">
      <w:pPr>
        <w:pStyle w:val="DefHead"/>
      </w:pPr>
      <w:r w:rsidRPr="00D427D8">
        <w:t>"</w:t>
      </w:r>
      <w:r w:rsidR="009F6E91" w:rsidRPr="00D427D8">
        <w:rPr>
          <w:b/>
        </w:rPr>
        <w:t>Class G Notes Target Subordination Amount</w:t>
      </w:r>
      <w:r w:rsidRPr="00D427D8">
        <w:t>"</w:t>
      </w:r>
      <w:r w:rsidR="009F6E91" w:rsidRPr="00D427D8">
        <w:t xml:space="preserve"> means, with respect to any Distribution Date during the Normal Amortisation Period and prior to the occurrence of a Sequential Redemption Event, the product of:</w:t>
      </w:r>
    </w:p>
    <w:p w14:paraId="5BC5B4E1" w14:textId="7A1C1771" w:rsidR="009F6E91" w:rsidRPr="00D427D8" w:rsidRDefault="009F6E91" w:rsidP="00F802F3">
      <w:pPr>
        <w:pStyle w:val="DefLevel1"/>
      </w:pPr>
      <w:r w:rsidRPr="00D427D8">
        <w:t>the Class G Notes Subordination Percentage with respect to such Distribution Date, by</w:t>
      </w:r>
    </w:p>
    <w:p w14:paraId="4AB9058A" w14:textId="22BC4CF4" w:rsidR="009F6E91" w:rsidRPr="00D427D8" w:rsidRDefault="009F6E91" w:rsidP="00F802F3">
      <w:pPr>
        <w:pStyle w:val="DefLevel1"/>
      </w:pPr>
      <w:r w:rsidRPr="00D427D8">
        <w:t>the Aggregate Discounted Asset Balance as at the relevant Determination Date.</w:t>
      </w:r>
    </w:p>
    <w:p w14:paraId="37165BE5" w14:textId="651B08D3" w:rsidR="009F6E91" w:rsidRPr="00D427D8" w:rsidRDefault="00EF7333" w:rsidP="009F6E91">
      <w:pPr>
        <w:pStyle w:val="Body2"/>
      </w:pPr>
      <w:r w:rsidRPr="00D427D8">
        <w:t>"</w:t>
      </w:r>
      <w:r w:rsidR="009F6E91" w:rsidRPr="00D427D8">
        <w:rPr>
          <w:b/>
        </w:rPr>
        <w:t>Class G Principal Deficiency Sub-Ledger</w:t>
      </w:r>
      <w:r w:rsidRPr="00D427D8">
        <w:t>"</w:t>
      </w:r>
      <w:r w:rsidR="009F6E91" w:rsidRPr="00D427D8">
        <w:t xml:space="preserve"> means the sub-ledger of the Principal Deficiency Ledger established by Issuer in respect of the Class G Notes in order to record as debits Default Amounts and the application of the Available Distribution Amount to pay any Interest Deficiency on a Distribution Date.</w:t>
      </w:r>
    </w:p>
    <w:p w14:paraId="6FD03515" w14:textId="17900CD4" w:rsidR="009F6E91" w:rsidRPr="00D427D8" w:rsidRDefault="00EF7333" w:rsidP="009F6E91">
      <w:pPr>
        <w:pStyle w:val="Body2"/>
      </w:pPr>
      <w:r w:rsidRPr="00D427D8">
        <w:t>"</w:t>
      </w:r>
      <w:r w:rsidR="009F6E91" w:rsidRPr="00D427D8">
        <w:rPr>
          <w:b/>
        </w:rPr>
        <w:t>Class of Notes</w:t>
      </w:r>
      <w:r w:rsidRPr="00D427D8">
        <w:t>"</w:t>
      </w:r>
      <w:r w:rsidR="009F6E91" w:rsidRPr="00D427D8">
        <w:rPr>
          <w:b/>
        </w:rPr>
        <w:t xml:space="preserve"> </w:t>
      </w:r>
      <w:r w:rsidR="009F6E91" w:rsidRPr="00D427D8">
        <w:t xml:space="preserve">or </w:t>
      </w:r>
      <w:r w:rsidRPr="00D427D8">
        <w:t>"</w:t>
      </w:r>
      <w:r w:rsidR="009F6E91" w:rsidRPr="00D427D8">
        <w:rPr>
          <w:b/>
        </w:rPr>
        <w:t>Class</w:t>
      </w:r>
      <w:r w:rsidRPr="00D427D8">
        <w:t>"</w:t>
      </w:r>
      <w:r w:rsidR="009F6E91" w:rsidRPr="00D427D8">
        <w:t xml:space="preserve"> means each of the Class A Notes, the Class B Notes, the Class C Notes, the Class D Notes, the Class E Notes, the Class F Notes and the Class G Notes, respectively.</w:t>
      </w:r>
    </w:p>
    <w:p w14:paraId="21915F1E" w14:textId="2DCAE2BF" w:rsidR="009F6E91" w:rsidRPr="00D427D8" w:rsidRDefault="00EF7333" w:rsidP="009F6E91">
      <w:pPr>
        <w:pStyle w:val="Body2"/>
      </w:pPr>
      <w:r w:rsidRPr="00D427D8">
        <w:t>"</w:t>
      </w:r>
      <w:r w:rsidR="009F6E91" w:rsidRPr="00D427D8">
        <w:rPr>
          <w:b/>
        </w:rPr>
        <w:t>Clean-Up Cal</w:t>
      </w:r>
      <w:r w:rsidR="009F6E91" w:rsidRPr="00D427D8">
        <w:t xml:space="preserve">l </w:t>
      </w:r>
      <w:r w:rsidR="009F6E91" w:rsidRPr="00D427D8">
        <w:rPr>
          <w:b/>
          <w:bCs/>
        </w:rPr>
        <w:t>Option</w:t>
      </w:r>
      <w:r w:rsidRPr="00D427D8">
        <w:t>"</w:t>
      </w:r>
      <w:r w:rsidR="009F6E91" w:rsidRPr="00D427D8">
        <w:t xml:space="preserve"> means Stellantis Bank</w:t>
      </w:r>
      <w:r w:rsidRPr="00D427D8">
        <w:t>'</w:t>
      </w:r>
      <w:r w:rsidR="009F6E91" w:rsidRPr="00D427D8">
        <w:t>s right at its option to exercise a clean-up call, if the Aggregate Discounted Asset Balance falls below ten per cent. (10%) of the Aggregate Discounted Asset Balance as of the Closing Date.</w:t>
      </w:r>
    </w:p>
    <w:p w14:paraId="60FAB85F" w14:textId="3046E5F5" w:rsidR="009F6E91" w:rsidRPr="00D427D8" w:rsidRDefault="00EF7333" w:rsidP="009F6E91">
      <w:pPr>
        <w:pStyle w:val="Body2"/>
      </w:pPr>
      <w:r w:rsidRPr="00D427D8">
        <w:t>"</w:t>
      </w:r>
      <w:r w:rsidR="009F6E91" w:rsidRPr="00D427D8">
        <w:rPr>
          <w:b/>
          <w:bCs/>
        </w:rPr>
        <w:t>Clean-Up Call Repurchase Price</w:t>
      </w:r>
      <w:r w:rsidRPr="00D427D8">
        <w:t>"</w:t>
      </w:r>
      <w:r w:rsidR="009F6E91" w:rsidRPr="00D427D8">
        <w:t xml:space="preserve"> has the meaning given to such term in clause 15(d) of the Master Agreement.</w:t>
      </w:r>
    </w:p>
    <w:p w14:paraId="0D7FF061" w14:textId="32F4EEEC" w:rsidR="009F6E91" w:rsidRPr="00D427D8" w:rsidRDefault="00EF7333" w:rsidP="009F6E91">
      <w:pPr>
        <w:pStyle w:val="Body2"/>
        <w:rPr>
          <w:lang w:val="en-US"/>
        </w:rPr>
      </w:pPr>
      <w:r w:rsidRPr="00D427D8">
        <w:t>"</w:t>
      </w:r>
      <w:r w:rsidR="009F6E91" w:rsidRPr="00D427D8">
        <w:rPr>
          <w:b/>
          <w:lang w:val="en-US"/>
        </w:rPr>
        <w:t>Clearing Systems</w:t>
      </w:r>
      <w:r w:rsidRPr="00D427D8">
        <w:t>"</w:t>
      </w:r>
      <w:r w:rsidR="009F6E91" w:rsidRPr="00D427D8">
        <w:rPr>
          <w:lang w:val="en-US"/>
        </w:rPr>
        <w:t xml:space="preserve"> means Euroclear and Clearstream.</w:t>
      </w:r>
    </w:p>
    <w:p w14:paraId="003560E1" w14:textId="67787C4C" w:rsidR="009F6E91" w:rsidRPr="00D427D8" w:rsidRDefault="00EF7333" w:rsidP="009F6E91">
      <w:pPr>
        <w:pStyle w:val="Body2"/>
      </w:pPr>
      <w:r w:rsidRPr="00D427D8">
        <w:t>"</w:t>
      </w:r>
      <w:r w:rsidR="009F6E91" w:rsidRPr="00D427D8">
        <w:rPr>
          <w:b/>
        </w:rPr>
        <w:t>Clearstream</w:t>
      </w:r>
      <w:r w:rsidRPr="00D427D8">
        <w:t>"</w:t>
      </w:r>
      <w:r w:rsidR="009F6E91" w:rsidRPr="00D427D8">
        <w:t xml:space="preserve"> means Clearstream Banking </w:t>
      </w:r>
      <w:r w:rsidR="009F6E91" w:rsidRPr="00D427D8">
        <w:rPr>
          <w:i/>
        </w:rPr>
        <w:t>société anonyme</w:t>
      </w:r>
      <w:r w:rsidR="009F6E91" w:rsidRPr="00D427D8">
        <w:t>, 42 Avenue JF Kennedy L-1855 Luxembourg.</w:t>
      </w:r>
    </w:p>
    <w:p w14:paraId="1AD24E97" w14:textId="4ECC221C" w:rsidR="009F6E91" w:rsidRPr="00D427D8" w:rsidRDefault="00EF7333" w:rsidP="009F6E91">
      <w:pPr>
        <w:pStyle w:val="Body2"/>
      </w:pPr>
      <w:bookmarkStart w:id="162" w:name="_Hlk197448671"/>
      <w:r w:rsidRPr="00D427D8">
        <w:t>"</w:t>
      </w:r>
      <w:r w:rsidR="009F6E91" w:rsidRPr="00D427D8">
        <w:rPr>
          <w:b/>
        </w:rPr>
        <w:t>Closing Date</w:t>
      </w:r>
      <w:r w:rsidRPr="00D427D8">
        <w:t>"</w:t>
      </w:r>
      <w:r w:rsidR="009F6E91" w:rsidRPr="00D427D8">
        <w:t xml:space="preserve"> means </w:t>
      </w:r>
      <w:r w:rsidR="00526BA1">
        <w:t>25 June 2025</w:t>
      </w:r>
      <w:r w:rsidR="00526BA1" w:rsidRPr="00D427D8">
        <w:t>.</w:t>
      </w:r>
    </w:p>
    <w:bookmarkEnd w:id="162"/>
    <w:p w14:paraId="111DA8D6" w14:textId="3E521719" w:rsidR="009F6E91" w:rsidRPr="00D427D8" w:rsidRDefault="00085E16" w:rsidP="00085E16">
      <w:pPr>
        <w:pStyle w:val="Body2"/>
        <w:rPr>
          <w:lang w:bidi="he-IL"/>
        </w:rPr>
      </w:pPr>
      <w:r w:rsidRPr="00D427D8">
        <w:rPr>
          <w:lang w:bidi="he-IL"/>
        </w:rPr>
        <w:lastRenderedPageBreak/>
        <w:t>"</w:t>
      </w:r>
      <w:r w:rsidRPr="00D427D8">
        <w:rPr>
          <w:rStyle w:val="BoldText"/>
        </w:rPr>
        <w:t>Collateral</w:t>
      </w:r>
      <w:r w:rsidRPr="00D427D8">
        <w:rPr>
          <w:lang w:bidi="he-IL"/>
        </w:rPr>
        <w:t>" means the Lease Collateral, the ER Collateral and any other collateral granted by the Seller to the Issuer under an Asset Purchase Agreement.</w:t>
      </w:r>
    </w:p>
    <w:p w14:paraId="39E2E186" w14:textId="6A6FF34B" w:rsidR="009F6E91" w:rsidRPr="00D427D8" w:rsidRDefault="00EF7333" w:rsidP="009F6E91">
      <w:pPr>
        <w:pStyle w:val="Body2"/>
      </w:pPr>
      <w:r w:rsidRPr="00D427D8">
        <w:t>"</w:t>
      </w:r>
      <w:r w:rsidR="009F6E91" w:rsidRPr="00D427D8">
        <w:rPr>
          <w:b/>
          <w:bCs/>
        </w:rPr>
        <w:t>Collateral Agency Agreement</w:t>
      </w:r>
      <w:r w:rsidRPr="00D427D8">
        <w:t>"</w:t>
      </w:r>
      <w:r w:rsidR="009F6E91" w:rsidRPr="00D427D8">
        <w:t xml:space="preserve"> means the collateral agency agreement entered into on the Signing Date between the Issuer, the Collateral Agent, the ER Collateral Agent, the Lead Manager, the Arranger, the Subordinated Lender, the Lender, the Data Protection Trustee, the Corporate Services Provider, the Back-up Servicer Facilitator, the Paying Agent, the Reporting Agent, the Calculation Agent, the Counterparty, the Account Bank, the Servicer and the Seller.</w:t>
      </w:r>
    </w:p>
    <w:p w14:paraId="4FF2ABF8" w14:textId="7054B3B5" w:rsidR="009F6E91" w:rsidRPr="00D427D8" w:rsidRDefault="00EF7333" w:rsidP="009F6E91">
      <w:pPr>
        <w:pStyle w:val="Body2"/>
      </w:pPr>
      <w:r w:rsidRPr="00D427D8">
        <w:t>"</w:t>
      </w:r>
      <w:r w:rsidR="009F6E91" w:rsidRPr="00D427D8">
        <w:rPr>
          <w:b/>
          <w:bCs/>
        </w:rPr>
        <w:t>Collateral Agent</w:t>
      </w:r>
      <w:r w:rsidRPr="00D427D8">
        <w:t>"</w:t>
      </w:r>
      <w:r w:rsidR="009F6E91" w:rsidRPr="00D427D8">
        <w:t xml:space="preserve"> means CSC Trustees GmbH, Eschersheimer Landstraße 14, 60322 Frankfurt am Main, Germany.</w:t>
      </w:r>
    </w:p>
    <w:p w14:paraId="3DA1FC79" w14:textId="272857F4" w:rsidR="00460CC3" w:rsidRPr="00CB16CF" w:rsidRDefault="00EF7333" w:rsidP="00CB16CF">
      <w:pPr>
        <w:pStyle w:val="Body2"/>
      </w:pPr>
      <w:r w:rsidRPr="00D427D8">
        <w:t>"</w:t>
      </w:r>
      <w:r w:rsidR="009F6E91" w:rsidRPr="00D427D8">
        <w:rPr>
          <w:b/>
        </w:rPr>
        <w:t>Concentration Limits</w:t>
      </w:r>
      <w:r w:rsidRPr="00D427D8">
        <w:t>"</w:t>
      </w:r>
      <w:r w:rsidR="009F6E91" w:rsidRPr="00D427D8">
        <w:t xml:space="preserve"> </w:t>
      </w:r>
      <w:r w:rsidR="00460CC3">
        <w:t>means during the Revolving Period each of the following requirements:</w:t>
      </w:r>
    </w:p>
    <w:p w14:paraId="0A5F84F4" w14:textId="77777777" w:rsidR="00460CC3" w:rsidRDefault="00460CC3" w:rsidP="00460CC3">
      <w:pPr>
        <w:pStyle w:val="DefLevel1"/>
        <w:numPr>
          <w:ilvl w:val="1"/>
          <w:numId w:val="59"/>
        </w:numPr>
      </w:pPr>
      <w:r>
        <w:t xml:space="preserve">the aggregate Net Present Value of all Purchased Expectancy Rights that relate to Performing Receivables under a Kilometre Contract does not exceed 70% of the Aggregate Discounted Receivables </w:t>
      </w:r>
      <w:r>
        <w:rPr>
          <w:lang w:bidi="he-IL"/>
        </w:rPr>
        <w:t>Balance</w:t>
      </w:r>
      <w:r>
        <w:t xml:space="preserve"> as of the Cut-Off Date and each Further Cut-Off Date;</w:t>
      </w:r>
    </w:p>
    <w:p w14:paraId="0D7C33B3" w14:textId="77777777" w:rsidR="00460CC3" w:rsidRDefault="00460CC3" w:rsidP="00460CC3">
      <w:pPr>
        <w:pStyle w:val="DefLevel1"/>
        <w:numPr>
          <w:ilvl w:val="1"/>
          <w:numId w:val="59"/>
        </w:numPr>
      </w:pPr>
      <w:r>
        <w:t>the aggregate Net Present Value of all Purchased Expectancy Rights that relate to Performing Receivables under a RW Contract does not exceed 10% of the Aggregate Discounted Receivables Balance as of the Cut-Off Date and each Further Cut-Off Date;</w:t>
      </w:r>
    </w:p>
    <w:p w14:paraId="70D81033" w14:textId="77777777" w:rsidR="00460CC3" w:rsidRDefault="00460CC3" w:rsidP="00460CC3">
      <w:pPr>
        <w:pStyle w:val="DefLevel1"/>
        <w:numPr>
          <w:ilvl w:val="1"/>
          <w:numId w:val="59"/>
        </w:numPr>
      </w:pPr>
      <w:r>
        <w:t>the sum of the Discounted Receivables Balance which are Performing Receivables relating to the same Lessee does not exceed 0.05% of the Aggregate Discounted Receivables Balance as of the Cut-Off Date and each Further Cut-Off Date;</w:t>
      </w:r>
    </w:p>
    <w:p w14:paraId="2BF25AE2" w14:textId="77777777" w:rsidR="00460CC3" w:rsidRDefault="00460CC3" w:rsidP="00460CC3">
      <w:pPr>
        <w:pStyle w:val="DefLevel1"/>
        <w:numPr>
          <w:ilvl w:val="1"/>
          <w:numId w:val="59"/>
        </w:numPr>
      </w:pPr>
      <w:r>
        <w:t>the sum of the Discounted Receivables Balance of Receivables relating to Leased Vehicles which are used vehicles does not exceed 40% of the Aggregate Discounted Receivables Balance as of the Cut-Off Date and each Further Cut-Off Date;</w:t>
      </w:r>
    </w:p>
    <w:p w14:paraId="0B954860" w14:textId="77777777" w:rsidR="00460CC3" w:rsidRDefault="00460CC3" w:rsidP="00460CC3">
      <w:pPr>
        <w:pStyle w:val="DefLevel1"/>
        <w:numPr>
          <w:ilvl w:val="1"/>
          <w:numId w:val="59"/>
        </w:numPr>
      </w:pPr>
      <w:r>
        <w:t>the sum of the Discounted Receivables Balance of Receivables relating to Leased Vehicles which are battery electric vehicles does not exceed 30% of the Aggregate Discounted Receivables Balance as of the Cut-Off Date and each Further Cut-Off Date;</w:t>
      </w:r>
    </w:p>
    <w:p w14:paraId="79064E28" w14:textId="77777777" w:rsidR="00460CC3" w:rsidRDefault="00460CC3" w:rsidP="00460CC3">
      <w:pPr>
        <w:pStyle w:val="DefLevel1"/>
        <w:numPr>
          <w:ilvl w:val="1"/>
          <w:numId w:val="59"/>
        </w:numPr>
      </w:pPr>
      <w:r>
        <w:t xml:space="preserve">the Discount Rate of all Purchased Lease Receivables which are Performing Receivables weighted by the respective Discounted Receivables Balance does not fall below 6%; </w:t>
      </w:r>
    </w:p>
    <w:p w14:paraId="01F15915" w14:textId="77777777" w:rsidR="00460CC3" w:rsidRDefault="00460CC3" w:rsidP="00460CC3">
      <w:pPr>
        <w:pStyle w:val="DefLevel1"/>
        <w:numPr>
          <w:ilvl w:val="1"/>
          <w:numId w:val="59"/>
        </w:numPr>
        <w:rPr>
          <w:lang w:bidi="he-IL"/>
        </w:rPr>
      </w:pPr>
      <w:r>
        <w:t>the sum of the Discounted Receivables Balance which are Performing Receivables relating to B2B Lessees does not exceed 40% of the Aggregate Discounted Receivables Balance as of the Cut-Off Date and each Further Cut-Off Date; and</w:t>
      </w:r>
    </w:p>
    <w:p w14:paraId="22F33A8B" w14:textId="77777777" w:rsidR="00460CC3" w:rsidRDefault="00460CC3" w:rsidP="00460CC3">
      <w:pPr>
        <w:pStyle w:val="DefLevel1"/>
        <w:numPr>
          <w:ilvl w:val="1"/>
          <w:numId w:val="59"/>
        </w:numPr>
      </w:pPr>
      <w:r>
        <w:t>the sum of the Discounted Receivables Balance of Receivables relating to new brands of Leased Vehicles which are battery electric vehicles and the brand of which did not form part of the Portfolio on the Closing Date does not exceed 5% of the Aggregate Discounted Receivables Balance as of the Cut-Off Date and each Further Cut-Off Date.</w:t>
      </w:r>
    </w:p>
    <w:p w14:paraId="54DD5D48" w14:textId="048854F2" w:rsidR="009F6E91" w:rsidRPr="00D427D8" w:rsidRDefault="00EF7333" w:rsidP="00CB16CF">
      <w:pPr>
        <w:pStyle w:val="DefHead"/>
      </w:pPr>
      <w:r w:rsidRPr="00D427D8">
        <w:t>"</w:t>
      </w:r>
      <w:r w:rsidR="009F6E91" w:rsidRPr="00460CC3">
        <w:rPr>
          <w:b/>
        </w:rPr>
        <w:t>Conditions</w:t>
      </w:r>
      <w:r w:rsidRPr="00D427D8">
        <w:t>"</w:t>
      </w:r>
      <w:r w:rsidR="009F6E91" w:rsidRPr="00D427D8">
        <w:t xml:space="preserve"> means the terms and conditions of the Notes.</w:t>
      </w:r>
    </w:p>
    <w:p w14:paraId="4B5079BC" w14:textId="4CBE23C4" w:rsidR="009F6E91" w:rsidRPr="00D427D8" w:rsidRDefault="00EF7333" w:rsidP="009F6E91">
      <w:pPr>
        <w:pStyle w:val="Body2"/>
        <w:rPr>
          <w:lang w:val="en-US"/>
        </w:rPr>
      </w:pPr>
      <w:r w:rsidRPr="00D427D8">
        <w:rPr>
          <w:lang w:val="en-US"/>
        </w:rPr>
        <w:t>"</w:t>
      </w:r>
      <w:r w:rsidR="009F6E91" w:rsidRPr="00D427D8">
        <w:rPr>
          <w:b/>
          <w:bCs/>
          <w:lang w:val="en-US"/>
        </w:rPr>
        <w:t>Corporate Services Provider</w:t>
      </w:r>
      <w:r w:rsidRPr="00D427D8">
        <w:rPr>
          <w:lang w:val="en-US"/>
        </w:rPr>
        <w:t>"</w:t>
      </w:r>
      <w:r w:rsidR="009F6E91" w:rsidRPr="00D427D8">
        <w:rPr>
          <w:lang w:val="en-US"/>
        </w:rPr>
        <w:t xml:space="preserve"> means </w:t>
      </w:r>
      <w:r w:rsidR="009C2F1E" w:rsidRPr="00D427D8">
        <w:t xml:space="preserve">CSC Global Solutions (Luxembourg) S.à r.l., </w:t>
      </w:r>
      <w:r w:rsidR="009F6E91" w:rsidRPr="00D427D8">
        <w:t>28 Boulevard F.W. Raiffeisen, L-2411 Luxembourg, Grand Duchy of Luxembourg.</w:t>
      </w:r>
    </w:p>
    <w:p w14:paraId="695AEE52" w14:textId="527642A1" w:rsidR="009F6E91" w:rsidRPr="00D427D8" w:rsidRDefault="00085E16" w:rsidP="00085E16">
      <w:pPr>
        <w:pStyle w:val="Body2"/>
        <w:rPr>
          <w:lang w:bidi="he-IL"/>
        </w:rPr>
      </w:pPr>
      <w:r w:rsidRPr="00D427D8">
        <w:rPr>
          <w:lang w:bidi="he-IL"/>
        </w:rPr>
        <w:t>"</w:t>
      </w:r>
      <w:r w:rsidRPr="00D427D8">
        <w:rPr>
          <w:rStyle w:val="BoldText"/>
        </w:rPr>
        <w:t>Contracts Eligibility Criteria</w:t>
      </w:r>
      <w:r w:rsidRPr="00D427D8">
        <w:rPr>
          <w:lang w:bidi="he-IL"/>
        </w:rPr>
        <w:t>" means the criteria set forth in Schedule 2 (</w:t>
      </w:r>
      <w:r w:rsidRPr="003B6A20">
        <w:rPr>
          <w:i/>
          <w:iCs/>
        </w:rPr>
        <w:t>Eligibility Criteria</w:t>
      </w:r>
      <w:r w:rsidRPr="00D427D8">
        <w:rPr>
          <w:lang w:bidi="he-IL"/>
        </w:rPr>
        <w:t>) Part 1 (</w:t>
      </w:r>
      <w:r w:rsidRPr="003B6A20">
        <w:rPr>
          <w:i/>
          <w:iCs/>
        </w:rPr>
        <w:t>Contracts Eligibility Criteria</w:t>
      </w:r>
      <w:r w:rsidRPr="00D427D8">
        <w:rPr>
          <w:lang w:bidi="he-IL"/>
        </w:rPr>
        <w:t>) of the Lease Receivables Purchase Agreement.</w:t>
      </w:r>
    </w:p>
    <w:p w14:paraId="6075B580" w14:textId="739A852B" w:rsidR="009F6E91" w:rsidRPr="00D427D8" w:rsidRDefault="00EF7333" w:rsidP="009F6E91">
      <w:pPr>
        <w:pStyle w:val="Body2"/>
        <w:rPr>
          <w:lang w:val="fr-FR"/>
        </w:rPr>
      </w:pPr>
      <w:r w:rsidRPr="00D427D8">
        <w:rPr>
          <w:lang w:val="fr-FR"/>
        </w:rPr>
        <w:t>"</w:t>
      </w:r>
      <w:r w:rsidR="009F6E91" w:rsidRPr="00D427D8">
        <w:rPr>
          <w:b/>
          <w:lang w:val="fr-FR"/>
        </w:rPr>
        <w:t>Counterparty</w:t>
      </w:r>
      <w:r w:rsidRPr="00D427D8">
        <w:rPr>
          <w:lang w:val="fr-FR"/>
        </w:rPr>
        <w:t>"</w:t>
      </w:r>
      <w:r w:rsidR="009F6E91" w:rsidRPr="00D427D8">
        <w:rPr>
          <w:lang w:val="fr-FR"/>
        </w:rPr>
        <w:t xml:space="preserve"> means BNP Paribas, 16 boulevard des Italiens, 75009 Paris, France.</w:t>
      </w:r>
    </w:p>
    <w:p w14:paraId="1EC0D70E" w14:textId="58542C21" w:rsidR="009F6E91" w:rsidRPr="00D427D8" w:rsidRDefault="00EF7333" w:rsidP="009F6E91">
      <w:pPr>
        <w:pStyle w:val="Body2"/>
        <w:rPr>
          <w:lang w:val="en-US"/>
        </w:rPr>
      </w:pPr>
      <w:r w:rsidRPr="00D427D8">
        <w:rPr>
          <w:lang w:val="en-US"/>
        </w:rPr>
        <w:t>"</w:t>
      </w:r>
      <w:r w:rsidR="009F6E91" w:rsidRPr="00D427D8">
        <w:rPr>
          <w:b/>
          <w:bCs/>
          <w:lang w:val="en-US"/>
        </w:rPr>
        <w:t>CRA Regulation</w:t>
      </w:r>
      <w:r w:rsidRPr="00D427D8">
        <w:rPr>
          <w:lang w:val="en-US"/>
        </w:rPr>
        <w:t>"</w:t>
      </w:r>
      <w:r w:rsidR="009F6E91" w:rsidRPr="00D427D8">
        <w:rPr>
          <w:lang w:val="en-US"/>
        </w:rPr>
        <w:t xml:space="preserve"> means Regulation (EC) 1060/2009</w:t>
      </w:r>
      <w:r w:rsidR="00EF1FA8" w:rsidRPr="00D427D8">
        <w:rPr>
          <w:lang w:val="en-US"/>
        </w:rPr>
        <w:t>.</w:t>
      </w:r>
    </w:p>
    <w:p w14:paraId="6706E89C" w14:textId="5C7660E2" w:rsidR="009F6E91" w:rsidRPr="00D427D8" w:rsidRDefault="00EF7333" w:rsidP="009F6E91">
      <w:pPr>
        <w:pStyle w:val="Body2"/>
      </w:pPr>
      <w:r w:rsidRPr="00D427D8">
        <w:t>"</w:t>
      </w:r>
      <w:r w:rsidR="009F6E91" w:rsidRPr="00D427D8">
        <w:rPr>
          <w:b/>
        </w:rPr>
        <w:t>CRA 3 Regulation</w:t>
      </w:r>
      <w:r w:rsidRPr="00D427D8">
        <w:t>"</w:t>
      </w:r>
      <w:r w:rsidR="009F6E91" w:rsidRPr="00D427D8">
        <w:rPr>
          <w:b/>
        </w:rPr>
        <w:t xml:space="preserve"> </w:t>
      </w:r>
      <w:r w:rsidR="009F6E91" w:rsidRPr="00D427D8">
        <w:t>means Regulation (EU) 462/2013 amending Regulation (EC) 1060/2009.</w:t>
      </w:r>
    </w:p>
    <w:p w14:paraId="0F168F2D" w14:textId="534A2172" w:rsidR="009F6E91" w:rsidRPr="00D427D8" w:rsidRDefault="00EF7333" w:rsidP="009F6E91">
      <w:pPr>
        <w:pStyle w:val="Body2"/>
        <w:rPr>
          <w:lang w:val="en-US"/>
        </w:rPr>
      </w:pPr>
      <w:r w:rsidRPr="00D427D8">
        <w:rPr>
          <w:lang w:val="en-US"/>
        </w:rPr>
        <w:t>"</w:t>
      </w:r>
      <w:r w:rsidR="009F6E91" w:rsidRPr="00D427D8">
        <w:rPr>
          <w:b/>
          <w:bCs/>
          <w:lang w:val="en-US"/>
        </w:rPr>
        <w:t>Credit and Collection Policy</w:t>
      </w:r>
      <w:r w:rsidRPr="00D427D8">
        <w:rPr>
          <w:lang w:val="en-US"/>
        </w:rPr>
        <w:t>"</w:t>
      </w:r>
      <w:r w:rsidR="009F6E91" w:rsidRPr="00D427D8">
        <w:rPr>
          <w:lang w:val="en-US"/>
        </w:rPr>
        <w:t xml:space="preserve"> shall mean the credit and collection policies and practices as applied by the Seller with respect to the Receivables</w:t>
      </w:r>
      <w:r w:rsidR="009F6E91" w:rsidRPr="00D427D8">
        <w:rPr>
          <w:lang w:bidi="he-IL"/>
        </w:rPr>
        <w:t>, which, for the purposes of this definition, also includes the Realisation Policy.</w:t>
      </w:r>
    </w:p>
    <w:p w14:paraId="6F7F7767" w14:textId="41D45DA5" w:rsidR="009F6E91" w:rsidRPr="00D427D8" w:rsidRDefault="00EF7333" w:rsidP="009F6E91">
      <w:pPr>
        <w:pStyle w:val="Body2"/>
      </w:pPr>
      <w:r w:rsidRPr="00D427D8">
        <w:lastRenderedPageBreak/>
        <w:t>"</w:t>
      </w:r>
      <w:r w:rsidR="009F6E91" w:rsidRPr="00D427D8">
        <w:rPr>
          <w:b/>
        </w:rPr>
        <w:t>CRR</w:t>
      </w:r>
      <w:r w:rsidRPr="00D427D8">
        <w:t>"</w:t>
      </w:r>
      <w:r w:rsidR="009F6E91" w:rsidRPr="00D427D8">
        <w:t xml:space="preserve"> means Regulation (EU) 575/2013 of the European Parliament and of the Council of 26 June 2013 on prudential requirements for credit institutions and investment firms amending the Regulation (EU) n° 648/2012, as amended from time to time.</w:t>
      </w:r>
    </w:p>
    <w:p w14:paraId="0814A441" w14:textId="390C2BE5" w:rsidR="009F6E91" w:rsidRPr="00D427D8" w:rsidRDefault="00EF7333" w:rsidP="009F6E91">
      <w:pPr>
        <w:pStyle w:val="Body2"/>
      </w:pPr>
      <w:r w:rsidRPr="00D427D8">
        <w:t>"</w:t>
      </w:r>
      <w:r w:rsidR="009F6E91" w:rsidRPr="00D427D8">
        <w:rPr>
          <w:b/>
          <w:bCs/>
        </w:rPr>
        <w:t>CRR Assessment</w:t>
      </w:r>
      <w:r w:rsidRPr="00D427D8">
        <w:t>"</w:t>
      </w:r>
      <w:r w:rsidR="009F6E91" w:rsidRPr="00D427D8">
        <w:t xml:space="preserve"> means the assessment made by PCS in relation to compliance with the criteria set forth in the CRR regarding STS-securitisations.</w:t>
      </w:r>
    </w:p>
    <w:p w14:paraId="1AEE1294" w14:textId="6EEF7EBB" w:rsidR="009F6E91" w:rsidRPr="00D427D8" w:rsidRDefault="00EF7333" w:rsidP="009F6E91">
      <w:pPr>
        <w:pStyle w:val="Body2"/>
      </w:pPr>
      <w:r w:rsidRPr="00D427D8">
        <w:t>"</w:t>
      </w:r>
      <w:r w:rsidR="009F6E91" w:rsidRPr="00D427D8">
        <w:rPr>
          <w:b/>
        </w:rPr>
        <w:t>CSA</w:t>
      </w:r>
      <w:r w:rsidR="009F6E91" w:rsidRPr="00D427D8">
        <w:t xml:space="preserve"> </w:t>
      </w:r>
      <w:r w:rsidR="009F6E91" w:rsidRPr="00D427D8">
        <w:rPr>
          <w:b/>
        </w:rPr>
        <w:t>Account</w:t>
      </w:r>
      <w:r w:rsidRPr="00D427D8">
        <w:t>"</w:t>
      </w:r>
      <w:r w:rsidR="009F6E91" w:rsidRPr="00D427D8">
        <w:t xml:space="preserve"> means a segregated account, as defined in the schedule to the Account Bank Agreement, for the Counterparty opened and maintained by the Issuer as a swap collateral account with the Account Bank in accordance with the Hedging Arrangement. It will be credited with any collateral transfer from the Counterparty, any premiums received from a replacement of the Counterparty and any amounts payable by the Counterparty on early termination of the Hedging Arrangement. Any amounts standing to the credit of the CSA Account will not be available for the Issuer to make payments to the Noteholders and the other Secured Parties (except for the Counterparty) in accordance with the applicable Priority of Payments, but may be applied only in accordance with the CSA Account Priority of Payments. A separate CSA Account for securities will be opened by an Eligible Institution if this becomes necessary in the future.</w:t>
      </w:r>
    </w:p>
    <w:p w14:paraId="3A4B7DC0" w14:textId="1C3C78DE" w:rsidR="009F6E91" w:rsidRPr="00D427D8" w:rsidRDefault="00EF7333" w:rsidP="009F6E91">
      <w:pPr>
        <w:pStyle w:val="Body2"/>
      </w:pPr>
      <w:r w:rsidRPr="00D427D8">
        <w:t>"</w:t>
      </w:r>
      <w:r w:rsidR="009F6E91" w:rsidRPr="00D427D8">
        <w:rPr>
          <w:b/>
        </w:rPr>
        <w:t>CSA Account Priority of Payments</w:t>
      </w:r>
      <w:r w:rsidRPr="00D427D8">
        <w:t>"</w:t>
      </w:r>
      <w:r w:rsidR="009F6E91" w:rsidRPr="00D427D8">
        <w:t xml:space="preserve"> has the meaning assigned to such term in the Priority of Payments Schedule.</w:t>
      </w:r>
    </w:p>
    <w:p w14:paraId="7D23FB40" w14:textId="42B1CC51" w:rsidR="009F6E91" w:rsidRPr="00D427D8" w:rsidRDefault="00EF7333" w:rsidP="009F6E91">
      <w:pPr>
        <w:pStyle w:val="Body2"/>
      </w:pPr>
      <w:r w:rsidRPr="00D427D8">
        <w:t>"</w:t>
      </w:r>
      <w:r w:rsidR="009F6E91" w:rsidRPr="00D427D8">
        <w:rPr>
          <w:b/>
        </w:rPr>
        <w:t>CSA Account Surplus</w:t>
      </w:r>
      <w:r w:rsidRPr="00D427D8">
        <w:t>"</w:t>
      </w:r>
      <w:r w:rsidR="009F6E91" w:rsidRPr="00D427D8">
        <w:rPr>
          <w:b/>
        </w:rPr>
        <w:t xml:space="preserve"> </w:t>
      </w:r>
      <w:r w:rsidR="009F6E91" w:rsidRPr="00D427D8">
        <w:t>has the meaning assigned to such term in the Priority of Payments Schedule.</w:t>
      </w:r>
    </w:p>
    <w:p w14:paraId="686AB18C" w14:textId="64498B40" w:rsidR="009F6E91" w:rsidRPr="00D427D8" w:rsidRDefault="00EF7333" w:rsidP="009F6E91">
      <w:pPr>
        <w:pStyle w:val="Body2"/>
      </w:pPr>
      <w:r w:rsidRPr="00D427D8">
        <w:t>"</w:t>
      </w:r>
      <w:r w:rsidR="009F6E91" w:rsidRPr="00D427D8">
        <w:rPr>
          <w:b/>
        </w:rPr>
        <w:t>Cumulative Gross Loss Ratio</w:t>
      </w:r>
      <w:r w:rsidRPr="00D427D8">
        <w:t>"</w:t>
      </w:r>
      <w:r w:rsidR="009F6E91" w:rsidRPr="00D427D8">
        <w:t xml:space="preserve"> means the percentage equal to (i) the sum of (A) the aggregate </w:t>
      </w:r>
      <w:r w:rsidR="00C36CDE" w:rsidRPr="00D427D8">
        <w:t xml:space="preserve">Net </w:t>
      </w:r>
      <w:r w:rsidR="009F6E91" w:rsidRPr="00D427D8">
        <w:t xml:space="preserve">Present Value of the Defaulted Receivables that have become Defaulted Receivables between the Closing Date and the last day of the immediately preceding Monthly Period and (B) </w:t>
      </w:r>
      <w:r w:rsidR="009F6E91" w:rsidRPr="00D427D8">
        <w:rPr>
          <w:lang w:val="en-US" w:bidi="he-IL"/>
        </w:rPr>
        <w:t xml:space="preserve">all ER Losses </w:t>
      </w:r>
      <w:r w:rsidR="009F6E91" w:rsidRPr="00D427D8">
        <w:t>between the Closing Date and the last day of the immediately preceding Monthly Period</w:t>
      </w:r>
      <w:r w:rsidR="009F6E91" w:rsidRPr="00D427D8">
        <w:rPr>
          <w:lang w:bidi="he-IL"/>
        </w:rPr>
        <w:t xml:space="preserve"> </w:t>
      </w:r>
      <w:r w:rsidR="009F6E91" w:rsidRPr="00D427D8">
        <w:t xml:space="preserve">divided by (ii) the aggregate </w:t>
      </w:r>
      <w:r w:rsidR="00C36CDE" w:rsidRPr="00D427D8">
        <w:t xml:space="preserve">Net </w:t>
      </w:r>
      <w:r w:rsidR="009F6E91" w:rsidRPr="00D427D8">
        <w:t>Present Values of all the Purchased Lease Receivables, as at the Closing Date, purchased by the Issuer on the Closing Date.</w:t>
      </w:r>
    </w:p>
    <w:p w14:paraId="602A25E5" w14:textId="0B03D47A" w:rsidR="009F6E91" w:rsidRPr="00D427D8" w:rsidRDefault="00EF7333" w:rsidP="009F6E91">
      <w:pPr>
        <w:pStyle w:val="Body2"/>
      </w:pPr>
      <w:r w:rsidRPr="00D427D8">
        <w:t>"</w:t>
      </w:r>
      <w:r w:rsidR="009F6E91" w:rsidRPr="00D427D8">
        <w:rPr>
          <w:b/>
        </w:rPr>
        <w:t>Cut-off</w:t>
      </w:r>
      <w:r w:rsidR="009F6E91" w:rsidRPr="00D427D8">
        <w:t xml:space="preserve"> </w:t>
      </w:r>
      <w:r w:rsidR="009F6E91" w:rsidRPr="00D427D8">
        <w:rPr>
          <w:b/>
        </w:rPr>
        <w:t>Date</w:t>
      </w:r>
      <w:r w:rsidRPr="00D427D8">
        <w:t>"</w:t>
      </w:r>
      <w:r w:rsidR="009F6E91" w:rsidRPr="00D427D8">
        <w:t xml:space="preserve"> means </w:t>
      </w:r>
      <w:r w:rsidR="00CB16CF" w:rsidRPr="00CB16CF">
        <w:t>June 5</w:t>
      </w:r>
      <w:r w:rsidR="001C3D25">
        <w:rPr>
          <w:vertAlign w:val="superscript"/>
        </w:rPr>
        <w:t xml:space="preserve"> </w:t>
      </w:r>
      <w:r w:rsidR="001C3D25">
        <w:t>June</w:t>
      </w:r>
      <w:r w:rsidR="00CB16CF" w:rsidRPr="00CB16CF">
        <w:t xml:space="preserve"> 2025</w:t>
      </w:r>
      <w:r w:rsidR="009F6E91" w:rsidRPr="00D427D8">
        <w:t>.</w:t>
      </w:r>
    </w:p>
    <w:p w14:paraId="4BFC9A75" w14:textId="636E4EC7" w:rsidR="009F6E91" w:rsidRPr="00D427D8" w:rsidRDefault="00EF7333" w:rsidP="009F6E91">
      <w:pPr>
        <w:pStyle w:val="Body2"/>
      </w:pPr>
      <w:r w:rsidRPr="00D427D8">
        <w:t>"</w:t>
      </w:r>
      <w:r w:rsidR="009F6E91" w:rsidRPr="00D427D8">
        <w:rPr>
          <w:b/>
        </w:rPr>
        <w:t>Data Protection Agreement</w:t>
      </w:r>
      <w:r w:rsidRPr="00D427D8">
        <w:t>"</w:t>
      </w:r>
      <w:r w:rsidR="009F6E91" w:rsidRPr="00D427D8">
        <w:t xml:space="preserve"> means the data protection agreement entered into on the Signing Date between the Data Protection Trustee, the Issuer and the Seller.</w:t>
      </w:r>
    </w:p>
    <w:p w14:paraId="34BE534C" w14:textId="4F1C1A65" w:rsidR="009F6E91" w:rsidRPr="00D427D8" w:rsidRDefault="00EF7333" w:rsidP="00085E16">
      <w:pPr>
        <w:pStyle w:val="DefHead"/>
      </w:pPr>
      <w:r w:rsidRPr="00D427D8">
        <w:rPr>
          <w:bCs/>
        </w:rPr>
        <w:t>"</w:t>
      </w:r>
      <w:r w:rsidR="009F6E91" w:rsidRPr="00D427D8">
        <w:rPr>
          <w:rStyle w:val="BoldText"/>
        </w:rPr>
        <w:t>Data Protection Rules</w:t>
      </w:r>
      <w:r w:rsidRPr="00D427D8">
        <w:t>"</w:t>
      </w:r>
      <w:r w:rsidR="009F6E91" w:rsidRPr="00D427D8">
        <w:t xml:space="preserve"> means collectively:</w:t>
      </w:r>
    </w:p>
    <w:p w14:paraId="048E4775" w14:textId="2CE0ECB5" w:rsidR="009F6E91" w:rsidRPr="00D427D8" w:rsidRDefault="009F6E91" w:rsidP="00085E16">
      <w:pPr>
        <w:pStyle w:val="DefLevel1"/>
      </w:pPr>
      <w:r w:rsidRPr="00D427D8">
        <w:t>the General Data Protection Regulation; and</w:t>
      </w:r>
    </w:p>
    <w:p w14:paraId="6157F37F" w14:textId="4BE59AD8" w:rsidR="009F6E91" w:rsidRPr="00D427D8" w:rsidRDefault="009F6E91" w:rsidP="00085E16">
      <w:pPr>
        <w:pStyle w:val="DefLevel1"/>
      </w:pPr>
      <w:r w:rsidRPr="00D427D8">
        <w:t>any applicable law or guidance.</w:t>
      </w:r>
    </w:p>
    <w:p w14:paraId="06253E7C" w14:textId="6BD6BEE0" w:rsidR="009F6E91" w:rsidRPr="00D427D8" w:rsidRDefault="00EF7333" w:rsidP="009F6E91">
      <w:pPr>
        <w:pStyle w:val="Body2"/>
      </w:pPr>
      <w:r w:rsidRPr="00D427D8">
        <w:t>"</w:t>
      </w:r>
      <w:r w:rsidR="009F6E91" w:rsidRPr="00D427D8">
        <w:rPr>
          <w:b/>
          <w:bCs/>
        </w:rPr>
        <w:t>Data Protection Trustee</w:t>
      </w:r>
      <w:r w:rsidRPr="00D427D8">
        <w:rPr>
          <w:b/>
          <w:bCs/>
        </w:rPr>
        <w:t>"</w:t>
      </w:r>
      <w:r w:rsidR="009F6E91" w:rsidRPr="00D427D8">
        <w:t xml:space="preserve"> </w:t>
      </w:r>
      <w:r w:rsidR="00DB564D" w:rsidRPr="00DB564D">
        <w:t xml:space="preserve">means BNP Paribas, 16 boulevard des Italiens, 75009 Paris, France (acting through its Securities Services business) and any successor thereof or any other person appointed as Data Protection Trustee from time to time </w:t>
      </w:r>
      <w:r w:rsidR="009F6E91" w:rsidRPr="00D427D8">
        <w:t>in accordance with the Data Protection Agreement.</w:t>
      </w:r>
    </w:p>
    <w:p w14:paraId="5DDACB60" w14:textId="1B71FD2B" w:rsidR="009F6E91" w:rsidRPr="00D427D8" w:rsidRDefault="0050790B" w:rsidP="0050790B">
      <w:pPr>
        <w:pStyle w:val="Body2"/>
        <w:rPr>
          <w:lang w:val="en-US"/>
        </w:rPr>
      </w:pPr>
      <w:r w:rsidRPr="00D427D8">
        <w:t>"</w:t>
      </w:r>
      <w:r w:rsidRPr="00D427D8">
        <w:rPr>
          <w:rStyle w:val="BoldText"/>
        </w:rPr>
        <w:t>DBRS</w:t>
      </w:r>
      <w:r w:rsidRPr="00D427D8">
        <w:t xml:space="preserve">" means </w:t>
      </w:r>
      <w:r w:rsidRPr="00D427D8">
        <w:rPr>
          <w:lang w:val="en-US"/>
        </w:rPr>
        <w:t>(a) for the purpose of identifying which DBRS entity which has assigned the credit rating to the Notes, DBRS Ratings GmbH, Sucursal en España</w:t>
      </w:r>
      <w:r w:rsidRPr="00D427D8">
        <w:t xml:space="preserve"> </w:t>
      </w:r>
      <w:r w:rsidRPr="00D427D8">
        <w:rPr>
          <w:lang w:val="en-US"/>
        </w:rPr>
        <w:t>and any successor to this rating activity, and (b) in any other case, any entity that is part of DBRS Morningstar, which is either registered or not under the CRA Regulation, as it appears from the last available list published by European Securities and Markets Authority (ESMA) on the ESMA website, or any other applicable regulation.</w:t>
      </w:r>
    </w:p>
    <w:p w14:paraId="2DB901C9" w14:textId="742C78DE" w:rsidR="009F6E91" w:rsidRPr="00D427D8" w:rsidRDefault="0050790B" w:rsidP="0050790B">
      <w:pPr>
        <w:pStyle w:val="Body2"/>
      </w:pPr>
      <w:r w:rsidRPr="00D427D8">
        <w:t>"</w:t>
      </w:r>
      <w:r w:rsidRPr="00D427D8">
        <w:rPr>
          <w:rStyle w:val="BoldText"/>
        </w:rPr>
        <w:t>DBRS Equivalent Chart</w:t>
      </w:r>
      <w:r w:rsidRPr="00D427D8">
        <w:t>" means: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93"/>
        <w:gridCol w:w="2082"/>
        <w:gridCol w:w="2077"/>
        <w:gridCol w:w="2089"/>
      </w:tblGrid>
      <w:tr w:rsidR="009F6E91" w:rsidRPr="00D427D8" w14:paraId="00348CD9" w14:textId="77777777" w:rsidTr="0050790B">
        <w:trPr>
          <w:tblHeader/>
        </w:trPr>
        <w:tc>
          <w:tcPr>
            <w:tcW w:w="2141" w:type="dxa"/>
          </w:tcPr>
          <w:p w14:paraId="2D8642AE" w14:textId="77777777" w:rsidR="009F6E91" w:rsidRPr="00D427D8" w:rsidRDefault="009F6E91" w:rsidP="005D27BB">
            <w:pPr>
              <w:spacing w:before="40" w:after="40"/>
              <w:rPr>
                <w:b/>
                <w:szCs w:val="19"/>
              </w:rPr>
            </w:pPr>
            <w:r w:rsidRPr="00D427D8">
              <w:rPr>
                <w:b/>
                <w:szCs w:val="19"/>
              </w:rPr>
              <w:t>DBRS</w:t>
            </w:r>
          </w:p>
        </w:tc>
        <w:tc>
          <w:tcPr>
            <w:tcW w:w="2142" w:type="dxa"/>
          </w:tcPr>
          <w:p w14:paraId="12B8CBB4" w14:textId="77777777" w:rsidR="009F6E91" w:rsidRPr="00D427D8" w:rsidRDefault="009F6E91" w:rsidP="005D27BB">
            <w:pPr>
              <w:spacing w:before="40" w:after="40"/>
              <w:rPr>
                <w:b/>
                <w:szCs w:val="19"/>
              </w:rPr>
            </w:pPr>
            <w:r w:rsidRPr="00D427D8">
              <w:rPr>
                <w:b/>
                <w:szCs w:val="19"/>
              </w:rPr>
              <w:t>S&amp;P Global</w:t>
            </w:r>
          </w:p>
        </w:tc>
        <w:tc>
          <w:tcPr>
            <w:tcW w:w="2142" w:type="dxa"/>
          </w:tcPr>
          <w:p w14:paraId="566B7E99" w14:textId="77777777" w:rsidR="009F6E91" w:rsidRPr="00D427D8" w:rsidRDefault="009F6E91" w:rsidP="005D27BB">
            <w:pPr>
              <w:spacing w:before="40" w:after="40"/>
              <w:rPr>
                <w:b/>
                <w:szCs w:val="19"/>
              </w:rPr>
            </w:pPr>
            <w:r w:rsidRPr="00D427D8">
              <w:rPr>
                <w:b/>
                <w:szCs w:val="19"/>
              </w:rPr>
              <w:t>Fitch</w:t>
            </w:r>
          </w:p>
        </w:tc>
        <w:tc>
          <w:tcPr>
            <w:tcW w:w="2142" w:type="dxa"/>
          </w:tcPr>
          <w:p w14:paraId="74E494FC" w14:textId="78BB5259" w:rsidR="009F6E91" w:rsidRPr="00D427D8" w:rsidRDefault="009F6E91" w:rsidP="005D27BB">
            <w:pPr>
              <w:spacing w:before="40" w:after="40"/>
              <w:rPr>
                <w:b/>
                <w:szCs w:val="19"/>
              </w:rPr>
            </w:pPr>
            <w:r w:rsidRPr="00D427D8">
              <w:rPr>
                <w:b/>
                <w:szCs w:val="19"/>
              </w:rPr>
              <w:t>Moody</w:t>
            </w:r>
            <w:r w:rsidR="00EF7333" w:rsidRPr="00D427D8">
              <w:rPr>
                <w:b/>
                <w:szCs w:val="19"/>
              </w:rPr>
              <w:t>'</w:t>
            </w:r>
            <w:r w:rsidRPr="00D427D8">
              <w:rPr>
                <w:b/>
                <w:szCs w:val="19"/>
              </w:rPr>
              <w:t>s</w:t>
            </w:r>
          </w:p>
        </w:tc>
      </w:tr>
      <w:tr w:rsidR="009F6E91" w:rsidRPr="00D427D8" w14:paraId="1CC8A9C5" w14:textId="77777777" w:rsidTr="0050790B">
        <w:tc>
          <w:tcPr>
            <w:tcW w:w="2141" w:type="dxa"/>
          </w:tcPr>
          <w:p w14:paraId="7B0C19B3" w14:textId="77777777" w:rsidR="009F6E91" w:rsidRPr="00D427D8" w:rsidRDefault="009F6E91" w:rsidP="005D27BB">
            <w:pPr>
              <w:spacing w:before="40" w:after="40"/>
              <w:rPr>
                <w:szCs w:val="19"/>
              </w:rPr>
            </w:pPr>
            <w:r w:rsidRPr="00D427D8">
              <w:rPr>
                <w:szCs w:val="19"/>
              </w:rPr>
              <w:t>AAA</w:t>
            </w:r>
          </w:p>
        </w:tc>
        <w:tc>
          <w:tcPr>
            <w:tcW w:w="2142" w:type="dxa"/>
          </w:tcPr>
          <w:p w14:paraId="1A42E310" w14:textId="77777777" w:rsidR="009F6E91" w:rsidRPr="00D427D8" w:rsidRDefault="009F6E91" w:rsidP="005D27BB">
            <w:pPr>
              <w:spacing w:before="40" w:after="40"/>
              <w:rPr>
                <w:szCs w:val="19"/>
              </w:rPr>
            </w:pPr>
            <w:r w:rsidRPr="00D427D8">
              <w:rPr>
                <w:szCs w:val="19"/>
              </w:rPr>
              <w:t>AAA</w:t>
            </w:r>
          </w:p>
        </w:tc>
        <w:tc>
          <w:tcPr>
            <w:tcW w:w="2142" w:type="dxa"/>
          </w:tcPr>
          <w:p w14:paraId="130DA86B" w14:textId="77777777" w:rsidR="009F6E91" w:rsidRPr="00D427D8" w:rsidRDefault="009F6E91" w:rsidP="005D27BB">
            <w:pPr>
              <w:spacing w:before="40" w:after="40"/>
              <w:rPr>
                <w:szCs w:val="19"/>
              </w:rPr>
            </w:pPr>
            <w:r w:rsidRPr="00D427D8">
              <w:rPr>
                <w:szCs w:val="19"/>
              </w:rPr>
              <w:t>AAA</w:t>
            </w:r>
          </w:p>
        </w:tc>
        <w:tc>
          <w:tcPr>
            <w:tcW w:w="2142" w:type="dxa"/>
          </w:tcPr>
          <w:p w14:paraId="0E02CEEA" w14:textId="77777777" w:rsidR="009F6E91" w:rsidRPr="00D427D8" w:rsidRDefault="009F6E91" w:rsidP="005D27BB">
            <w:pPr>
              <w:spacing w:before="40" w:after="40"/>
              <w:rPr>
                <w:szCs w:val="19"/>
              </w:rPr>
            </w:pPr>
            <w:r w:rsidRPr="00D427D8">
              <w:rPr>
                <w:szCs w:val="19"/>
              </w:rPr>
              <w:t>Aaa</w:t>
            </w:r>
          </w:p>
        </w:tc>
      </w:tr>
      <w:tr w:rsidR="009F6E91" w:rsidRPr="00D427D8" w14:paraId="024B5AB8" w14:textId="77777777" w:rsidTr="0050790B">
        <w:tc>
          <w:tcPr>
            <w:tcW w:w="2141" w:type="dxa"/>
          </w:tcPr>
          <w:p w14:paraId="5925BE56" w14:textId="77777777" w:rsidR="009F6E91" w:rsidRPr="00D427D8" w:rsidRDefault="009F6E91" w:rsidP="005D27BB">
            <w:pPr>
              <w:spacing w:before="40" w:after="40"/>
              <w:rPr>
                <w:szCs w:val="19"/>
              </w:rPr>
            </w:pPr>
            <w:r w:rsidRPr="00D427D8">
              <w:rPr>
                <w:szCs w:val="19"/>
              </w:rPr>
              <w:t>AA(high)</w:t>
            </w:r>
          </w:p>
        </w:tc>
        <w:tc>
          <w:tcPr>
            <w:tcW w:w="2142" w:type="dxa"/>
          </w:tcPr>
          <w:p w14:paraId="1803C5EE" w14:textId="77777777" w:rsidR="009F6E91" w:rsidRPr="00D427D8" w:rsidRDefault="009F6E91" w:rsidP="005D27BB">
            <w:pPr>
              <w:spacing w:before="40" w:after="40"/>
              <w:rPr>
                <w:szCs w:val="19"/>
              </w:rPr>
            </w:pPr>
            <w:r w:rsidRPr="00D427D8">
              <w:rPr>
                <w:szCs w:val="19"/>
              </w:rPr>
              <w:t>AA+</w:t>
            </w:r>
          </w:p>
        </w:tc>
        <w:tc>
          <w:tcPr>
            <w:tcW w:w="2142" w:type="dxa"/>
          </w:tcPr>
          <w:p w14:paraId="63CD0962" w14:textId="77777777" w:rsidR="009F6E91" w:rsidRPr="00D427D8" w:rsidRDefault="009F6E91" w:rsidP="005D27BB">
            <w:pPr>
              <w:spacing w:before="40" w:after="40"/>
              <w:rPr>
                <w:szCs w:val="19"/>
              </w:rPr>
            </w:pPr>
            <w:r w:rsidRPr="00D427D8">
              <w:rPr>
                <w:szCs w:val="19"/>
              </w:rPr>
              <w:t>AA+</w:t>
            </w:r>
          </w:p>
        </w:tc>
        <w:tc>
          <w:tcPr>
            <w:tcW w:w="2142" w:type="dxa"/>
          </w:tcPr>
          <w:p w14:paraId="4BEDF135" w14:textId="77777777" w:rsidR="009F6E91" w:rsidRPr="00D427D8" w:rsidRDefault="009F6E91" w:rsidP="005D27BB">
            <w:pPr>
              <w:spacing w:before="40" w:after="40"/>
              <w:rPr>
                <w:szCs w:val="19"/>
              </w:rPr>
            </w:pPr>
            <w:r w:rsidRPr="00D427D8">
              <w:rPr>
                <w:szCs w:val="19"/>
              </w:rPr>
              <w:t>Aa1</w:t>
            </w:r>
          </w:p>
        </w:tc>
      </w:tr>
      <w:tr w:rsidR="009F6E91" w:rsidRPr="00D427D8" w14:paraId="6E8A4574" w14:textId="77777777" w:rsidTr="0050790B">
        <w:tc>
          <w:tcPr>
            <w:tcW w:w="2141" w:type="dxa"/>
          </w:tcPr>
          <w:p w14:paraId="1FE3FDDE" w14:textId="77777777" w:rsidR="009F6E91" w:rsidRPr="00D427D8" w:rsidRDefault="009F6E91" w:rsidP="005D27BB">
            <w:pPr>
              <w:spacing w:before="40" w:after="40"/>
              <w:rPr>
                <w:szCs w:val="19"/>
              </w:rPr>
            </w:pPr>
            <w:r w:rsidRPr="00D427D8">
              <w:rPr>
                <w:szCs w:val="19"/>
              </w:rPr>
              <w:t>AA</w:t>
            </w:r>
          </w:p>
        </w:tc>
        <w:tc>
          <w:tcPr>
            <w:tcW w:w="2142" w:type="dxa"/>
          </w:tcPr>
          <w:p w14:paraId="088EE9E6" w14:textId="77777777" w:rsidR="009F6E91" w:rsidRPr="00D427D8" w:rsidRDefault="009F6E91" w:rsidP="005D27BB">
            <w:pPr>
              <w:spacing w:before="40" w:after="40"/>
              <w:rPr>
                <w:szCs w:val="19"/>
              </w:rPr>
            </w:pPr>
            <w:r w:rsidRPr="00D427D8">
              <w:rPr>
                <w:szCs w:val="19"/>
              </w:rPr>
              <w:t>AA</w:t>
            </w:r>
          </w:p>
        </w:tc>
        <w:tc>
          <w:tcPr>
            <w:tcW w:w="2142" w:type="dxa"/>
          </w:tcPr>
          <w:p w14:paraId="6DAFC22B" w14:textId="77777777" w:rsidR="009F6E91" w:rsidRPr="00D427D8" w:rsidRDefault="009F6E91" w:rsidP="005D27BB">
            <w:pPr>
              <w:spacing w:before="40" w:after="40"/>
              <w:rPr>
                <w:szCs w:val="19"/>
              </w:rPr>
            </w:pPr>
            <w:r w:rsidRPr="00D427D8">
              <w:rPr>
                <w:szCs w:val="19"/>
              </w:rPr>
              <w:t>AA</w:t>
            </w:r>
          </w:p>
        </w:tc>
        <w:tc>
          <w:tcPr>
            <w:tcW w:w="2142" w:type="dxa"/>
          </w:tcPr>
          <w:p w14:paraId="0AB8CC82" w14:textId="77777777" w:rsidR="009F6E91" w:rsidRPr="00D427D8" w:rsidRDefault="009F6E91" w:rsidP="005D27BB">
            <w:pPr>
              <w:spacing w:before="40" w:after="40"/>
              <w:rPr>
                <w:szCs w:val="19"/>
              </w:rPr>
            </w:pPr>
            <w:r w:rsidRPr="00D427D8">
              <w:rPr>
                <w:szCs w:val="19"/>
              </w:rPr>
              <w:t>Aa2</w:t>
            </w:r>
          </w:p>
        </w:tc>
      </w:tr>
      <w:tr w:rsidR="009F6E91" w:rsidRPr="00D427D8" w14:paraId="70A10231" w14:textId="77777777" w:rsidTr="0050790B">
        <w:tc>
          <w:tcPr>
            <w:tcW w:w="2141" w:type="dxa"/>
          </w:tcPr>
          <w:p w14:paraId="4997761D" w14:textId="77777777" w:rsidR="009F6E91" w:rsidRPr="00D427D8" w:rsidRDefault="009F6E91" w:rsidP="005D27BB">
            <w:pPr>
              <w:spacing w:before="40" w:after="40"/>
              <w:rPr>
                <w:szCs w:val="19"/>
              </w:rPr>
            </w:pPr>
            <w:r w:rsidRPr="00D427D8">
              <w:rPr>
                <w:szCs w:val="19"/>
              </w:rPr>
              <w:lastRenderedPageBreak/>
              <w:t>AA(low)</w:t>
            </w:r>
          </w:p>
        </w:tc>
        <w:tc>
          <w:tcPr>
            <w:tcW w:w="2142" w:type="dxa"/>
          </w:tcPr>
          <w:p w14:paraId="529B23DB" w14:textId="77777777" w:rsidR="009F6E91" w:rsidRPr="00D427D8" w:rsidRDefault="009F6E91" w:rsidP="005D27BB">
            <w:pPr>
              <w:spacing w:before="40" w:after="40"/>
              <w:rPr>
                <w:szCs w:val="19"/>
              </w:rPr>
            </w:pPr>
            <w:r w:rsidRPr="00D427D8">
              <w:rPr>
                <w:szCs w:val="19"/>
              </w:rPr>
              <w:t>AA-</w:t>
            </w:r>
          </w:p>
        </w:tc>
        <w:tc>
          <w:tcPr>
            <w:tcW w:w="2142" w:type="dxa"/>
          </w:tcPr>
          <w:p w14:paraId="24BB62ED" w14:textId="77777777" w:rsidR="009F6E91" w:rsidRPr="00D427D8" w:rsidRDefault="009F6E91" w:rsidP="005D27BB">
            <w:pPr>
              <w:spacing w:before="40" w:after="40"/>
              <w:rPr>
                <w:szCs w:val="19"/>
              </w:rPr>
            </w:pPr>
            <w:r w:rsidRPr="00D427D8">
              <w:rPr>
                <w:szCs w:val="19"/>
              </w:rPr>
              <w:t>AA-</w:t>
            </w:r>
          </w:p>
        </w:tc>
        <w:tc>
          <w:tcPr>
            <w:tcW w:w="2142" w:type="dxa"/>
          </w:tcPr>
          <w:p w14:paraId="43CED3D2" w14:textId="77777777" w:rsidR="009F6E91" w:rsidRPr="00D427D8" w:rsidRDefault="009F6E91" w:rsidP="005D27BB">
            <w:pPr>
              <w:spacing w:before="40" w:after="40"/>
              <w:rPr>
                <w:szCs w:val="19"/>
              </w:rPr>
            </w:pPr>
            <w:r w:rsidRPr="00D427D8">
              <w:rPr>
                <w:szCs w:val="19"/>
              </w:rPr>
              <w:t>Aa3</w:t>
            </w:r>
          </w:p>
        </w:tc>
      </w:tr>
      <w:tr w:rsidR="009F6E91" w:rsidRPr="00D427D8" w14:paraId="38AD2E54" w14:textId="77777777" w:rsidTr="0050790B">
        <w:tc>
          <w:tcPr>
            <w:tcW w:w="2141" w:type="dxa"/>
          </w:tcPr>
          <w:p w14:paraId="6BDE0902" w14:textId="77777777" w:rsidR="009F6E91" w:rsidRPr="00D427D8" w:rsidRDefault="009F6E91" w:rsidP="005D27BB">
            <w:pPr>
              <w:spacing w:before="40" w:after="40"/>
              <w:rPr>
                <w:szCs w:val="19"/>
              </w:rPr>
            </w:pPr>
            <w:r w:rsidRPr="00D427D8">
              <w:rPr>
                <w:szCs w:val="19"/>
              </w:rPr>
              <w:t>A(high)</w:t>
            </w:r>
          </w:p>
        </w:tc>
        <w:tc>
          <w:tcPr>
            <w:tcW w:w="2142" w:type="dxa"/>
          </w:tcPr>
          <w:p w14:paraId="400C91A1" w14:textId="77777777" w:rsidR="009F6E91" w:rsidRPr="00D427D8" w:rsidRDefault="009F6E91" w:rsidP="005D27BB">
            <w:pPr>
              <w:spacing w:before="40" w:after="40"/>
              <w:rPr>
                <w:szCs w:val="19"/>
              </w:rPr>
            </w:pPr>
            <w:r w:rsidRPr="00D427D8">
              <w:rPr>
                <w:szCs w:val="19"/>
              </w:rPr>
              <w:t>A+</w:t>
            </w:r>
          </w:p>
        </w:tc>
        <w:tc>
          <w:tcPr>
            <w:tcW w:w="2142" w:type="dxa"/>
          </w:tcPr>
          <w:p w14:paraId="3D3BA9BA" w14:textId="77777777" w:rsidR="009F6E91" w:rsidRPr="00D427D8" w:rsidRDefault="009F6E91" w:rsidP="005D27BB">
            <w:pPr>
              <w:spacing w:before="40" w:after="40"/>
              <w:rPr>
                <w:szCs w:val="19"/>
              </w:rPr>
            </w:pPr>
            <w:r w:rsidRPr="00D427D8">
              <w:rPr>
                <w:szCs w:val="19"/>
              </w:rPr>
              <w:t>A+</w:t>
            </w:r>
          </w:p>
        </w:tc>
        <w:tc>
          <w:tcPr>
            <w:tcW w:w="2142" w:type="dxa"/>
          </w:tcPr>
          <w:p w14:paraId="34EB0F0D" w14:textId="77777777" w:rsidR="009F6E91" w:rsidRPr="00D427D8" w:rsidRDefault="009F6E91" w:rsidP="005D27BB">
            <w:pPr>
              <w:spacing w:before="40" w:after="40"/>
              <w:rPr>
                <w:szCs w:val="19"/>
              </w:rPr>
            </w:pPr>
            <w:r w:rsidRPr="00D427D8">
              <w:rPr>
                <w:szCs w:val="19"/>
              </w:rPr>
              <w:t>A1</w:t>
            </w:r>
          </w:p>
        </w:tc>
      </w:tr>
      <w:tr w:rsidR="009F6E91" w:rsidRPr="00D427D8" w14:paraId="486D70E9" w14:textId="77777777" w:rsidTr="0050790B">
        <w:tc>
          <w:tcPr>
            <w:tcW w:w="2141" w:type="dxa"/>
          </w:tcPr>
          <w:p w14:paraId="66D726BA" w14:textId="77777777" w:rsidR="009F6E91" w:rsidRPr="00D427D8" w:rsidRDefault="009F6E91" w:rsidP="005D27BB">
            <w:pPr>
              <w:spacing w:before="40" w:after="40"/>
              <w:rPr>
                <w:szCs w:val="19"/>
              </w:rPr>
            </w:pPr>
            <w:r w:rsidRPr="00D427D8">
              <w:rPr>
                <w:szCs w:val="19"/>
              </w:rPr>
              <w:t>A</w:t>
            </w:r>
          </w:p>
        </w:tc>
        <w:tc>
          <w:tcPr>
            <w:tcW w:w="2142" w:type="dxa"/>
          </w:tcPr>
          <w:p w14:paraId="66F5A215" w14:textId="77777777" w:rsidR="009F6E91" w:rsidRPr="00D427D8" w:rsidRDefault="009F6E91" w:rsidP="005D27BB">
            <w:pPr>
              <w:spacing w:before="40" w:after="40"/>
              <w:rPr>
                <w:szCs w:val="19"/>
              </w:rPr>
            </w:pPr>
            <w:r w:rsidRPr="00D427D8">
              <w:rPr>
                <w:szCs w:val="19"/>
              </w:rPr>
              <w:t>A</w:t>
            </w:r>
          </w:p>
        </w:tc>
        <w:tc>
          <w:tcPr>
            <w:tcW w:w="2142" w:type="dxa"/>
          </w:tcPr>
          <w:p w14:paraId="7857EAC6" w14:textId="77777777" w:rsidR="009F6E91" w:rsidRPr="00D427D8" w:rsidRDefault="009F6E91" w:rsidP="005D27BB">
            <w:pPr>
              <w:spacing w:before="40" w:after="40"/>
              <w:rPr>
                <w:szCs w:val="19"/>
              </w:rPr>
            </w:pPr>
            <w:r w:rsidRPr="00D427D8">
              <w:rPr>
                <w:szCs w:val="19"/>
              </w:rPr>
              <w:t>A</w:t>
            </w:r>
          </w:p>
        </w:tc>
        <w:tc>
          <w:tcPr>
            <w:tcW w:w="2142" w:type="dxa"/>
          </w:tcPr>
          <w:p w14:paraId="5FD6A464" w14:textId="77777777" w:rsidR="009F6E91" w:rsidRPr="00D427D8" w:rsidRDefault="009F6E91" w:rsidP="005D27BB">
            <w:pPr>
              <w:spacing w:before="40" w:after="40"/>
              <w:rPr>
                <w:szCs w:val="19"/>
              </w:rPr>
            </w:pPr>
            <w:r w:rsidRPr="00D427D8">
              <w:rPr>
                <w:szCs w:val="19"/>
              </w:rPr>
              <w:t>A2</w:t>
            </w:r>
          </w:p>
        </w:tc>
      </w:tr>
      <w:tr w:rsidR="009F6E91" w:rsidRPr="00D427D8" w14:paraId="4CCC5864" w14:textId="77777777" w:rsidTr="0050790B">
        <w:tc>
          <w:tcPr>
            <w:tcW w:w="2141" w:type="dxa"/>
          </w:tcPr>
          <w:p w14:paraId="299179A8" w14:textId="77777777" w:rsidR="009F6E91" w:rsidRPr="00D427D8" w:rsidRDefault="009F6E91" w:rsidP="005D27BB">
            <w:pPr>
              <w:spacing w:before="40" w:after="40"/>
              <w:rPr>
                <w:szCs w:val="19"/>
              </w:rPr>
            </w:pPr>
            <w:r w:rsidRPr="00D427D8">
              <w:rPr>
                <w:szCs w:val="19"/>
              </w:rPr>
              <w:t>A(low)</w:t>
            </w:r>
          </w:p>
        </w:tc>
        <w:tc>
          <w:tcPr>
            <w:tcW w:w="2142" w:type="dxa"/>
          </w:tcPr>
          <w:p w14:paraId="4CF4E1CB" w14:textId="77777777" w:rsidR="009F6E91" w:rsidRPr="00D427D8" w:rsidRDefault="009F6E91" w:rsidP="005D27BB">
            <w:pPr>
              <w:spacing w:before="40" w:after="40"/>
              <w:rPr>
                <w:szCs w:val="19"/>
              </w:rPr>
            </w:pPr>
            <w:r w:rsidRPr="00D427D8">
              <w:rPr>
                <w:szCs w:val="19"/>
              </w:rPr>
              <w:t>A-</w:t>
            </w:r>
          </w:p>
        </w:tc>
        <w:tc>
          <w:tcPr>
            <w:tcW w:w="2142" w:type="dxa"/>
          </w:tcPr>
          <w:p w14:paraId="698718B0" w14:textId="77777777" w:rsidR="009F6E91" w:rsidRPr="00D427D8" w:rsidRDefault="009F6E91" w:rsidP="005D27BB">
            <w:pPr>
              <w:spacing w:before="40" w:after="40"/>
              <w:rPr>
                <w:szCs w:val="19"/>
              </w:rPr>
            </w:pPr>
            <w:r w:rsidRPr="00D427D8">
              <w:rPr>
                <w:szCs w:val="19"/>
              </w:rPr>
              <w:t>A-</w:t>
            </w:r>
          </w:p>
        </w:tc>
        <w:tc>
          <w:tcPr>
            <w:tcW w:w="2142" w:type="dxa"/>
          </w:tcPr>
          <w:p w14:paraId="7ECB0002" w14:textId="77777777" w:rsidR="009F6E91" w:rsidRPr="00D427D8" w:rsidRDefault="009F6E91" w:rsidP="005D27BB">
            <w:pPr>
              <w:spacing w:before="40" w:after="40"/>
              <w:rPr>
                <w:szCs w:val="19"/>
              </w:rPr>
            </w:pPr>
            <w:r w:rsidRPr="00D427D8">
              <w:rPr>
                <w:szCs w:val="19"/>
              </w:rPr>
              <w:t>A3</w:t>
            </w:r>
          </w:p>
        </w:tc>
      </w:tr>
      <w:tr w:rsidR="009F6E91" w:rsidRPr="00D427D8" w14:paraId="7BDFF206" w14:textId="77777777" w:rsidTr="0050790B">
        <w:tc>
          <w:tcPr>
            <w:tcW w:w="2141" w:type="dxa"/>
          </w:tcPr>
          <w:p w14:paraId="5667E458" w14:textId="77777777" w:rsidR="009F6E91" w:rsidRPr="00D427D8" w:rsidRDefault="009F6E91" w:rsidP="005D27BB">
            <w:pPr>
              <w:spacing w:before="40" w:after="40"/>
              <w:rPr>
                <w:szCs w:val="19"/>
              </w:rPr>
            </w:pPr>
            <w:r w:rsidRPr="00D427D8">
              <w:rPr>
                <w:szCs w:val="19"/>
              </w:rPr>
              <w:t>BBB(high)</w:t>
            </w:r>
          </w:p>
        </w:tc>
        <w:tc>
          <w:tcPr>
            <w:tcW w:w="2142" w:type="dxa"/>
          </w:tcPr>
          <w:p w14:paraId="6AAFF303" w14:textId="77777777" w:rsidR="009F6E91" w:rsidRPr="00D427D8" w:rsidRDefault="009F6E91" w:rsidP="005D27BB">
            <w:pPr>
              <w:spacing w:before="40" w:after="40"/>
              <w:rPr>
                <w:szCs w:val="19"/>
              </w:rPr>
            </w:pPr>
            <w:r w:rsidRPr="00D427D8">
              <w:rPr>
                <w:szCs w:val="19"/>
              </w:rPr>
              <w:t>BBB</w:t>
            </w:r>
          </w:p>
        </w:tc>
        <w:tc>
          <w:tcPr>
            <w:tcW w:w="2142" w:type="dxa"/>
          </w:tcPr>
          <w:p w14:paraId="7B0A9B45" w14:textId="77777777" w:rsidR="009F6E91" w:rsidRPr="00D427D8" w:rsidRDefault="009F6E91" w:rsidP="005D27BB">
            <w:pPr>
              <w:spacing w:before="40" w:after="40"/>
              <w:rPr>
                <w:szCs w:val="19"/>
              </w:rPr>
            </w:pPr>
            <w:r w:rsidRPr="00D427D8">
              <w:rPr>
                <w:szCs w:val="19"/>
              </w:rPr>
              <w:t>BBB</w:t>
            </w:r>
          </w:p>
        </w:tc>
        <w:tc>
          <w:tcPr>
            <w:tcW w:w="2142" w:type="dxa"/>
          </w:tcPr>
          <w:p w14:paraId="60F39675" w14:textId="77777777" w:rsidR="009F6E91" w:rsidRPr="00D427D8" w:rsidRDefault="009F6E91" w:rsidP="005D27BB">
            <w:pPr>
              <w:spacing w:before="40" w:after="40"/>
              <w:rPr>
                <w:szCs w:val="19"/>
              </w:rPr>
            </w:pPr>
            <w:r w:rsidRPr="00D427D8">
              <w:rPr>
                <w:szCs w:val="19"/>
              </w:rPr>
              <w:t>Baa1</w:t>
            </w:r>
          </w:p>
        </w:tc>
      </w:tr>
      <w:tr w:rsidR="009F6E91" w:rsidRPr="00D427D8" w14:paraId="0D0D94CD" w14:textId="77777777" w:rsidTr="0050790B">
        <w:tc>
          <w:tcPr>
            <w:tcW w:w="2141" w:type="dxa"/>
          </w:tcPr>
          <w:p w14:paraId="5954C31E" w14:textId="77777777" w:rsidR="009F6E91" w:rsidRPr="00D427D8" w:rsidRDefault="009F6E91" w:rsidP="005D27BB">
            <w:pPr>
              <w:spacing w:before="40" w:after="40"/>
              <w:rPr>
                <w:szCs w:val="19"/>
              </w:rPr>
            </w:pPr>
            <w:r w:rsidRPr="00D427D8">
              <w:rPr>
                <w:szCs w:val="19"/>
              </w:rPr>
              <w:t>BBB</w:t>
            </w:r>
          </w:p>
        </w:tc>
        <w:tc>
          <w:tcPr>
            <w:tcW w:w="2142" w:type="dxa"/>
          </w:tcPr>
          <w:p w14:paraId="23CE4851" w14:textId="77777777" w:rsidR="009F6E91" w:rsidRPr="00D427D8" w:rsidRDefault="009F6E91" w:rsidP="005D27BB">
            <w:pPr>
              <w:spacing w:before="40" w:after="40"/>
              <w:rPr>
                <w:szCs w:val="19"/>
              </w:rPr>
            </w:pPr>
            <w:r w:rsidRPr="00D427D8">
              <w:rPr>
                <w:szCs w:val="19"/>
              </w:rPr>
              <w:t>BBB</w:t>
            </w:r>
          </w:p>
        </w:tc>
        <w:tc>
          <w:tcPr>
            <w:tcW w:w="2142" w:type="dxa"/>
          </w:tcPr>
          <w:p w14:paraId="3BB90CEA" w14:textId="77777777" w:rsidR="009F6E91" w:rsidRPr="00D427D8" w:rsidRDefault="009F6E91" w:rsidP="005D27BB">
            <w:pPr>
              <w:spacing w:before="40" w:after="40"/>
              <w:rPr>
                <w:szCs w:val="19"/>
              </w:rPr>
            </w:pPr>
            <w:r w:rsidRPr="00D427D8">
              <w:rPr>
                <w:szCs w:val="19"/>
              </w:rPr>
              <w:t>BBB</w:t>
            </w:r>
          </w:p>
        </w:tc>
        <w:tc>
          <w:tcPr>
            <w:tcW w:w="2142" w:type="dxa"/>
          </w:tcPr>
          <w:p w14:paraId="45313D68" w14:textId="77777777" w:rsidR="009F6E91" w:rsidRPr="00D427D8" w:rsidRDefault="009F6E91" w:rsidP="005D27BB">
            <w:pPr>
              <w:spacing w:before="40" w:after="40"/>
              <w:rPr>
                <w:szCs w:val="19"/>
              </w:rPr>
            </w:pPr>
            <w:r w:rsidRPr="00D427D8">
              <w:rPr>
                <w:szCs w:val="19"/>
              </w:rPr>
              <w:t>Baa2</w:t>
            </w:r>
          </w:p>
        </w:tc>
      </w:tr>
      <w:tr w:rsidR="009F6E91" w:rsidRPr="00D427D8" w14:paraId="1DB9AFFA" w14:textId="77777777" w:rsidTr="0050790B">
        <w:tc>
          <w:tcPr>
            <w:tcW w:w="2141" w:type="dxa"/>
          </w:tcPr>
          <w:p w14:paraId="5D124407" w14:textId="77777777" w:rsidR="009F6E91" w:rsidRPr="00D427D8" w:rsidRDefault="009F6E91" w:rsidP="005D27BB">
            <w:pPr>
              <w:spacing w:before="40" w:after="40"/>
              <w:rPr>
                <w:szCs w:val="19"/>
              </w:rPr>
            </w:pPr>
            <w:r w:rsidRPr="00D427D8">
              <w:rPr>
                <w:szCs w:val="19"/>
              </w:rPr>
              <w:t>BBB(low)</w:t>
            </w:r>
          </w:p>
        </w:tc>
        <w:tc>
          <w:tcPr>
            <w:tcW w:w="2142" w:type="dxa"/>
          </w:tcPr>
          <w:p w14:paraId="20C8AC4B" w14:textId="77777777" w:rsidR="009F6E91" w:rsidRPr="00D427D8" w:rsidRDefault="009F6E91" w:rsidP="005D27BB">
            <w:pPr>
              <w:spacing w:before="40" w:after="40"/>
              <w:rPr>
                <w:szCs w:val="19"/>
              </w:rPr>
            </w:pPr>
            <w:r w:rsidRPr="00D427D8">
              <w:rPr>
                <w:szCs w:val="19"/>
              </w:rPr>
              <w:t>BBB-</w:t>
            </w:r>
          </w:p>
        </w:tc>
        <w:tc>
          <w:tcPr>
            <w:tcW w:w="2142" w:type="dxa"/>
          </w:tcPr>
          <w:p w14:paraId="4D86745D" w14:textId="77777777" w:rsidR="009F6E91" w:rsidRPr="00D427D8" w:rsidRDefault="009F6E91" w:rsidP="005D27BB">
            <w:pPr>
              <w:spacing w:before="40" w:after="40"/>
              <w:rPr>
                <w:szCs w:val="19"/>
              </w:rPr>
            </w:pPr>
            <w:r w:rsidRPr="00D427D8">
              <w:rPr>
                <w:szCs w:val="19"/>
              </w:rPr>
              <w:t>BBB-</w:t>
            </w:r>
          </w:p>
        </w:tc>
        <w:tc>
          <w:tcPr>
            <w:tcW w:w="2142" w:type="dxa"/>
          </w:tcPr>
          <w:p w14:paraId="3A2AF9B0" w14:textId="77777777" w:rsidR="009F6E91" w:rsidRPr="00D427D8" w:rsidRDefault="009F6E91" w:rsidP="005D27BB">
            <w:pPr>
              <w:spacing w:before="40" w:after="40"/>
              <w:rPr>
                <w:szCs w:val="19"/>
              </w:rPr>
            </w:pPr>
            <w:r w:rsidRPr="00D427D8">
              <w:rPr>
                <w:szCs w:val="19"/>
              </w:rPr>
              <w:t>Baa3</w:t>
            </w:r>
          </w:p>
        </w:tc>
      </w:tr>
      <w:tr w:rsidR="009F6E91" w:rsidRPr="00D427D8" w14:paraId="058C5F81" w14:textId="77777777" w:rsidTr="0050790B">
        <w:tc>
          <w:tcPr>
            <w:tcW w:w="2141" w:type="dxa"/>
          </w:tcPr>
          <w:p w14:paraId="77A0D7E4" w14:textId="77777777" w:rsidR="009F6E91" w:rsidRPr="00D427D8" w:rsidRDefault="009F6E91" w:rsidP="005D27BB">
            <w:pPr>
              <w:spacing w:before="40" w:after="40"/>
              <w:rPr>
                <w:szCs w:val="19"/>
              </w:rPr>
            </w:pPr>
            <w:r w:rsidRPr="00D427D8">
              <w:rPr>
                <w:szCs w:val="19"/>
              </w:rPr>
              <w:t>BB(high)</w:t>
            </w:r>
          </w:p>
        </w:tc>
        <w:tc>
          <w:tcPr>
            <w:tcW w:w="2142" w:type="dxa"/>
          </w:tcPr>
          <w:p w14:paraId="7087505E" w14:textId="77777777" w:rsidR="009F6E91" w:rsidRPr="00D427D8" w:rsidRDefault="009F6E91" w:rsidP="005D27BB">
            <w:pPr>
              <w:spacing w:before="40" w:after="40"/>
              <w:rPr>
                <w:szCs w:val="19"/>
              </w:rPr>
            </w:pPr>
            <w:r w:rsidRPr="00D427D8">
              <w:rPr>
                <w:szCs w:val="19"/>
              </w:rPr>
              <w:t>BB+</w:t>
            </w:r>
          </w:p>
        </w:tc>
        <w:tc>
          <w:tcPr>
            <w:tcW w:w="2142" w:type="dxa"/>
          </w:tcPr>
          <w:p w14:paraId="122320CF" w14:textId="77777777" w:rsidR="009F6E91" w:rsidRPr="00D427D8" w:rsidRDefault="009F6E91" w:rsidP="005D27BB">
            <w:pPr>
              <w:spacing w:before="40" w:after="40"/>
              <w:rPr>
                <w:szCs w:val="19"/>
              </w:rPr>
            </w:pPr>
            <w:r w:rsidRPr="00D427D8">
              <w:rPr>
                <w:szCs w:val="19"/>
              </w:rPr>
              <w:t>BB+</w:t>
            </w:r>
          </w:p>
        </w:tc>
        <w:tc>
          <w:tcPr>
            <w:tcW w:w="2142" w:type="dxa"/>
          </w:tcPr>
          <w:p w14:paraId="68AE6603" w14:textId="77777777" w:rsidR="009F6E91" w:rsidRPr="00D427D8" w:rsidRDefault="009F6E91" w:rsidP="005D27BB">
            <w:pPr>
              <w:spacing w:before="40" w:after="40"/>
              <w:rPr>
                <w:szCs w:val="19"/>
              </w:rPr>
            </w:pPr>
            <w:r w:rsidRPr="00D427D8">
              <w:rPr>
                <w:szCs w:val="19"/>
              </w:rPr>
              <w:t>Ba1</w:t>
            </w:r>
          </w:p>
        </w:tc>
      </w:tr>
      <w:tr w:rsidR="009F6E91" w:rsidRPr="00D427D8" w14:paraId="6BC1B090" w14:textId="77777777" w:rsidTr="0050790B">
        <w:tc>
          <w:tcPr>
            <w:tcW w:w="2141" w:type="dxa"/>
          </w:tcPr>
          <w:p w14:paraId="7538863E" w14:textId="77777777" w:rsidR="009F6E91" w:rsidRPr="00D427D8" w:rsidRDefault="009F6E91" w:rsidP="005D27BB">
            <w:pPr>
              <w:spacing w:before="40" w:after="40"/>
              <w:rPr>
                <w:szCs w:val="19"/>
              </w:rPr>
            </w:pPr>
            <w:r w:rsidRPr="00D427D8">
              <w:rPr>
                <w:szCs w:val="19"/>
              </w:rPr>
              <w:t>BB</w:t>
            </w:r>
          </w:p>
        </w:tc>
        <w:tc>
          <w:tcPr>
            <w:tcW w:w="2142" w:type="dxa"/>
          </w:tcPr>
          <w:p w14:paraId="1482E313" w14:textId="77777777" w:rsidR="009F6E91" w:rsidRPr="00D427D8" w:rsidRDefault="009F6E91" w:rsidP="005D27BB">
            <w:pPr>
              <w:spacing w:before="40" w:after="40"/>
              <w:rPr>
                <w:szCs w:val="19"/>
              </w:rPr>
            </w:pPr>
            <w:r w:rsidRPr="00D427D8">
              <w:rPr>
                <w:szCs w:val="19"/>
              </w:rPr>
              <w:t>BB</w:t>
            </w:r>
          </w:p>
        </w:tc>
        <w:tc>
          <w:tcPr>
            <w:tcW w:w="2142" w:type="dxa"/>
          </w:tcPr>
          <w:p w14:paraId="7C4E0EC4" w14:textId="77777777" w:rsidR="009F6E91" w:rsidRPr="00D427D8" w:rsidRDefault="009F6E91" w:rsidP="005D27BB">
            <w:pPr>
              <w:spacing w:before="40" w:after="40"/>
              <w:rPr>
                <w:szCs w:val="19"/>
              </w:rPr>
            </w:pPr>
            <w:r w:rsidRPr="00D427D8">
              <w:rPr>
                <w:szCs w:val="19"/>
              </w:rPr>
              <w:t>BB</w:t>
            </w:r>
          </w:p>
        </w:tc>
        <w:tc>
          <w:tcPr>
            <w:tcW w:w="2142" w:type="dxa"/>
          </w:tcPr>
          <w:p w14:paraId="59995E40" w14:textId="77777777" w:rsidR="009F6E91" w:rsidRPr="00D427D8" w:rsidRDefault="009F6E91" w:rsidP="005D27BB">
            <w:pPr>
              <w:spacing w:before="40" w:after="40"/>
              <w:rPr>
                <w:szCs w:val="19"/>
              </w:rPr>
            </w:pPr>
            <w:r w:rsidRPr="00D427D8">
              <w:rPr>
                <w:szCs w:val="19"/>
              </w:rPr>
              <w:t>Ba2</w:t>
            </w:r>
          </w:p>
        </w:tc>
      </w:tr>
      <w:tr w:rsidR="009F6E91" w:rsidRPr="00D427D8" w14:paraId="034E5D37" w14:textId="77777777" w:rsidTr="0050790B">
        <w:tc>
          <w:tcPr>
            <w:tcW w:w="2141" w:type="dxa"/>
          </w:tcPr>
          <w:p w14:paraId="009F7310" w14:textId="77777777" w:rsidR="009F6E91" w:rsidRPr="00D427D8" w:rsidRDefault="009F6E91" w:rsidP="005D27BB">
            <w:pPr>
              <w:spacing w:before="40" w:after="40"/>
              <w:rPr>
                <w:szCs w:val="19"/>
              </w:rPr>
            </w:pPr>
            <w:r w:rsidRPr="00D427D8">
              <w:rPr>
                <w:szCs w:val="19"/>
              </w:rPr>
              <w:t>BB(low)</w:t>
            </w:r>
          </w:p>
        </w:tc>
        <w:tc>
          <w:tcPr>
            <w:tcW w:w="2142" w:type="dxa"/>
          </w:tcPr>
          <w:p w14:paraId="000DCBE9" w14:textId="77777777" w:rsidR="009F6E91" w:rsidRPr="00D427D8" w:rsidRDefault="009F6E91" w:rsidP="005D27BB">
            <w:pPr>
              <w:spacing w:before="40" w:after="40"/>
              <w:rPr>
                <w:szCs w:val="19"/>
              </w:rPr>
            </w:pPr>
            <w:r w:rsidRPr="00D427D8">
              <w:rPr>
                <w:szCs w:val="19"/>
              </w:rPr>
              <w:t>BB-</w:t>
            </w:r>
          </w:p>
        </w:tc>
        <w:tc>
          <w:tcPr>
            <w:tcW w:w="2142" w:type="dxa"/>
          </w:tcPr>
          <w:p w14:paraId="2C546BBC" w14:textId="77777777" w:rsidR="009F6E91" w:rsidRPr="00D427D8" w:rsidRDefault="009F6E91" w:rsidP="005D27BB">
            <w:pPr>
              <w:spacing w:before="40" w:after="40"/>
              <w:rPr>
                <w:szCs w:val="19"/>
              </w:rPr>
            </w:pPr>
            <w:r w:rsidRPr="00D427D8">
              <w:rPr>
                <w:szCs w:val="19"/>
              </w:rPr>
              <w:t>BB-</w:t>
            </w:r>
          </w:p>
        </w:tc>
        <w:tc>
          <w:tcPr>
            <w:tcW w:w="2142" w:type="dxa"/>
          </w:tcPr>
          <w:p w14:paraId="3DB5D237" w14:textId="77777777" w:rsidR="009F6E91" w:rsidRPr="00D427D8" w:rsidRDefault="009F6E91" w:rsidP="005D27BB">
            <w:pPr>
              <w:spacing w:before="40" w:after="40"/>
              <w:rPr>
                <w:szCs w:val="19"/>
              </w:rPr>
            </w:pPr>
            <w:r w:rsidRPr="00D427D8">
              <w:rPr>
                <w:szCs w:val="19"/>
              </w:rPr>
              <w:t>Ba3</w:t>
            </w:r>
          </w:p>
        </w:tc>
      </w:tr>
      <w:tr w:rsidR="009F6E91" w:rsidRPr="00D427D8" w14:paraId="220E3A6D" w14:textId="77777777" w:rsidTr="0050790B">
        <w:tc>
          <w:tcPr>
            <w:tcW w:w="2141" w:type="dxa"/>
          </w:tcPr>
          <w:p w14:paraId="705ABEE0" w14:textId="77777777" w:rsidR="009F6E91" w:rsidRPr="00D427D8" w:rsidRDefault="009F6E91" w:rsidP="005D27BB">
            <w:pPr>
              <w:spacing w:before="40" w:after="40"/>
              <w:rPr>
                <w:szCs w:val="19"/>
              </w:rPr>
            </w:pPr>
            <w:r w:rsidRPr="00D427D8">
              <w:rPr>
                <w:szCs w:val="19"/>
              </w:rPr>
              <w:t>B(high)</w:t>
            </w:r>
          </w:p>
        </w:tc>
        <w:tc>
          <w:tcPr>
            <w:tcW w:w="2142" w:type="dxa"/>
          </w:tcPr>
          <w:p w14:paraId="6459848C" w14:textId="77777777" w:rsidR="009F6E91" w:rsidRPr="00D427D8" w:rsidRDefault="009F6E91" w:rsidP="005D27BB">
            <w:pPr>
              <w:spacing w:before="40" w:after="40"/>
              <w:rPr>
                <w:szCs w:val="19"/>
              </w:rPr>
            </w:pPr>
            <w:r w:rsidRPr="00D427D8">
              <w:rPr>
                <w:szCs w:val="19"/>
              </w:rPr>
              <w:t>B+</w:t>
            </w:r>
          </w:p>
        </w:tc>
        <w:tc>
          <w:tcPr>
            <w:tcW w:w="2142" w:type="dxa"/>
          </w:tcPr>
          <w:p w14:paraId="593ED24A" w14:textId="77777777" w:rsidR="009F6E91" w:rsidRPr="00D427D8" w:rsidRDefault="009F6E91" w:rsidP="005D27BB">
            <w:pPr>
              <w:spacing w:before="40" w:after="40"/>
              <w:rPr>
                <w:szCs w:val="19"/>
              </w:rPr>
            </w:pPr>
            <w:r w:rsidRPr="00D427D8">
              <w:rPr>
                <w:szCs w:val="19"/>
              </w:rPr>
              <w:t>B+</w:t>
            </w:r>
          </w:p>
        </w:tc>
        <w:tc>
          <w:tcPr>
            <w:tcW w:w="2142" w:type="dxa"/>
          </w:tcPr>
          <w:p w14:paraId="5A163C25" w14:textId="77777777" w:rsidR="009F6E91" w:rsidRPr="00D427D8" w:rsidRDefault="009F6E91" w:rsidP="005D27BB">
            <w:pPr>
              <w:spacing w:before="40" w:after="40"/>
              <w:rPr>
                <w:szCs w:val="19"/>
              </w:rPr>
            </w:pPr>
            <w:r w:rsidRPr="00D427D8">
              <w:rPr>
                <w:szCs w:val="19"/>
              </w:rPr>
              <w:t>B1</w:t>
            </w:r>
          </w:p>
        </w:tc>
      </w:tr>
      <w:tr w:rsidR="009F6E91" w:rsidRPr="00D427D8" w14:paraId="185C5740" w14:textId="77777777" w:rsidTr="0050790B">
        <w:tc>
          <w:tcPr>
            <w:tcW w:w="2141" w:type="dxa"/>
          </w:tcPr>
          <w:p w14:paraId="16E4190E" w14:textId="77777777" w:rsidR="009F6E91" w:rsidRPr="00D427D8" w:rsidRDefault="009F6E91" w:rsidP="005D27BB">
            <w:pPr>
              <w:spacing w:before="40" w:after="40"/>
              <w:rPr>
                <w:szCs w:val="19"/>
              </w:rPr>
            </w:pPr>
            <w:r w:rsidRPr="00D427D8">
              <w:rPr>
                <w:szCs w:val="19"/>
              </w:rPr>
              <w:t>B</w:t>
            </w:r>
          </w:p>
        </w:tc>
        <w:tc>
          <w:tcPr>
            <w:tcW w:w="2142" w:type="dxa"/>
          </w:tcPr>
          <w:p w14:paraId="47A1DD11" w14:textId="77777777" w:rsidR="009F6E91" w:rsidRPr="00D427D8" w:rsidRDefault="009F6E91" w:rsidP="005D27BB">
            <w:pPr>
              <w:spacing w:before="40" w:after="40"/>
              <w:rPr>
                <w:szCs w:val="19"/>
              </w:rPr>
            </w:pPr>
            <w:r w:rsidRPr="00D427D8">
              <w:rPr>
                <w:szCs w:val="19"/>
              </w:rPr>
              <w:t>B</w:t>
            </w:r>
          </w:p>
        </w:tc>
        <w:tc>
          <w:tcPr>
            <w:tcW w:w="2142" w:type="dxa"/>
          </w:tcPr>
          <w:p w14:paraId="27AAAABF" w14:textId="77777777" w:rsidR="009F6E91" w:rsidRPr="00D427D8" w:rsidRDefault="009F6E91" w:rsidP="005D27BB">
            <w:pPr>
              <w:spacing w:before="40" w:after="40"/>
              <w:rPr>
                <w:szCs w:val="19"/>
              </w:rPr>
            </w:pPr>
            <w:r w:rsidRPr="00D427D8">
              <w:rPr>
                <w:szCs w:val="19"/>
              </w:rPr>
              <w:t>B</w:t>
            </w:r>
          </w:p>
        </w:tc>
        <w:tc>
          <w:tcPr>
            <w:tcW w:w="2142" w:type="dxa"/>
          </w:tcPr>
          <w:p w14:paraId="5965257F" w14:textId="77777777" w:rsidR="009F6E91" w:rsidRPr="00D427D8" w:rsidRDefault="009F6E91" w:rsidP="005D27BB">
            <w:pPr>
              <w:spacing w:before="40" w:after="40"/>
              <w:rPr>
                <w:szCs w:val="19"/>
              </w:rPr>
            </w:pPr>
            <w:r w:rsidRPr="00D427D8">
              <w:rPr>
                <w:szCs w:val="19"/>
              </w:rPr>
              <w:t>B2</w:t>
            </w:r>
          </w:p>
        </w:tc>
      </w:tr>
      <w:tr w:rsidR="009F6E91" w:rsidRPr="00D427D8" w14:paraId="367823FD" w14:textId="77777777" w:rsidTr="0050790B">
        <w:tc>
          <w:tcPr>
            <w:tcW w:w="2141" w:type="dxa"/>
          </w:tcPr>
          <w:p w14:paraId="298BEB1F" w14:textId="77777777" w:rsidR="009F6E91" w:rsidRPr="00D427D8" w:rsidRDefault="009F6E91" w:rsidP="005D27BB">
            <w:pPr>
              <w:spacing w:before="40" w:after="40"/>
              <w:rPr>
                <w:szCs w:val="19"/>
              </w:rPr>
            </w:pPr>
            <w:r w:rsidRPr="00D427D8">
              <w:rPr>
                <w:szCs w:val="19"/>
              </w:rPr>
              <w:t>B(low)</w:t>
            </w:r>
          </w:p>
        </w:tc>
        <w:tc>
          <w:tcPr>
            <w:tcW w:w="2142" w:type="dxa"/>
          </w:tcPr>
          <w:p w14:paraId="77C7D8ED" w14:textId="77777777" w:rsidR="009F6E91" w:rsidRPr="00D427D8" w:rsidRDefault="009F6E91" w:rsidP="005D27BB">
            <w:pPr>
              <w:spacing w:before="40" w:after="40"/>
              <w:rPr>
                <w:szCs w:val="19"/>
              </w:rPr>
            </w:pPr>
            <w:r w:rsidRPr="00D427D8">
              <w:rPr>
                <w:szCs w:val="19"/>
              </w:rPr>
              <w:t>B-</w:t>
            </w:r>
          </w:p>
        </w:tc>
        <w:tc>
          <w:tcPr>
            <w:tcW w:w="2142" w:type="dxa"/>
          </w:tcPr>
          <w:p w14:paraId="48DA060A" w14:textId="77777777" w:rsidR="009F6E91" w:rsidRPr="00D427D8" w:rsidRDefault="009F6E91" w:rsidP="005D27BB">
            <w:pPr>
              <w:spacing w:before="40" w:after="40"/>
              <w:rPr>
                <w:szCs w:val="19"/>
              </w:rPr>
            </w:pPr>
            <w:r w:rsidRPr="00D427D8">
              <w:rPr>
                <w:szCs w:val="19"/>
              </w:rPr>
              <w:t>B-</w:t>
            </w:r>
          </w:p>
        </w:tc>
        <w:tc>
          <w:tcPr>
            <w:tcW w:w="2142" w:type="dxa"/>
          </w:tcPr>
          <w:p w14:paraId="6F2696E8" w14:textId="77777777" w:rsidR="009F6E91" w:rsidRPr="00D427D8" w:rsidRDefault="009F6E91" w:rsidP="005D27BB">
            <w:pPr>
              <w:spacing w:before="40" w:after="40"/>
              <w:rPr>
                <w:szCs w:val="19"/>
              </w:rPr>
            </w:pPr>
            <w:r w:rsidRPr="00D427D8">
              <w:rPr>
                <w:szCs w:val="19"/>
              </w:rPr>
              <w:t>B3</w:t>
            </w:r>
          </w:p>
        </w:tc>
      </w:tr>
      <w:tr w:rsidR="009F6E91" w:rsidRPr="00D427D8" w14:paraId="2D3832E2" w14:textId="77777777" w:rsidTr="0050790B">
        <w:tc>
          <w:tcPr>
            <w:tcW w:w="2141" w:type="dxa"/>
          </w:tcPr>
          <w:p w14:paraId="3A09755B" w14:textId="77777777" w:rsidR="009F6E91" w:rsidRPr="00D427D8" w:rsidRDefault="009F6E91" w:rsidP="005D27BB">
            <w:pPr>
              <w:spacing w:before="40" w:after="40"/>
              <w:rPr>
                <w:szCs w:val="19"/>
              </w:rPr>
            </w:pPr>
            <w:r w:rsidRPr="00D427D8">
              <w:rPr>
                <w:szCs w:val="19"/>
              </w:rPr>
              <w:t>CCC(high)</w:t>
            </w:r>
          </w:p>
        </w:tc>
        <w:tc>
          <w:tcPr>
            <w:tcW w:w="2142" w:type="dxa"/>
          </w:tcPr>
          <w:p w14:paraId="17E7F2BC" w14:textId="77777777" w:rsidR="009F6E91" w:rsidRPr="00D427D8" w:rsidRDefault="009F6E91" w:rsidP="005D27BB">
            <w:pPr>
              <w:spacing w:before="40" w:after="40"/>
              <w:rPr>
                <w:szCs w:val="19"/>
              </w:rPr>
            </w:pPr>
            <w:r w:rsidRPr="00D427D8">
              <w:rPr>
                <w:szCs w:val="19"/>
              </w:rPr>
              <w:t>CCC</w:t>
            </w:r>
          </w:p>
        </w:tc>
        <w:tc>
          <w:tcPr>
            <w:tcW w:w="2142" w:type="dxa"/>
          </w:tcPr>
          <w:p w14:paraId="3857E57F" w14:textId="77777777" w:rsidR="009F6E91" w:rsidRPr="00D427D8" w:rsidRDefault="009F6E91" w:rsidP="005D27BB">
            <w:pPr>
              <w:spacing w:before="40" w:after="40"/>
              <w:rPr>
                <w:szCs w:val="19"/>
              </w:rPr>
            </w:pPr>
            <w:r w:rsidRPr="00D427D8">
              <w:rPr>
                <w:szCs w:val="19"/>
              </w:rPr>
              <w:t>CCC</w:t>
            </w:r>
          </w:p>
        </w:tc>
        <w:tc>
          <w:tcPr>
            <w:tcW w:w="2142" w:type="dxa"/>
          </w:tcPr>
          <w:p w14:paraId="1F0C12C1" w14:textId="77777777" w:rsidR="009F6E91" w:rsidRPr="00D427D8" w:rsidRDefault="009F6E91" w:rsidP="005D27BB">
            <w:pPr>
              <w:spacing w:before="40" w:after="40"/>
              <w:rPr>
                <w:szCs w:val="19"/>
              </w:rPr>
            </w:pPr>
            <w:r w:rsidRPr="00D427D8">
              <w:rPr>
                <w:szCs w:val="19"/>
              </w:rPr>
              <w:t>Caa1</w:t>
            </w:r>
          </w:p>
        </w:tc>
      </w:tr>
      <w:tr w:rsidR="009F6E91" w:rsidRPr="00D427D8" w14:paraId="260FC233" w14:textId="77777777" w:rsidTr="0050790B">
        <w:tc>
          <w:tcPr>
            <w:tcW w:w="2141" w:type="dxa"/>
          </w:tcPr>
          <w:p w14:paraId="6004C77D" w14:textId="77777777" w:rsidR="009F6E91" w:rsidRPr="00D427D8" w:rsidRDefault="009F6E91" w:rsidP="005D27BB">
            <w:pPr>
              <w:spacing w:before="40" w:after="40"/>
              <w:rPr>
                <w:szCs w:val="19"/>
              </w:rPr>
            </w:pPr>
            <w:r w:rsidRPr="00D427D8">
              <w:rPr>
                <w:szCs w:val="19"/>
              </w:rPr>
              <w:t>CCC</w:t>
            </w:r>
          </w:p>
        </w:tc>
        <w:tc>
          <w:tcPr>
            <w:tcW w:w="2142" w:type="dxa"/>
          </w:tcPr>
          <w:p w14:paraId="3265F9E0" w14:textId="77777777" w:rsidR="009F6E91" w:rsidRPr="00D427D8" w:rsidRDefault="009F6E91" w:rsidP="005D27BB">
            <w:pPr>
              <w:spacing w:before="40" w:after="40"/>
              <w:rPr>
                <w:szCs w:val="19"/>
              </w:rPr>
            </w:pPr>
            <w:r w:rsidRPr="00D427D8">
              <w:rPr>
                <w:szCs w:val="19"/>
              </w:rPr>
              <w:t>CCC</w:t>
            </w:r>
          </w:p>
        </w:tc>
        <w:tc>
          <w:tcPr>
            <w:tcW w:w="2142" w:type="dxa"/>
          </w:tcPr>
          <w:p w14:paraId="0D2FDCB2" w14:textId="77777777" w:rsidR="009F6E91" w:rsidRPr="00D427D8" w:rsidRDefault="009F6E91" w:rsidP="005D27BB">
            <w:pPr>
              <w:spacing w:before="40" w:after="40"/>
              <w:rPr>
                <w:szCs w:val="19"/>
              </w:rPr>
            </w:pPr>
            <w:r w:rsidRPr="00D427D8">
              <w:rPr>
                <w:szCs w:val="19"/>
              </w:rPr>
              <w:t>CCC</w:t>
            </w:r>
          </w:p>
        </w:tc>
        <w:tc>
          <w:tcPr>
            <w:tcW w:w="2142" w:type="dxa"/>
          </w:tcPr>
          <w:p w14:paraId="003255BC" w14:textId="77777777" w:rsidR="009F6E91" w:rsidRPr="00D427D8" w:rsidRDefault="009F6E91" w:rsidP="005D27BB">
            <w:pPr>
              <w:spacing w:before="40" w:after="40"/>
              <w:rPr>
                <w:szCs w:val="19"/>
              </w:rPr>
            </w:pPr>
            <w:r w:rsidRPr="00D427D8">
              <w:rPr>
                <w:szCs w:val="19"/>
              </w:rPr>
              <w:t>Caa2</w:t>
            </w:r>
          </w:p>
        </w:tc>
      </w:tr>
      <w:tr w:rsidR="009F6E91" w:rsidRPr="00D427D8" w14:paraId="50E9F276" w14:textId="77777777" w:rsidTr="0050790B">
        <w:tc>
          <w:tcPr>
            <w:tcW w:w="2141" w:type="dxa"/>
          </w:tcPr>
          <w:p w14:paraId="4599DB25" w14:textId="77777777" w:rsidR="009F6E91" w:rsidRPr="00D427D8" w:rsidRDefault="009F6E91" w:rsidP="005D27BB">
            <w:pPr>
              <w:spacing w:before="40" w:after="40"/>
              <w:rPr>
                <w:szCs w:val="19"/>
              </w:rPr>
            </w:pPr>
            <w:r w:rsidRPr="00D427D8">
              <w:rPr>
                <w:szCs w:val="19"/>
              </w:rPr>
              <w:t>CCC(low)</w:t>
            </w:r>
          </w:p>
        </w:tc>
        <w:tc>
          <w:tcPr>
            <w:tcW w:w="2142" w:type="dxa"/>
          </w:tcPr>
          <w:p w14:paraId="3A7900A5" w14:textId="77777777" w:rsidR="009F6E91" w:rsidRPr="00D427D8" w:rsidRDefault="009F6E91" w:rsidP="005D27BB">
            <w:pPr>
              <w:spacing w:before="40" w:after="40"/>
              <w:rPr>
                <w:szCs w:val="19"/>
              </w:rPr>
            </w:pPr>
            <w:r w:rsidRPr="00D427D8">
              <w:rPr>
                <w:szCs w:val="19"/>
              </w:rPr>
              <w:t>CCC-</w:t>
            </w:r>
          </w:p>
        </w:tc>
        <w:tc>
          <w:tcPr>
            <w:tcW w:w="2142" w:type="dxa"/>
          </w:tcPr>
          <w:p w14:paraId="4F1A8A7D" w14:textId="77777777" w:rsidR="009F6E91" w:rsidRPr="00D427D8" w:rsidRDefault="009F6E91" w:rsidP="005D27BB">
            <w:pPr>
              <w:spacing w:before="40" w:after="40"/>
              <w:rPr>
                <w:szCs w:val="19"/>
              </w:rPr>
            </w:pPr>
            <w:r w:rsidRPr="00D427D8">
              <w:rPr>
                <w:szCs w:val="19"/>
              </w:rPr>
              <w:t>CCC-</w:t>
            </w:r>
          </w:p>
        </w:tc>
        <w:tc>
          <w:tcPr>
            <w:tcW w:w="2142" w:type="dxa"/>
          </w:tcPr>
          <w:p w14:paraId="483FC15D" w14:textId="77777777" w:rsidR="009F6E91" w:rsidRPr="00D427D8" w:rsidRDefault="009F6E91" w:rsidP="005D27BB">
            <w:pPr>
              <w:spacing w:before="40" w:after="40"/>
              <w:rPr>
                <w:szCs w:val="19"/>
              </w:rPr>
            </w:pPr>
            <w:r w:rsidRPr="00D427D8">
              <w:rPr>
                <w:szCs w:val="19"/>
              </w:rPr>
              <w:t>Caa3</w:t>
            </w:r>
          </w:p>
        </w:tc>
      </w:tr>
      <w:tr w:rsidR="009F6E91" w:rsidRPr="00D427D8" w14:paraId="1B21425A" w14:textId="77777777" w:rsidTr="0050790B">
        <w:tc>
          <w:tcPr>
            <w:tcW w:w="2141" w:type="dxa"/>
          </w:tcPr>
          <w:p w14:paraId="3A07855D" w14:textId="77777777" w:rsidR="009F6E91" w:rsidRPr="00D427D8" w:rsidRDefault="009F6E91" w:rsidP="005D27BB">
            <w:pPr>
              <w:spacing w:before="40" w:after="40"/>
              <w:rPr>
                <w:szCs w:val="19"/>
              </w:rPr>
            </w:pPr>
            <w:r w:rsidRPr="00D427D8">
              <w:rPr>
                <w:szCs w:val="19"/>
              </w:rPr>
              <w:t>CC</w:t>
            </w:r>
          </w:p>
        </w:tc>
        <w:tc>
          <w:tcPr>
            <w:tcW w:w="2142" w:type="dxa"/>
          </w:tcPr>
          <w:p w14:paraId="4D941B39" w14:textId="77777777" w:rsidR="009F6E91" w:rsidRPr="00D427D8" w:rsidRDefault="009F6E91" w:rsidP="005D27BB">
            <w:pPr>
              <w:spacing w:before="40" w:after="40"/>
              <w:rPr>
                <w:szCs w:val="19"/>
              </w:rPr>
            </w:pPr>
            <w:r w:rsidRPr="00D427D8">
              <w:rPr>
                <w:szCs w:val="19"/>
              </w:rPr>
              <w:t>CCC</w:t>
            </w:r>
          </w:p>
        </w:tc>
        <w:tc>
          <w:tcPr>
            <w:tcW w:w="2142" w:type="dxa"/>
          </w:tcPr>
          <w:p w14:paraId="45E53CC3" w14:textId="77777777" w:rsidR="009F6E91" w:rsidRPr="00D427D8" w:rsidRDefault="009F6E91" w:rsidP="005D27BB">
            <w:pPr>
              <w:spacing w:before="40" w:after="40"/>
              <w:rPr>
                <w:szCs w:val="19"/>
              </w:rPr>
            </w:pPr>
            <w:r w:rsidRPr="00D427D8">
              <w:rPr>
                <w:szCs w:val="19"/>
              </w:rPr>
              <w:t>CCC</w:t>
            </w:r>
          </w:p>
        </w:tc>
        <w:tc>
          <w:tcPr>
            <w:tcW w:w="2142" w:type="dxa"/>
          </w:tcPr>
          <w:p w14:paraId="0658E3A1" w14:textId="77777777" w:rsidR="009F6E91" w:rsidRPr="00D427D8" w:rsidRDefault="009F6E91" w:rsidP="005D27BB">
            <w:pPr>
              <w:spacing w:before="40" w:after="40"/>
              <w:rPr>
                <w:szCs w:val="19"/>
              </w:rPr>
            </w:pPr>
            <w:r w:rsidRPr="00D427D8">
              <w:rPr>
                <w:szCs w:val="19"/>
              </w:rPr>
              <w:t>Ca</w:t>
            </w:r>
          </w:p>
        </w:tc>
      </w:tr>
      <w:tr w:rsidR="009F6E91" w:rsidRPr="00D427D8" w14:paraId="1330914E" w14:textId="77777777" w:rsidTr="0050790B">
        <w:tc>
          <w:tcPr>
            <w:tcW w:w="2141" w:type="dxa"/>
          </w:tcPr>
          <w:p w14:paraId="65FB2646" w14:textId="77777777" w:rsidR="009F6E91" w:rsidRPr="00D427D8" w:rsidRDefault="009F6E91" w:rsidP="005D27BB">
            <w:pPr>
              <w:spacing w:before="40" w:after="40"/>
              <w:rPr>
                <w:szCs w:val="19"/>
              </w:rPr>
            </w:pPr>
            <w:r w:rsidRPr="00D427D8">
              <w:rPr>
                <w:szCs w:val="19"/>
              </w:rPr>
              <w:t>D</w:t>
            </w:r>
          </w:p>
        </w:tc>
        <w:tc>
          <w:tcPr>
            <w:tcW w:w="2142" w:type="dxa"/>
          </w:tcPr>
          <w:p w14:paraId="6EF83261" w14:textId="77777777" w:rsidR="009F6E91" w:rsidRPr="00D427D8" w:rsidRDefault="009F6E91" w:rsidP="005D27BB">
            <w:pPr>
              <w:spacing w:before="40" w:after="40"/>
              <w:rPr>
                <w:szCs w:val="19"/>
              </w:rPr>
            </w:pPr>
            <w:r w:rsidRPr="00D427D8">
              <w:rPr>
                <w:szCs w:val="19"/>
              </w:rPr>
              <w:t>D</w:t>
            </w:r>
          </w:p>
        </w:tc>
        <w:tc>
          <w:tcPr>
            <w:tcW w:w="2142" w:type="dxa"/>
          </w:tcPr>
          <w:p w14:paraId="42B1A31B" w14:textId="77777777" w:rsidR="009F6E91" w:rsidRPr="00D427D8" w:rsidRDefault="009F6E91" w:rsidP="005D27BB">
            <w:pPr>
              <w:spacing w:before="40" w:after="40"/>
              <w:rPr>
                <w:szCs w:val="19"/>
              </w:rPr>
            </w:pPr>
            <w:r w:rsidRPr="00D427D8">
              <w:rPr>
                <w:szCs w:val="19"/>
              </w:rPr>
              <w:t>D</w:t>
            </w:r>
          </w:p>
        </w:tc>
        <w:tc>
          <w:tcPr>
            <w:tcW w:w="2142" w:type="dxa"/>
          </w:tcPr>
          <w:p w14:paraId="33CB23FE" w14:textId="77777777" w:rsidR="009F6E91" w:rsidRPr="00D427D8" w:rsidRDefault="009F6E91" w:rsidP="005D27BB">
            <w:pPr>
              <w:spacing w:before="40" w:after="40"/>
              <w:rPr>
                <w:szCs w:val="19"/>
              </w:rPr>
            </w:pPr>
            <w:r w:rsidRPr="00D427D8">
              <w:rPr>
                <w:szCs w:val="19"/>
              </w:rPr>
              <w:t>C</w:t>
            </w:r>
          </w:p>
        </w:tc>
      </w:tr>
    </w:tbl>
    <w:p w14:paraId="4943227F" w14:textId="77777777" w:rsidR="009F6E91" w:rsidRPr="00D427D8" w:rsidRDefault="009F6E91" w:rsidP="00C928E3">
      <w:pPr>
        <w:rPr>
          <w:rFonts w:cs="Arial"/>
          <w:szCs w:val="19"/>
        </w:rPr>
      </w:pPr>
    </w:p>
    <w:p w14:paraId="2F8F2EB7" w14:textId="3AD9435C" w:rsidR="009F6E91" w:rsidRPr="00D427D8" w:rsidRDefault="0050790B" w:rsidP="0050790B">
      <w:pPr>
        <w:pStyle w:val="Body2"/>
      </w:pPr>
      <w:bookmarkStart w:id="163" w:name="_Hlk197447640"/>
      <w:r w:rsidRPr="00D427D8">
        <w:t>"</w:t>
      </w:r>
      <w:r w:rsidRPr="00D427D8">
        <w:rPr>
          <w:rStyle w:val="BoldText"/>
        </w:rPr>
        <w:t>DBRS Equivalent Rating</w:t>
      </w:r>
      <w:r w:rsidRPr="00D427D8">
        <w:t>" means with respect to any issuer rating or senior unsecured debt rating (or other rating equivalent), (a) if public ratings by Fitch, Moody's and S&amp;P Global are all available, (i) the remaining rating (upon conversion on the basis of the DBRS Equivalent Chart) once the highest and the lowest rating have been excluded or (ii) in the case of two or more same ratings, any of such ratings (upon conversion on the basis of the DBRS Equivalent Chart); (b) if the DBRS Equivalent Rating cannot be determined under paragraph (a) above, but public ratings by any two of Fitch, Moody's and S&amp;P Global are available, the lower rating available (upon conversion on the basis of the DBRS Equivalent Chart); and (c) if the DBRS Equivalent Rating cannot be determined under paragraph (a) or paragraph (b) above, and therefore only a public rating by one of Fitch, Moody's and S&amp;P Global is available, such rating will be the DBRS Equivalent Rating (upon conversion on the basis of the DBRS Equivalent Chart).</w:t>
      </w:r>
    </w:p>
    <w:bookmarkEnd w:id="163"/>
    <w:p w14:paraId="22FFEE63" w14:textId="2DAF1C5F" w:rsidR="009F6E91" w:rsidRPr="00D427D8" w:rsidRDefault="0050790B" w:rsidP="0050790B">
      <w:pPr>
        <w:pStyle w:val="Body2"/>
      </w:pPr>
      <w:r w:rsidRPr="00D427D8">
        <w:t>"</w:t>
      </w:r>
      <w:r w:rsidRPr="00D427D8">
        <w:rPr>
          <w:rStyle w:val="BoldText"/>
        </w:rPr>
        <w:t>Default Amount</w:t>
      </w:r>
      <w:r w:rsidRPr="00D427D8">
        <w:t xml:space="preserve">" means the sum of the </w:t>
      </w:r>
      <w:r w:rsidR="00C36CDE" w:rsidRPr="00D427D8">
        <w:t xml:space="preserve">Net </w:t>
      </w:r>
      <w:r w:rsidRPr="00D427D8">
        <w:t>Present Values of the Defaulted Receivables and the ER Losses with respect to the relevant Monthly Period.</w:t>
      </w:r>
    </w:p>
    <w:p w14:paraId="4F68FF84" w14:textId="74B4C985" w:rsidR="009F6E91" w:rsidRPr="00D427D8" w:rsidRDefault="0050790B" w:rsidP="0050790B">
      <w:pPr>
        <w:pStyle w:val="DefHead"/>
        <w:rPr>
          <w:lang w:bidi="he-IL"/>
        </w:rPr>
      </w:pPr>
      <w:r w:rsidRPr="00D427D8">
        <w:rPr>
          <w:lang w:bidi="he-IL"/>
        </w:rPr>
        <w:t>"</w:t>
      </w:r>
      <w:r w:rsidRPr="00D427D8">
        <w:rPr>
          <w:rStyle w:val="BoldText"/>
        </w:rPr>
        <w:t>Defaulted Receivable</w:t>
      </w:r>
      <w:r w:rsidRPr="00D427D8">
        <w:rPr>
          <w:lang w:bidi="he-IL"/>
        </w:rPr>
        <w:t>" means any Purchased Lease Receivable</w:t>
      </w:r>
      <w:r w:rsidR="004C6B8C" w:rsidRPr="00D427D8">
        <w:rPr>
          <w:lang w:bidi="he-IL"/>
        </w:rPr>
        <w:t xml:space="preserve"> or Purchased Expectancy Right</w:t>
      </w:r>
      <w:r w:rsidRPr="00D427D8">
        <w:rPr>
          <w:lang w:bidi="he-IL"/>
        </w:rPr>
        <w:t xml:space="preserve"> in respect of which:</w:t>
      </w:r>
    </w:p>
    <w:p w14:paraId="0A1F4399" w14:textId="77777777" w:rsidR="009F6E91" w:rsidRPr="00D427D8" w:rsidRDefault="009F6E91" w:rsidP="0050790B">
      <w:pPr>
        <w:pStyle w:val="DefLevel1"/>
        <w:rPr>
          <w:lang w:bidi="he-IL"/>
        </w:rPr>
      </w:pPr>
      <w:r w:rsidRPr="00D427D8">
        <w:rPr>
          <w:lang w:bidi="he-IL"/>
        </w:rPr>
        <w:t>any amount due and payable under the relevant Lease Agreement has remained unpaid for 150 calendar days or more; or</w:t>
      </w:r>
    </w:p>
    <w:p w14:paraId="6C70F37C" w14:textId="3183F7AA" w:rsidR="009F6E91" w:rsidRPr="00D427D8" w:rsidRDefault="009F6E91" w:rsidP="0050790B">
      <w:pPr>
        <w:pStyle w:val="DefLevel1"/>
        <w:rPr>
          <w:lang w:bidi="he-IL"/>
        </w:rPr>
      </w:pPr>
      <w:r w:rsidRPr="00D427D8">
        <w:rPr>
          <w:lang w:bidi="he-IL"/>
        </w:rPr>
        <w:t>the Servicer, acting in accordance with the Credit and Collection Policy, has terminated the relevant Lease Agreement, written off or made provision against any definitive losses in respect of such Purchased Lease Receivable</w:t>
      </w:r>
      <w:r w:rsidR="004C6B8C" w:rsidRPr="00D427D8">
        <w:rPr>
          <w:lang w:bidi="he-IL"/>
        </w:rPr>
        <w:t xml:space="preserve"> or Purchased Expectancy Right</w:t>
      </w:r>
      <w:r w:rsidRPr="00D427D8">
        <w:rPr>
          <w:lang w:bidi="he-IL"/>
        </w:rPr>
        <w:t>,</w:t>
      </w:r>
    </w:p>
    <w:p w14:paraId="4439D103" w14:textId="44B59FA4" w:rsidR="009F6E91" w:rsidRPr="00D427D8" w:rsidRDefault="009F6E91" w:rsidP="0050790B">
      <w:pPr>
        <w:pStyle w:val="DefLevel1"/>
        <w:rPr>
          <w:lang w:bidi="he-IL"/>
        </w:rPr>
      </w:pPr>
      <w:r w:rsidRPr="00D427D8">
        <w:rPr>
          <w:lang w:bidi="he-IL"/>
        </w:rPr>
        <w:t xml:space="preserve">provided that once a Purchased Lease Receivable </w:t>
      </w:r>
      <w:r w:rsidR="004C6B8C" w:rsidRPr="00D427D8">
        <w:rPr>
          <w:lang w:bidi="he-IL"/>
        </w:rPr>
        <w:t xml:space="preserve">or Purchased Expectancy Right </w:t>
      </w:r>
      <w:r w:rsidRPr="00D427D8">
        <w:rPr>
          <w:lang w:bidi="he-IL"/>
        </w:rPr>
        <w:t>has become a Defaulted Receivable it cannot become again a Performing Receivable.</w:t>
      </w:r>
    </w:p>
    <w:p w14:paraId="79142864" w14:textId="2FEF6831" w:rsidR="009F6E91" w:rsidRPr="00D427D8" w:rsidRDefault="0050790B" w:rsidP="0050790B">
      <w:pPr>
        <w:pStyle w:val="Body2"/>
      </w:pPr>
      <w:r w:rsidRPr="00D427D8">
        <w:rPr>
          <w:bCs/>
        </w:rPr>
        <w:t>"</w:t>
      </w:r>
      <w:r w:rsidRPr="00D427D8">
        <w:rPr>
          <w:rStyle w:val="BoldText"/>
        </w:rPr>
        <w:t>Deposit Exposure Amount</w:t>
      </w:r>
      <w:r w:rsidRPr="00D427D8">
        <w:rPr>
          <w:bCs/>
        </w:rPr>
        <w:t>"</w:t>
      </w:r>
      <w:r w:rsidRPr="00D427D8">
        <w:rPr>
          <w:rStyle w:val="BoldText"/>
        </w:rPr>
        <w:t xml:space="preserve"> </w:t>
      </w:r>
      <w:r w:rsidRPr="00D427D8">
        <w:t>means, for any Distribution Date, an amount equal to the lower of (i) the outstanding Principal Balance of all leases owed by such Deposit Lessee and (ii) such Deposit Lessee's deposit amount.</w:t>
      </w:r>
    </w:p>
    <w:p w14:paraId="155E8F66" w14:textId="0D7EE944" w:rsidR="009F6E91" w:rsidRPr="00D427D8" w:rsidRDefault="0050790B" w:rsidP="0050790B">
      <w:pPr>
        <w:pStyle w:val="Body2"/>
      </w:pPr>
      <w:r w:rsidRPr="00D427D8">
        <w:rPr>
          <w:bCs/>
        </w:rPr>
        <w:t>"</w:t>
      </w:r>
      <w:r w:rsidRPr="00D427D8">
        <w:rPr>
          <w:rStyle w:val="BoldText"/>
        </w:rPr>
        <w:t>Deposit Lessee</w:t>
      </w:r>
      <w:r w:rsidRPr="00D427D8">
        <w:rPr>
          <w:bCs/>
        </w:rPr>
        <w:t>"</w:t>
      </w:r>
      <w:r w:rsidRPr="00D427D8">
        <w:rPr>
          <w:rStyle w:val="BoldText"/>
        </w:rPr>
        <w:t xml:space="preserve"> </w:t>
      </w:r>
      <w:r w:rsidRPr="00D427D8">
        <w:t>means each Lessee having amounts deposited on the relevant date on a bank account held with the Seller (</w:t>
      </w:r>
      <w:r w:rsidRPr="00D427D8">
        <w:rPr>
          <w:i/>
          <w:iCs/>
        </w:rPr>
        <w:t xml:space="preserve">Einlagen bei </w:t>
      </w:r>
      <w:r w:rsidRPr="00D427D8">
        <w:rPr>
          <w:i/>
        </w:rPr>
        <w:t>Stellantis Bank).</w:t>
      </w:r>
    </w:p>
    <w:p w14:paraId="67AFF453" w14:textId="11E5B028" w:rsidR="009F6E91" w:rsidRPr="00D427D8" w:rsidRDefault="0050790B" w:rsidP="0050790B">
      <w:pPr>
        <w:pStyle w:val="Body2"/>
      </w:pPr>
      <w:r w:rsidRPr="00D427D8">
        <w:rPr>
          <w:bCs/>
        </w:rPr>
        <w:lastRenderedPageBreak/>
        <w:t>"</w:t>
      </w:r>
      <w:r w:rsidRPr="00D427D8">
        <w:rPr>
          <w:rStyle w:val="BoldText"/>
        </w:rPr>
        <w:t>Deposit Reserve Amount</w:t>
      </w:r>
      <w:r w:rsidRPr="00D427D8">
        <w:rPr>
          <w:bCs/>
        </w:rPr>
        <w:t>"</w:t>
      </w:r>
      <w:r w:rsidRPr="00D427D8">
        <w:rPr>
          <w:rStyle w:val="BoldText"/>
        </w:rPr>
        <w:t xml:space="preserve"> </w:t>
      </w:r>
      <w:r w:rsidRPr="00D427D8">
        <w:t>means, for any Distribution Date, an amount equal to the Total Deposit Exposure Amount.</w:t>
      </w:r>
    </w:p>
    <w:p w14:paraId="643CFDCD" w14:textId="03FC30CC" w:rsidR="009F6E91" w:rsidRPr="00D427D8" w:rsidRDefault="0050790B" w:rsidP="0050790B">
      <w:pPr>
        <w:pStyle w:val="Body2"/>
      </w:pPr>
      <w:r w:rsidRPr="00D427D8">
        <w:t>"</w:t>
      </w:r>
      <w:r w:rsidRPr="00D427D8">
        <w:rPr>
          <w:rStyle w:val="BoldText"/>
        </w:rPr>
        <w:t>Deposit Reserve Condition</w:t>
      </w:r>
      <w:r w:rsidRPr="00D427D8">
        <w:t>" means that the Total Deposit Exposure Amount exceeds at any time 1% of the aggregate Principal Outstanding Notes Balance of all Classes of Notes on any Distribution Date.</w:t>
      </w:r>
    </w:p>
    <w:p w14:paraId="12E17FA9" w14:textId="2663A591" w:rsidR="009F6E91" w:rsidRPr="00D427D8" w:rsidRDefault="00EF7333" w:rsidP="009F6E91">
      <w:pPr>
        <w:pStyle w:val="Body2"/>
      </w:pPr>
      <w:r w:rsidRPr="00D427D8">
        <w:t>"</w:t>
      </w:r>
      <w:r w:rsidR="009F6E91" w:rsidRPr="00D427D8">
        <w:rPr>
          <w:b/>
        </w:rPr>
        <w:t>Determination Date</w:t>
      </w:r>
      <w:r w:rsidRPr="00D427D8">
        <w:t>"</w:t>
      </w:r>
      <w:r w:rsidR="009F6E91" w:rsidRPr="00D427D8">
        <w:rPr>
          <w:b/>
        </w:rPr>
        <w:t xml:space="preserve"> </w:t>
      </w:r>
      <w:r w:rsidR="009F6E91" w:rsidRPr="00D427D8">
        <w:t xml:space="preserve">means, with respect to a Monthly Period, the </w:t>
      </w:r>
      <w:r w:rsidR="00E54B23">
        <w:t>23</w:t>
      </w:r>
      <w:r w:rsidR="00E54B23" w:rsidRPr="00E54B23">
        <w:rPr>
          <w:vertAlign w:val="superscript"/>
        </w:rPr>
        <w:t>rd</w:t>
      </w:r>
      <w:r w:rsidR="00E54B23">
        <w:t xml:space="preserve"> </w:t>
      </w:r>
      <w:r w:rsidR="009F6E91" w:rsidRPr="00D427D8">
        <w:t>(</w:t>
      </w:r>
      <w:r w:rsidR="00E54B23">
        <w:t>twenty-third</w:t>
      </w:r>
      <w:r w:rsidR="009F6E91" w:rsidRPr="00D427D8">
        <w:t xml:space="preserve">) day of the next succeeding calendar month or, if such day is not a Business Day, the immediately succeeding Business Day, unless such Business Day falls in the immediately succeeding calendar month, in which event the Business Day immediately preceding such </w:t>
      </w:r>
      <w:r w:rsidR="00E54B23">
        <w:t>23</w:t>
      </w:r>
      <w:r w:rsidR="00E54B23" w:rsidRPr="00E54B23">
        <w:rPr>
          <w:vertAlign w:val="superscript"/>
        </w:rPr>
        <w:t>rd</w:t>
      </w:r>
      <w:r w:rsidR="00E54B23">
        <w:t xml:space="preserve"> </w:t>
      </w:r>
      <w:r w:rsidR="00E54B23" w:rsidRPr="00D427D8">
        <w:t>(</w:t>
      </w:r>
      <w:r w:rsidR="00E54B23">
        <w:t>twenty-third</w:t>
      </w:r>
      <w:r w:rsidR="00E54B23" w:rsidRPr="00D427D8">
        <w:t xml:space="preserve">) </w:t>
      </w:r>
      <w:r w:rsidR="009F6E91" w:rsidRPr="00D427D8">
        <w:t xml:space="preserve">day is the relevant Business Day, with the first Determination Date being </w:t>
      </w:r>
      <w:r w:rsidR="00E54B23">
        <w:t>23 July 2025</w:t>
      </w:r>
      <w:r w:rsidR="009F6E91" w:rsidRPr="00D427D8">
        <w:t>.</w:t>
      </w:r>
    </w:p>
    <w:p w14:paraId="6FEB363B" w14:textId="72AA38B2" w:rsidR="009F6E91" w:rsidRPr="00D427D8" w:rsidRDefault="0050790B" w:rsidP="0050790B">
      <w:pPr>
        <w:pStyle w:val="Body2"/>
      </w:pPr>
      <w:r w:rsidRPr="00D427D8">
        <w:rPr>
          <w:lang w:bidi="he-IL"/>
        </w:rPr>
        <w:t>"</w:t>
      </w:r>
      <w:r w:rsidRPr="00D427D8">
        <w:rPr>
          <w:rStyle w:val="BoldText"/>
        </w:rPr>
        <w:t>Discounted Expectancy Right Balance</w:t>
      </w:r>
      <w:r w:rsidRPr="00D427D8">
        <w:rPr>
          <w:lang w:bidi="he-IL"/>
        </w:rPr>
        <w:t xml:space="preserve">" </w:t>
      </w:r>
      <w:r w:rsidRPr="00D427D8">
        <w:rPr>
          <w:lang w:val="en-US" w:bidi="he-IL"/>
        </w:rPr>
        <w:t xml:space="preserve">means, as of the relevant Determination Date and in respect of a single Leased Vehicle, respectively, the </w:t>
      </w:r>
      <w:r w:rsidRPr="00D427D8">
        <w:rPr>
          <w:lang w:bidi="he-IL"/>
        </w:rPr>
        <w:t xml:space="preserve">Net Present Value </w:t>
      </w:r>
      <w:r w:rsidRPr="00D427D8">
        <w:rPr>
          <w:lang w:val="en-US" w:bidi="he-IL"/>
        </w:rPr>
        <w:t>of the Expectancy</w:t>
      </w:r>
      <w:r w:rsidR="00297A82" w:rsidRPr="00D427D8">
        <w:rPr>
          <w:lang w:val="en-US" w:bidi="he-IL"/>
        </w:rPr>
        <w:t xml:space="preserve"> Right</w:t>
      </w:r>
      <w:r w:rsidRPr="00D427D8">
        <w:rPr>
          <w:lang w:val="en-US" w:bidi="he-IL"/>
        </w:rPr>
        <w:t>, applying the related Discount Rate</w:t>
      </w:r>
      <w:r w:rsidRPr="00D427D8">
        <w:t>.</w:t>
      </w:r>
    </w:p>
    <w:p w14:paraId="2D8C6C59" w14:textId="7EF79D6D" w:rsidR="009F6E91" w:rsidRPr="00D427D8" w:rsidRDefault="0050790B" w:rsidP="0050790B">
      <w:pPr>
        <w:pStyle w:val="Body2"/>
      </w:pPr>
      <w:r w:rsidRPr="00D427D8">
        <w:rPr>
          <w:lang w:bidi="he-IL"/>
        </w:rPr>
        <w:t>"</w:t>
      </w:r>
      <w:bookmarkStart w:id="164" w:name="_Hlk83441159"/>
      <w:r w:rsidRPr="00D427D8">
        <w:rPr>
          <w:rStyle w:val="BoldText"/>
        </w:rPr>
        <w:t>Discounted Receivables Balance</w:t>
      </w:r>
      <w:bookmarkEnd w:id="164"/>
      <w:r w:rsidRPr="00D427D8">
        <w:rPr>
          <w:lang w:bidi="he-IL"/>
        </w:rPr>
        <w:t xml:space="preserve">" </w:t>
      </w:r>
      <w:r w:rsidRPr="00D427D8">
        <w:rPr>
          <w:lang w:val="en-US" w:bidi="he-IL"/>
        </w:rPr>
        <w:t xml:space="preserve">means, as of the relevant Determination Date and in respect of a single Lease Agreement, the </w:t>
      </w:r>
      <w:r w:rsidRPr="00D427D8">
        <w:rPr>
          <w:lang w:bidi="he-IL"/>
        </w:rPr>
        <w:t xml:space="preserve">Net Present Value </w:t>
      </w:r>
      <w:r w:rsidRPr="00D427D8">
        <w:rPr>
          <w:lang w:val="en-US" w:bidi="he-IL"/>
        </w:rPr>
        <w:t>of the Lease Receivable, applying the related Discount Rate</w:t>
      </w:r>
      <w:r w:rsidRPr="00D427D8">
        <w:t>.</w:t>
      </w:r>
    </w:p>
    <w:p w14:paraId="7F254FFF" w14:textId="0D505591" w:rsidR="009F6E91" w:rsidRPr="00D427D8" w:rsidRDefault="00EF7333" w:rsidP="009F6E91">
      <w:pPr>
        <w:pStyle w:val="Body2"/>
      </w:pPr>
      <w:r w:rsidRPr="00D427D8">
        <w:t>"</w:t>
      </w:r>
      <w:r w:rsidR="009F6E91" w:rsidRPr="00D427D8">
        <w:rPr>
          <w:b/>
          <w:bCs/>
        </w:rPr>
        <w:t>Discount Rate</w:t>
      </w:r>
      <w:r w:rsidRPr="00D427D8">
        <w:t>"</w:t>
      </w:r>
      <w:r w:rsidR="009F6E91" w:rsidRPr="00D427D8">
        <w:t xml:space="preserve"> means the </w:t>
      </w:r>
      <w:r w:rsidR="009F6E91" w:rsidRPr="00D427D8">
        <w:rPr>
          <w:lang w:val="en-US"/>
        </w:rPr>
        <w:t xml:space="preserve">relevant </w:t>
      </w:r>
      <w:bookmarkStart w:id="165" w:name="_Hlk83439144"/>
      <w:r w:rsidR="009F6E91" w:rsidRPr="00D427D8">
        <w:rPr>
          <w:lang w:val="en-US"/>
        </w:rPr>
        <w:t xml:space="preserve">internal rate of return as applied by the Seller </w:t>
      </w:r>
      <w:bookmarkEnd w:id="165"/>
      <w:r w:rsidR="009F6E91" w:rsidRPr="00D427D8">
        <w:rPr>
          <w:lang w:val="en-US"/>
        </w:rPr>
        <w:t>for a Lease Agreement or an Expectancy Right, as the case may be</w:t>
      </w:r>
      <w:r w:rsidR="009F6E91" w:rsidRPr="00D427D8">
        <w:t>.</w:t>
      </w:r>
    </w:p>
    <w:p w14:paraId="557AD648" w14:textId="774C630C" w:rsidR="009F6E91" w:rsidRPr="00D427D8" w:rsidRDefault="00EF7333" w:rsidP="0050790B">
      <w:pPr>
        <w:pStyle w:val="DefHead"/>
      </w:pPr>
      <w:r w:rsidRPr="00D427D8">
        <w:t>"</w:t>
      </w:r>
      <w:r w:rsidR="009F6E91" w:rsidRPr="00D427D8">
        <w:rPr>
          <w:b/>
          <w:bCs/>
        </w:rPr>
        <w:t>Disenfranchised Matter</w:t>
      </w:r>
      <w:r w:rsidRPr="00D427D8">
        <w:t>"</w:t>
      </w:r>
      <w:r w:rsidR="009F6E91" w:rsidRPr="00D427D8">
        <w:t xml:space="preserve"> means any of the following matters:</w:t>
      </w:r>
    </w:p>
    <w:p w14:paraId="647B70AE" w14:textId="4272280F" w:rsidR="009F6E91" w:rsidRPr="00D427D8" w:rsidRDefault="009F6E91" w:rsidP="0050790B">
      <w:pPr>
        <w:pStyle w:val="DefLevel1"/>
      </w:pPr>
      <w:r w:rsidRPr="00D427D8">
        <w:t>the termination of Stellantis Bank as Servicer following the occurrence of a Servicer Default;</w:t>
      </w:r>
    </w:p>
    <w:p w14:paraId="6E9EABF5" w14:textId="3077AE41" w:rsidR="009F6E91" w:rsidRPr="00D427D8" w:rsidRDefault="009F6E91" w:rsidP="0050790B">
      <w:pPr>
        <w:pStyle w:val="DefLevel1"/>
      </w:pPr>
      <w:r w:rsidRPr="00D427D8">
        <w:t>the delivery of a Note Acceleration Notice in accordance with clause 14.3(a)(ii) of the Collateral Agency Agreement;</w:t>
      </w:r>
    </w:p>
    <w:p w14:paraId="5837D3A8" w14:textId="7A64AF2E" w:rsidR="009F6E91" w:rsidRPr="00D427D8" w:rsidRDefault="009F6E91" w:rsidP="0050790B">
      <w:pPr>
        <w:pStyle w:val="DefLevel1"/>
      </w:pPr>
      <w:r w:rsidRPr="00D427D8">
        <w:t>the direction of the disposal of all (but not part) of the Receivables and the taking of any enforcement action after the delivery of Note Acceleration Notice; and</w:t>
      </w:r>
    </w:p>
    <w:p w14:paraId="70BFC565" w14:textId="1D6370E9" w:rsidR="009F6E91" w:rsidRPr="00D427D8" w:rsidRDefault="009F6E91" w:rsidP="0050790B">
      <w:pPr>
        <w:pStyle w:val="DefLevel1"/>
      </w:pPr>
      <w:r w:rsidRPr="00D427D8">
        <w:t>the enforcement of any of the Issuer</w:t>
      </w:r>
      <w:r w:rsidR="00EF7333" w:rsidRPr="00D427D8">
        <w:t>'</w:t>
      </w:r>
      <w:r w:rsidRPr="00D427D8">
        <w:t>s claims for breach under the Transaction Documents against Stellantis Bank as Seller and/or Servicer under the Securitisation.</w:t>
      </w:r>
    </w:p>
    <w:p w14:paraId="0804AD14" w14:textId="438C00F6" w:rsidR="009F6E91" w:rsidRPr="00D427D8" w:rsidRDefault="00EF7333" w:rsidP="009F6E91">
      <w:pPr>
        <w:pStyle w:val="Body2"/>
      </w:pPr>
      <w:r w:rsidRPr="00D427D8">
        <w:t>"</w:t>
      </w:r>
      <w:r w:rsidR="009F6E91" w:rsidRPr="00D427D8">
        <w:rPr>
          <w:b/>
          <w:bCs/>
        </w:rPr>
        <w:t>Disenfranchised Noteholders</w:t>
      </w:r>
      <w:r w:rsidRPr="00D427D8">
        <w:t>"</w:t>
      </w:r>
      <w:r w:rsidR="009F6E91" w:rsidRPr="00D427D8">
        <w:t xml:space="preserve"> means, with respect to a Class of Notes, Stellantis Bank or any of its Affiliates (other than any asset management entity belonging to the BNP Paribas Group) when acting in a principal capacity, unless it is (or more than one of them together in aggregate are) the holders of 100 per cent. of the Notes of such Class.</w:t>
      </w:r>
    </w:p>
    <w:p w14:paraId="367095A2" w14:textId="478840DA" w:rsidR="009F6E91" w:rsidRPr="00D427D8" w:rsidDel="002E7AFD" w:rsidRDefault="00EF7333" w:rsidP="009F6E91">
      <w:pPr>
        <w:pStyle w:val="Body2"/>
      </w:pPr>
      <w:r w:rsidRPr="00D427D8">
        <w:t>"</w:t>
      </w:r>
      <w:r w:rsidR="009F6E91" w:rsidRPr="00D427D8" w:rsidDel="002E7AFD">
        <w:rPr>
          <w:b/>
        </w:rPr>
        <w:t>Distribution Account</w:t>
      </w:r>
      <w:r w:rsidRPr="00D427D8">
        <w:t>"</w:t>
      </w:r>
      <w:r w:rsidR="009F6E91" w:rsidRPr="00D427D8" w:rsidDel="002E7AFD">
        <w:rPr>
          <w:b/>
        </w:rPr>
        <w:t xml:space="preserve"> </w:t>
      </w:r>
      <w:r w:rsidR="009F6E91" w:rsidRPr="00D427D8" w:rsidDel="002E7AFD">
        <w:t xml:space="preserve">means the interest bearing account </w:t>
      </w:r>
      <w:r w:rsidR="009F6E91" w:rsidRPr="00D427D8">
        <w:t>as defined in the schedule to the Account Bank Agreement.</w:t>
      </w:r>
    </w:p>
    <w:p w14:paraId="182938A1" w14:textId="64159FE8" w:rsidR="009F6E91" w:rsidRPr="00D427D8" w:rsidRDefault="00EF7333" w:rsidP="009F6E91">
      <w:pPr>
        <w:pStyle w:val="Body2"/>
      </w:pPr>
      <w:bookmarkStart w:id="166" w:name="_Hlk197448623"/>
      <w:r w:rsidRPr="00D427D8">
        <w:t>"</w:t>
      </w:r>
      <w:r w:rsidR="009F6E91" w:rsidRPr="00D427D8">
        <w:rPr>
          <w:b/>
        </w:rPr>
        <w:t>Distribution Date</w:t>
      </w:r>
      <w:r w:rsidRPr="00D427D8">
        <w:t>"</w:t>
      </w:r>
      <w:r w:rsidR="009F6E91" w:rsidRPr="00D427D8">
        <w:t xml:space="preserve"> means the </w:t>
      </w:r>
      <w:r w:rsidR="00E54B23">
        <w:t>25</w:t>
      </w:r>
      <w:r w:rsidR="00E54B23" w:rsidRPr="00E54B23">
        <w:rPr>
          <w:vertAlign w:val="superscript"/>
        </w:rPr>
        <w:t>th</w:t>
      </w:r>
      <w:r w:rsidR="00E54B23">
        <w:t xml:space="preserve"> </w:t>
      </w:r>
      <w:r w:rsidR="009F6E91" w:rsidRPr="00D427D8">
        <w:t>(</w:t>
      </w:r>
      <w:r w:rsidR="00E54B23">
        <w:t>twenty-fifth</w:t>
      </w:r>
      <w:r w:rsidR="009F6E91" w:rsidRPr="00D427D8">
        <w:t xml:space="preserve">) day of each calendar month or, if such day is not a Business Day, the immediately succeeding Business Day, unless such Business Day falls in the immediately succeeding calendar month, in which event the Business Day immediately preceding such </w:t>
      </w:r>
      <w:r w:rsidR="00E54B23">
        <w:t>25</w:t>
      </w:r>
      <w:r w:rsidR="00E54B23" w:rsidRPr="00E54B23">
        <w:rPr>
          <w:vertAlign w:val="superscript"/>
        </w:rPr>
        <w:t>th</w:t>
      </w:r>
      <w:r w:rsidR="00E54B23">
        <w:t xml:space="preserve"> </w:t>
      </w:r>
      <w:r w:rsidR="00E54B23" w:rsidRPr="00D427D8">
        <w:t>(</w:t>
      </w:r>
      <w:r w:rsidR="00E54B23">
        <w:t>twenty-fifth</w:t>
      </w:r>
      <w:r w:rsidR="00E54B23" w:rsidRPr="00D427D8">
        <w:t xml:space="preserve">) </w:t>
      </w:r>
      <w:r w:rsidR="009F6E91" w:rsidRPr="00D427D8">
        <w:t xml:space="preserve">day is the relevant Business Day, with the first Distribution Date being </w:t>
      </w:r>
      <w:r w:rsidR="00E54B23">
        <w:t>25 July 2025</w:t>
      </w:r>
      <w:r w:rsidR="009F6E91" w:rsidRPr="00D427D8">
        <w:t>.</w:t>
      </w:r>
    </w:p>
    <w:bookmarkEnd w:id="166"/>
    <w:p w14:paraId="006E24A0" w14:textId="07BA2C7A" w:rsidR="009F6E91" w:rsidRPr="00D427D8" w:rsidRDefault="00EF7333" w:rsidP="009F6E91">
      <w:pPr>
        <w:pStyle w:val="Body2"/>
      </w:pPr>
      <w:r w:rsidRPr="00D427D8">
        <w:t>"</w:t>
      </w:r>
      <w:r w:rsidR="009F6E91" w:rsidRPr="00D427D8">
        <w:rPr>
          <w:b/>
          <w:bCs/>
        </w:rPr>
        <w:t>EBA</w:t>
      </w:r>
      <w:r w:rsidRPr="00D427D8">
        <w:t>"</w:t>
      </w:r>
      <w:r w:rsidR="009F6E91" w:rsidRPr="00D427D8">
        <w:t xml:space="preserve"> means the European Banking Authority.</w:t>
      </w:r>
    </w:p>
    <w:p w14:paraId="1C7FC114" w14:textId="1DB3BD79" w:rsidR="009F6E91" w:rsidRPr="00D427D8" w:rsidRDefault="00EF7333" w:rsidP="009F6E91">
      <w:pPr>
        <w:pStyle w:val="Body2"/>
      </w:pPr>
      <w:r w:rsidRPr="00D427D8">
        <w:t>"</w:t>
      </w:r>
      <w:r w:rsidR="009F6E91" w:rsidRPr="00D427D8">
        <w:rPr>
          <w:b/>
          <w:bCs/>
        </w:rPr>
        <w:t>EBA STS Guidelines Non-ABCP Securitisations</w:t>
      </w:r>
      <w:r w:rsidRPr="00D427D8">
        <w:t>"</w:t>
      </w:r>
      <w:r w:rsidR="009F6E91" w:rsidRPr="00D427D8">
        <w:t xml:space="preserve"> means EBA</w:t>
      </w:r>
      <w:r w:rsidRPr="00D427D8">
        <w:t>'</w:t>
      </w:r>
      <w:r w:rsidR="009F6E91" w:rsidRPr="00D427D8">
        <w:t>s Final Report Guidelines on the STS criteria for non-ABCP securitisation (EBA/GL/2018/09) of 12 December 2018, as amended.</w:t>
      </w:r>
    </w:p>
    <w:p w14:paraId="6C1EE385" w14:textId="2BFF30C9" w:rsidR="009F6E91" w:rsidRPr="00D427D8" w:rsidRDefault="00EF7333" w:rsidP="009F6E91">
      <w:pPr>
        <w:pStyle w:val="Body2"/>
      </w:pPr>
      <w:r w:rsidRPr="00D427D8">
        <w:t>"</w:t>
      </w:r>
      <w:r w:rsidR="009F6E91" w:rsidRPr="00D427D8">
        <w:rPr>
          <w:b/>
          <w:bCs/>
        </w:rPr>
        <w:t>ECB</w:t>
      </w:r>
      <w:r w:rsidRPr="00D427D8">
        <w:t>"</w:t>
      </w:r>
      <w:r w:rsidR="009F6E91" w:rsidRPr="00D427D8">
        <w:t xml:space="preserve"> means the European Central Bank.</w:t>
      </w:r>
    </w:p>
    <w:p w14:paraId="780B670D" w14:textId="458B35DE" w:rsidR="009F6E91" w:rsidRPr="00D427D8" w:rsidRDefault="00EF7333" w:rsidP="009F6E91">
      <w:pPr>
        <w:pStyle w:val="Body2"/>
      </w:pPr>
      <w:r w:rsidRPr="00D427D8">
        <w:t>"</w:t>
      </w:r>
      <w:r w:rsidR="009F6E91" w:rsidRPr="00D427D8">
        <w:rPr>
          <w:b/>
        </w:rPr>
        <w:t>EDW</w:t>
      </w:r>
      <w:r w:rsidRPr="00D427D8">
        <w:t>"</w:t>
      </w:r>
      <w:r w:rsidR="009F6E91" w:rsidRPr="00D427D8">
        <w:t xml:space="preserve"> means European DataWarehouse </w:t>
      </w:r>
      <w:r w:rsidR="009F6E91" w:rsidRPr="00D427D8">
        <w:rPr>
          <w:bCs/>
          <w:color w:val="000000" w:themeColor="text1"/>
        </w:rPr>
        <w:t>GmbH</w:t>
      </w:r>
      <w:r w:rsidR="009F6E91" w:rsidRPr="00D427D8">
        <w:t>.</w:t>
      </w:r>
    </w:p>
    <w:p w14:paraId="687D5E5F" w14:textId="118B85E7" w:rsidR="009F6E91" w:rsidRPr="00D427D8" w:rsidRDefault="0050790B" w:rsidP="0050790B">
      <w:pPr>
        <w:pStyle w:val="Body2"/>
        <w:rPr>
          <w:lang w:bidi="he-IL"/>
        </w:rPr>
      </w:pPr>
      <w:r w:rsidRPr="00D427D8">
        <w:rPr>
          <w:lang w:bidi="he-IL"/>
        </w:rPr>
        <w:t>"</w:t>
      </w:r>
      <w:r w:rsidRPr="00D427D8">
        <w:rPr>
          <w:rStyle w:val="BoldText"/>
        </w:rPr>
        <w:t>Eligibility Criteria</w:t>
      </w:r>
      <w:r w:rsidRPr="00D427D8">
        <w:rPr>
          <w:lang w:bidi="he-IL"/>
        </w:rPr>
        <w:t>" means the Contracts Eligibility Criteria and the Receivables Eligibility Criteria.</w:t>
      </w:r>
    </w:p>
    <w:p w14:paraId="2C9A5E12" w14:textId="2529DF83" w:rsidR="009F6E91" w:rsidRPr="00D427D8" w:rsidRDefault="00EF7333" w:rsidP="0050790B">
      <w:pPr>
        <w:pStyle w:val="DefHead"/>
      </w:pPr>
      <w:r w:rsidRPr="00D427D8">
        <w:t>"</w:t>
      </w:r>
      <w:r w:rsidR="009F6E91" w:rsidRPr="00D427D8">
        <w:rPr>
          <w:rStyle w:val="BoldText"/>
        </w:rPr>
        <w:t>Eligible Institution</w:t>
      </w:r>
      <w:r w:rsidRPr="00D427D8">
        <w:t>"</w:t>
      </w:r>
      <w:r w:rsidR="009F6E91" w:rsidRPr="00D427D8">
        <w:t xml:space="preserve"> means</w:t>
      </w:r>
    </w:p>
    <w:p w14:paraId="3917A02C" w14:textId="61156546" w:rsidR="009F6E91" w:rsidRPr="00D427D8" w:rsidRDefault="009F6E91" w:rsidP="0050790B">
      <w:pPr>
        <w:pStyle w:val="DefLevel1"/>
      </w:pPr>
      <w:r w:rsidRPr="00D427D8">
        <w:lastRenderedPageBreak/>
        <w:t xml:space="preserve">in respect of the Account Bank, a financial institution that is permitted to accept deposits and </w:t>
      </w:r>
      <w:bookmarkStart w:id="167" w:name="_Hlk196818111"/>
      <w:r w:rsidRPr="00D427D8">
        <w:t>whose unsecured, unsubordinated and unguaranteed debt obligations are rated:</w:t>
      </w:r>
      <w:bookmarkEnd w:id="167"/>
    </w:p>
    <w:p w14:paraId="5A688456" w14:textId="3AA60DBA" w:rsidR="009F6E91" w:rsidRPr="00D427D8" w:rsidRDefault="009F6E91" w:rsidP="0050790B">
      <w:pPr>
        <w:pStyle w:val="DefLevel2"/>
        <w:rPr>
          <w:lang w:val="en-US"/>
        </w:rPr>
      </w:pPr>
      <w:bookmarkStart w:id="168" w:name="_Hlk196818136"/>
      <w:r w:rsidRPr="00D427D8">
        <w:t xml:space="preserve">having </w:t>
      </w:r>
      <w:r w:rsidRPr="00D427D8">
        <w:rPr>
          <w:lang w:val="en-US"/>
        </w:rPr>
        <w:t xml:space="preserve">a short-term deposit rating of at least </w:t>
      </w:r>
      <w:r w:rsidR="00EF7333" w:rsidRPr="00D427D8">
        <w:rPr>
          <w:lang w:val="en-US"/>
        </w:rPr>
        <w:t>"</w:t>
      </w:r>
      <w:r w:rsidRPr="00D427D8">
        <w:rPr>
          <w:lang w:val="en-US"/>
        </w:rPr>
        <w:t>P-1</w:t>
      </w:r>
      <w:r w:rsidR="00EF7333" w:rsidRPr="00D427D8">
        <w:rPr>
          <w:lang w:val="en-US"/>
        </w:rPr>
        <w:t>"</w:t>
      </w:r>
      <w:r w:rsidRPr="00D427D8">
        <w:rPr>
          <w:lang w:val="en-US"/>
        </w:rPr>
        <w:t xml:space="preserve"> (or its replacement) by Moody</w:t>
      </w:r>
      <w:r w:rsidR="00EF7333" w:rsidRPr="00D427D8">
        <w:rPr>
          <w:lang w:val="en-US"/>
        </w:rPr>
        <w:t>'</w:t>
      </w:r>
      <w:r w:rsidRPr="00D427D8">
        <w:rPr>
          <w:lang w:val="en-US"/>
        </w:rPr>
        <w:t>s (or, if it does not have a short-term deposit rating assigned by Moody</w:t>
      </w:r>
      <w:r w:rsidR="00EF7333" w:rsidRPr="00D427D8">
        <w:rPr>
          <w:lang w:val="en-US"/>
        </w:rPr>
        <w:t>'</w:t>
      </w:r>
      <w:r w:rsidRPr="00D427D8">
        <w:rPr>
          <w:lang w:val="en-US"/>
        </w:rPr>
        <w:t xml:space="preserve">s, the short-term unsecured, unsubordinated and unguaranteed debt obligations of the Account Bank are assigned a rating of at least </w:t>
      </w:r>
      <w:r w:rsidR="00EF7333" w:rsidRPr="00D427D8">
        <w:rPr>
          <w:lang w:val="en-US"/>
        </w:rPr>
        <w:t>"</w:t>
      </w:r>
      <w:r w:rsidRPr="00D427D8">
        <w:rPr>
          <w:lang w:val="en-US"/>
        </w:rPr>
        <w:t>P-1</w:t>
      </w:r>
      <w:r w:rsidR="00EF7333" w:rsidRPr="00D427D8">
        <w:rPr>
          <w:lang w:val="en-US"/>
        </w:rPr>
        <w:t>"</w:t>
      </w:r>
      <w:r w:rsidRPr="00D427D8">
        <w:rPr>
          <w:lang w:val="en-US"/>
        </w:rPr>
        <w:t xml:space="preserve"> (or its replacement) by Moody</w:t>
      </w:r>
      <w:r w:rsidR="00EF7333" w:rsidRPr="00D427D8">
        <w:rPr>
          <w:lang w:val="en-US"/>
        </w:rPr>
        <w:t>'</w:t>
      </w:r>
      <w:r w:rsidRPr="00D427D8">
        <w:rPr>
          <w:lang w:val="en-US"/>
        </w:rPr>
        <w:t>s);</w:t>
      </w:r>
    </w:p>
    <w:p w14:paraId="76A9B49A" w14:textId="356C8696" w:rsidR="009F6E91" w:rsidRPr="00D427D8" w:rsidRDefault="009F6E91" w:rsidP="0050790B">
      <w:pPr>
        <w:pStyle w:val="DefLevel2"/>
        <w:rPr>
          <w:lang w:val="en-US"/>
        </w:rPr>
      </w:pPr>
      <w:r w:rsidRPr="00D427D8">
        <w:rPr>
          <w:lang w:val="en-US"/>
        </w:rPr>
        <w:t>having either:</w:t>
      </w:r>
    </w:p>
    <w:p w14:paraId="67825E38" w14:textId="34828F70" w:rsidR="009F6E91" w:rsidRPr="00D427D8" w:rsidRDefault="0050790B" w:rsidP="0050790B">
      <w:pPr>
        <w:pStyle w:val="Body4"/>
        <w:ind w:left="2880" w:hanging="754"/>
        <w:rPr>
          <w:lang w:val="en-US"/>
        </w:rPr>
      </w:pPr>
      <w:r w:rsidRPr="00D427D8">
        <w:rPr>
          <w:lang w:val="en-US"/>
        </w:rPr>
        <w:t>a.</w:t>
      </w:r>
      <w:r w:rsidRPr="00D427D8">
        <w:rPr>
          <w:lang w:val="en-US"/>
        </w:rPr>
        <w:tab/>
        <w:t>a COR of at least "A (high)" from DBRS; or</w:t>
      </w:r>
    </w:p>
    <w:p w14:paraId="0F65884D" w14:textId="2814B91E" w:rsidR="009F6E91" w:rsidRPr="00D427D8" w:rsidRDefault="0050790B" w:rsidP="0050790B">
      <w:pPr>
        <w:pStyle w:val="Body4"/>
        <w:ind w:left="2880" w:hanging="754"/>
        <w:rPr>
          <w:lang w:val="en-US"/>
        </w:rPr>
      </w:pPr>
      <w:r w:rsidRPr="00D427D8">
        <w:rPr>
          <w:lang w:val="en-US"/>
        </w:rPr>
        <w:t>b.</w:t>
      </w:r>
      <w:r w:rsidRPr="00D427D8">
        <w:rPr>
          <w:lang w:val="en-US"/>
        </w:rPr>
        <w:tab/>
        <w:t>a public or private long-term senior debt rating of at least "A" from DBRS; or</w:t>
      </w:r>
    </w:p>
    <w:p w14:paraId="452AB269" w14:textId="61471CEF" w:rsidR="009F6E91" w:rsidRPr="00D427D8" w:rsidRDefault="0050790B" w:rsidP="0050790B">
      <w:pPr>
        <w:pStyle w:val="Body4"/>
        <w:ind w:left="2880" w:hanging="754"/>
        <w:rPr>
          <w:lang w:val="en-US"/>
        </w:rPr>
      </w:pPr>
      <w:r w:rsidRPr="00D427D8">
        <w:rPr>
          <w:lang w:val="en-US"/>
        </w:rPr>
        <w:t>c.</w:t>
      </w:r>
      <w:r w:rsidRPr="00D427D8">
        <w:rPr>
          <w:lang w:val="en-US"/>
        </w:rPr>
        <w:tab/>
        <w:t>a DBRS Equivalent Rating of at least "A";</w:t>
      </w:r>
    </w:p>
    <w:p w14:paraId="120B4814" w14:textId="31E0305E" w:rsidR="009F6E91" w:rsidRPr="00D427D8" w:rsidRDefault="009F6E91" w:rsidP="0050790B">
      <w:pPr>
        <w:pStyle w:val="DefLevel2"/>
      </w:pPr>
      <w:r w:rsidRPr="00D427D8">
        <w:t>or having such other rating or ratings as may be agreed by the relevant Rating Agency from time to time to maintain the then current ratings of the Notes;</w:t>
      </w:r>
    </w:p>
    <w:p w14:paraId="55D8EA40" w14:textId="0CDB0CB1" w:rsidR="009F6E91" w:rsidRPr="00D427D8" w:rsidRDefault="009F6E91" w:rsidP="0050790B">
      <w:pPr>
        <w:pStyle w:val="DefLevel1"/>
      </w:pPr>
      <w:bookmarkStart w:id="169" w:name="_Hlk198895266"/>
      <w:bookmarkEnd w:id="168"/>
      <w:r w:rsidRPr="00D427D8">
        <w:t>in respect of the Counterparty:</w:t>
      </w:r>
    </w:p>
    <w:p w14:paraId="7D9F81EC" w14:textId="5D090449" w:rsidR="009F6E91" w:rsidRPr="00D427D8" w:rsidRDefault="009F6E91" w:rsidP="0050790B">
      <w:pPr>
        <w:pStyle w:val="DefLevel2"/>
      </w:pPr>
      <w:r w:rsidRPr="00D427D8">
        <w:t>having assigned to it by Moody</w:t>
      </w:r>
      <w:r w:rsidR="00EF7333" w:rsidRPr="00D427D8">
        <w:t>'</w:t>
      </w:r>
      <w:r w:rsidRPr="00D427D8">
        <w:t>s:</w:t>
      </w:r>
    </w:p>
    <w:p w14:paraId="6B48316B" w14:textId="4E91C5C9" w:rsidR="009F6E91" w:rsidRPr="00D427D8" w:rsidRDefault="009F6E91" w:rsidP="0050790B">
      <w:pPr>
        <w:pStyle w:val="DefLevel3"/>
      </w:pPr>
      <w:r w:rsidRPr="00D427D8">
        <w:t xml:space="preserve">a counterparty risk assessment of </w:t>
      </w:r>
      <w:r w:rsidR="00EF7333" w:rsidRPr="00D427D8">
        <w:t>"</w:t>
      </w:r>
      <w:r w:rsidR="00584483">
        <w:t>Baa1</w:t>
      </w:r>
      <w:r w:rsidR="00EF7333" w:rsidRPr="00D427D8">
        <w:t>"</w:t>
      </w:r>
      <w:r w:rsidRPr="00D427D8">
        <w:t xml:space="preserve"> or above by Moody</w:t>
      </w:r>
      <w:r w:rsidR="00EF7333" w:rsidRPr="00D427D8">
        <w:t>'</w:t>
      </w:r>
      <w:r w:rsidRPr="00D427D8">
        <w:t>s or</w:t>
      </w:r>
    </w:p>
    <w:p w14:paraId="4B9CCB49" w14:textId="246D4F5F" w:rsidR="009F6E91" w:rsidRPr="00D427D8" w:rsidRDefault="009F6E91" w:rsidP="0050790B">
      <w:pPr>
        <w:pStyle w:val="DefLevel3"/>
      </w:pPr>
      <w:r w:rsidRPr="00D427D8">
        <w:t xml:space="preserve">a counterparty risk assessment of </w:t>
      </w:r>
      <w:r w:rsidR="00EF7333" w:rsidRPr="00D427D8">
        <w:t>"</w:t>
      </w:r>
      <w:r w:rsidRPr="00D427D8">
        <w:t>Baa</w:t>
      </w:r>
      <w:r w:rsidR="00584483">
        <w:t>2</w:t>
      </w:r>
      <w:r w:rsidR="00EF7333" w:rsidRPr="00D427D8">
        <w:t>"</w:t>
      </w:r>
      <w:r w:rsidRPr="00D427D8">
        <w:t xml:space="preserve"> or above by Moody</w:t>
      </w:r>
      <w:r w:rsidR="00EF7333" w:rsidRPr="00D427D8">
        <w:t>'</w:t>
      </w:r>
      <w:r w:rsidRPr="00D427D8">
        <w:t xml:space="preserve">s and which either posts collateral in the amount and manner set forth in the </w:t>
      </w:r>
      <w:r w:rsidR="00906C28" w:rsidRPr="00906C28">
        <w:t>Hedging Arrangement</w:t>
      </w:r>
      <w:r w:rsidRPr="00D427D8">
        <w:t xml:space="preserve"> or obtains a guarantee from a person having the ratings set forth in (</w:t>
      </w:r>
      <w:r w:rsidR="00421A54">
        <w:t>1</w:t>
      </w:r>
      <w:r w:rsidRPr="00D427D8">
        <w:t>) above; and</w:t>
      </w:r>
    </w:p>
    <w:p w14:paraId="592F7B45" w14:textId="4D85217F" w:rsidR="009F6E91" w:rsidRPr="00D427D8" w:rsidRDefault="009F6E91" w:rsidP="008315A4">
      <w:pPr>
        <w:pStyle w:val="DefLevel2"/>
      </w:pPr>
      <w:r w:rsidRPr="00D427D8">
        <w:t>having assigned to it by DBRS:</w:t>
      </w:r>
    </w:p>
    <w:p w14:paraId="0D98F869" w14:textId="1F4B1E28" w:rsidR="009F6E91" w:rsidRPr="00D427D8" w:rsidRDefault="008315A4" w:rsidP="008315A4">
      <w:pPr>
        <w:pStyle w:val="Body4"/>
      </w:pPr>
      <w:r w:rsidRPr="00D427D8">
        <w:t>(A)</w:t>
      </w:r>
      <w:r w:rsidRPr="00D427D8">
        <w:tab/>
        <w:t>either:</w:t>
      </w:r>
    </w:p>
    <w:p w14:paraId="407E8EAA" w14:textId="40FD6BF7" w:rsidR="009F6E91" w:rsidRPr="00D427D8" w:rsidRDefault="008315A4" w:rsidP="008315A4">
      <w:pPr>
        <w:pStyle w:val="Body4"/>
      </w:pPr>
      <w:r w:rsidRPr="00D427D8">
        <w:t>I.</w:t>
      </w:r>
      <w:r w:rsidRPr="00D427D8">
        <w:tab/>
        <w:t>a Critical Obligations Rating ("</w:t>
      </w:r>
      <w:r w:rsidRPr="00D427D8">
        <w:rPr>
          <w:rStyle w:val="BoldText"/>
        </w:rPr>
        <w:t>COR</w:t>
      </w:r>
      <w:r w:rsidRPr="00D427D8">
        <w:t xml:space="preserve">"); </w:t>
      </w:r>
    </w:p>
    <w:p w14:paraId="5233E447" w14:textId="0863EC40" w:rsidR="009F6E91" w:rsidRDefault="008315A4" w:rsidP="00584483">
      <w:pPr>
        <w:pStyle w:val="Body4"/>
        <w:ind w:left="2876" w:hanging="750"/>
      </w:pPr>
      <w:r w:rsidRPr="00D427D8">
        <w:t>II.</w:t>
      </w:r>
      <w:r w:rsidRPr="00D427D8">
        <w:tab/>
      </w:r>
      <w:r w:rsidR="00584483" w:rsidRPr="00584483">
        <w:t>if no COR rating assigned, the higher of (i) the solicited public issuer rating in respect of such entity or (ii) the solicited public rating in respect of such entity’s long-term senior unsecured debt obligations; or</w:t>
      </w:r>
    </w:p>
    <w:p w14:paraId="62E879D4" w14:textId="0FDB66EE" w:rsidR="00421A54" w:rsidRPr="00D427D8" w:rsidRDefault="00421A54" w:rsidP="00421A54">
      <w:pPr>
        <w:pStyle w:val="Body4"/>
        <w:ind w:left="2876" w:hanging="750"/>
      </w:pPr>
      <w:r w:rsidRPr="00D427D8">
        <w:t>II</w:t>
      </w:r>
      <w:r>
        <w:t>I</w:t>
      </w:r>
      <w:r w:rsidRPr="00D427D8">
        <w:t>.</w:t>
      </w:r>
      <w:r w:rsidRPr="00D427D8">
        <w:tab/>
      </w:r>
      <w:r w:rsidR="00584483" w:rsidRPr="00584483">
        <w:t>if no solicited public rating assigned, the corresponding DBRS Equivalent Rating</w:t>
      </w:r>
      <w:r>
        <w:t>,</w:t>
      </w:r>
    </w:p>
    <w:p w14:paraId="2BC94D70" w14:textId="2179F8ED" w:rsidR="009F6E91" w:rsidRPr="00D427D8" w:rsidRDefault="009F6E91" w:rsidP="009F6E91">
      <w:pPr>
        <w:pStyle w:val="Body4"/>
      </w:pPr>
      <w:r w:rsidRPr="00D427D8">
        <w:t>in each case</w:t>
      </w:r>
      <w:r w:rsidR="00A55C5C">
        <w:t xml:space="preserve"> under this section (A)</w:t>
      </w:r>
      <w:r w:rsidRPr="00D427D8">
        <w:t xml:space="preserve">, of least </w:t>
      </w:r>
      <w:r w:rsidR="00EF7333" w:rsidRPr="00D427D8">
        <w:t>"</w:t>
      </w:r>
      <w:r w:rsidRPr="00D427D8">
        <w:t>A</w:t>
      </w:r>
      <w:r w:rsidR="00EF7333" w:rsidRPr="00D427D8">
        <w:t>"</w:t>
      </w:r>
      <w:r w:rsidRPr="00D427D8">
        <w:t>; or</w:t>
      </w:r>
    </w:p>
    <w:p w14:paraId="64AC8CC4" w14:textId="1F8DE3A6" w:rsidR="009F6E91" w:rsidRPr="00D427D8" w:rsidRDefault="008315A4" w:rsidP="008315A4">
      <w:pPr>
        <w:pStyle w:val="Body4"/>
      </w:pPr>
      <w:r w:rsidRPr="00D427D8">
        <w:t>(B)</w:t>
      </w:r>
      <w:r w:rsidRPr="00D427D8">
        <w:tab/>
        <w:t>either:</w:t>
      </w:r>
    </w:p>
    <w:p w14:paraId="4AA11531" w14:textId="55D82C4A" w:rsidR="009F6E91" w:rsidRPr="00D427D8" w:rsidRDefault="008315A4" w:rsidP="008315A4">
      <w:pPr>
        <w:pStyle w:val="Body4"/>
      </w:pPr>
      <w:r w:rsidRPr="00D427D8">
        <w:t>I.</w:t>
      </w:r>
      <w:r w:rsidRPr="00D427D8">
        <w:tab/>
        <w:t xml:space="preserve">a Critical Obligations Rating ("COR"); </w:t>
      </w:r>
    </w:p>
    <w:p w14:paraId="532CBEB8" w14:textId="77777777" w:rsidR="00584483" w:rsidRDefault="008315A4" w:rsidP="00584483">
      <w:pPr>
        <w:pStyle w:val="Body4"/>
        <w:ind w:left="2876" w:hanging="750"/>
      </w:pPr>
      <w:r w:rsidRPr="00D427D8">
        <w:t>II.</w:t>
      </w:r>
      <w:r w:rsidRPr="00D427D8">
        <w:tab/>
      </w:r>
      <w:r w:rsidR="00584483" w:rsidRPr="00584483">
        <w:t>if no COR rating assigned, the higher of (i) the solicited public issuer rating in respect of such entity or (ii) the solicited public rating in respect of such entity’s long-term senior unsecured debt obligations; or</w:t>
      </w:r>
    </w:p>
    <w:p w14:paraId="071B152C" w14:textId="75377D8E" w:rsidR="00421A54" w:rsidRPr="00D427D8" w:rsidRDefault="00421A54" w:rsidP="00584483">
      <w:pPr>
        <w:pStyle w:val="Body4"/>
        <w:ind w:left="2876" w:hanging="750"/>
      </w:pPr>
      <w:r w:rsidRPr="00D427D8">
        <w:t>II</w:t>
      </w:r>
      <w:r>
        <w:t>I</w:t>
      </w:r>
      <w:r w:rsidRPr="00D427D8">
        <w:t>.</w:t>
      </w:r>
      <w:r w:rsidRPr="00D427D8">
        <w:tab/>
      </w:r>
      <w:r w:rsidR="00584483" w:rsidRPr="00584483">
        <w:t>if no solicited public rating assigned, the corresponding DBRS Equivalent Rating</w:t>
      </w:r>
      <w:r w:rsidR="00584483">
        <w:t>,</w:t>
      </w:r>
    </w:p>
    <w:p w14:paraId="2199054B" w14:textId="33FA6276" w:rsidR="009F6E91" w:rsidRPr="00D427D8" w:rsidRDefault="00584483" w:rsidP="009F6E91">
      <w:pPr>
        <w:pStyle w:val="Body4"/>
      </w:pPr>
      <w:r w:rsidRPr="00584483">
        <w:t xml:space="preserve">in each case under </w:t>
      </w:r>
      <w:r w:rsidR="00A55C5C">
        <w:t xml:space="preserve">this section </w:t>
      </w:r>
      <w:r w:rsidRPr="00584483">
        <w:t>(B)</w:t>
      </w:r>
      <w:r w:rsidR="00A55C5C">
        <w:t xml:space="preserve">, </w:t>
      </w:r>
      <w:r w:rsidR="009F6E91" w:rsidRPr="00D427D8">
        <w:t xml:space="preserve">of least </w:t>
      </w:r>
      <w:r w:rsidR="00EF7333" w:rsidRPr="00D427D8">
        <w:t>"</w:t>
      </w:r>
      <w:r w:rsidR="009F6E91" w:rsidRPr="00D427D8">
        <w:t>BBB</w:t>
      </w:r>
      <w:r w:rsidR="00EF7333" w:rsidRPr="00D427D8">
        <w:t>"</w:t>
      </w:r>
      <w:r w:rsidR="009F6E91" w:rsidRPr="00D427D8">
        <w:t xml:space="preserve"> and the Counterparty (or if applicable its credit support provider) posts collateral in accordance with the credit support annex to the Hedging Arrangement</w:t>
      </w:r>
      <w:r w:rsidR="00BD63B3">
        <w:t>.</w:t>
      </w:r>
    </w:p>
    <w:bookmarkEnd w:id="169"/>
    <w:p w14:paraId="066CDD39" w14:textId="37FCAFF4" w:rsidR="009F6E91" w:rsidRPr="00D427D8" w:rsidRDefault="00EF7333" w:rsidP="009F6E91">
      <w:pPr>
        <w:pStyle w:val="Body2"/>
      </w:pPr>
      <w:r w:rsidRPr="00D427D8">
        <w:t>"</w:t>
      </w:r>
      <w:r w:rsidR="009F6E91" w:rsidRPr="00D427D8">
        <w:rPr>
          <w:b/>
          <w:bCs/>
        </w:rPr>
        <w:t>Eligible Lease Receivable</w:t>
      </w:r>
      <w:r w:rsidRPr="00D427D8">
        <w:t>"</w:t>
      </w:r>
      <w:r w:rsidR="009F6E91" w:rsidRPr="00D427D8">
        <w:t xml:space="preserve"> means any Lease Receivable satisfying the Eligibility Criteria as of the relevant Determination Date.</w:t>
      </w:r>
    </w:p>
    <w:p w14:paraId="196F986B" w14:textId="6BEF5149" w:rsidR="009F6E91" w:rsidRPr="00D427D8" w:rsidRDefault="00EF7333" w:rsidP="009F6E91">
      <w:pPr>
        <w:pStyle w:val="Body2"/>
      </w:pPr>
      <w:r w:rsidRPr="00D427D8">
        <w:lastRenderedPageBreak/>
        <w:t>"</w:t>
      </w:r>
      <w:r w:rsidR="009F6E91" w:rsidRPr="00D427D8">
        <w:rPr>
          <w:b/>
        </w:rPr>
        <w:t>EMIR</w:t>
      </w:r>
      <w:r w:rsidRPr="00D427D8">
        <w:t>"</w:t>
      </w:r>
      <w:r w:rsidR="009F6E91" w:rsidRPr="00D427D8">
        <w:t xml:space="preserve"> means the European Regulation 648/2012 of 4 July 2012, known as the European Market Infrastructure Regulation entered into force on 16 August 2012 and/or any supplementing regulations, provisions or regulatory or implementing technical standards and/or any technical standards being effected under or in connection with the European Market Infrastructure Regulation, each as amended.</w:t>
      </w:r>
    </w:p>
    <w:p w14:paraId="69370A00" w14:textId="442DFD33" w:rsidR="009F6E91" w:rsidRPr="00D427D8" w:rsidRDefault="00EF7333" w:rsidP="009F6E91">
      <w:pPr>
        <w:pStyle w:val="Body2"/>
      </w:pPr>
      <w:r w:rsidRPr="00D427D8">
        <w:t>"</w:t>
      </w:r>
      <w:r w:rsidR="009F6E91" w:rsidRPr="00D427D8">
        <w:rPr>
          <w:b/>
        </w:rPr>
        <w:t>EMIR Consent</w:t>
      </w:r>
      <w:r w:rsidRPr="00D427D8">
        <w:t>"</w:t>
      </w:r>
      <w:r w:rsidR="009F6E91" w:rsidRPr="00D427D8">
        <w:rPr>
          <w:b/>
        </w:rPr>
        <w:t xml:space="preserve"> </w:t>
      </w:r>
      <w:r w:rsidR="009F6E91" w:rsidRPr="00D427D8">
        <w:t>has the meaning assigned to such term in clause 8.3 of the Master Agreement.</w:t>
      </w:r>
    </w:p>
    <w:p w14:paraId="7F8786A0" w14:textId="0BC614F0" w:rsidR="009F6E91" w:rsidRPr="00D427D8" w:rsidRDefault="00EF7333" w:rsidP="009F6E91">
      <w:pPr>
        <w:pStyle w:val="Body2"/>
      </w:pPr>
      <w:r w:rsidRPr="00D427D8">
        <w:t>"</w:t>
      </w:r>
      <w:r w:rsidR="009F6E91" w:rsidRPr="00D427D8">
        <w:rPr>
          <w:b/>
        </w:rPr>
        <w:t>English Transaction Document</w:t>
      </w:r>
      <w:r w:rsidRPr="00D427D8">
        <w:t>"</w:t>
      </w:r>
      <w:r w:rsidR="009F6E91" w:rsidRPr="00D427D8">
        <w:t xml:space="preserve"> means the Hedging Arrangement and the Security Assignment Deed.</w:t>
      </w:r>
    </w:p>
    <w:p w14:paraId="0D44A628" w14:textId="1858B6BE" w:rsidR="009F6E91" w:rsidRPr="00D427D8" w:rsidRDefault="008315A4" w:rsidP="008315A4">
      <w:pPr>
        <w:pStyle w:val="Body2"/>
        <w:rPr>
          <w:lang w:bidi="he-IL"/>
        </w:rPr>
      </w:pPr>
      <w:r w:rsidRPr="00D427D8">
        <w:rPr>
          <w:lang w:bidi="he-IL"/>
        </w:rPr>
        <w:t>"</w:t>
      </w:r>
      <w:r w:rsidRPr="00D427D8">
        <w:rPr>
          <w:rStyle w:val="BoldText"/>
        </w:rPr>
        <w:t>ER</w:t>
      </w:r>
      <w:r w:rsidRPr="00D427D8">
        <w:rPr>
          <w:lang w:bidi="he-IL"/>
        </w:rPr>
        <w:t>" means Expectancy Right.</w:t>
      </w:r>
    </w:p>
    <w:p w14:paraId="1DA71417" w14:textId="10790B0C" w:rsidR="009F6E91" w:rsidRPr="00D427D8" w:rsidRDefault="00EF7333" w:rsidP="008315A4">
      <w:pPr>
        <w:pStyle w:val="DefHead"/>
        <w:rPr>
          <w:lang w:bidi="he-IL"/>
        </w:rPr>
      </w:pPr>
      <w:bookmarkStart w:id="170" w:name="_Hlk191566402"/>
      <w:r w:rsidRPr="00D427D8">
        <w:rPr>
          <w:lang w:bidi="he-IL"/>
        </w:rPr>
        <w:t>"</w:t>
      </w:r>
      <w:r w:rsidR="009F6E91" w:rsidRPr="00D427D8">
        <w:rPr>
          <w:rStyle w:val="BoldText"/>
        </w:rPr>
        <w:t>ER Collateral</w:t>
      </w:r>
      <w:r w:rsidRPr="00D427D8">
        <w:rPr>
          <w:lang w:bidi="he-IL"/>
        </w:rPr>
        <w:t>"</w:t>
      </w:r>
      <w:r w:rsidR="009F6E91" w:rsidRPr="00D427D8">
        <w:rPr>
          <w:lang w:bidi="he-IL"/>
        </w:rPr>
        <w:t xml:space="preserve"> means </w:t>
      </w:r>
      <w:r w:rsidR="009F6E91" w:rsidRPr="00D427D8">
        <w:t>all present and future, actual and contingent right and title to the following assets:</w:t>
      </w:r>
    </w:p>
    <w:p w14:paraId="2DBA7BBE" w14:textId="4A82A91C" w:rsidR="009F6E91" w:rsidRPr="00D427D8" w:rsidRDefault="009F6E91" w:rsidP="008315A4">
      <w:pPr>
        <w:pStyle w:val="DefLevel1"/>
      </w:pPr>
      <w:bookmarkStart w:id="171" w:name="_Hlk196822930"/>
      <w:r w:rsidRPr="00D427D8">
        <w:t>any and all restitution claims (</w:t>
      </w:r>
      <w:r w:rsidRPr="00D427D8">
        <w:rPr>
          <w:i/>
          <w:iCs/>
        </w:rPr>
        <w:t>Herausgabeansprüche</w:t>
      </w:r>
      <w:r w:rsidRPr="00D427D8">
        <w:t>) in respect of the Leased Vehicles; and</w:t>
      </w:r>
    </w:p>
    <w:p w14:paraId="6629E324" w14:textId="119E639A" w:rsidR="009F6E91" w:rsidRPr="00D427D8" w:rsidRDefault="009F6E91" w:rsidP="008315A4">
      <w:pPr>
        <w:pStyle w:val="DefLevel1"/>
      </w:pPr>
      <w:r w:rsidRPr="00D427D8">
        <w:t xml:space="preserve">any claims arising from the exercise of the put option rights </w:t>
      </w:r>
      <w:bookmarkStart w:id="172" w:name="_Hlk79065651"/>
      <w:r w:rsidRPr="00D427D8">
        <w:t>(</w:t>
      </w:r>
      <w:r w:rsidRPr="00D427D8">
        <w:rPr>
          <w:i/>
          <w:iCs/>
        </w:rPr>
        <w:t>Andienungsrechte</w:t>
      </w:r>
      <w:r w:rsidRPr="00D427D8">
        <w:t xml:space="preserve">) </w:t>
      </w:r>
      <w:bookmarkEnd w:id="172"/>
      <w:r w:rsidRPr="00D427D8">
        <w:t xml:space="preserve">that the Seller has against </w:t>
      </w:r>
      <w:bookmarkStart w:id="173" w:name="_Hlk79432501"/>
      <w:r w:rsidRPr="00D427D8">
        <w:t>the Car Dealers under the Leased Vehicle Put Option</w:t>
      </w:r>
      <w:bookmarkEnd w:id="173"/>
      <w:r w:rsidRPr="00D427D8">
        <w:t>s.</w:t>
      </w:r>
      <w:bookmarkEnd w:id="170"/>
    </w:p>
    <w:bookmarkEnd w:id="171"/>
    <w:p w14:paraId="6FFBC1FA" w14:textId="18A5F8E3" w:rsidR="009F6E91" w:rsidRPr="00D427D8" w:rsidRDefault="00A2179F" w:rsidP="00A2179F">
      <w:pPr>
        <w:pStyle w:val="Body2"/>
        <w:rPr>
          <w:lang w:bidi="he-IL"/>
        </w:rPr>
      </w:pPr>
      <w:r w:rsidRPr="00D427D8">
        <w:rPr>
          <w:lang w:bidi="he-IL"/>
        </w:rPr>
        <w:t>"</w:t>
      </w:r>
      <w:r w:rsidRPr="00D427D8">
        <w:rPr>
          <w:rStyle w:val="BoldText"/>
        </w:rPr>
        <w:t>ER Collateral Agent</w:t>
      </w:r>
      <w:r w:rsidRPr="00D427D8">
        <w:rPr>
          <w:lang w:bidi="he-IL"/>
        </w:rPr>
        <w:t xml:space="preserve">" means </w:t>
      </w:r>
      <w:r w:rsidRPr="00D427D8">
        <w:t>CSC Trustees Limited, 10th Floor, 5 Churchill Place,, London E14 5HU, United Kingdom.</w:t>
      </w:r>
    </w:p>
    <w:p w14:paraId="284D9539" w14:textId="5BCE2203" w:rsidR="009F6E91" w:rsidRPr="00D427D8" w:rsidRDefault="00A2179F" w:rsidP="00A2179F">
      <w:pPr>
        <w:pStyle w:val="Body2"/>
      </w:pPr>
      <w:r w:rsidRPr="00D427D8">
        <w:t>"</w:t>
      </w:r>
      <w:r w:rsidRPr="00D427D8">
        <w:rPr>
          <w:rStyle w:val="BoldText"/>
        </w:rPr>
        <w:t>ER Collateral Agency Agreement</w:t>
      </w:r>
      <w:r w:rsidRPr="00D427D8">
        <w:t>" means the ER collateral agency agreement entered into on the Signing Date between the Issuer, the Collateral Agent, the ER Collateral Agent, the Lead Manager, the Arranger, the Subordinated Lender, the Lender, the Data Protection Trustee, the Corporate Services Provider, the Back-up Servicer Facilitator, the Paying Agent, the Reporting Agent, the Calculation Agent, the Counterparty, the Account Bank, the Servicer and the Seller.</w:t>
      </w:r>
    </w:p>
    <w:p w14:paraId="436279DB" w14:textId="3805740F" w:rsidR="009F6E91" w:rsidRPr="00D427D8" w:rsidRDefault="00A2179F" w:rsidP="00A2179F">
      <w:pPr>
        <w:pStyle w:val="Body2"/>
      </w:pPr>
      <w:r w:rsidRPr="00D427D8">
        <w:t>"</w:t>
      </w:r>
      <w:r w:rsidRPr="00D427D8">
        <w:rPr>
          <w:rStyle w:val="BoldText"/>
        </w:rPr>
        <w:t>ER Invoice</w:t>
      </w:r>
      <w:r w:rsidRPr="00D427D8">
        <w:t>" means an invoice to be issued by the Seller under the ER Purchase Agreement in respect of each sale and purchase of Expectancy Rights thereunder, substantially in the form set out in Schedule 5 to the ER Purchase Agreement.</w:t>
      </w:r>
    </w:p>
    <w:p w14:paraId="33E9B1B5" w14:textId="258D32A8" w:rsidR="009F6E91" w:rsidRPr="00D427D8" w:rsidRDefault="00A2179F" w:rsidP="00A2179F">
      <w:pPr>
        <w:pStyle w:val="Body2"/>
      </w:pPr>
      <w:bookmarkStart w:id="174" w:name="_Hlk85752432"/>
      <w:r w:rsidRPr="00D427D8">
        <w:t>"</w:t>
      </w:r>
      <w:r w:rsidRPr="00D427D8">
        <w:rPr>
          <w:rStyle w:val="BoldText"/>
        </w:rPr>
        <w:t>ER Loss</w:t>
      </w:r>
      <w:r w:rsidRPr="00D427D8">
        <w:t>" means, in relation to a Purchased Expectancy Right, the difference (if positive) of (i) the respective Net Present Value of such Purchased Expectancy Right as of the Determination Date immediately preceding the expiry of the related Lease Agreement over (ii) the Vehicle Realisation Proceeds of the relevant Leased Vehicle. For the avoidance of doubt, an ER Loss can only occur in respect of an Expectancy Right that relates to a Performing Receivable</w:t>
      </w:r>
      <w:r w:rsidRPr="00D427D8">
        <w:rPr>
          <w:lang w:val="en-US"/>
        </w:rPr>
        <w:t>.</w:t>
      </w:r>
    </w:p>
    <w:bookmarkEnd w:id="174"/>
    <w:p w14:paraId="27533CDB" w14:textId="242E7CEF" w:rsidR="009F6E91" w:rsidRPr="00D427D8" w:rsidRDefault="00A2179F" w:rsidP="00A2179F">
      <w:pPr>
        <w:pStyle w:val="Body2"/>
      </w:pPr>
      <w:r w:rsidRPr="00D427D8">
        <w:t>"</w:t>
      </w:r>
      <w:r w:rsidRPr="00D427D8">
        <w:rPr>
          <w:rStyle w:val="BoldText"/>
        </w:rPr>
        <w:t>ER Purchase Agreement</w:t>
      </w:r>
      <w:r w:rsidRPr="00D427D8">
        <w:t xml:space="preserve">" means the expectancy rights purchase agreement between, </w:t>
      </w:r>
      <w:r w:rsidRPr="00D427D8">
        <w:rPr>
          <w:i/>
        </w:rPr>
        <w:t>inter alios</w:t>
      </w:r>
      <w:r w:rsidRPr="00D427D8">
        <w:t>, the Seller and the Issuer dated the Signing Date, as amended from time to time.</w:t>
      </w:r>
    </w:p>
    <w:p w14:paraId="3F5257B4" w14:textId="1C02133A" w:rsidR="009F6E91" w:rsidRPr="00D427D8" w:rsidRDefault="00A2179F" w:rsidP="00A2179F">
      <w:pPr>
        <w:pStyle w:val="Body2"/>
        <w:rPr>
          <w:lang w:bidi="he-IL"/>
        </w:rPr>
      </w:pPr>
      <w:r w:rsidRPr="00D427D8">
        <w:rPr>
          <w:lang w:bidi="he-IL"/>
        </w:rPr>
        <w:t>"</w:t>
      </w:r>
      <w:r w:rsidRPr="00D427D8">
        <w:rPr>
          <w:rStyle w:val="BoldText"/>
        </w:rPr>
        <w:t>ER Purchase Price</w:t>
      </w:r>
      <w:r w:rsidRPr="00D427D8">
        <w:rPr>
          <w:lang w:bidi="he-IL"/>
        </w:rPr>
        <w:t>" means the Initial ER Purchase Price and each Further ER Purchase Price, respectively.</w:t>
      </w:r>
    </w:p>
    <w:p w14:paraId="54FB6C6E" w14:textId="5E78508F" w:rsidR="009F6E91" w:rsidRPr="00D427D8" w:rsidRDefault="00A2179F" w:rsidP="00A2179F">
      <w:pPr>
        <w:pStyle w:val="Body2"/>
        <w:rPr>
          <w:lang w:bidi="he-IL"/>
        </w:rPr>
      </w:pPr>
      <w:bookmarkStart w:id="175" w:name="_Hlk189125803"/>
      <w:r w:rsidRPr="00D427D8">
        <w:rPr>
          <w:lang w:bidi="he-IL"/>
        </w:rPr>
        <w:t>"</w:t>
      </w:r>
      <w:r w:rsidRPr="00D427D8">
        <w:rPr>
          <w:rStyle w:val="BoldText"/>
        </w:rPr>
        <w:t>ER Purchase Price Advance</w:t>
      </w:r>
      <w:r w:rsidRPr="00D427D8">
        <w:rPr>
          <w:lang w:bidi="he-IL"/>
        </w:rPr>
        <w:t xml:space="preserve">" shall, in respect of each Expectancy Right, correspond to the Net Present Value of such Expectancy Right </w:t>
      </w:r>
      <w:bookmarkStart w:id="176" w:name="_Hlk86193845"/>
      <w:r w:rsidRPr="00D427D8">
        <w:rPr>
          <w:lang w:bidi="he-IL"/>
        </w:rPr>
        <w:t>as of the Determination Date immediately preceding the Further Purchase Date on which the respective Expectancy Right is purchased, plus VAT on the relevant amount</w:t>
      </w:r>
      <w:bookmarkEnd w:id="176"/>
      <w:r w:rsidRPr="00D427D8">
        <w:rPr>
          <w:lang w:bidi="he-IL"/>
        </w:rPr>
        <w:t>.</w:t>
      </w:r>
    </w:p>
    <w:p w14:paraId="4C7BA235" w14:textId="1EC62E5D" w:rsidR="009F6E91" w:rsidRPr="00D427D8" w:rsidRDefault="00A2179F" w:rsidP="00A2179F">
      <w:pPr>
        <w:pStyle w:val="Body2"/>
        <w:rPr>
          <w:lang w:bidi="he-IL"/>
        </w:rPr>
      </w:pPr>
      <w:r w:rsidRPr="00D427D8">
        <w:rPr>
          <w:lang w:bidi="he-IL"/>
        </w:rPr>
        <w:t>"</w:t>
      </w:r>
      <w:r w:rsidRPr="00D427D8">
        <w:rPr>
          <w:rStyle w:val="BoldText"/>
        </w:rPr>
        <w:t>ER Purchase Price Residual</w:t>
      </w:r>
      <w:r w:rsidRPr="00D427D8">
        <w:rPr>
          <w:lang w:bidi="he-IL"/>
        </w:rPr>
        <w:t xml:space="preserve">" means the excess of the sales price realised by the Issuer upon the sale or other realisation of a Leased Vehicle, through the </w:t>
      </w:r>
      <w:r w:rsidRPr="00D427D8">
        <w:t xml:space="preserve">Servicer </w:t>
      </w:r>
      <w:r w:rsidRPr="00D427D8">
        <w:rPr>
          <w:lang w:bidi="he-IL"/>
        </w:rPr>
        <w:t xml:space="preserve">or otherwise, over the Expectancy Right Value of such Leased Vehicle, if any, </w:t>
      </w:r>
      <w:bookmarkStart w:id="177" w:name="_Hlk82793833"/>
      <w:r w:rsidRPr="00D427D8">
        <w:t>plus VAT on such excess amount</w:t>
      </w:r>
      <w:bookmarkEnd w:id="177"/>
      <w:r w:rsidRPr="00D427D8">
        <w:rPr>
          <w:lang w:bidi="he-IL"/>
        </w:rPr>
        <w:t>.</w:t>
      </w:r>
    </w:p>
    <w:bookmarkEnd w:id="175"/>
    <w:p w14:paraId="3E0ABAD3" w14:textId="2321FB4B" w:rsidR="009F6E91" w:rsidRPr="00D427D8" w:rsidRDefault="00A2179F" w:rsidP="00A2179F">
      <w:pPr>
        <w:pStyle w:val="Body2"/>
        <w:rPr>
          <w:lang w:bidi="he-IL"/>
        </w:rPr>
      </w:pPr>
      <w:r w:rsidRPr="00D427D8">
        <w:rPr>
          <w:lang w:bidi="he-IL"/>
        </w:rPr>
        <w:t>"</w:t>
      </w:r>
      <w:r w:rsidRPr="00D427D8">
        <w:rPr>
          <w:rStyle w:val="BoldText"/>
        </w:rPr>
        <w:t>ER Receivable</w:t>
      </w:r>
      <w:r w:rsidRPr="00D427D8">
        <w:rPr>
          <w:lang w:bidi="he-IL"/>
        </w:rPr>
        <w:t>" means the payment owed by the Issuer to the Seller for Expectancy Rights to be acquired by it under the ER Purchase Agreement.</w:t>
      </w:r>
    </w:p>
    <w:p w14:paraId="3CADF5E3" w14:textId="31C85624" w:rsidR="009F6E91" w:rsidRPr="00D427D8" w:rsidRDefault="00A2179F" w:rsidP="00A2179F">
      <w:pPr>
        <w:pStyle w:val="Body2"/>
        <w:rPr>
          <w:lang w:bidi="he-IL"/>
        </w:rPr>
      </w:pPr>
      <w:r w:rsidRPr="00D427D8">
        <w:rPr>
          <w:lang w:bidi="he-IL"/>
        </w:rPr>
        <w:t>"</w:t>
      </w:r>
      <w:r w:rsidRPr="00D427D8">
        <w:rPr>
          <w:rStyle w:val="BoldText"/>
        </w:rPr>
        <w:t>ER Secured Liabilities</w:t>
      </w:r>
      <w:r w:rsidRPr="00D427D8">
        <w:rPr>
          <w:lang w:bidi="he-IL"/>
        </w:rPr>
        <w:t xml:space="preserve">" </w:t>
      </w:r>
      <w:r w:rsidRPr="00D427D8">
        <w:rPr>
          <w:lang w:eastAsia="en-US"/>
        </w:rPr>
        <w:t xml:space="preserve">means any present or future obligation of the Issuer under the Transaction Documents or the Hedging Arrangement </w:t>
      </w:r>
      <w:r w:rsidRPr="00D427D8">
        <w:rPr>
          <w:i/>
          <w:iCs/>
          <w:lang w:eastAsia="en-US"/>
        </w:rPr>
        <w:t>vis-à-vis</w:t>
      </w:r>
      <w:r w:rsidRPr="00D427D8">
        <w:rPr>
          <w:lang w:eastAsia="en-US"/>
        </w:rPr>
        <w:t xml:space="preserve"> the Secured Parties.</w:t>
      </w:r>
    </w:p>
    <w:p w14:paraId="78BED902" w14:textId="345D07B1" w:rsidR="009F6E91" w:rsidRPr="00D427D8" w:rsidRDefault="00A2179F" w:rsidP="00A2179F">
      <w:pPr>
        <w:pStyle w:val="Body2"/>
        <w:rPr>
          <w:lang w:bidi="he-IL"/>
        </w:rPr>
      </w:pPr>
      <w:r w:rsidRPr="00D427D8">
        <w:rPr>
          <w:lang w:bidi="he-IL"/>
        </w:rPr>
        <w:lastRenderedPageBreak/>
        <w:t>"</w:t>
      </w:r>
      <w:r w:rsidRPr="00D427D8">
        <w:rPr>
          <w:rStyle w:val="BoldText"/>
        </w:rPr>
        <w:t>ER Security</w:t>
      </w:r>
      <w:r w:rsidRPr="00D427D8">
        <w:rPr>
          <w:lang w:bidi="he-IL"/>
        </w:rPr>
        <w:t>" means all the security rights and interest created by the Issuer over certain assets of its Compartment Lease 2025-1</w:t>
      </w:r>
      <w:r w:rsidRPr="00D427D8">
        <w:t xml:space="preserve"> </w:t>
      </w:r>
      <w:r w:rsidRPr="00D427D8">
        <w:rPr>
          <w:lang w:bidi="he-IL"/>
        </w:rPr>
        <w:t>in favour of the ER Collateral Agent and for the benefit of the Secured Parties pursuant to the provisions of the relevant ER Security Documents.</w:t>
      </w:r>
    </w:p>
    <w:p w14:paraId="4C980FDF" w14:textId="6F97C005" w:rsidR="009F6E91" w:rsidRPr="00D427D8" w:rsidRDefault="00A2179F" w:rsidP="00A2179F">
      <w:pPr>
        <w:pStyle w:val="Body2"/>
        <w:rPr>
          <w:lang w:bidi="he-IL"/>
        </w:rPr>
      </w:pPr>
      <w:r w:rsidRPr="00D427D8">
        <w:rPr>
          <w:lang w:bidi="he-IL"/>
        </w:rPr>
        <w:t>"</w:t>
      </w:r>
      <w:r w:rsidRPr="00D427D8">
        <w:rPr>
          <w:rStyle w:val="BoldText"/>
        </w:rPr>
        <w:t>ER Security Documents</w:t>
      </w:r>
      <w:r w:rsidRPr="00D427D8">
        <w:rPr>
          <w:lang w:bidi="he-IL"/>
        </w:rPr>
        <w:t>" means the ER Collateral Agency Agreement and any other security document pursuant to which collateral is provided to the ER Collateral Agent to secure the Secured Liabilities.</w:t>
      </w:r>
    </w:p>
    <w:p w14:paraId="00A5B874" w14:textId="2F3DBE24" w:rsidR="009F6E91" w:rsidRPr="00D427D8" w:rsidRDefault="00A2179F" w:rsidP="00A2179F">
      <w:pPr>
        <w:pStyle w:val="Body2"/>
      </w:pPr>
      <w:r w:rsidRPr="00D427D8">
        <w:t>"</w:t>
      </w:r>
      <w:r w:rsidRPr="00D427D8">
        <w:rPr>
          <w:rStyle w:val="BoldText"/>
        </w:rPr>
        <w:t>EUR</w:t>
      </w:r>
      <w:r w:rsidRPr="00D427D8">
        <w:t>" or "</w:t>
      </w:r>
      <w:r w:rsidRPr="00D427D8">
        <w:rPr>
          <w:rStyle w:val="BoldText"/>
        </w:rPr>
        <w:t>Euro</w:t>
      </w:r>
      <w:r w:rsidRPr="00D427D8">
        <w:t>" means the lawful currency of the member states of the European Union that have adopted the single currency in accordance with the EC Treaty.</w:t>
      </w:r>
    </w:p>
    <w:p w14:paraId="70A1F6D4" w14:textId="6AE9C01B" w:rsidR="009F6E91" w:rsidRPr="00D427D8" w:rsidRDefault="00EF7333" w:rsidP="009F6E91">
      <w:pPr>
        <w:pStyle w:val="Body2"/>
      </w:pPr>
      <w:r w:rsidRPr="00D427D8">
        <w:t>"</w:t>
      </w:r>
      <w:r w:rsidR="009F6E91" w:rsidRPr="00D427D8">
        <w:rPr>
          <w:b/>
        </w:rPr>
        <w:t>Euroclear</w:t>
      </w:r>
      <w:r w:rsidRPr="00D427D8">
        <w:t>"</w:t>
      </w:r>
      <w:r w:rsidR="009F6E91" w:rsidRPr="00D427D8">
        <w:t xml:space="preserve"> means Euroclear Bank S.A./N.V., 1 Boulevard du Roi Albert II, 1210 Brussels, Belgium.</w:t>
      </w:r>
    </w:p>
    <w:p w14:paraId="1087282B" w14:textId="7705C8D5" w:rsidR="009F6E91" w:rsidRPr="00D427D8" w:rsidRDefault="00A2179F" w:rsidP="00A2179F">
      <w:pPr>
        <w:pStyle w:val="Body2"/>
      </w:pPr>
      <w:r w:rsidRPr="00D427D8">
        <w:t>"</w:t>
      </w:r>
      <w:r w:rsidRPr="00D427D8">
        <w:rPr>
          <w:rStyle w:val="BoldText"/>
        </w:rPr>
        <w:t>EU Securitisation Regulation</w:t>
      </w:r>
      <w:r w:rsidRPr="00D427D8">
        <w:t>" means Regulation (EU) 2017/2402 of the European Parliament and of the Council of 12 December 2017 laying down a general framework for securitisation and creating a specific framework for simple, transparent and standardised securitisation, and amending Directives 2009/65/EC, 2009/138/EC and 2011/61/EU and Regulations (EC) No 1060/2009 and (EU) No 648/2012, as amended from time to time.</w:t>
      </w:r>
    </w:p>
    <w:p w14:paraId="2C1CB018" w14:textId="580694A2" w:rsidR="009F6E91" w:rsidRPr="00D427D8" w:rsidRDefault="00A2179F" w:rsidP="00A2179F">
      <w:pPr>
        <w:pStyle w:val="Body2"/>
        <w:rPr>
          <w:lang w:val="en-US"/>
        </w:rPr>
      </w:pPr>
      <w:r w:rsidRPr="00D427D8">
        <w:rPr>
          <w:lang w:val="en-US"/>
        </w:rPr>
        <w:t>"</w:t>
      </w:r>
      <w:r w:rsidRPr="00D427D8">
        <w:rPr>
          <w:rStyle w:val="BoldText"/>
        </w:rPr>
        <w:t>EU</w:t>
      </w:r>
      <w:r w:rsidRPr="00D427D8">
        <w:rPr>
          <w:lang w:val="en-US"/>
        </w:rPr>
        <w:t xml:space="preserve"> </w:t>
      </w:r>
      <w:r w:rsidRPr="00D427D8">
        <w:rPr>
          <w:rStyle w:val="BoldText"/>
        </w:rPr>
        <w:t>Securitisation Repository</w:t>
      </w:r>
      <w:r w:rsidRPr="00D427D8">
        <w:rPr>
          <w:lang w:val="en-US"/>
        </w:rPr>
        <w:t xml:space="preserve">" means EDW in its capacity as securitisation repository registered </w:t>
      </w:r>
      <w:r w:rsidRPr="00D427D8">
        <w:t>under Article 10 (</w:t>
      </w:r>
      <w:r w:rsidRPr="00D427D8">
        <w:rPr>
          <w:i/>
        </w:rPr>
        <w:t>Registration of a securitisation repository</w:t>
      </w:r>
      <w:r w:rsidRPr="00D427D8">
        <w:t>) of the EU Securitisation Regulation and appointed for the Securitisation</w:t>
      </w:r>
      <w:r w:rsidRPr="00D427D8">
        <w:rPr>
          <w:lang w:val="en-US"/>
        </w:rPr>
        <w:t>.</w:t>
      </w:r>
    </w:p>
    <w:p w14:paraId="639C6494" w14:textId="78EB387E" w:rsidR="009F6E91" w:rsidRPr="00D427D8" w:rsidRDefault="00EF7333" w:rsidP="009F6E91">
      <w:pPr>
        <w:pStyle w:val="Body2"/>
      </w:pPr>
      <w:r w:rsidRPr="00D427D8">
        <w:t>"</w:t>
      </w:r>
      <w:r w:rsidR="009F6E91" w:rsidRPr="00D427D8">
        <w:rPr>
          <w:b/>
          <w:bCs/>
        </w:rPr>
        <w:t>EU Securitisation Repository Website</w:t>
      </w:r>
      <w:r w:rsidRPr="00D427D8">
        <w:t>"</w:t>
      </w:r>
      <w:r w:rsidR="009F6E91" w:rsidRPr="00D427D8">
        <w:t xml:space="preserve"> means the internet website o</w:t>
      </w:r>
      <w:hyperlink r:id="rId36" w:history="1">
        <w:r w:rsidR="009F6E91" w:rsidRPr="00D427D8">
          <w:t>f EDW (http</w:t>
        </w:r>
      </w:hyperlink>
      <w:r w:rsidR="009F6E91" w:rsidRPr="00D427D8">
        <w:t>s://www.eurodw.eu/).</w:t>
      </w:r>
    </w:p>
    <w:p w14:paraId="01CB7622" w14:textId="2334D9EF" w:rsidR="009F6E91" w:rsidRPr="00D427D8" w:rsidRDefault="00A2179F" w:rsidP="00A2179F">
      <w:pPr>
        <w:pStyle w:val="Body2"/>
        <w:rPr>
          <w:lang w:val="en-US"/>
        </w:rPr>
      </w:pPr>
      <w:r w:rsidRPr="00D427D8">
        <w:t>"</w:t>
      </w:r>
      <w:r w:rsidRPr="00D427D8">
        <w:rPr>
          <w:rStyle w:val="BoldText"/>
        </w:rPr>
        <w:t>EU Risk Retention Rules</w:t>
      </w:r>
      <w:r w:rsidRPr="00D427D8">
        <w:t>"</w:t>
      </w:r>
      <w:r w:rsidRPr="00D427D8">
        <w:rPr>
          <w:rStyle w:val="BoldText"/>
        </w:rPr>
        <w:t xml:space="preserve"> </w:t>
      </w:r>
      <w:r w:rsidRPr="00D427D8">
        <w:t>means Article 6 of the EU Securitisation Regulation.</w:t>
      </w:r>
    </w:p>
    <w:p w14:paraId="757FAD32" w14:textId="26675204" w:rsidR="009F6E91" w:rsidRPr="00D427D8" w:rsidRDefault="00A2179F" w:rsidP="00A2179F">
      <w:pPr>
        <w:pStyle w:val="Body2"/>
      </w:pPr>
      <w:r w:rsidRPr="00D427D8">
        <w:t>"</w:t>
      </w:r>
      <w:r w:rsidRPr="00D427D8">
        <w:rPr>
          <w:rStyle w:val="BoldText"/>
        </w:rPr>
        <w:t>EU Risk Retention Threshold</w:t>
      </w:r>
      <w:r w:rsidRPr="00D427D8">
        <w:t>" has the meaning assigned to such term under clause 6.1(a) of the Master Agreement.</w:t>
      </w:r>
    </w:p>
    <w:p w14:paraId="3E2455DF" w14:textId="6589C459" w:rsidR="009F6E91" w:rsidRPr="00D427D8" w:rsidRDefault="00A2179F" w:rsidP="00A2179F">
      <w:pPr>
        <w:pStyle w:val="Body2"/>
      </w:pPr>
      <w:r w:rsidRPr="00D427D8">
        <w:t>"</w:t>
      </w:r>
      <w:r w:rsidRPr="00D427D8">
        <w:rPr>
          <w:rStyle w:val="BoldText"/>
        </w:rPr>
        <w:t>EUWA</w:t>
      </w:r>
      <w:r w:rsidRPr="00D427D8">
        <w:t xml:space="preserve">" means </w:t>
      </w:r>
      <w:r w:rsidRPr="00D427D8">
        <w:rPr>
          <w:lang w:val="en-US"/>
        </w:rPr>
        <w:t>European</w:t>
      </w:r>
      <w:r w:rsidRPr="00D427D8">
        <w:t xml:space="preserve"> Union (Withdrawal) Act 2018 (as amended).</w:t>
      </w:r>
    </w:p>
    <w:p w14:paraId="12FF1C6A" w14:textId="648FE9E6" w:rsidR="009F6E91" w:rsidRPr="00D427D8" w:rsidRDefault="00EF7333" w:rsidP="009F6E91">
      <w:pPr>
        <w:pStyle w:val="Body2"/>
      </w:pPr>
      <w:r w:rsidRPr="00D427D8">
        <w:t>"</w:t>
      </w:r>
      <w:r w:rsidR="009F6E91" w:rsidRPr="00D427D8">
        <w:rPr>
          <w:b/>
        </w:rPr>
        <w:t>Excess Liquidity Reserve</w:t>
      </w:r>
      <w:r w:rsidRPr="00D427D8">
        <w:t>"</w:t>
      </w:r>
      <w:r w:rsidR="009F6E91" w:rsidRPr="00D427D8">
        <w:t xml:space="preserve"> means, on any Distribution Date, an amount by which the credit balance of the Reserve Account less the Deposit Reserve Amount (if any) exceeds the Liquidity Reserve Target Amount.</w:t>
      </w:r>
    </w:p>
    <w:p w14:paraId="5FF1BE29" w14:textId="511A489A" w:rsidR="009F6E91" w:rsidRPr="00D427D8" w:rsidRDefault="00EF7333" w:rsidP="009F6E91">
      <w:pPr>
        <w:pStyle w:val="Body2"/>
      </w:pPr>
      <w:r w:rsidRPr="00D427D8">
        <w:t>"</w:t>
      </w:r>
      <w:r w:rsidR="009F6E91" w:rsidRPr="00D427D8">
        <w:rPr>
          <w:b/>
        </w:rPr>
        <w:t>Excess Spread</w:t>
      </w:r>
      <w:r w:rsidRPr="00D427D8">
        <w:t>"</w:t>
      </w:r>
      <w:r w:rsidR="009F6E91" w:rsidRPr="00D427D8">
        <w:t xml:space="preserve"> means for any Distribution Date the amount by which Available Interest Collections during the preceding Monthly Period exceed certain senior costs and interest payments pursuant to the Interest Priority of Payments. Unused Excess Spread (if any) will be repaid to the Seller.</w:t>
      </w:r>
    </w:p>
    <w:p w14:paraId="581918D0" w14:textId="10E871C1" w:rsidR="009F6E91" w:rsidRPr="00D427D8" w:rsidRDefault="00A2179F" w:rsidP="00A2179F">
      <w:pPr>
        <w:pStyle w:val="Body2"/>
        <w:rPr>
          <w:lang w:bidi="he-IL"/>
        </w:rPr>
      </w:pPr>
      <w:r w:rsidRPr="00D427D8">
        <w:rPr>
          <w:lang w:bidi="he-IL"/>
        </w:rPr>
        <w:t>"</w:t>
      </w:r>
      <w:r w:rsidRPr="00D427D8">
        <w:rPr>
          <w:rStyle w:val="BoldText"/>
        </w:rPr>
        <w:t>Expectancy Right</w:t>
      </w:r>
      <w:r w:rsidRPr="00D427D8">
        <w:rPr>
          <w:lang w:bidi="he-IL"/>
        </w:rPr>
        <w:t>" or "</w:t>
      </w:r>
      <w:r w:rsidRPr="00D427D8">
        <w:rPr>
          <w:rStyle w:val="BoldText"/>
        </w:rPr>
        <w:t>ER</w:t>
      </w:r>
      <w:r w:rsidRPr="00D427D8">
        <w:rPr>
          <w:bCs/>
          <w:lang w:bidi="he-IL"/>
        </w:rPr>
        <w:t xml:space="preserve">" </w:t>
      </w:r>
      <w:r w:rsidRPr="00D427D8">
        <w:rPr>
          <w:lang w:bidi="he-IL"/>
        </w:rPr>
        <w:t>means the residual value component of a Leased Vehicle related to a Lease Receivable, which is securitised by creating an expectancy right (</w:t>
      </w:r>
      <w:r w:rsidRPr="00D427D8">
        <w:rPr>
          <w:i/>
          <w:lang w:bidi="he-IL"/>
        </w:rPr>
        <w:t>Anwartschaftsrecht</w:t>
      </w:r>
      <w:r w:rsidRPr="00D427D8">
        <w:rPr>
          <w:lang w:bidi="he-IL"/>
        </w:rPr>
        <w:t>) that is sold by the Seller to the Issuer. The expectancy right arises from the conditional retransfer to the Seller of title to the Leased Vehicle, which is transferred to the Issuer for security purposes.</w:t>
      </w:r>
    </w:p>
    <w:p w14:paraId="55D9CF4F" w14:textId="70AF7A40" w:rsidR="009F6E91" w:rsidRPr="00D427D8" w:rsidRDefault="00A2179F" w:rsidP="00A2179F">
      <w:pPr>
        <w:pStyle w:val="Body2"/>
        <w:rPr>
          <w:lang w:bidi="he-IL"/>
        </w:rPr>
      </w:pPr>
      <w:bookmarkStart w:id="178" w:name="_Hlk189125816"/>
      <w:r w:rsidRPr="00D427D8">
        <w:rPr>
          <w:lang w:bidi="he-IL"/>
        </w:rPr>
        <w:t>"</w:t>
      </w:r>
      <w:bookmarkStart w:id="179" w:name="_Hlk81793921"/>
      <w:r w:rsidRPr="00D427D8">
        <w:rPr>
          <w:rStyle w:val="BoldText"/>
        </w:rPr>
        <w:t>Expectancy Right Value</w:t>
      </w:r>
      <w:bookmarkEnd w:id="179"/>
      <w:r w:rsidRPr="00D427D8">
        <w:rPr>
          <w:lang w:bidi="he-IL"/>
        </w:rPr>
        <w:t xml:space="preserve">" means </w:t>
      </w:r>
      <w:r w:rsidRPr="00D427D8">
        <w:rPr>
          <w:lang w:val="en-US"/>
        </w:rPr>
        <w:t xml:space="preserve">the </w:t>
      </w:r>
      <w:r w:rsidRPr="00D427D8">
        <w:t>contractually agreed</w:t>
      </w:r>
      <w:r w:rsidRPr="00D427D8">
        <w:rPr>
          <w:lang w:val="en-US"/>
        </w:rPr>
        <w:t xml:space="preserve"> residual value of a Leased Vehicle as determined by the Seller and stipulated in the respective Lease Agreement as "</w:t>
      </w:r>
      <w:r w:rsidRPr="00D427D8">
        <w:rPr>
          <w:i/>
          <w:lang w:val="en-US"/>
        </w:rPr>
        <w:t>kalkulierter Restwert</w:t>
      </w:r>
      <w:r w:rsidRPr="00D427D8">
        <w:rPr>
          <w:lang w:val="en-US"/>
        </w:rPr>
        <w:t>".</w:t>
      </w:r>
    </w:p>
    <w:bookmarkEnd w:id="178"/>
    <w:p w14:paraId="1FF2EB2F" w14:textId="043B03C4" w:rsidR="009F6E91" w:rsidRPr="00D427D8" w:rsidRDefault="00A2179F" w:rsidP="00A2179F">
      <w:pPr>
        <w:pStyle w:val="Body2"/>
      </w:pPr>
      <w:r w:rsidRPr="00D427D8">
        <w:t>"</w:t>
      </w:r>
      <w:r w:rsidRPr="00D427D8">
        <w:rPr>
          <w:rStyle w:val="BoldText"/>
        </w:rPr>
        <w:t>Extraordinary Resolution</w:t>
      </w:r>
      <w:r w:rsidRPr="00D427D8">
        <w:t>" means, in respect of the Noteholder or any Class or Classes of Noteholders, a resolution passed at a General Meeting duly convened and held in accordance with the Conditions passed by a majority consisting not less than 75 per cent. of the votes cast, provided that any Disenfranchised Noteholder shall not be entitled to vote on any Extraordinary Resolution concerning a Disenfranchised Matter and the Notes held by a Disenfranchised Noteholder shall be treated as if it were not outstanding and shall not be counted in or towards the required quorum set out in this definition.</w:t>
      </w:r>
    </w:p>
    <w:p w14:paraId="4535299D" w14:textId="3520BA80" w:rsidR="009F6E91" w:rsidRPr="00D427D8" w:rsidRDefault="00EF7333" w:rsidP="00A2179F">
      <w:pPr>
        <w:pStyle w:val="DefHead"/>
      </w:pPr>
      <w:r w:rsidRPr="00D427D8">
        <w:t>"</w:t>
      </w:r>
      <w:r w:rsidR="009F6E91" w:rsidRPr="00D427D8">
        <w:rPr>
          <w:rStyle w:val="BoldText"/>
        </w:rPr>
        <w:t>FATCA</w:t>
      </w:r>
      <w:r w:rsidRPr="00D427D8">
        <w:t>"</w:t>
      </w:r>
      <w:r w:rsidR="009F6E91" w:rsidRPr="00D427D8">
        <w:t xml:space="preserve"> means:</w:t>
      </w:r>
    </w:p>
    <w:p w14:paraId="238A4713" w14:textId="099D5E29" w:rsidR="009F6E91" w:rsidRPr="00D427D8" w:rsidRDefault="009F6E91" w:rsidP="00E02E00">
      <w:pPr>
        <w:pStyle w:val="DefLevel1"/>
      </w:pPr>
      <w:r w:rsidRPr="00D427D8">
        <w:t>sections 1471 to 1474 of the US Internal Revenue Code and the Treasury regulations and official guidance issued thereunder, as amended from time to time (</w:t>
      </w:r>
      <w:r w:rsidR="00EF7333" w:rsidRPr="00D427D8">
        <w:t>"</w:t>
      </w:r>
      <w:r w:rsidRPr="00D427D8">
        <w:rPr>
          <w:b/>
        </w:rPr>
        <w:t>US FATCA</w:t>
      </w:r>
      <w:r w:rsidR="00EF7333" w:rsidRPr="00D427D8">
        <w:t>"</w:t>
      </w:r>
      <w:r w:rsidRPr="00D427D8">
        <w:t>);</w:t>
      </w:r>
    </w:p>
    <w:p w14:paraId="0AD571FB" w14:textId="6596ACD1" w:rsidR="009F6E91" w:rsidRPr="00D427D8" w:rsidRDefault="009F6E91" w:rsidP="00E02E00">
      <w:pPr>
        <w:pStyle w:val="DefLevel1"/>
      </w:pPr>
      <w:r w:rsidRPr="00D427D8">
        <w:lastRenderedPageBreak/>
        <w:t xml:space="preserve">any inter-governmental agreement between the United States and any other jurisdiction entered into in connection with US FATCA (an </w:t>
      </w:r>
      <w:r w:rsidR="00EF7333" w:rsidRPr="00D427D8">
        <w:t>"</w:t>
      </w:r>
      <w:r w:rsidRPr="00D427D8">
        <w:rPr>
          <w:b/>
        </w:rPr>
        <w:t>IGA</w:t>
      </w:r>
      <w:r w:rsidR="00EF7333" w:rsidRPr="00D427D8">
        <w:t>"</w:t>
      </w:r>
      <w:r w:rsidRPr="00D427D8">
        <w:t>);</w:t>
      </w:r>
    </w:p>
    <w:p w14:paraId="39826800" w14:textId="34534966" w:rsidR="009F6E91" w:rsidRPr="00D427D8" w:rsidRDefault="009F6E91" w:rsidP="00E02E00">
      <w:pPr>
        <w:pStyle w:val="DefLevel1"/>
      </w:pPr>
      <w:r w:rsidRPr="00D427D8">
        <w:t>any treaty, law, regulation or official guidance enacted, issued or amended in any jurisdiction which facilitates the implementation of US FATCA or an IGA (</w:t>
      </w:r>
      <w:r w:rsidR="00EF7333" w:rsidRPr="00D427D8">
        <w:t>"</w:t>
      </w:r>
      <w:r w:rsidRPr="00D427D8">
        <w:rPr>
          <w:b/>
        </w:rPr>
        <w:t>Implementing Law</w:t>
      </w:r>
      <w:r w:rsidR="00EF7333" w:rsidRPr="00D427D8">
        <w:t>"</w:t>
      </w:r>
      <w:r w:rsidRPr="00D427D8">
        <w:t>); and</w:t>
      </w:r>
    </w:p>
    <w:p w14:paraId="5ADC9C38" w14:textId="0990301A" w:rsidR="009F6E91" w:rsidRPr="00D427D8" w:rsidRDefault="009F6E91" w:rsidP="00E02E00">
      <w:pPr>
        <w:pStyle w:val="DefLevel1"/>
      </w:pPr>
      <w:r w:rsidRPr="00D427D8">
        <w:t>any agreement entered into with the US Internal Revenue Service, the US government or any governmental or Tax authority in any other jurisdiction in connection with US FATCA, an IGA or any Implementing Law.</w:t>
      </w:r>
    </w:p>
    <w:p w14:paraId="5C61F07A" w14:textId="5AC78841" w:rsidR="009F6E91" w:rsidRPr="00D427D8" w:rsidRDefault="00E02E00" w:rsidP="00E02E00">
      <w:pPr>
        <w:pStyle w:val="Body2"/>
      </w:pPr>
      <w:r w:rsidRPr="00D427D8">
        <w:t>"</w:t>
      </w:r>
      <w:r w:rsidRPr="00D427D8">
        <w:rPr>
          <w:rStyle w:val="BoldText"/>
        </w:rPr>
        <w:t>FATCA Withholding</w:t>
      </w:r>
      <w:r w:rsidRPr="00D427D8">
        <w:t>" means any withholding from a payment under a Transaction Document required by FATCA.</w:t>
      </w:r>
    </w:p>
    <w:p w14:paraId="345353E2" w14:textId="0C8D0FA0" w:rsidR="009F6E91" w:rsidRPr="00D427D8" w:rsidRDefault="00EF7333" w:rsidP="009F6E91">
      <w:pPr>
        <w:pStyle w:val="Body2"/>
      </w:pPr>
      <w:r w:rsidRPr="00D427D8">
        <w:t>"</w:t>
      </w:r>
      <w:r w:rsidR="009F6E91" w:rsidRPr="00D427D8">
        <w:rPr>
          <w:b/>
        </w:rPr>
        <w:t>Fee Letters</w:t>
      </w:r>
      <w:r w:rsidRPr="00D427D8">
        <w:t>"</w:t>
      </w:r>
      <w:r w:rsidR="009F6E91" w:rsidRPr="00D427D8">
        <w:t xml:space="preserve"> means the fee letters entered into between the Seller and the Lead Manager on the Signing Date.</w:t>
      </w:r>
    </w:p>
    <w:p w14:paraId="7BC5DD97" w14:textId="2CDD08F4" w:rsidR="009F6E91" w:rsidRPr="00D427D8" w:rsidRDefault="00E02E00" w:rsidP="00E02E00">
      <w:pPr>
        <w:pStyle w:val="Body2"/>
      </w:pPr>
      <w:r w:rsidRPr="00D427D8">
        <w:rPr>
          <w:lang w:bidi="he-IL"/>
        </w:rPr>
        <w:t>"</w:t>
      </w:r>
      <w:r w:rsidRPr="00D427D8">
        <w:rPr>
          <w:rStyle w:val="BoldText"/>
        </w:rPr>
        <w:t>Final Determined Amount</w:t>
      </w:r>
      <w:r w:rsidRPr="00D427D8">
        <w:rPr>
          <w:lang w:bidi="he-IL"/>
        </w:rPr>
        <w:t>"</w:t>
      </w:r>
      <w:r w:rsidRPr="00D427D8">
        <w:t xml:space="preserve"> </w:t>
      </w:r>
      <w:r w:rsidR="00CF68B0" w:rsidRPr="00CF68B0">
        <w:t>means with respect to delinquent Receivables and Defaulted Receivables, any amount that constitutes any expected credit loss as determined by the Seller in accordance with International Financial Reporting Standard 9 (IFRS 9) regulation or any such equivalent financial reporting standard promulgated by the International Accounting Standards Board (IASB) to replace IFRS 9</w:t>
      </w:r>
      <w:r w:rsidRPr="00D427D8">
        <w:t>.</w:t>
      </w:r>
    </w:p>
    <w:p w14:paraId="70D2D78C" w14:textId="3A98E3A4" w:rsidR="009F6E91" w:rsidRPr="00D427D8" w:rsidRDefault="00EF7333" w:rsidP="009F6E91">
      <w:pPr>
        <w:pStyle w:val="Body2"/>
      </w:pPr>
      <w:r w:rsidRPr="00D427D8">
        <w:t>"</w:t>
      </w:r>
      <w:r w:rsidR="009F6E91" w:rsidRPr="00D427D8">
        <w:rPr>
          <w:b/>
        </w:rPr>
        <w:t>Final Legal Maturity Date</w:t>
      </w:r>
      <w:r w:rsidRPr="00D427D8">
        <w:t>"</w:t>
      </w:r>
      <w:r w:rsidR="009F6E91" w:rsidRPr="00D427D8">
        <w:t xml:space="preserve"> means the Distribution Date falling in </w:t>
      </w:r>
      <w:r w:rsidR="00D70F65">
        <w:t>May 2034</w:t>
      </w:r>
      <w:r w:rsidR="009F6E91" w:rsidRPr="00D427D8">
        <w:t>.</w:t>
      </w:r>
    </w:p>
    <w:p w14:paraId="63A41310" w14:textId="66320475" w:rsidR="009F6E91" w:rsidRPr="00D427D8" w:rsidRDefault="00EF7333" w:rsidP="00E02E00">
      <w:pPr>
        <w:pStyle w:val="DefHead"/>
      </w:pPr>
      <w:bookmarkStart w:id="180" w:name="_Hlk198751338"/>
      <w:r w:rsidRPr="00D427D8">
        <w:t>"</w:t>
      </w:r>
      <w:r w:rsidR="009F6E91" w:rsidRPr="00D427D8">
        <w:rPr>
          <w:rStyle w:val="BoldText"/>
        </w:rPr>
        <w:t>Final Repurchase Price</w:t>
      </w:r>
      <w:r w:rsidRPr="00D427D8">
        <w:t>"</w:t>
      </w:r>
      <w:r w:rsidR="009F6E91" w:rsidRPr="00D427D8">
        <w:t xml:space="preserve"> means an amount equal to the sum of:</w:t>
      </w:r>
    </w:p>
    <w:p w14:paraId="287C3ABC" w14:textId="4FD9A867" w:rsidR="009F6E91" w:rsidRPr="00D427D8" w:rsidRDefault="009F6E91" w:rsidP="00E02E00">
      <w:pPr>
        <w:pStyle w:val="DefLevel1"/>
      </w:pPr>
      <w:r w:rsidRPr="00D427D8">
        <w:t xml:space="preserve">the </w:t>
      </w:r>
      <w:r w:rsidR="00C36CDE" w:rsidRPr="00D427D8">
        <w:t xml:space="preserve">Net </w:t>
      </w:r>
      <w:r w:rsidRPr="00D427D8">
        <w:t xml:space="preserve">Present Value of the relevant </w:t>
      </w:r>
      <w:r w:rsidR="00926A40" w:rsidRPr="00D427D8">
        <w:t xml:space="preserve">Lease </w:t>
      </w:r>
      <w:r w:rsidRPr="00D427D8">
        <w:t xml:space="preserve">Receivables (other than Defaulted Receivables and delinquent </w:t>
      </w:r>
      <w:r w:rsidR="00926A40" w:rsidRPr="00D427D8">
        <w:t xml:space="preserve">Lease </w:t>
      </w:r>
      <w:r w:rsidRPr="00D427D8">
        <w:t>Receivables)</w:t>
      </w:r>
      <w:r w:rsidR="00CF68B0">
        <w:t xml:space="preserve"> and Expectancy Rights</w:t>
      </w:r>
      <w:r w:rsidRPr="00D427D8">
        <w:t xml:space="preserve"> at the end of the immediately preceding Monthly Period; and</w:t>
      </w:r>
    </w:p>
    <w:p w14:paraId="40E603AE" w14:textId="3E21ABE2" w:rsidR="009F6E91" w:rsidRPr="00D427D8" w:rsidRDefault="00CF68B0" w:rsidP="00E02E00">
      <w:pPr>
        <w:pStyle w:val="DefLevel1"/>
      </w:pPr>
      <w:r w:rsidRPr="00CF68B0">
        <w:t xml:space="preserve">for the Defaulted Receivables and delinquent Receivables, their </w:t>
      </w:r>
      <w:r>
        <w:t>Net</w:t>
      </w:r>
      <w:r w:rsidRPr="00CF68B0">
        <w:t xml:space="preserve"> Present Value less any </w:t>
      </w:r>
      <w:r w:rsidR="00C7143B">
        <w:t>Final Determined</w:t>
      </w:r>
      <w:r w:rsidRPr="00CF68B0">
        <w:t xml:space="preserve"> Amount allocated with respect to such Defaulted Receivables and delinquent Receivables matching their book value on the balance sheet of the Seller at the end of the immediately preceding Monthly Period</w:t>
      </w:r>
      <w:r w:rsidR="009F6E91" w:rsidRPr="00D427D8">
        <w:t>;</w:t>
      </w:r>
    </w:p>
    <w:bookmarkEnd w:id="180"/>
    <w:p w14:paraId="53280BB1" w14:textId="77777777" w:rsidR="009F6E91" w:rsidRPr="00D427D8" w:rsidRDefault="009F6E91" w:rsidP="009F6E91">
      <w:pPr>
        <w:pStyle w:val="Body2"/>
      </w:pPr>
      <w:r w:rsidRPr="00D427D8">
        <w:t>Any VAT payable in connection with the repurchase by the Seller of Expectancy Rights or Leased Vehicles shall not form part of the Final Repurchase Price as defined above. Such VAT shall be transferred to the VAT Account of the Issuer separately and shall be applied exclusively for input VAT payments due to the tax authorities and the repayment of the VAT Bridge Loan.</w:t>
      </w:r>
    </w:p>
    <w:p w14:paraId="42556B34" w14:textId="5CFC203F" w:rsidR="009F6E91" w:rsidRPr="00D427D8" w:rsidRDefault="00E02E00" w:rsidP="00E02E00">
      <w:pPr>
        <w:pStyle w:val="Body2"/>
        <w:rPr>
          <w:lang w:bidi="he-IL"/>
        </w:rPr>
      </w:pPr>
      <w:r w:rsidRPr="00D427D8">
        <w:t>"</w:t>
      </w:r>
      <w:r w:rsidRPr="00D427D8">
        <w:rPr>
          <w:rStyle w:val="BoldText"/>
        </w:rPr>
        <w:t>Further ER Purchase Price</w:t>
      </w:r>
      <w:r w:rsidRPr="00D427D8">
        <w:t xml:space="preserve">" </w:t>
      </w:r>
      <w:r w:rsidRPr="00D427D8">
        <w:rPr>
          <w:lang w:bidi="he-IL"/>
        </w:rPr>
        <w:t xml:space="preserve">means, with respect to each Further Expectancy Right, the sum of the ER Purchase Price Advance and the ER Purchase Price Residual </w:t>
      </w:r>
      <w:r w:rsidRPr="00D427D8">
        <w:t>on the relevant Further Purchase Date.</w:t>
      </w:r>
    </w:p>
    <w:p w14:paraId="61FE84ED" w14:textId="793AF98B" w:rsidR="009F6E91" w:rsidRPr="00D427D8" w:rsidRDefault="00E02E00" w:rsidP="00E02E00">
      <w:pPr>
        <w:pStyle w:val="Body2"/>
      </w:pPr>
      <w:r w:rsidRPr="00D427D8">
        <w:t>"</w:t>
      </w:r>
      <w:r w:rsidRPr="00D427D8">
        <w:rPr>
          <w:rStyle w:val="BoldText"/>
        </w:rPr>
        <w:t>Further Expectancy Rights</w:t>
      </w:r>
      <w:r w:rsidRPr="00D427D8">
        <w:t xml:space="preserve">" means each expectancy right purchased pursuant to the ER Purchase Agreement </w:t>
      </w:r>
      <w:r w:rsidRPr="00D427D8">
        <w:rPr>
          <w:lang w:bidi="he-IL"/>
        </w:rPr>
        <w:t>on a Further Purchase Date</w:t>
      </w:r>
    </w:p>
    <w:p w14:paraId="7C3E6C88" w14:textId="75E686A8" w:rsidR="009F6E91" w:rsidRPr="00D427D8" w:rsidRDefault="00E02E00" w:rsidP="00E02E00">
      <w:pPr>
        <w:pStyle w:val="Body2"/>
      </w:pPr>
      <w:r w:rsidRPr="00D427D8">
        <w:t>"</w:t>
      </w:r>
      <w:r w:rsidRPr="00D427D8">
        <w:rPr>
          <w:rStyle w:val="BoldText"/>
        </w:rPr>
        <w:t>Further Lease Receivables</w:t>
      </w:r>
      <w:r w:rsidRPr="00D427D8">
        <w:t xml:space="preserve">" means each lease receivable purchased pursuant to the Lease Receivables Purchase Agreement </w:t>
      </w:r>
      <w:r w:rsidRPr="00D427D8">
        <w:rPr>
          <w:lang w:bidi="he-IL"/>
        </w:rPr>
        <w:t>on a Further Purchase Date</w:t>
      </w:r>
    </w:p>
    <w:p w14:paraId="01D6A7F4" w14:textId="5EBCB6C2" w:rsidR="009F6E91" w:rsidRPr="00D427D8" w:rsidRDefault="00E02E00" w:rsidP="00E02E00">
      <w:pPr>
        <w:pStyle w:val="Body2"/>
        <w:rPr>
          <w:lang w:bidi="he-IL"/>
        </w:rPr>
      </w:pPr>
      <w:r w:rsidRPr="00D427D8">
        <w:rPr>
          <w:lang w:bidi="he-IL"/>
        </w:rPr>
        <w:t>"</w:t>
      </w:r>
      <w:r w:rsidRPr="00D427D8">
        <w:rPr>
          <w:rStyle w:val="BoldText"/>
        </w:rPr>
        <w:t>Further Lease Receivables Purchase Price</w:t>
      </w:r>
      <w:r w:rsidRPr="00D427D8">
        <w:rPr>
          <w:lang w:bidi="he-IL"/>
        </w:rPr>
        <w:t xml:space="preserve">" means, with respect to each Further Lease Receivable, the Net Present Value of such Lease Receivable </w:t>
      </w:r>
      <w:r w:rsidRPr="00D427D8">
        <w:t>on the relevant Further Purchase Date.</w:t>
      </w:r>
    </w:p>
    <w:p w14:paraId="22F5E993" w14:textId="7DEC557C" w:rsidR="009F6E91" w:rsidRPr="00D427D8" w:rsidRDefault="00EF7333" w:rsidP="009F6E91">
      <w:pPr>
        <w:pStyle w:val="Body2"/>
      </w:pPr>
      <w:r w:rsidRPr="00D427D8">
        <w:t>"</w:t>
      </w:r>
      <w:r w:rsidR="009F6E91" w:rsidRPr="00D427D8">
        <w:rPr>
          <w:b/>
        </w:rPr>
        <w:t>Further Purchase Cut-Off Date</w:t>
      </w:r>
      <w:r w:rsidRPr="00D427D8">
        <w:t>"</w:t>
      </w:r>
      <w:r w:rsidR="009F6E91" w:rsidRPr="00D427D8">
        <w:t xml:space="preserve"> means the Determination Date immediately preceding a Further Purchase Date.</w:t>
      </w:r>
    </w:p>
    <w:p w14:paraId="4F0E6D24" w14:textId="1C35C620" w:rsidR="009F6E91" w:rsidRPr="00D427D8" w:rsidRDefault="00EF7333" w:rsidP="009F6E91">
      <w:pPr>
        <w:pStyle w:val="Body2"/>
      </w:pPr>
      <w:r w:rsidRPr="00D427D8">
        <w:t>"</w:t>
      </w:r>
      <w:r w:rsidR="009F6E91" w:rsidRPr="00D427D8">
        <w:rPr>
          <w:b/>
        </w:rPr>
        <w:t>Further Purchase Date</w:t>
      </w:r>
      <w:r w:rsidRPr="00D427D8">
        <w:t>"</w:t>
      </w:r>
      <w:r w:rsidR="009F6E91" w:rsidRPr="00D427D8">
        <w:t xml:space="preserve"> means any Distribution Date falling in the Revolving Period.</w:t>
      </w:r>
    </w:p>
    <w:p w14:paraId="777DEC85" w14:textId="46D2D6DF" w:rsidR="009F6E91" w:rsidRPr="00D427D8" w:rsidRDefault="00E02E00" w:rsidP="00E02E00">
      <w:pPr>
        <w:pStyle w:val="Body2"/>
      </w:pPr>
      <w:r w:rsidRPr="00D427D8">
        <w:t>"</w:t>
      </w:r>
      <w:r w:rsidRPr="00D427D8">
        <w:rPr>
          <w:rStyle w:val="BoldText"/>
        </w:rPr>
        <w:t>Further Purchase Price</w:t>
      </w:r>
      <w:r w:rsidRPr="00D427D8">
        <w:t>" means the sum of the Further Lease Receivables Purchase Price and the Further ER Purchase Price on the relevant Further Purchase Date.</w:t>
      </w:r>
    </w:p>
    <w:p w14:paraId="34E7A07B" w14:textId="395B9AF7" w:rsidR="009F6E91" w:rsidRPr="00D427D8" w:rsidRDefault="00EF7333" w:rsidP="009F6E91">
      <w:pPr>
        <w:pStyle w:val="Body2"/>
      </w:pPr>
      <w:r w:rsidRPr="00D427D8">
        <w:lastRenderedPageBreak/>
        <w:t>"</w:t>
      </w:r>
      <w:bookmarkStart w:id="181" w:name="_Hlk191284201"/>
      <w:r w:rsidR="009F6E91" w:rsidRPr="00D427D8">
        <w:rPr>
          <w:b/>
        </w:rPr>
        <w:t>General Data Protection Regulation</w:t>
      </w:r>
      <w:bookmarkEnd w:id="181"/>
      <w:r w:rsidRPr="00D427D8">
        <w:t>"</w:t>
      </w:r>
      <w:r w:rsidR="009F6E91" w:rsidRPr="00D427D8">
        <w:t xml:space="preserve"> means Regulation (EU) 2016/679 of the European Parliament and of the Council of 27 April 2016 on the protection of natural persons with regard to the processing of personal data and on the free movement of such data, as amended from time to time.</w:t>
      </w:r>
    </w:p>
    <w:p w14:paraId="35045365" w14:textId="77FF4D4D" w:rsidR="009F6E91" w:rsidRPr="00D427D8" w:rsidRDefault="00EF7333" w:rsidP="009F6E91">
      <w:pPr>
        <w:pStyle w:val="Body2"/>
      </w:pPr>
      <w:r w:rsidRPr="00D427D8">
        <w:t>"</w:t>
      </w:r>
      <w:r w:rsidR="009F6E91" w:rsidRPr="00D427D8">
        <w:rPr>
          <w:b/>
        </w:rPr>
        <w:t>General Meeting</w:t>
      </w:r>
      <w:r w:rsidRPr="00D427D8">
        <w:t>"</w:t>
      </w:r>
      <w:r w:rsidR="009F6E91" w:rsidRPr="00D427D8">
        <w:t xml:space="preserve"> means a meeting of the Noteholders or of any one or more Class(es) of Noteholders and, except where the context otherwise requires, includes a meeting resumed following an adjournment.</w:t>
      </w:r>
    </w:p>
    <w:p w14:paraId="020012D3" w14:textId="0DAFD205" w:rsidR="009F6E91" w:rsidRPr="00D427D8" w:rsidRDefault="00EF7333" w:rsidP="009F6E91">
      <w:pPr>
        <w:pStyle w:val="Body2"/>
      </w:pPr>
      <w:r w:rsidRPr="00D427D8">
        <w:t>"</w:t>
      </w:r>
      <w:r w:rsidR="009F6E91" w:rsidRPr="00D427D8">
        <w:rPr>
          <w:b/>
        </w:rPr>
        <w:t>German Transaction Documents</w:t>
      </w:r>
      <w:r w:rsidRPr="00D427D8">
        <w:t>"</w:t>
      </w:r>
      <w:r w:rsidR="009F6E91" w:rsidRPr="00D427D8">
        <w:t xml:space="preserve"> means the Master Agreement, the Servicing Agreement, the Lease Receivables Purchase Agreement, the ER Purchase Agreement, the Data Protection Agreement, the Collateral Agency Agreement, the ER Collateral Agency Agreement, the Account Bank Agreement, the Agency Agreement, the Notes Subscription Agreement, the Subordinated Loan Agreement, the VAT Bridge Loan Agreement, the Fee Letters, and any other agreement or document from time to time designated as such by the </w:t>
      </w:r>
      <w:r w:rsidR="009F6E91" w:rsidRPr="00D427D8">
        <w:rPr>
          <w:lang w:val="en-US"/>
        </w:rPr>
        <w:t>Issuer</w:t>
      </w:r>
      <w:r w:rsidR="009F6E91" w:rsidRPr="00D427D8">
        <w:t>.</w:t>
      </w:r>
    </w:p>
    <w:p w14:paraId="57DEE6EB" w14:textId="51F1ED65" w:rsidR="009F6E91" w:rsidRPr="00D427D8" w:rsidRDefault="00EF7333" w:rsidP="009F6E91">
      <w:pPr>
        <w:pStyle w:val="Body2"/>
      </w:pPr>
      <w:r w:rsidRPr="00D427D8">
        <w:t>"</w:t>
      </w:r>
      <w:r w:rsidR="009F6E91" w:rsidRPr="00D427D8">
        <w:rPr>
          <w:b/>
        </w:rPr>
        <w:t>Hedging Arrangement</w:t>
      </w:r>
      <w:r w:rsidRPr="00D427D8">
        <w:t>"</w:t>
      </w:r>
      <w:r w:rsidR="009F6E91" w:rsidRPr="00D427D8">
        <w:t xml:space="preserve"> </w:t>
      </w:r>
      <w:r w:rsidR="006F5CD6" w:rsidRPr="00FD0907">
        <w:rPr>
          <w:rFonts w:asciiTheme="minorHAnsi" w:hAnsiTheme="minorHAnsi" w:cstheme="minorHAnsi"/>
          <w:szCs w:val="19"/>
        </w:rPr>
        <w:t xml:space="preserve">means the interest hedging arrangement (including, without limitation, the International Swaps and Derivatives Association, Inc. (ISDA) 2002 Master Agreement, the schedule thereto, the credit support annex and any other credit support documents related thereto, each dated as of the Signing Date, and </w:t>
      </w:r>
      <w:r w:rsidR="006F5CD6">
        <w:rPr>
          <w:rFonts w:asciiTheme="minorHAnsi" w:hAnsiTheme="minorHAnsi" w:cstheme="minorHAnsi"/>
          <w:szCs w:val="19"/>
        </w:rPr>
        <w:t>one interest rate swap</w:t>
      </w:r>
      <w:r w:rsidR="006F5CD6" w:rsidRPr="00FD0907">
        <w:rPr>
          <w:rFonts w:asciiTheme="minorHAnsi" w:hAnsiTheme="minorHAnsi" w:cstheme="minorHAnsi"/>
          <w:szCs w:val="19"/>
        </w:rPr>
        <w:t xml:space="preserve"> transaction confirmation</w:t>
      </w:r>
      <w:r w:rsidR="006F5CD6">
        <w:rPr>
          <w:rFonts w:asciiTheme="minorHAnsi" w:hAnsiTheme="minorHAnsi" w:cstheme="minorHAnsi"/>
          <w:szCs w:val="19"/>
        </w:rPr>
        <w:t xml:space="preserve"> in relation to the Class A Notes and the Class B Notes and another interest rate swap transaction confirmation in relation to the Class C Notes, the Class D Notes, the Class E Notes, the Class F Notes and the Class G Notes</w:t>
      </w:r>
      <w:r w:rsidR="006F5CD6" w:rsidRPr="00FD0907">
        <w:rPr>
          <w:rFonts w:asciiTheme="minorHAnsi" w:hAnsiTheme="minorHAnsi" w:cstheme="minorHAnsi"/>
          <w:szCs w:val="19"/>
        </w:rPr>
        <w:t xml:space="preserve">, </w:t>
      </w:r>
      <w:r w:rsidR="006F5CD6">
        <w:rPr>
          <w:rFonts w:asciiTheme="minorHAnsi" w:hAnsiTheme="minorHAnsi" w:cstheme="minorHAnsi"/>
          <w:szCs w:val="19"/>
        </w:rPr>
        <w:t xml:space="preserve">each </w:t>
      </w:r>
      <w:r w:rsidR="006F5CD6" w:rsidRPr="00FD0907">
        <w:rPr>
          <w:rFonts w:asciiTheme="minorHAnsi" w:hAnsiTheme="minorHAnsi" w:cstheme="minorHAnsi"/>
          <w:szCs w:val="19"/>
        </w:rPr>
        <w:t xml:space="preserve">dated on or around the Signing Date, between the Issuer and the Counterparty and the transaction(s) effected thereunder (or such replacement interest hedging arrangement as the Issuer may enter into in accordance with the Transaction Documents)) entered into by the Issuer to hedge the interest rate risk on the </w:t>
      </w:r>
      <w:r w:rsidR="006F5CD6" w:rsidRPr="00CA6DAD">
        <w:rPr>
          <w:rFonts w:asciiTheme="minorHAnsi" w:hAnsiTheme="minorHAnsi" w:cstheme="minorHAnsi"/>
          <w:szCs w:val="19"/>
        </w:rPr>
        <w:t>Notes</w:t>
      </w:r>
      <w:r w:rsidR="006F5CD6">
        <w:rPr>
          <w:rFonts w:asciiTheme="minorHAnsi" w:hAnsiTheme="minorHAnsi" w:cstheme="minorHAnsi"/>
          <w:szCs w:val="19"/>
        </w:rPr>
        <w:t>.</w:t>
      </w:r>
    </w:p>
    <w:p w14:paraId="1D4D9D0B" w14:textId="4C15DF18" w:rsidR="009F6E91" w:rsidRPr="00D427D8" w:rsidRDefault="00EF7333" w:rsidP="009F6E91">
      <w:pPr>
        <w:pStyle w:val="Body2"/>
      </w:pPr>
      <w:r w:rsidRPr="00D427D8">
        <w:t>"</w:t>
      </w:r>
      <w:r w:rsidR="009F6E91" w:rsidRPr="00D427D8">
        <w:rPr>
          <w:b/>
          <w:bCs/>
        </w:rPr>
        <w:t>IFRS 9 Provisioned Amount</w:t>
      </w:r>
      <w:r w:rsidRPr="00D427D8">
        <w:t>"</w:t>
      </w:r>
      <w:r w:rsidR="009F6E91" w:rsidRPr="00D427D8">
        <w:t xml:space="preserve"> means with respect to delinquent Receivables and Defaulted Receivables, any amount that constitutes any expected credit loss as determined by the Seller in accordance with International Financial Reporting Standard 9 (IFRS 9) regulation or any such equivalent financial reporting standard promulgated by the International Accounting Standards Board (IASB) to replace IFRS 9.</w:t>
      </w:r>
    </w:p>
    <w:p w14:paraId="458E670B" w14:textId="751C7BD4" w:rsidR="009F6E91" w:rsidRPr="00D427D8" w:rsidRDefault="00E02E00" w:rsidP="00E02E00">
      <w:pPr>
        <w:pStyle w:val="Body2"/>
        <w:rPr>
          <w:lang w:bidi="he-IL"/>
        </w:rPr>
      </w:pPr>
      <w:r w:rsidRPr="00D427D8">
        <w:t>"</w:t>
      </w:r>
      <w:r w:rsidRPr="00D427D8">
        <w:rPr>
          <w:rStyle w:val="BoldText"/>
        </w:rPr>
        <w:t>Initial ER Purchase Price</w:t>
      </w:r>
      <w:r w:rsidRPr="00D427D8">
        <w:t xml:space="preserve">" </w:t>
      </w:r>
      <w:r w:rsidRPr="00D427D8">
        <w:rPr>
          <w:lang w:bidi="he-IL"/>
        </w:rPr>
        <w:t xml:space="preserve">means, with respect to each Initial Expectancy Right, the sum of the ER Purchase Price Advance and the ER Purchase Price Residual </w:t>
      </w:r>
      <w:r w:rsidRPr="00D427D8">
        <w:t>on the Closing Date.</w:t>
      </w:r>
    </w:p>
    <w:p w14:paraId="0313E5BE" w14:textId="793D59BE" w:rsidR="009F6E91" w:rsidRPr="00D427D8" w:rsidRDefault="00E02E00" w:rsidP="00E02E00">
      <w:pPr>
        <w:pStyle w:val="Body2"/>
      </w:pPr>
      <w:r w:rsidRPr="00D427D8">
        <w:t>"</w:t>
      </w:r>
      <w:r w:rsidRPr="00D427D8">
        <w:rPr>
          <w:rStyle w:val="BoldText"/>
        </w:rPr>
        <w:t>Initial Expectancy Rights</w:t>
      </w:r>
      <w:r w:rsidRPr="00D427D8">
        <w:t>" means each expectancy right purchased pursuant to the ER Purchase Agreement on the Closing Date.</w:t>
      </w:r>
    </w:p>
    <w:p w14:paraId="2D616E36" w14:textId="7591EFD6" w:rsidR="009F6E91" w:rsidRPr="00D427D8" w:rsidRDefault="00E02E00" w:rsidP="00E02E00">
      <w:pPr>
        <w:pStyle w:val="Body2"/>
      </w:pPr>
      <w:r w:rsidRPr="00D427D8">
        <w:t>"</w:t>
      </w:r>
      <w:r w:rsidRPr="00D427D8">
        <w:rPr>
          <w:rStyle w:val="BoldText"/>
        </w:rPr>
        <w:t>Initial Lease Receivables</w:t>
      </w:r>
      <w:r w:rsidRPr="00D427D8">
        <w:t>" means each lease receivable purchased pursuant to the Lease Receivables Purchase Agreement on the Closing Date.</w:t>
      </w:r>
    </w:p>
    <w:p w14:paraId="0DCDCC57" w14:textId="27986B72" w:rsidR="009F6E91" w:rsidRPr="00D427D8" w:rsidRDefault="00E02E00" w:rsidP="00E02E00">
      <w:pPr>
        <w:pStyle w:val="Body2"/>
      </w:pPr>
      <w:r w:rsidRPr="00D427D8">
        <w:t>"</w:t>
      </w:r>
      <w:r w:rsidRPr="00D427D8">
        <w:rPr>
          <w:rStyle w:val="BoldText"/>
        </w:rPr>
        <w:t>Initial Lease Receivables Purchase Price</w:t>
      </w:r>
      <w:r w:rsidRPr="00D427D8">
        <w:t>" means in relation to the Initial Lease Receivables EUR </w:t>
      </w:r>
      <w:r w:rsidR="00CB16CF" w:rsidRPr="00CB16CF">
        <w:t>220,376,360.07</w:t>
      </w:r>
      <w:r w:rsidRPr="00D427D8">
        <w:t>.</w:t>
      </w:r>
    </w:p>
    <w:p w14:paraId="2B24CAFF" w14:textId="766F71BD" w:rsidR="009F6E91" w:rsidRPr="00D427D8" w:rsidRDefault="00E02E00" w:rsidP="00E02E00">
      <w:pPr>
        <w:pStyle w:val="Body2"/>
      </w:pPr>
      <w:r w:rsidRPr="00D427D8">
        <w:t>"</w:t>
      </w:r>
      <w:r w:rsidRPr="00D427D8">
        <w:rPr>
          <w:rStyle w:val="BoldText"/>
        </w:rPr>
        <w:t>Initial Purchase Price</w:t>
      </w:r>
      <w:r w:rsidRPr="00D427D8">
        <w:t xml:space="preserve">" means the sum of the Initial Lease Receivables Purchase Price and the Initial ER Purchase Price which equals an amount of EUR </w:t>
      </w:r>
      <w:r w:rsidR="00CB16CF" w:rsidRPr="00CB16CF">
        <w:t>999,999,897.80</w:t>
      </w:r>
      <w:r w:rsidRPr="00D427D8">
        <w:t>.</w:t>
      </w:r>
    </w:p>
    <w:p w14:paraId="3D8C649D" w14:textId="0E11F35F" w:rsidR="009F6E91" w:rsidRPr="00D427D8" w:rsidRDefault="00E02E00" w:rsidP="00E02E00">
      <w:pPr>
        <w:pStyle w:val="Body2"/>
      </w:pPr>
      <w:r w:rsidRPr="00D427D8">
        <w:t>"</w:t>
      </w:r>
      <w:r w:rsidRPr="00D427D8">
        <w:rPr>
          <w:rStyle w:val="BoldText"/>
        </w:rPr>
        <w:t>Initial</w:t>
      </w:r>
      <w:r w:rsidRPr="00D427D8">
        <w:t xml:space="preserve"> </w:t>
      </w:r>
      <w:r w:rsidRPr="00D427D8">
        <w:rPr>
          <w:rStyle w:val="BoldText"/>
        </w:rPr>
        <w:t>Receivables</w:t>
      </w:r>
      <w:r w:rsidRPr="00D427D8">
        <w:t>" means the Initial Lease Receivables and the Initial Expectancy Rights.</w:t>
      </w:r>
    </w:p>
    <w:p w14:paraId="4DFCBBEB" w14:textId="662EB27C" w:rsidR="009F6E91" w:rsidRPr="00D427D8" w:rsidRDefault="00E02E00" w:rsidP="00E02E00">
      <w:pPr>
        <w:pStyle w:val="Body2"/>
      </w:pPr>
      <w:r w:rsidRPr="00D427D8">
        <w:t>"</w:t>
      </w:r>
      <w:r w:rsidRPr="00D427D8">
        <w:rPr>
          <w:rStyle w:val="BoldText"/>
        </w:rPr>
        <w:t>Input VAT Refund</w:t>
      </w:r>
      <w:r w:rsidRPr="00D427D8">
        <w:t xml:space="preserve">" </w:t>
      </w:r>
      <w:bookmarkStart w:id="182" w:name="_Hlk85588113"/>
      <w:r w:rsidRPr="00D427D8">
        <w:t>means payments received from the tax authorities in respect of any VAT Advance Return Filing submitted by the Issuer</w:t>
      </w:r>
      <w:bookmarkEnd w:id="182"/>
      <w:r w:rsidRPr="00D427D8">
        <w:t>.</w:t>
      </w:r>
    </w:p>
    <w:p w14:paraId="73C1FAE3" w14:textId="33E62B5F" w:rsidR="009F6E91" w:rsidRPr="00D427D8" w:rsidRDefault="00EF7333" w:rsidP="00E02E00">
      <w:pPr>
        <w:pStyle w:val="DefHead"/>
      </w:pPr>
      <w:r w:rsidRPr="00D427D8">
        <w:t>"</w:t>
      </w:r>
      <w:r w:rsidR="009F6E91" w:rsidRPr="00D427D8">
        <w:rPr>
          <w:b/>
        </w:rPr>
        <w:t>Insolvency Event</w:t>
      </w:r>
      <w:r w:rsidRPr="00D427D8">
        <w:t>"</w:t>
      </w:r>
      <w:r w:rsidR="009F6E91" w:rsidRPr="00D427D8">
        <w:t xml:space="preserve"> means the occurrence of any of the following events in relation to a relevant party:</w:t>
      </w:r>
    </w:p>
    <w:p w14:paraId="73C2D278" w14:textId="31597691" w:rsidR="009F6E91" w:rsidRPr="00D427D8" w:rsidRDefault="009F6E91" w:rsidP="00E02E00">
      <w:pPr>
        <w:pStyle w:val="DefLevel1"/>
      </w:pPr>
      <w:r w:rsidRPr="00D427D8">
        <w:t>Stellantis Bank is:</w:t>
      </w:r>
    </w:p>
    <w:p w14:paraId="1411371D" w14:textId="0762D889" w:rsidR="009F6E91" w:rsidRPr="00D427D8" w:rsidRDefault="009F6E91" w:rsidP="00E02E00">
      <w:pPr>
        <w:pStyle w:val="DefLevel2"/>
      </w:pPr>
      <w:r w:rsidRPr="00D427D8">
        <w:t>in a state of cessation of payments (</w:t>
      </w:r>
      <w:r w:rsidRPr="00D427D8">
        <w:rPr>
          <w:i/>
        </w:rPr>
        <w:t>cessation des paiements</w:t>
      </w:r>
      <w:r w:rsidRPr="00D427D8">
        <w:t>) within the meaning of article L. 613-26 of the French Monetary and Financial Code; or</w:t>
      </w:r>
    </w:p>
    <w:p w14:paraId="737C0E34" w14:textId="73A3F668" w:rsidR="009F6E91" w:rsidRPr="00D427D8" w:rsidRDefault="009F6E91" w:rsidP="00E02E00">
      <w:pPr>
        <w:pStyle w:val="DefLevel2"/>
      </w:pPr>
      <w:r w:rsidRPr="00D427D8">
        <w:lastRenderedPageBreak/>
        <w:t>subject to any of the proceedings governed by Book VI of the French Commercial Code and an administrator or a liquidator is legally and validly appointed over Stellantis Bank or relating to all of Stellantis Bank</w:t>
      </w:r>
      <w:r w:rsidR="00EF7333" w:rsidRPr="00D427D8">
        <w:t>'</w:t>
      </w:r>
      <w:r w:rsidRPr="00D427D8">
        <w:t>s revenues and assets,</w:t>
      </w:r>
    </w:p>
    <w:p w14:paraId="7939C358" w14:textId="77777777" w:rsidR="009F6E91" w:rsidRPr="00D427D8" w:rsidRDefault="009F6E91" w:rsidP="009F6E91">
      <w:pPr>
        <w:pStyle w:val="Body4"/>
      </w:pPr>
      <w:r w:rsidRPr="00D427D8">
        <w:t>provided always</w:t>
      </w:r>
      <w:r w:rsidRPr="00D427D8">
        <w:rPr>
          <w:i/>
        </w:rPr>
        <w:t xml:space="preserve"> </w:t>
      </w:r>
      <w:r w:rsidRPr="00D427D8">
        <w:t>that the opening of any judicial liquidation (</w:t>
      </w:r>
      <w:r w:rsidRPr="00D427D8">
        <w:rPr>
          <w:i/>
        </w:rPr>
        <w:t>liquidation judiciaire</w:t>
      </w:r>
      <w:r w:rsidRPr="00D427D8">
        <w:t>) or any safeguard procedure (</w:t>
      </w:r>
      <w:r w:rsidRPr="00D427D8">
        <w:rPr>
          <w:i/>
        </w:rPr>
        <w:t>procédure de sauvegarde</w:t>
      </w:r>
      <w:r w:rsidRPr="00D427D8">
        <w:t>) or any judicial recovery procedure (</w:t>
      </w:r>
      <w:r w:rsidRPr="00D427D8">
        <w:rPr>
          <w:i/>
        </w:rPr>
        <w:t>procédure de redressement judiciaire</w:t>
      </w:r>
      <w:r w:rsidRPr="00D427D8">
        <w:t>)) against Stellantis Bank shall have been subject to the approval (</w:t>
      </w:r>
      <w:r w:rsidRPr="00D427D8">
        <w:rPr>
          <w:i/>
        </w:rPr>
        <w:t>avis conforme</w:t>
      </w:r>
      <w:r w:rsidRPr="00D427D8">
        <w:t>) of the ACPR</w:t>
      </w:r>
      <w:r w:rsidRPr="00D427D8">
        <w:rPr>
          <w:i/>
        </w:rPr>
        <w:t xml:space="preserve"> </w:t>
      </w:r>
      <w:r w:rsidRPr="00D427D8">
        <w:t>in accordance with article L. 613-27 of the French Monetary and Financial Code; or</w:t>
      </w:r>
    </w:p>
    <w:p w14:paraId="3807FAE2" w14:textId="53F29E91" w:rsidR="009F6E91" w:rsidRPr="00D427D8" w:rsidRDefault="009F6E91" w:rsidP="00E02E00">
      <w:pPr>
        <w:pStyle w:val="DefLevel2"/>
      </w:pPr>
      <w:r w:rsidRPr="00D427D8">
        <w:t>is subject to resolution measures (</w:t>
      </w:r>
      <w:r w:rsidRPr="00D427D8">
        <w:rPr>
          <w:i/>
          <w:iCs/>
        </w:rPr>
        <w:t>mesures de résolution</w:t>
      </w:r>
      <w:r w:rsidRPr="00D427D8">
        <w:t>) decided by the Single Resolution Board and/or the ACPR in accordance with the applicable provisions of the French Monetary and Financial Code and such resolution measures (</w:t>
      </w:r>
      <w:r w:rsidRPr="00D427D8">
        <w:rPr>
          <w:i/>
          <w:iCs/>
        </w:rPr>
        <w:t>mesures de résolution</w:t>
      </w:r>
      <w:r w:rsidRPr="00D427D8">
        <w:t>) are likely to prevent Stellantis Bank from performing its obligations under the Transaction Documents to which it is a party and/or have a negative impact on its ability to perform its obligations thereunder.</w:t>
      </w:r>
    </w:p>
    <w:p w14:paraId="253089F1" w14:textId="5026713E" w:rsidR="009F6E91" w:rsidRPr="00D427D8" w:rsidRDefault="009F6E91" w:rsidP="00E02E00">
      <w:pPr>
        <w:pStyle w:val="DefLevel1"/>
      </w:pPr>
      <w:r w:rsidRPr="00D427D8">
        <w:t>in respect of any other Transaction Party means the occurrence of one or more of the following events:</w:t>
      </w:r>
    </w:p>
    <w:p w14:paraId="5228B439" w14:textId="1DB9F51F" w:rsidR="009F6E91" w:rsidRPr="00D427D8" w:rsidRDefault="009F6E91" w:rsidP="00E02E00">
      <w:pPr>
        <w:pStyle w:val="DefLevel2"/>
      </w:pPr>
      <w:r w:rsidRPr="00D427D8">
        <w:t>an order is made or an effective resolution passed for the winding-up of the Transaction Party;</w:t>
      </w:r>
    </w:p>
    <w:p w14:paraId="7E96C818" w14:textId="01FD74F1" w:rsidR="009F6E91" w:rsidRPr="00D427D8" w:rsidRDefault="009F6E91" w:rsidP="00E02E00">
      <w:pPr>
        <w:pStyle w:val="DefLevel2"/>
      </w:pPr>
      <w:r w:rsidRPr="00D427D8">
        <w:t>the Transaction Party ceases or threatens to cease to carry on its business or stops payment or threatens to stop payment of its debts or is deemed unable to pay its debts or becomes unable to pay its debts as they fall due or the value of its assets falls to less than the amounts of its liabilities (taking into account, for both these purposes, contingent and prospective liabilities) or otherwise becomes insolvent; or</w:t>
      </w:r>
    </w:p>
    <w:p w14:paraId="7987354E" w14:textId="737BEA62" w:rsidR="009F6E91" w:rsidRPr="00D427D8" w:rsidRDefault="009F6E91" w:rsidP="00E02E00">
      <w:pPr>
        <w:pStyle w:val="DefLevel2"/>
      </w:pPr>
      <w:r w:rsidRPr="00D427D8">
        <w:t>proceedings shall be initiated against the Transaction Party under any applicable liquidation, bankruptcy, insolvency, composition, reorganisation (other than a reorganisation where the Transaction Party is solvent) or other similar laws and such proceedings are not being disputed in good faith with a reasonable prospect of success, or an administration order shall be granted or the appointment of an administrator takes effect or an administrative receiver or other receiver, liquidator, controller or other similar official shall be appointed in relation to the Transaction Party or in relation to the whole or any substantial part of the undertaking or assets of the Transaction Party, or an encumbrancer shall take possession of the whole or any substantial part of the undertaking or assets of the Transaction Party, or a distress, execution, diligence or other process shall be levied or enforced upon or sued against the whole or any substantial part of the undertaking or assets of the Transaction Party and such possession or process (as the case may be) shall not be discharged or otherwise ceases to apply within thirty (30) days, or the Transaction Party initiates or consents to judicial proceedings relating to itself under applicable liquidation, insolvency, composition, reorganisation or other similar laws or makes a conveyance or assignment for the benefit of its creditors (or any class thereof) generally or enters into a composition or similar arrangement with its creditors or takes step with a view to obtaining a moratorium in respect of its indebtedness (including, without limitation, the filing of documents with the court), or any event occurs or proceedings are taking with respect to the Transaction Party in any jurisdiction to which it is subject or in which it has assets which has and effects similar to or equivalent to any one of the foregoing events.</w:t>
      </w:r>
    </w:p>
    <w:p w14:paraId="5314E373" w14:textId="4FB4DBF6" w:rsidR="009F6E91" w:rsidRPr="00D427D8" w:rsidRDefault="00EF7333" w:rsidP="009F6E91">
      <w:pPr>
        <w:pStyle w:val="Body2"/>
      </w:pPr>
      <w:r w:rsidRPr="00D427D8">
        <w:t>"</w:t>
      </w:r>
      <w:r w:rsidR="009F6E91" w:rsidRPr="00D427D8">
        <w:rPr>
          <w:b/>
        </w:rPr>
        <w:t>Insolvency Regulation</w:t>
      </w:r>
      <w:r w:rsidRPr="00D427D8">
        <w:t>"</w:t>
      </w:r>
      <w:r w:rsidR="009F6E91" w:rsidRPr="00D427D8">
        <w:t xml:space="preserve"> means the European Council Regulation (EC) No. 2015/848 of 20 May 2015, as amended.</w:t>
      </w:r>
    </w:p>
    <w:p w14:paraId="6366A531" w14:textId="1EDA623D" w:rsidR="009F6E91" w:rsidRPr="00D427D8" w:rsidRDefault="00E02E00" w:rsidP="00E02E00">
      <w:pPr>
        <w:pStyle w:val="Body2"/>
        <w:rPr>
          <w:lang w:bidi="he-IL"/>
        </w:rPr>
      </w:pPr>
      <w:r w:rsidRPr="00D427D8">
        <w:rPr>
          <w:lang w:bidi="he-IL"/>
        </w:rPr>
        <w:t>"</w:t>
      </w:r>
      <w:r w:rsidRPr="00D427D8">
        <w:rPr>
          <w:rStyle w:val="BoldText"/>
        </w:rPr>
        <w:t>Insurance Proceeds</w:t>
      </w:r>
      <w:r w:rsidRPr="00D427D8">
        <w:rPr>
          <w:lang w:bidi="he-IL"/>
        </w:rPr>
        <w:t>" means, in respect of any Leased Vehicle, the proceeds paid under an insurance contract entered into by a Lessee as a consequence of the destruction of, damage to or theft of the relevant Leased Vehicle and the personal liability of the debtor relating to the use of that Leased Vehicle.</w:t>
      </w:r>
    </w:p>
    <w:p w14:paraId="73DC30A6" w14:textId="6EC79BFC" w:rsidR="009F6E91" w:rsidRPr="00D427D8" w:rsidRDefault="00EF7333" w:rsidP="009F6E91">
      <w:pPr>
        <w:pStyle w:val="Body2"/>
      </w:pPr>
      <w:r w:rsidRPr="00D427D8">
        <w:lastRenderedPageBreak/>
        <w:t>"</w:t>
      </w:r>
      <w:r w:rsidR="009F6E91" w:rsidRPr="00D427D8">
        <w:rPr>
          <w:b/>
        </w:rPr>
        <w:t>Interest Deficiency</w:t>
      </w:r>
      <w:r w:rsidRPr="00D427D8">
        <w:t>"</w:t>
      </w:r>
      <w:r w:rsidR="009F6E91" w:rsidRPr="00D427D8">
        <w:t xml:space="preserve"> means, on any Distribution Date during the Revolving Period and the Normal Amortisation Period up to and including the date on which the Class G Notes have been redeemed in full, a deficiency in the amount of part of the Available Interest Distribution Amount available to pay the Principal Deficiency Items.</w:t>
      </w:r>
    </w:p>
    <w:p w14:paraId="61434710" w14:textId="38865145" w:rsidR="009F6E91" w:rsidRPr="00D427D8" w:rsidRDefault="00EF7333" w:rsidP="009F6E91">
      <w:pPr>
        <w:pStyle w:val="Body2"/>
      </w:pPr>
      <w:r w:rsidRPr="00D427D8">
        <w:t>"</w:t>
      </w:r>
      <w:r w:rsidR="009F6E91" w:rsidRPr="00D427D8">
        <w:rPr>
          <w:b/>
        </w:rPr>
        <w:t>Interest Determination Date</w:t>
      </w:r>
      <w:r w:rsidRPr="00D427D8">
        <w:t>"</w:t>
      </w:r>
      <w:r w:rsidR="009F6E91" w:rsidRPr="00D427D8">
        <w:t xml:space="preserve"> means the second Business Day before the commencement of the Interest Period for which the interest amount will apply.</w:t>
      </w:r>
    </w:p>
    <w:p w14:paraId="6D0A2D44" w14:textId="2E31ECA7" w:rsidR="009F6E91" w:rsidRPr="00D427D8" w:rsidRDefault="00EF7333" w:rsidP="009F6E91">
      <w:pPr>
        <w:pStyle w:val="Body2"/>
      </w:pPr>
      <w:r w:rsidRPr="00D427D8">
        <w:t>"</w:t>
      </w:r>
      <w:r w:rsidR="009F6E91" w:rsidRPr="00D427D8">
        <w:rPr>
          <w:b/>
        </w:rPr>
        <w:t>Interest Earnings</w:t>
      </w:r>
      <w:r w:rsidRPr="00D427D8">
        <w:t>"</w:t>
      </w:r>
      <w:r w:rsidR="009F6E91" w:rsidRPr="00D427D8">
        <w:t xml:space="preserve"> means any interest received (at a pre-determined floating rate which is not subject to a floor) on the credit balance of the Issuer Accounts.</w:t>
      </w:r>
    </w:p>
    <w:p w14:paraId="3A777E98" w14:textId="415FD2C1" w:rsidR="009F6E91" w:rsidRPr="00D427D8" w:rsidRDefault="00EF7333" w:rsidP="009F6E91">
      <w:pPr>
        <w:pStyle w:val="Body2"/>
      </w:pPr>
      <w:r w:rsidRPr="00D427D8">
        <w:t>"</w:t>
      </w:r>
      <w:r w:rsidR="009F6E91" w:rsidRPr="00D427D8">
        <w:rPr>
          <w:b/>
        </w:rPr>
        <w:t>Interest Period</w:t>
      </w:r>
      <w:r w:rsidRPr="00D427D8">
        <w:t>"</w:t>
      </w:r>
      <w:r w:rsidR="009F6E91" w:rsidRPr="00D427D8">
        <w:t xml:space="preserve"> means the period from and including the Closing Date to but excluding the first Distribution Date (being the Distribution Date falling in </w:t>
      </w:r>
      <w:r w:rsidR="00E54B23">
        <w:t>July 2025</w:t>
      </w:r>
      <w:r w:rsidR="009F6E91" w:rsidRPr="00D427D8">
        <w:t>) and each successive period from and including a Distribution Date to but excluding the next succeeding Distribution Date.</w:t>
      </w:r>
    </w:p>
    <w:p w14:paraId="15404E7C" w14:textId="3525590B" w:rsidR="009F6E91" w:rsidRPr="00D427D8" w:rsidRDefault="00EF7333" w:rsidP="009F6E91">
      <w:pPr>
        <w:pStyle w:val="Body2"/>
        <w:rPr>
          <w:lang w:eastAsia="en-US"/>
        </w:rPr>
      </w:pPr>
      <w:r w:rsidRPr="00D427D8">
        <w:rPr>
          <w:lang w:eastAsia="en-US"/>
        </w:rPr>
        <w:t>"</w:t>
      </w:r>
      <w:r w:rsidR="009F6E91" w:rsidRPr="00D427D8">
        <w:rPr>
          <w:b/>
          <w:bCs/>
          <w:lang w:eastAsia="en-US"/>
        </w:rPr>
        <w:t>Interest Priority of Payments</w:t>
      </w:r>
      <w:r w:rsidRPr="00D427D8">
        <w:rPr>
          <w:lang w:eastAsia="en-US"/>
        </w:rPr>
        <w:t>"</w:t>
      </w:r>
      <w:r w:rsidR="009F6E91" w:rsidRPr="00D427D8">
        <w:rPr>
          <w:lang w:eastAsia="en-US"/>
        </w:rPr>
        <w:t xml:space="preserve"> means the Priority of Payments referred to in clause 2.3 of Annex B (</w:t>
      </w:r>
      <w:r w:rsidR="009F6E91" w:rsidRPr="00D427D8">
        <w:rPr>
          <w:i/>
          <w:iCs/>
          <w:lang w:eastAsia="en-US"/>
        </w:rPr>
        <w:t>Priority of Payments Schedule</w:t>
      </w:r>
      <w:r w:rsidR="009F6E91" w:rsidRPr="00D427D8">
        <w:rPr>
          <w:lang w:eastAsia="en-US"/>
        </w:rPr>
        <w:t>) of the Conditions.</w:t>
      </w:r>
    </w:p>
    <w:p w14:paraId="5F0FA68A" w14:textId="1C079443" w:rsidR="009F6E91" w:rsidRPr="00D427D8" w:rsidRDefault="00EF7333" w:rsidP="009F6E91">
      <w:pPr>
        <w:pStyle w:val="Body2"/>
        <w:rPr>
          <w:lang w:eastAsia="en-US"/>
        </w:rPr>
      </w:pPr>
      <w:r w:rsidRPr="00D427D8">
        <w:rPr>
          <w:lang w:eastAsia="en-US"/>
        </w:rPr>
        <w:t>"</w:t>
      </w:r>
      <w:r w:rsidR="009F6E91" w:rsidRPr="00D427D8">
        <w:rPr>
          <w:b/>
          <w:lang w:eastAsia="en-US"/>
        </w:rPr>
        <w:t>Investment Company Act</w:t>
      </w:r>
      <w:r w:rsidRPr="00D427D8">
        <w:rPr>
          <w:lang w:eastAsia="en-US"/>
        </w:rPr>
        <w:t>"</w:t>
      </w:r>
      <w:r w:rsidR="009F6E91" w:rsidRPr="00D427D8">
        <w:rPr>
          <w:lang w:eastAsia="en-US"/>
        </w:rPr>
        <w:t xml:space="preserve"> means the U.S. Investment Company Act of 1940, as amended.</w:t>
      </w:r>
    </w:p>
    <w:p w14:paraId="7674DE83" w14:textId="32DA72C4" w:rsidR="009F6E91" w:rsidRPr="00D427D8" w:rsidRDefault="00EF7333" w:rsidP="009F6E91">
      <w:pPr>
        <w:pStyle w:val="Body2"/>
      </w:pPr>
      <w:r w:rsidRPr="00D427D8">
        <w:t>"</w:t>
      </w:r>
      <w:r w:rsidR="009F6E91" w:rsidRPr="00D427D8">
        <w:rPr>
          <w:b/>
        </w:rPr>
        <w:t>ISDA</w:t>
      </w:r>
      <w:r w:rsidRPr="00D427D8">
        <w:t>"</w:t>
      </w:r>
      <w:r w:rsidR="009F6E91" w:rsidRPr="00D427D8">
        <w:t xml:space="preserve"> means the International Swaps and Derivatives Association.</w:t>
      </w:r>
    </w:p>
    <w:p w14:paraId="7C893462" w14:textId="44F44243" w:rsidR="009F6E91" w:rsidRPr="00D427D8" w:rsidRDefault="00EF7333" w:rsidP="009F6E91">
      <w:pPr>
        <w:pStyle w:val="Body2"/>
        <w:rPr>
          <w:iCs/>
        </w:rPr>
      </w:pPr>
      <w:r w:rsidRPr="00D427D8">
        <w:rPr>
          <w:iCs/>
        </w:rPr>
        <w:t>"</w:t>
      </w:r>
      <w:r w:rsidR="009F6E91" w:rsidRPr="00D427D8">
        <w:rPr>
          <w:b/>
          <w:iCs/>
        </w:rPr>
        <w:t>Issuer</w:t>
      </w:r>
      <w:r w:rsidRPr="00D427D8">
        <w:rPr>
          <w:iCs/>
        </w:rPr>
        <w:t>"</w:t>
      </w:r>
      <w:r w:rsidR="009F6E91" w:rsidRPr="00D427D8">
        <w:rPr>
          <w:iCs/>
        </w:rPr>
        <w:t xml:space="preserve"> means </w:t>
      </w:r>
      <w:r w:rsidR="009F6E91" w:rsidRPr="00D427D8">
        <w:t>ECARAT DE S.A. acting on behalf and for the account of its Compartment Lease 2025-1</w:t>
      </w:r>
      <w:r w:rsidR="009F6E91" w:rsidRPr="00D427D8">
        <w:rPr>
          <w:iCs/>
        </w:rPr>
        <w:t>.</w:t>
      </w:r>
    </w:p>
    <w:p w14:paraId="36AB89EA" w14:textId="3DC8D11E" w:rsidR="009F6E91" w:rsidRPr="00D427D8" w:rsidDel="002E7AFD" w:rsidRDefault="00EF7333" w:rsidP="009F6E91">
      <w:pPr>
        <w:pStyle w:val="Body2"/>
      </w:pPr>
      <w:r w:rsidRPr="00D427D8">
        <w:t>"</w:t>
      </w:r>
      <w:r w:rsidR="009F6E91" w:rsidRPr="00D427D8">
        <w:rPr>
          <w:b/>
        </w:rPr>
        <w:t>Issuer</w:t>
      </w:r>
      <w:r w:rsidR="009F6E91" w:rsidRPr="00D427D8" w:rsidDel="002E7AFD">
        <w:rPr>
          <w:b/>
        </w:rPr>
        <w:t xml:space="preserve"> Accounts</w:t>
      </w:r>
      <w:r w:rsidRPr="00D427D8">
        <w:t>"</w:t>
      </w:r>
      <w:r w:rsidR="009F6E91" w:rsidRPr="00D427D8" w:rsidDel="002E7AFD">
        <w:rPr>
          <w:b/>
        </w:rPr>
        <w:t xml:space="preserve"> </w:t>
      </w:r>
      <w:r w:rsidR="009F6E91" w:rsidRPr="00D427D8" w:rsidDel="002E7AFD">
        <w:t xml:space="preserve">means the </w:t>
      </w:r>
      <w:bookmarkStart w:id="183" w:name="_Hlk145929897"/>
      <w:r w:rsidR="009F6E91" w:rsidRPr="00D427D8" w:rsidDel="002E7AFD">
        <w:t xml:space="preserve">Distribution Account, the </w:t>
      </w:r>
      <w:bookmarkStart w:id="184" w:name="_Hlk196817921"/>
      <w:r w:rsidR="009F6E91" w:rsidRPr="00D427D8" w:rsidDel="002E7AFD">
        <w:t>Reserve Account</w:t>
      </w:r>
      <w:r w:rsidR="009F6E91" w:rsidRPr="00D427D8">
        <w:t>, the VAT Account and</w:t>
      </w:r>
      <w:r w:rsidR="009F6E91" w:rsidRPr="00D427D8" w:rsidDel="002E7AFD">
        <w:t xml:space="preserve"> </w:t>
      </w:r>
      <w:r w:rsidR="009F6E91" w:rsidRPr="00D427D8">
        <w:t xml:space="preserve">the CSA Account </w:t>
      </w:r>
      <w:bookmarkEnd w:id="183"/>
      <w:r w:rsidR="009F6E91" w:rsidRPr="00D427D8" w:rsidDel="002E7AFD">
        <w:t>and any replacement or other bank accounts, established (in all cases) in the name of the Issuer pursuant to the Account Bank Agreement</w:t>
      </w:r>
      <w:bookmarkEnd w:id="184"/>
      <w:r w:rsidR="009F6E91" w:rsidRPr="00D427D8" w:rsidDel="002E7AFD">
        <w:t>.</w:t>
      </w:r>
    </w:p>
    <w:p w14:paraId="6DD6A8A7" w14:textId="45C79891" w:rsidR="009F6E91" w:rsidRPr="00D427D8" w:rsidRDefault="00EF7333" w:rsidP="00E02E00">
      <w:pPr>
        <w:pStyle w:val="DefHead"/>
      </w:pPr>
      <w:r w:rsidRPr="00D427D8">
        <w:t>"</w:t>
      </w:r>
      <w:r w:rsidR="009F6E91" w:rsidRPr="00D427D8">
        <w:rPr>
          <w:rStyle w:val="BoldText"/>
        </w:rPr>
        <w:t>Issuer Assets</w:t>
      </w:r>
      <w:r w:rsidRPr="00D427D8">
        <w:t>"</w:t>
      </w:r>
      <w:r w:rsidR="009F6E91" w:rsidRPr="00D427D8">
        <w:t xml:space="preserve"> means:</w:t>
      </w:r>
    </w:p>
    <w:p w14:paraId="5F10F5EB" w14:textId="7475493E" w:rsidR="009F6E91" w:rsidRPr="00D427D8" w:rsidRDefault="009F6E91" w:rsidP="00E02E00">
      <w:pPr>
        <w:pStyle w:val="DefLevel1"/>
      </w:pPr>
      <w:r w:rsidRPr="00D427D8">
        <w:t xml:space="preserve">the Purchased Lease Receivables and the </w:t>
      </w:r>
      <w:r w:rsidR="00657561" w:rsidRPr="00D427D8">
        <w:t xml:space="preserve">Lease </w:t>
      </w:r>
      <w:r w:rsidRPr="00D427D8">
        <w:t>Collateral;</w:t>
      </w:r>
    </w:p>
    <w:p w14:paraId="28B71DE7" w14:textId="585EE25F" w:rsidR="009F6E91" w:rsidRPr="00D427D8" w:rsidRDefault="009F6E91" w:rsidP="00E02E00">
      <w:pPr>
        <w:pStyle w:val="DefLevel1"/>
      </w:pPr>
      <w:r w:rsidRPr="00D427D8">
        <w:t>the Purchased Expectancy Rights;</w:t>
      </w:r>
    </w:p>
    <w:p w14:paraId="1402DF1E" w14:textId="4B1F44BB" w:rsidR="009F6E91" w:rsidRPr="00D427D8" w:rsidRDefault="009F6E91" w:rsidP="00E02E00">
      <w:pPr>
        <w:pStyle w:val="DefLevel1"/>
      </w:pPr>
      <w:r w:rsidRPr="00D427D8">
        <w:t>the Leased Vehicle Put Options;</w:t>
      </w:r>
    </w:p>
    <w:p w14:paraId="4D363E37" w14:textId="099C9B32" w:rsidR="009F6E91" w:rsidRPr="00D427D8" w:rsidRDefault="009F6E91" w:rsidP="00E02E00">
      <w:pPr>
        <w:pStyle w:val="DefLevel1"/>
      </w:pPr>
      <w:r w:rsidRPr="00D427D8">
        <w:t>the Available Distribution Amount;</w:t>
      </w:r>
    </w:p>
    <w:p w14:paraId="34FDA64A" w14:textId="57FA77CC" w:rsidR="009F6E91" w:rsidRPr="00D427D8" w:rsidRDefault="009F6E91" w:rsidP="00E02E00">
      <w:pPr>
        <w:pStyle w:val="DefLevel1"/>
      </w:pPr>
      <w:r w:rsidRPr="00D427D8">
        <w:t>security title (</w:t>
      </w:r>
      <w:r w:rsidRPr="00D427D8">
        <w:rPr>
          <w:i/>
          <w:iCs/>
        </w:rPr>
        <w:t>Sicherungseigentum)</w:t>
      </w:r>
      <w:r w:rsidRPr="00D427D8">
        <w:t xml:space="preserve"> to the Leased Vehicles;</w:t>
      </w:r>
    </w:p>
    <w:p w14:paraId="01E1245A" w14:textId="3ED2B483" w:rsidR="009F6E91" w:rsidRPr="00D427D8" w:rsidRDefault="009F6E91" w:rsidP="00E02E00">
      <w:pPr>
        <w:pStyle w:val="DefLevel1"/>
      </w:pPr>
      <w:r w:rsidRPr="00D427D8">
        <w:t>rights in the Issuer Accounts;</w:t>
      </w:r>
    </w:p>
    <w:p w14:paraId="353C3E67" w14:textId="3463D28B" w:rsidR="009F6E91" w:rsidRPr="00D427D8" w:rsidRDefault="009F6E91" w:rsidP="00E02E00">
      <w:pPr>
        <w:pStyle w:val="DefLevel1"/>
      </w:pPr>
      <w:r w:rsidRPr="00D427D8">
        <w:t>rights under the Transaction Documents, including those relating to the repurchase of Receivables by the Seller or purchase of Receivables by the Servicer;</w:t>
      </w:r>
    </w:p>
    <w:p w14:paraId="6332C79D" w14:textId="7490E6E0" w:rsidR="009F6E91" w:rsidRPr="00D427D8" w:rsidRDefault="009F6E91" w:rsidP="00E02E00">
      <w:pPr>
        <w:pStyle w:val="DefLevel1"/>
      </w:pPr>
      <w:r w:rsidRPr="00D427D8">
        <w:t>net rights under the Hedging Arrangement; and</w:t>
      </w:r>
    </w:p>
    <w:p w14:paraId="2E20CCD8" w14:textId="73DBB194" w:rsidR="009F6E91" w:rsidRPr="00D427D8" w:rsidRDefault="009F6E91" w:rsidP="00E02E00">
      <w:pPr>
        <w:pStyle w:val="DefLevel1"/>
      </w:pPr>
      <w:r w:rsidRPr="00D427D8">
        <w:t>any other sums or other assets from which the Issuer might benefit in any way whatsoever, in accordance with the other Transaction Documents.</w:t>
      </w:r>
    </w:p>
    <w:p w14:paraId="3B5F4925" w14:textId="36B830E8" w:rsidR="009F6E91" w:rsidRPr="00D427D8" w:rsidRDefault="00EF7333" w:rsidP="00E02E00">
      <w:pPr>
        <w:pStyle w:val="DefHead"/>
      </w:pPr>
      <w:r w:rsidRPr="00D427D8">
        <w:t>"</w:t>
      </w:r>
      <w:r w:rsidR="009F6E91" w:rsidRPr="00D427D8">
        <w:rPr>
          <w:rStyle w:val="BoldText"/>
        </w:rPr>
        <w:t>Issuer Event of Default</w:t>
      </w:r>
      <w:r w:rsidRPr="00D427D8">
        <w:t>"</w:t>
      </w:r>
      <w:r w:rsidR="009F6E91" w:rsidRPr="00D427D8">
        <w:t xml:space="preserve"> means:</w:t>
      </w:r>
    </w:p>
    <w:p w14:paraId="5185DFA4" w14:textId="75F60B0B" w:rsidR="009F6E91" w:rsidRPr="00D427D8" w:rsidRDefault="009F6E91" w:rsidP="00E02E00">
      <w:pPr>
        <w:pStyle w:val="DefLevel1"/>
      </w:pPr>
      <w:r w:rsidRPr="00D427D8">
        <w:t>the occurrence of an Insolvency Event with respect to the Issuer;</w:t>
      </w:r>
    </w:p>
    <w:p w14:paraId="17E17032" w14:textId="7B12A5F2" w:rsidR="009F6E91" w:rsidRPr="00D427D8" w:rsidRDefault="009F6E91" w:rsidP="00E02E00">
      <w:pPr>
        <w:pStyle w:val="DefLevel1"/>
      </w:pPr>
      <w:r w:rsidRPr="00D427D8">
        <w:t>the default by the Issuer in the payment of any interest amounts on the Most Senior Class of Notes (other than where the Most Senior Class of Notes is the Class G Notes) when the same becomes due and payable and such default continues unremedied for a period of five Business Days, provided that no change in the designation of the Most Senior Class of Notes has occurred following the application of the sum of the Available Principal Distribution Amount in accordance with the Principal Priority of Payments on the immediately preceding Distribution Date and provided further that a default by the Issuer in the payment of any interest amounts deferred in accordance with Condition 13 (</w:t>
      </w:r>
      <w:r w:rsidRPr="00D427D8">
        <w:rPr>
          <w:i/>
        </w:rPr>
        <w:t xml:space="preserve">Subordination by Deferral of </w:t>
      </w:r>
      <w:r w:rsidRPr="00D427D8">
        <w:rPr>
          <w:i/>
        </w:rPr>
        <w:lastRenderedPageBreak/>
        <w:t>Interest</w:t>
      </w:r>
      <w:r w:rsidRPr="00D427D8">
        <w:t>) prior to the Final Legal Maturity Date shall not constitute an Issuer Event of Default; or</w:t>
      </w:r>
    </w:p>
    <w:p w14:paraId="3E99EAEE" w14:textId="157525FC" w:rsidR="009F6E91" w:rsidRPr="00D427D8" w:rsidRDefault="009F6E91" w:rsidP="00E02E00">
      <w:pPr>
        <w:pStyle w:val="DefLevel1"/>
      </w:pPr>
      <w:r w:rsidRPr="00D427D8">
        <w:t>the default by the Issuer in the payment of principal on any Note on the Final Legal Maturity Date.</w:t>
      </w:r>
    </w:p>
    <w:p w14:paraId="0FB41516" w14:textId="34289FC1" w:rsidR="009F6E91" w:rsidRPr="00D427D8" w:rsidRDefault="00E02E00" w:rsidP="00E02E00">
      <w:pPr>
        <w:pStyle w:val="Body2"/>
        <w:rPr>
          <w:lang w:bidi="he-IL"/>
        </w:rPr>
      </w:pPr>
      <w:r w:rsidRPr="00D427D8">
        <w:t>"</w:t>
      </w:r>
      <w:r w:rsidRPr="00D427D8">
        <w:rPr>
          <w:rStyle w:val="BoldText"/>
        </w:rPr>
        <w:t>Key</w:t>
      </w:r>
      <w:r w:rsidRPr="00D427D8">
        <w:t>" means all information required to decrypt the Reference List and consequently, to match the contract numbers in the Schedule of Receivables with the personal data in the Reference List</w:t>
      </w:r>
      <w:r w:rsidRPr="00D427D8">
        <w:rPr>
          <w:lang w:bidi="he-IL"/>
        </w:rPr>
        <w:t>.</w:t>
      </w:r>
    </w:p>
    <w:p w14:paraId="0A999CF3" w14:textId="23784511" w:rsidR="009F6E91" w:rsidRPr="00D427D8" w:rsidRDefault="00E02E00" w:rsidP="00E02E00">
      <w:pPr>
        <w:pStyle w:val="Body2"/>
        <w:rPr>
          <w:lang w:bidi="he-IL"/>
        </w:rPr>
      </w:pPr>
      <w:r w:rsidRPr="00D427D8">
        <w:rPr>
          <w:lang w:bidi="he-IL"/>
        </w:rPr>
        <w:t>"</w:t>
      </w:r>
      <w:bookmarkStart w:id="185" w:name="_Hlk84969055"/>
      <w:r w:rsidRPr="00D427D8">
        <w:rPr>
          <w:rStyle w:val="BoldText"/>
        </w:rPr>
        <w:t>Kilometre Contract</w:t>
      </w:r>
      <w:bookmarkEnd w:id="185"/>
      <w:r w:rsidRPr="00D427D8">
        <w:rPr>
          <w:lang w:bidi="he-IL"/>
        </w:rPr>
        <w:t>" (</w:t>
      </w:r>
      <w:r w:rsidRPr="00D427D8">
        <w:rPr>
          <w:i/>
          <w:iCs/>
          <w:lang w:bidi="he-IL"/>
        </w:rPr>
        <w:t>Kilometer-Verträge</w:t>
      </w:r>
      <w:r w:rsidRPr="00D427D8">
        <w:rPr>
          <w:lang w:bidi="he-IL"/>
        </w:rPr>
        <w:t>) means Lease Agreements under which the Lessee (subject to an indemnification payable for excess mileage or damages) only has to return the Leased Vehicle to the Seller upon contractual maturity of the Lease Agreement and the Seller has entered into a Leased Vehicle Put Option with a Car Dealer pursuant to which the Car Dealer has to purchase the Leased Vehicle at its Expectancy Right Value.</w:t>
      </w:r>
    </w:p>
    <w:p w14:paraId="4226D358" w14:textId="6633AB53" w:rsidR="009F6E91" w:rsidRPr="00D427D8" w:rsidRDefault="00EF7333" w:rsidP="009F6E91">
      <w:pPr>
        <w:pStyle w:val="Body2"/>
      </w:pPr>
      <w:r w:rsidRPr="00D427D8">
        <w:t>"</w:t>
      </w:r>
      <w:r w:rsidR="009F6E91" w:rsidRPr="00D427D8">
        <w:rPr>
          <w:b/>
        </w:rPr>
        <w:t>KWG</w:t>
      </w:r>
      <w:r w:rsidRPr="00D427D8">
        <w:t>"</w:t>
      </w:r>
      <w:r w:rsidR="009F6E91" w:rsidRPr="00D427D8">
        <w:t xml:space="preserve"> means the German Banking Act.</w:t>
      </w:r>
    </w:p>
    <w:p w14:paraId="69E35D23" w14:textId="477B1E06" w:rsidR="0094310C" w:rsidRDefault="0094310C" w:rsidP="0094310C">
      <w:pPr>
        <w:pStyle w:val="Body2"/>
      </w:pPr>
      <w:r w:rsidRPr="00D427D8">
        <w:t>"</w:t>
      </w:r>
      <w:r w:rsidRPr="00D427D8">
        <w:rPr>
          <w:b/>
        </w:rPr>
        <w:t>Lead Manager</w:t>
      </w:r>
      <w:r w:rsidRPr="00D427D8">
        <w:t>" means BNP Paribas.</w:t>
      </w:r>
    </w:p>
    <w:p w14:paraId="6686B23B" w14:textId="268F7E0C" w:rsidR="009F6E91" w:rsidRPr="00D427D8" w:rsidRDefault="00E02E00" w:rsidP="00E02E00">
      <w:pPr>
        <w:pStyle w:val="Body2"/>
        <w:rPr>
          <w:lang w:bidi="he-IL"/>
        </w:rPr>
      </w:pPr>
      <w:r w:rsidRPr="00D427D8">
        <w:rPr>
          <w:lang w:bidi="he-IL"/>
        </w:rPr>
        <w:t>"</w:t>
      </w:r>
      <w:r w:rsidRPr="00D427D8">
        <w:rPr>
          <w:rStyle w:val="BoldText"/>
        </w:rPr>
        <w:t>Lease Agreement</w:t>
      </w:r>
      <w:r w:rsidRPr="00D427D8">
        <w:rPr>
          <w:lang w:bidi="he-IL"/>
        </w:rPr>
        <w:t>" means each individual lease agreement between the Seller and a Lessee relating to a Leased Vehicle, based on standard business terms (</w:t>
      </w:r>
      <w:r w:rsidRPr="00D427D8">
        <w:rPr>
          <w:i/>
          <w:lang w:bidi="he-IL"/>
        </w:rPr>
        <w:t>Allgemeine Geschäftsbedingungen</w:t>
      </w:r>
      <w:r w:rsidRPr="00D427D8">
        <w:rPr>
          <w:lang w:bidi="he-IL"/>
        </w:rPr>
        <w:t>) (and as amended from time to time in accordance with the Credit and Collection Policy), either in the form of a Kilometre Contract or an RW Contract.</w:t>
      </w:r>
    </w:p>
    <w:p w14:paraId="5870646A" w14:textId="117225E3" w:rsidR="009F6E91" w:rsidRPr="00D427D8" w:rsidRDefault="00EF7333" w:rsidP="00E02E00">
      <w:pPr>
        <w:pStyle w:val="DefHead"/>
      </w:pPr>
      <w:r w:rsidRPr="00D427D8">
        <w:t>"</w:t>
      </w:r>
      <w:r w:rsidR="009F6E91" w:rsidRPr="00D427D8">
        <w:rPr>
          <w:rStyle w:val="BoldText"/>
        </w:rPr>
        <w:t>Lease Collateral</w:t>
      </w:r>
      <w:r w:rsidRPr="00D427D8">
        <w:t>"</w:t>
      </w:r>
      <w:r w:rsidR="009F6E91" w:rsidRPr="00D427D8">
        <w:t xml:space="preserve"> means all the Seller</w:t>
      </w:r>
      <w:r w:rsidRPr="00D427D8">
        <w:t>'</w:t>
      </w:r>
      <w:r w:rsidR="009F6E91" w:rsidRPr="00D427D8">
        <w:t>s rights, title and interest in the following security rights:</w:t>
      </w:r>
    </w:p>
    <w:p w14:paraId="6AC90E52" w14:textId="4A3EEBC5" w:rsidR="009F6E91" w:rsidRPr="00D427D8" w:rsidRDefault="009F6E91" w:rsidP="00E02E00">
      <w:pPr>
        <w:pStyle w:val="DefLevel1"/>
        <w:rPr>
          <w:lang w:bidi="he-IL"/>
        </w:rPr>
      </w:pPr>
      <w:bookmarkStart w:id="186" w:name="_Hlk173938412"/>
      <w:r w:rsidRPr="00D427D8">
        <w:rPr>
          <w:lang w:bidi="he-IL"/>
        </w:rPr>
        <w:t>all present and future claims to determine the legal relationship (</w:t>
      </w:r>
      <w:r w:rsidRPr="00D427D8">
        <w:rPr>
          <w:i/>
          <w:iCs/>
        </w:rPr>
        <w:t>Gestaltungsrechte</w:t>
      </w:r>
      <w:r w:rsidRPr="00D427D8">
        <w:rPr>
          <w:lang w:bidi="he-IL"/>
        </w:rPr>
        <w:t>) under the Lease Agreements entered into between the Seller and the relevant Lessees and relating to the respective Purchased Lease Receivables;</w:t>
      </w:r>
    </w:p>
    <w:p w14:paraId="3E375B7F" w14:textId="7C520215" w:rsidR="009F6E91" w:rsidRPr="00D427D8" w:rsidRDefault="009F6E91" w:rsidP="00E02E00">
      <w:pPr>
        <w:pStyle w:val="DefLevel1"/>
        <w:rPr>
          <w:lang w:bidi="he-IL"/>
        </w:rPr>
      </w:pPr>
      <w:r w:rsidRPr="00D427D8">
        <w:rPr>
          <w:lang w:bidi="he-IL"/>
        </w:rPr>
        <w:t>Insurance Proceeds and all further claims under all insurance agreements to the extent they pertain to the respective Leased Vehicles, including property insurance (</w:t>
      </w:r>
      <w:r w:rsidRPr="00D427D8">
        <w:rPr>
          <w:i/>
          <w:iCs/>
        </w:rPr>
        <w:t>Kaskoversicherung</w:t>
      </w:r>
      <w:r w:rsidRPr="00D427D8">
        <w:rPr>
          <w:lang w:bidi="he-IL"/>
        </w:rPr>
        <w:t>) claims. At any time after a Servicer Default has occurred, the Seller, upon request of the Purchaser or, following delivery of an Enforcement Notice, the Collateral Agent, will inform any relevant insurance company of the assignment of any insurance claims and shall use its best efforts to procure the issuance of a security certificate (</w:t>
      </w:r>
      <w:r w:rsidRPr="00D427D8">
        <w:rPr>
          <w:i/>
          <w:iCs/>
        </w:rPr>
        <w:t>Sicherungsschein</w:t>
      </w:r>
      <w:r w:rsidRPr="00D427D8">
        <w:rPr>
          <w:lang w:bidi="he-IL"/>
        </w:rPr>
        <w:t>) in the Issuer</w:t>
      </w:r>
      <w:r w:rsidR="00EF7333" w:rsidRPr="00D427D8">
        <w:rPr>
          <w:lang w:bidi="he-IL"/>
        </w:rPr>
        <w:t>'</w:t>
      </w:r>
      <w:r w:rsidRPr="00D427D8">
        <w:rPr>
          <w:lang w:bidi="he-IL"/>
        </w:rPr>
        <w:t>s name. In any such event, the Issuer is authorised to notify the relevant insurance company of the assignment on behalf of the Seller;</w:t>
      </w:r>
    </w:p>
    <w:p w14:paraId="6CBDECC7" w14:textId="56BFD61E" w:rsidR="009F6E91" w:rsidRPr="00D427D8" w:rsidRDefault="009F6E91" w:rsidP="00E02E00">
      <w:pPr>
        <w:pStyle w:val="DefLevel1"/>
        <w:rPr>
          <w:lang w:bidi="he-IL"/>
        </w:rPr>
      </w:pPr>
      <w:r w:rsidRPr="00D427D8">
        <w:rPr>
          <w:lang w:bidi="he-IL"/>
        </w:rPr>
        <w:t>all claims of the Seller to indemnification amounts, damages, and restitution claims related to Purchased Lease Receivables; and</w:t>
      </w:r>
    </w:p>
    <w:p w14:paraId="4D317FBC" w14:textId="18861DEF" w:rsidR="009F6E91" w:rsidRPr="00D427D8" w:rsidRDefault="009F6E91" w:rsidP="00E02E00">
      <w:pPr>
        <w:pStyle w:val="DefLevel1"/>
        <w:rPr>
          <w:lang w:bidi="he-IL"/>
        </w:rPr>
      </w:pPr>
      <w:r w:rsidRPr="00D427D8">
        <w:rPr>
          <w:lang w:bidi="he-IL"/>
        </w:rPr>
        <w:t>all other collateral (e.g. sureties (</w:t>
      </w:r>
      <w:r w:rsidRPr="00D427D8">
        <w:rPr>
          <w:i/>
          <w:iCs/>
        </w:rPr>
        <w:t>Bürgschaften</w:t>
      </w:r>
      <w:r w:rsidRPr="00D427D8">
        <w:rPr>
          <w:lang w:bidi="he-IL"/>
        </w:rPr>
        <w:t>) and bank guarantees (</w:t>
      </w:r>
      <w:r w:rsidRPr="00D427D8">
        <w:rPr>
          <w:i/>
          <w:iCs/>
        </w:rPr>
        <w:t>Bankbürgschaften</w:t>
      </w:r>
      <w:r w:rsidRPr="00D427D8">
        <w:rPr>
          <w:lang w:bidi="he-IL"/>
        </w:rPr>
        <w:t>)) related to the respective Purchased Lease Receivable.</w:t>
      </w:r>
    </w:p>
    <w:bookmarkEnd w:id="186"/>
    <w:p w14:paraId="7EFE296F" w14:textId="07CD0BF5" w:rsidR="009F6E91" w:rsidRPr="00D427D8" w:rsidRDefault="00E02E00" w:rsidP="00E02E00">
      <w:pPr>
        <w:pStyle w:val="Body2"/>
        <w:rPr>
          <w:lang w:bidi="he-IL"/>
        </w:rPr>
      </w:pPr>
      <w:r w:rsidRPr="00D427D8">
        <w:rPr>
          <w:lang w:bidi="he-IL"/>
        </w:rPr>
        <w:t>"</w:t>
      </w:r>
      <w:r w:rsidRPr="00D427D8">
        <w:rPr>
          <w:rStyle w:val="BoldText"/>
        </w:rPr>
        <w:t>Lease Instalment</w:t>
      </w:r>
      <w:r w:rsidRPr="00D427D8">
        <w:rPr>
          <w:lang w:bidi="he-IL"/>
        </w:rPr>
        <w:t>" means any lease instalment due and payable by the Lessee pursuant to the relevant Lease Agreement (excluding VAT, insurance and service components).</w:t>
      </w:r>
    </w:p>
    <w:p w14:paraId="778874DE" w14:textId="1AE128AF" w:rsidR="009F6E91" w:rsidRPr="00D427D8" w:rsidRDefault="00E02E00" w:rsidP="00E02E00">
      <w:pPr>
        <w:pStyle w:val="Body2"/>
        <w:rPr>
          <w:lang w:bidi="he-IL"/>
        </w:rPr>
      </w:pPr>
      <w:bookmarkStart w:id="187" w:name="_Hlk191566352"/>
      <w:r w:rsidRPr="00D427D8">
        <w:rPr>
          <w:lang w:bidi="he-IL"/>
        </w:rPr>
        <w:t>"</w:t>
      </w:r>
      <w:r w:rsidRPr="00D427D8">
        <w:rPr>
          <w:rStyle w:val="BoldText"/>
        </w:rPr>
        <w:t>Lease Receivable</w:t>
      </w:r>
      <w:r w:rsidRPr="00D427D8">
        <w:rPr>
          <w:lang w:bidi="he-IL"/>
        </w:rPr>
        <w:t xml:space="preserve">" means all Lease Instalments owed by the Lessee under a Lease Agreement and any fees and interest due for late payments or otherwise, including any claims for excess mileage or damages under Kilometre Contracts and compensation claims under RW Contracts in respect of the Expectancy Right Value of the Leased Vehicle, but excluding any </w:t>
      </w:r>
      <w:bookmarkStart w:id="188" w:name="_Hlk84969273"/>
      <w:r w:rsidRPr="00D427D8">
        <w:rPr>
          <w:lang w:bidi="he-IL"/>
        </w:rPr>
        <w:t>VAT, insurance and service components</w:t>
      </w:r>
      <w:bookmarkEnd w:id="188"/>
      <w:r w:rsidRPr="00D427D8">
        <w:rPr>
          <w:lang w:bidi="he-IL"/>
        </w:rPr>
        <w:t>.</w:t>
      </w:r>
    </w:p>
    <w:bookmarkEnd w:id="187"/>
    <w:p w14:paraId="48F85811" w14:textId="374CB36B" w:rsidR="009F6E91" w:rsidRPr="00D427D8" w:rsidRDefault="00E02E00" w:rsidP="00E02E00">
      <w:pPr>
        <w:pStyle w:val="Body2"/>
        <w:rPr>
          <w:lang w:bidi="he-IL"/>
        </w:rPr>
      </w:pPr>
      <w:r w:rsidRPr="00D427D8">
        <w:rPr>
          <w:lang w:bidi="he-IL"/>
        </w:rPr>
        <w:t>"</w:t>
      </w:r>
      <w:r w:rsidRPr="00D427D8">
        <w:rPr>
          <w:rStyle w:val="BoldText"/>
        </w:rPr>
        <w:t>Lease Receivables Purchase Agreement</w:t>
      </w:r>
      <w:r w:rsidRPr="00D427D8">
        <w:rPr>
          <w:lang w:bidi="he-IL"/>
        </w:rPr>
        <w:t>" means the lease receivables purchase agreement between the Seller, the Issuer and the Collateral Agent dated the Signing Date, as amended from time to time.</w:t>
      </w:r>
    </w:p>
    <w:p w14:paraId="7A5761E8" w14:textId="64B93F61" w:rsidR="009F6E91" w:rsidRPr="00D427D8" w:rsidRDefault="00E02E00" w:rsidP="00E02E00">
      <w:pPr>
        <w:pStyle w:val="Body2"/>
        <w:rPr>
          <w:lang w:bidi="he-IL"/>
        </w:rPr>
      </w:pPr>
      <w:r w:rsidRPr="00D427D8">
        <w:rPr>
          <w:lang w:bidi="he-IL"/>
        </w:rPr>
        <w:t>"</w:t>
      </w:r>
      <w:r w:rsidRPr="00D427D8">
        <w:rPr>
          <w:rStyle w:val="BoldText"/>
        </w:rPr>
        <w:t>Lease Receivables Purchase Price</w:t>
      </w:r>
      <w:r w:rsidRPr="00D427D8">
        <w:rPr>
          <w:lang w:bidi="he-IL"/>
        </w:rPr>
        <w:t>" means the Initial Lease Receivables Purchase Price and each Further Lease Receivables Purchase Price, respectively.</w:t>
      </w:r>
    </w:p>
    <w:p w14:paraId="05540A67" w14:textId="3EADF52E" w:rsidR="009F6E91" w:rsidRPr="00D427D8" w:rsidRDefault="00E02E00" w:rsidP="00E02E00">
      <w:pPr>
        <w:pStyle w:val="Body2"/>
        <w:rPr>
          <w:lang w:bidi="he-IL"/>
        </w:rPr>
      </w:pPr>
      <w:r w:rsidRPr="00D427D8">
        <w:rPr>
          <w:lang w:bidi="he-IL"/>
        </w:rPr>
        <w:t>"</w:t>
      </w:r>
      <w:r w:rsidRPr="00D427D8">
        <w:rPr>
          <w:rStyle w:val="BoldText"/>
        </w:rPr>
        <w:t>Leased Vehicle</w:t>
      </w:r>
      <w:r w:rsidRPr="00D427D8">
        <w:rPr>
          <w:lang w:bidi="he-IL"/>
        </w:rPr>
        <w:t>" means the related vehicle which is leased to a Lessee by the Seller pursuant to a Lease Agreement.</w:t>
      </w:r>
    </w:p>
    <w:p w14:paraId="041FD47C" w14:textId="4575F9AB" w:rsidR="009F6E91" w:rsidRPr="00D427D8" w:rsidRDefault="00E02E00" w:rsidP="00E02E00">
      <w:pPr>
        <w:pStyle w:val="Body2"/>
        <w:rPr>
          <w:lang w:bidi="he-IL"/>
        </w:rPr>
      </w:pPr>
      <w:r w:rsidRPr="00D427D8">
        <w:rPr>
          <w:lang w:val="en-US" w:bidi="he-IL"/>
        </w:rPr>
        <w:lastRenderedPageBreak/>
        <w:t>"</w:t>
      </w:r>
      <w:r w:rsidRPr="00D427D8">
        <w:rPr>
          <w:rStyle w:val="BoldText"/>
        </w:rPr>
        <w:t>Leased Vehicle Put Option</w:t>
      </w:r>
      <w:r w:rsidRPr="00D427D8">
        <w:rPr>
          <w:lang w:val="en-US" w:bidi="he-IL"/>
        </w:rPr>
        <w:t xml:space="preserve">" </w:t>
      </w:r>
      <w:r w:rsidRPr="00D427D8">
        <w:rPr>
          <w:lang w:bidi="he-IL"/>
        </w:rPr>
        <w:t>means a contract between a Car Dealer and the Seller in respect of a Leased Vehicle providing for a commitment of the Car Dealer to purchase such Leased Vehicle at a pre-agreed purchase price upon exercise by the Seller of its put option (</w:t>
      </w:r>
      <w:r w:rsidRPr="00D427D8">
        <w:rPr>
          <w:i/>
          <w:lang w:bidi="he-IL"/>
        </w:rPr>
        <w:t>Andienungsrecht</w:t>
      </w:r>
      <w:r w:rsidRPr="00D427D8">
        <w:rPr>
          <w:lang w:bidi="he-IL"/>
        </w:rPr>
        <w:t>) following expiry or, in certain cases, termination of the related Lease Agreement.</w:t>
      </w:r>
    </w:p>
    <w:p w14:paraId="54273BF6" w14:textId="51536420" w:rsidR="009F6E91" w:rsidRPr="00D427D8" w:rsidRDefault="00EF7333" w:rsidP="009F6E91">
      <w:pPr>
        <w:pStyle w:val="Body2"/>
      </w:pPr>
      <w:r w:rsidRPr="00D427D8">
        <w:t>"</w:t>
      </w:r>
      <w:r w:rsidR="009F6E91" w:rsidRPr="00D427D8">
        <w:rPr>
          <w:b/>
          <w:bCs/>
        </w:rPr>
        <w:t>LCR Assessment</w:t>
      </w:r>
      <w:r w:rsidRPr="00D427D8">
        <w:t>"</w:t>
      </w:r>
      <w:r w:rsidR="009F6E91" w:rsidRPr="00D427D8">
        <w:t xml:space="preserve"> means the assessment made by PCS in relation to compliance with the criteria set forth in the LCR Delegated Regulation, as amended by Commission Delegated Regulation (EU) 2018/1620 of 13 July 2018.</w:t>
      </w:r>
    </w:p>
    <w:p w14:paraId="00343EF0" w14:textId="1F791483" w:rsidR="009F6E91" w:rsidRPr="00D427D8" w:rsidRDefault="00EF7333" w:rsidP="009F6E91">
      <w:pPr>
        <w:pStyle w:val="Body2"/>
      </w:pPr>
      <w:r w:rsidRPr="00D427D8">
        <w:t>"</w:t>
      </w:r>
      <w:r w:rsidR="009F6E91" w:rsidRPr="00D427D8">
        <w:rPr>
          <w:b/>
          <w:bCs/>
        </w:rPr>
        <w:t>LCR Delegated Regulation</w:t>
      </w:r>
      <w:r w:rsidRPr="00D427D8">
        <w:t>"</w:t>
      </w:r>
      <w:r w:rsidR="009F6E91" w:rsidRPr="00D427D8">
        <w:t xml:space="preserve"> means Commission Delegated Regulation (EU) 2015/61 of 10 October 2014 to supplement Regulation (EU) No 575/2013 of the European Parliament and the Council with regard to liquidity coverage requirement for credit institutions as amended by Commission Delegated Regulation (EU) 2018/1620 of 13 July 2018.</w:t>
      </w:r>
    </w:p>
    <w:p w14:paraId="6F5F263F" w14:textId="6A7E18D1" w:rsidR="009F6E91" w:rsidRPr="00D427D8" w:rsidRDefault="00E02E00" w:rsidP="00E02E00">
      <w:pPr>
        <w:pStyle w:val="Body2"/>
        <w:rPr>
          <w:lang w:val="en-US" w:bidi="he-IL"/>
        </w:rPr>
      </w:pPr>
      <w:r w:rsidRPr="00D427D8">
        <w:rPr>
          <w:lang w:val="en-US" w:bidi="he-IL"/>
        </w:rPr>
        <w:t>"</w:t>
      </w:r>
      <w:r w:rsidRPr="00D427D8">
        <w:rPr>
          <w:rStyle w:val="BoldText"/>
        </w:rPr>
        <w:t>Lender</w:t>
      </w:r>
      <w:r w:rsidRPr="00D427D8">
        <w:rPr>
          <w:lang w:val="en-US" w:bidi="he-IL"/>
        </w:rPr>
        <w:t>" means Stellantis Bank in its capacity as Lender under the Seller Loan Agreement and the VAT Bridge Loan Agreement.</w:t>
      </w:r>
    </w:p>
    <w:p w14:paraId="304B2D69" w14:textId="79EA86BD" w:rsidR="009F6E91" w:rsidRPr="00D427D8" w:rsidRDefault="00E02E00" w:rsidP="00E02E00">
      <w:pPr>
        <w:pStyle w:val="Body2"/>
        <w:rPr>
          <w:lang w:bidi="he-IL"/>
        </w:rPr>
      </w:pPr>
      <w:r w:rsidRPr="00D427D8">
        <w:rPr>
          <w:lang w:bidi="he-IL"/>
        </w:rPr>
        <w:t>"</w:t>
      </w:r>
      <w:r w:rsidRPr="00D427D8">
        <w:rPr>
          <w:rStyle w:val="BoldText"/>
        </w:rPr>
        <w:t>Lessee</w:t>
      </w:r>
      <w:r w:rsidRPr="00D427D8">
        <w:rPr>
          <w:lang w:bidi="he-IL"/>
        </w:rPr>
        <w:t>"</w:t>
      </w:r>
      <w:r w:rsidRPr="00D427D8">
        <w:t xml:space="preserve"> </w:t>
      </w:r>
      <w:r w:rsidRPr="00D427D8">
        <w:rPr>
          <w:lang w:bidi="he-IL"/>
        </w:rPr>
        <w:t>means a B2B Lessee or a B2C Lessee to whom the Seller has leased one or more Leased Vehicle(s) on the terms of the relevant Lease Agreement(s).</w:t>
      </w:r>
    </w:p>
    <w:p w14:paraId="4F19D402" w14:textId="2654E6F9" w:rsidR="009F6E91" w:rsidRPr="00D427D8" w:rsidRDefault="00E02E00" w:rsidP="00E02E00">
      <w:pPr>
        <w:pStyle w:val="Body2"/>
        <w:rPr>
          <w:lang w:bidi="he-IL"/>
        </w:rPr>
      </w:pPr>
      <w:r w:rsidRPr="00D427D8">
        <w:rPr>
          <w:lang w:bidi="he-IL"/>
        </w:rPr>
        <w:t>"</w:t>
      </w:r>
      <w:r w:rsidRPr="00D427D8">
        <w:rPr>
          <w:rStyle w:val="BoldText"/>
        </w:rPr>
        <w:t>Lessee Group</w:t>
      </w:r>
      <w:r w:rsidRPr="00D427D8">
        <w:rPr>
          <w:lang w:bidi="he-IL"/>
        </w:rPr>
        <w:t>" means a group of Lessees which qualify as a single borrower (</w:t>
      </w:r>
      <w:r w:rsidRPr="00D427D8">
        <w:rPr>
          <w:i/>
          <w:lang w:bidi="he-IL"/>
        </w:rPr>
        <w:t>Kreditnehmer</w:t>
      </w:r>
      <w:r w:rsidRPr="00D427D8">
        <w:rPr>
          <w:lang w:bidi="he-IL"/>
        </w:rPr>
        <w:t>) within the meaning of section 19 para 2 of the German Banking Act (</w:t>
      </w:r>
      <w:r w:rsidRPr="00D427D8">
        <w:rPr>
          <w:i/>
          <w:lang w:bidi="he-IL"/>
        </w:rPr>
        <w:t>Kreditwesengetz</w:t>
      </w:r>
      <w:r w:rsidRPr="00D427D8">
        <w:rPr>
          <w:lang w:bidi="he-IL"/>
        </w:rPr>
        <w:t>).</w:t>
      </w:r>
    </w:p>
    <w:p w14:paraId="2CE739C7" w14:textId="4F4936F6" w:rsidR="009F6E91" w:rsidRPr="00D427D8" w:rsidRDefault="00EF7333" w:rsidP="009F6E91">
      <w:pPr>
        <w:pStyle w:val="Body2"/>
      </w:pPr>
      <w:r w:rsidRPr="00D427D8">
        <w:t>"</w:t>
      </w:r>
      <w:r w:rsidR="009F6E91" w:rsidRPr="00D427D8">
        <w:rPr>
          <w:b/>
          <w:bCs/>
        </w:rPr>
        <w:t>Liquidity Reserve</w:t>
      </w:r>
      <w:r w:rsidRPr="00D427D8">
        <w:t>"</w:t>
      </w:r>
      <w:r w:rsidR="009F6E91" w:rsidRPr="00D427D8">
        <w:t xml:space="preserve"> means, on any date, the then current credit balance of the Reserve Account less the Deposit Reserve Amount, if any.</w:t>
      </w:r>
    </w:p>
    <w:p w14:paraId="3DA05418" w14:textId="579672EA" w:rsidR="009F6E91" w:rsidRPr="00D427D8" w:rsidRDefault="00EF7333" w:rsidP="009F6E91">
      <w:pPr>
        <w:pStyle w:val="Body2"/>
      </w:pPr>
      <w:bookmarkStart w:id="189" w:name="_Hlk198121004"/>
      <w:r w:rsidRPr="00D427D8">
        <w:t>"</w:t>
      </w:r>
      <w:r w:rsidR="009F6E91" w:rsidRPr="00D427D8">
        <w:rPr>
          <w:b/>
          <w:bCs/>
        </w:rPr>
        <w:t>Liquidity Reserve Items</w:t>
      </w:r>
      <w:r w:rsidRPr="00D427D8">
        <w:t>"</w:t>
      </w:r>
      <w:r w:rsidR="009F6E91" w:rsidRPr="00D427D8">
        <w:t xml:space="preserve"> means items (1st) through (5th), (7th), (9th), (11th) and (13th) of the Interest Priority of Payments</w:t>
      </w:r>
      <w:r w:rsidR="00CD6888">
        <w:t>;</w:t>
      </w:r>
    </w:p>
    <w:bookmarkEnd w:id="189"/>
    <w:p w14:paraId="4AC6FD87" w14:textId="4C6D8164" w:rsidR="009F6E91" w:rsidRPr="00D427D8" w:rsidRDefault="00EF7333" w:rsidP="009F6E91">
      <w:pPr>
        <w:pStyle w:val="Body2"/>
      </w:pPr>
      <w:r w:rsidRPr="00D427D8">
        <w:t>"</w:t>
      </w:r>
      <w:r w:rsidR="009F6E91" w:rsidRPr="00D427D8">
        <w:rPr>
          <w:b/>
        </w:rPr>
        <w:t>Liquidity Reserve Shortfall</w:t>
      </w:r>
      <w:r w:rsidRPr="00D427D8">
        <w:t>"</w:t>
      </w:r>
      <w:r w:rsidR="009F6E91" w:rsidRPr="00D427D8">
        <w:t xml:space="preserve"> means a shortfall that will occur if the amount standing to the credit of the Reserve Account on any Distribution Date, after crediting the Reserve Account in accordance with item (6</w:t>
      </w:r>
      <w:r w:rsidR="009F6E91" w:rsidRPr="00D427D8">
        <w:rPr>
          <w:vertAlign w:val="superscript"/>
        </w:rPr>
        <w:t>th</w:t>
      </w:r>
      <w:r w:rsidR="009F6E91" w:rsidRPr="00D427D8">
        <w:t>) of the Interest Priority of Payments, falls short of the Liquidity Reserve Target Amount on the Determination Date immediately preceding such Distribution Date;</w:t>
      </w:r>
    </w:p>
    <w:p w14:paraId="4EF8F198" w14:textId="493E38A1" w:rsidR="009F6E91" w:rsidRPr="00D427D8" w:rsidRDefault="00EF7333" w:rsidP="00124EF3">
      <w:pPr>
        <w:pStyle w:val="DefHead"/>
      </w:pPr>
      <w:bookmarkStart w:id="190" w:name="_Hlk196817459"/>
      <w:r w:rsidRPr="00D427D8">
        <w:t>"</w:t>
      </w:r>
      <w:bookmarkStart w:id="191" w:name="_Hlk145925652"/>
      <w:r w:rsidR="009F6E91" w:rsidRPr="00D427D8">
        <w:rPr>
          <w:rStyle w:val="BoldText"/>
        </w:rPr>
        <w:t>Liquidity Reserve Target Amount</w:t>
      </w:r>
      <w:bookmarkEnd w:id="191"/>
      <w:r w:rsidRPr="00D427D8">
        <w:t>"</w:t>
      </w:r>
      <w:r w:rsidR="009F6E91" w:rsidRPr="00D427D8">
        <w:t xml:space="preserve"> means:</w:t>
      </w:r>
    </w:p>
    <w:p w14:paraId="3F592DFC" w14:textId="6C3715EA" w:rsidR="009F6E91" w:rsidRPr="00D427D8" w:rsidRDefault="009F6E91" w:rsidP="00124EF3">
      <w:pPr>
        <w:pStyle w:val="DefLevel1"/>
      </w:pPr>
      <w:r w:rsidRPr="00D427D8">
        <w:t>up to and including the Final Class D Notes Distribution Date:</w:t>
      </w:r>
    </w:p>
    <w:p w14:paraId="5B45E740" w14:textId="6D4390EA" w:rsidR="009F6E91" w:rsidRPr="00D427D8" w:rsidRDefault="009F6E91" w:rsidP="00124EF3">
      <w:pPr>
        <w:pStyle w:val="DefLevel2"/>
      </w:pPr>
      <w:r w:rsidRPr="00D427D8">
        <w:t xml:space="preserve">on the Closing Date an amount equal to </w:t>
      </w:r>
      <w:r w:rsidR="00D70F65">
        <w:t>1.30</w:t>
      </w:r>
      <w:r w:rsidRPr="00D427D8">
        <w:t xml:space="preserve"> per cent. of the aggregate of the Initial Principal Amounts of the Class A Notes, the Class B Notes, the Class C Notes and the Class D Notes; or</w:t>
      </w:r>
    </w:p>
    <w:p w14:paraId="23C55FC3" w14:textId="66EC582F" w:rsidR="009F6E91" w:rsidRPr="00D427D8" w:rsidRDefault="009F6E91" w:rsidP="00124EF3">
      <w:pPr>
        <w:pStyle w:val="DefLevel2"/>
      </w:pPr>
      <w:r w:rsidRPr="00D427D8">
        <w:t>on the relevant Distribution Date an amount equal to the higher of:</w:t>
      </w:r>
    </w:p>
    <w:p w14:paraId="65F789B0" w14:textId="359BD256" w:rsidR="009F6E91" w:rsidRPr="00D427D8" w:rsidRDefault="00124EF3" w:rsidP="00124EF3">
      <w:pPr>
        <w:pStyle w:val="Body4"/>
        <w:ind w:left="2880" w:hanging="754"/>
      </w:pPr>
      <w:r w:rsidRPr="00D427D8">
        <w:t>(A)</w:t>
      </w:r>
      <w:r w:rsidRPr="00D427D8">
        <w:tab/>
      </w:r>
      <w:r w:rsidR="00D70F65">
        <w:t>1.30</w:t>
      </w:r>
      <w:r w:rsidRPr="00D427D8">
        <w:t xml:space="preserve"> per cent. of the aggregate of the Principal Amount Outstanding of the Class A Notes, the Class B Notes, the Class C Notes and the Class D Notes as at the previous Distribution Date; and</w:t>
      </w:r>
    </w:p>
    <w:p w14:paraId="646A1A93" w14:textId="1316369C" w:rsidR="009F6E91" w:rsidRPr="00D427D8" w:rsidRDefault="00124EF3" w:rsidP="00124EF3">
      <w:pPr>
        <w:pStyle w:val="Body4"/>
        <w:ind w:left="2880" w:hanging="754"/>
      </w:pPr>
      <w:r w:rsidRPr="00D427D8">
        <w:t>(B)</w:t>
      </w:r>
      <w:r w:rsidRPr="00D427D8">
        <w:tab/>
      </w:r>
      <w:r w:rsidR="00D70F65">
        <w:t>0.50</w:t>
      </w:r>
      <w:r w:rsidRPr="00D427D8">
        <w:t xml:space="preserve"> per cent. of the aggregate of the Initial Principal Amounts of the Class A Notes, the Class B Notes, the Class C Notes and the Class D Notes as at the Closing Date; and</w:t>
      </w:r>
    </w:p>
    <w:p w14:paraId="558A59FC" w14:textId="5813767C" w:rsidR="009F6E91" w:rsidRPr="00D427D8" w:rsidRDefault="009F6E91" w:rsidP="00124EF3">
      <w:pPr>
        <w:pStyle w:val="DefLevel1"/>
      </w:pPr>
      <w:r w:rsidRPr="00D427D8">
        <w:t xml:space="preserve">after the Final Class D Notes Distribution Date or during the Accelerated Redemption Period or on the Final </w:t>
      </w:r>
      <w:r w:rsidR="00D70F65">
        <w:t xml:space="preserve">Legal </w:t>
      </w:r>
      <w:r w:rsidRPr="00D427D8">
        <w:t>Maturity Date: zero.</w:t>
      </w:r>
    </w:p>
    <w:bookmarkEnd w:id="190"/>
    <w:p w14:paraId="37AAF78F" w14:textId="26C9135F" w:rsidR="009F6E91" w:rsidRPr="00D427D8" w:rsidRDefault="00EF7333" w:rsidP="009F6E91">
      <w:pPr>
        <w:pStyle w:val="Body2"/>
        <w:rPr>
          <w:lang w:val="en-US"/>
        </w:rPr>
      </w:pPr>
      <w:r w:rsidRPr="00D427D8">
        <w:rPr>
          <w:lang w:val="en-US"/>
        </w:rPr>
        <w:t>"</w:t>
      </w:r>
      <w:r w:rsidR="009F6E91" w:rsidRPr="00D427D8">
        <w:rPr>
          <w:b/>
          <w:bCs/>
          <w:lang w:val="en-US"/>
        </w:rPr>
        <w:t>Luxembourg</w:t>
      </w:r>
      <w:r w:rsidRPr="00D427D8">
        <w:rPr>
          <w:lang w:val="en-US"/>
        </w:rPr>
        <w:t>"</w:t>
      </w:r>
      <w:r w:rsidR="009F6E91" w:rsidRPr="00D427D8">
        <w:rPr>
          <w:lang w:val="en-US"/>
        </w:rPr>
        <w:t xml:space="preserve"> means the Grand Duchy of Luxembourg.</w:t>
      </w:r>
    </w:p>
    <w:p w14:paraId="34E7E8B7" w14:textId="3FF8F158" w:rsidR="009F6E91" w:rsidRPr="00D427D8" w:rsidRDefault="00EF7333" w:rsidP="009F6E91">
      <w:pPr>
        <w:pStyle w:val="Body2"/>
        <w:rPr>
          <w:lang w:val="en-US"/>
        </w:rPr>
      </w:pPr>
      <w:r w:rsidRPr="00D427D8">
        <w:rPr>
          <w:lang w:val="en-US"/>
        </w:rPr>
        <w:t>"</w:t>
      </w:r>
      <w:r w:rsidR="009F6E91" w:rsidRPr="00D427D8">
        <w:rPr>
          <w:b/>
          <w:bCs/>
          <w:lang w:val="en-US"/>
        </w:rPr>
        <w:t>Luxembourg Companies Law</w:t>
      </w:r>
      <w:r w:rsidRPr="00D427D8">
        <w:rPr>
          <w:lang w:val="en-US"/>
        </w:rPr>
        <w:t>"</w:t>
      </w:r>
      <w:r w:rsidR="009F6E91" w:rsidRPr="00D427D8">
        <w:rPr>
          <w:lang w:val="en-US"/>
        </w:rPr>
        <w:t xml:space="preserve"> means the Luxembourg law of 10 August 1915 on commercial companies as amended from time to time.</w:t>
      </w:r>
    </w:p>
    <w:p w14:paraId="3FD77E0F" w14:textId="153671EA" w:rsidR="009F6E91" w:rsidRPr="00D427D8" w:rsidRDefault="00124EF3" w:rsidP="00124EF3">
      <w:pPr>
        <w:pStyle w:val="Body2"/>
        <w:rPr>
          <w:lang w:val="fr-FR"/>
        </w:rPr>
      </w:pPr>
      <w:r w:rsidRPr="00D427D8">
        <w:rPr>
          <w:lang w:val="fr-FR"/>
        </w:rPr>
        <w:t>"</w:t>
      </w:r>
      <w:r w:rsidRPr="00D427D8">
        <w:rPr>
          <w:rStyle w:val="BoldText"/>
          <w:lang w:val="fr-FR"/>
        </w:rPr>
        <w:t>Luxembourg Stock Exchange</w:t>
      </w:r>
      <w:r w:rsidRPr="00D427D8">
        <w:rPr>
          <w:lang w:val="fr-FR"/>
        </w:rPr>
        <w:t xml:space="preserve">" means </w:t>
      </w:r>
      <w:r w:rsidRPr="00D427D8">
        <w:rPr>
          <w:i/>
          <w:lang w:val="fr-FR"/>
        </w:rPr>
        <w:t>Société de la Bourse de Luxembourg</w:t>
      </w:r>
      <w:r w:rsidRPr="00D427D8">
        <w:rPr>
          <w:lang w:val="fr-FR"/>
        </w:rPr>
        <w:t>.</w:t>
      </w:r>
    </w:p>
    <w:p w14:paraId="490BED86" w14:textId="73B99DEE" w:rsidR="009F6E91" w:rsidRPr="00D427D8" w:rsidRDefault="00124EF3" w:rsidP="00124EF3">
      <w:pPr>
        <w:pStyle w:val="Body2"/>
        <w:rPr>
          <w:lang w:val="en-US"/>
        </w:rPr>
      </w:pPr>
      <w:r w:rsidRPr="00D427D8">
        <w:rPr>
          <w:lang w:val="en-US"/>
        </w:rPr>
        <w:lastRenderedPageBreak/>
        <w:t>"</w:t>
      </w:r>
      <w:r w:rsidRPr="00D427D8">
        <w:rPr>
          <w:rStyle w:val="BoldText"/>
        </w:rPr>
        <w:t>Luxembourg Securitisation Law</w:t>
      </w:r>
      <w:r w:rsidRPr="00D427D8">
        <w:rPr>
          <w:lang w:val="en-US"/>
        </w:rPr>
        <w:t>" means the Luxembourg law dated 22 March 2004 on securitisation as amended from time to time.</w:t>
      </w:r>
    </w:p>
    <w:p w14:paraId="69A412FB" w14:textId="7EA7ADD9" w:rsidR="009F6E91" w:rsidRPr="00D427D8" w:rsidRDefault="00EF7333" w:rsidP="009F6E91">
      <w:pPr>
        <w:pStyle w:val="Body2"/>
      </w:pPr>
      <w:r w:rsidRPr="00D427D8">
        <w:t>"</w:t>
      </w:r>
      <w:r w:rsidR="009F6E91" w:rsidRPr="00D427D8">
        <w:rPr>
          <w:b/>
        </w:rPr>
        <w:t>Master</w:t>
      </w:r>
      <w:r w:rsidR="009F6E91" w:rsidRPr="00D427D8">
        <w:t xml:space="preserve"> </w:t>
      </w:r>
      <w:r w:rsidR="009F6E91" w:rsidRPr="00D427D8">
        <w:rPr>
          <w:b/>
        </w:rPr>
        <w:t>Agreement</w:t>
      </w:r>
      <w:r w:rsidRPr="00D427D8">
        <w:t>"</w:t>
      </w:r>
      <w:r w:rsidR="009F6E91" w:rsidRPr="00D427D8">
        <w:t xml:space="preserve"> means the master agreement entered into on the Signing Date between the Issuer, the Seller, the Servicer, the Arranger, the Counterparty, the Lead Manager, the Data Protection Trustee, the Paying Agent, the Reporting Agent, the Calculation Agent, the Collateral Agent, the ER Agent, the Lender, the Account Bank and the Back-up Servicer Facilitator.</w:t>
      </w:r>
    </w:p>
    <w:p w14:paraId="56791733" w14:textId="6BFACA77" w:rsidR="009F6E91" w:rsidRPr="00D427D8" w:rsidRDefault="00124EF3" w:rsidP="00124EF3">
      <w:pPr>
        <w:pStyle w:val="Body2"/>
      </w:pPr>
      <w:r w:rsidRPr="00D427D8">
        <w:t>"</w:t>
      </w:r>
      <w:r w:rsidRPr="00D427D8">
        <w:rPr>
          <w:rStyle w:val="BoldText"/>
        </w:rPr>
        <w:t>MiFID II</w:t>
      </w:r>
      <w:r w:rsidRPr="00D427D8">
        <w:t>" means the Directive 2014/65/EU of the Parliament and of the Council of 15 May 2014 on markets in financial instruments and amending Directive 2002/92/EC and Directive 2011/61/EU.</w:t>
      </w:r>
    </w:p>
    <w:p w14:paraId="7E7BEE91" w14:textId="1683456F" w:rsidR="009F6E91" w:rsidRPr="00D427D8" w:rsidRDefault="00124EF3" w:rsidP="00124EF3">
      <w:pPr>
        <w:pStyle w:val="Body2"/>
      </w:pPr>
      <w:r w:rsidRPr="00D427D8">
        <w:t>"</w:t>
      </w:r>
      <w:r w:rsidRPr="00D427D8">
        <w:rPr>
          <w:rStyle w:val="BoldText"/>
        </w:rPr>
        <w:t>Monthly Investor Report</w:t>
      </w:r>
      <w:r w:rsidRPr="00D427D8">
        <w:t>" means the monthly investor report to be prepared by the Calculation Agent, which will be published by Stellantis Bank, and will be available on the EU Securitisation Repository Website on each Determination Date.</w:t>
      </w:r>
    </w:p>
    <w:p w14:paraId="737C3838" w14:textId="7D9C972C" w:rsidR="009F6E91" w:rsidRPr="00D427D8" w:rsidRDefault="00EF7333" w:rsidP="009F6E91">
      <w:pPr>
        <w:pStyle w:val="Body2"/>
      </w:pPr>
      <w:r w:rsidRPr="00D427D8">
        <w:t>"</w:t>
      </w:r>
      <w:r w:rsidR="009F6E91" w:rsidRPr="00D427D8">
        <w:rPr>
          <w:b/>
        </w:rPr>
        <w:t>Monthly Period</w:t>
      </w:r>
      <w:r w:rsidRPr="00D427D8">
        <w:t>"</w:t>
      </w:r>
      <w:r w:rsidR="009F6E91" w:rsidRPr="00D427D8">
        <w:t xml:space="preserve"> means, with respect to a Distribution Date, the calendar month immediately preceding the month in which such Distribution Date occurs, however, with respect to the first Distribution Date (being the Distribution Date falling in </w:t>
      </w:r>
      <w:r w:rsidR="00E54B23">
        <w:t>July 2025</w:t>
      </w:r>
      <w:r w:rsidR="009F6E91" w:rsidRPr="00D427D8">
        <w:t>), the Monthly Period will be the period from and excluding the Cut-off Date until the last day of the calendar month immediately preceding such first Distribution Date.</w:t>
      </w:r>
    </w:p>
    <w:p w14:paraId="7F85ACCF" w14:textId="268B7C61" w:rsidR="009F6E91" w:rsidRPr="00D427D8" w:rsidRDefault="00EF7333" w:rsidP="009F6E91">
      <w:pPr>
        <w:pStyle w:val="Body2"/>
      </w:pPr>
      <w:r w:rsidRPr="00D427D8">
        <w:t>"</w:t>
      </w:r>
      <w:r w:rsidR="009F6E91" w:rsidRPr="00D427D8">
        <w:rPr>
          <w:b/>
          <w:bCs/>
        </w:rPr>
        <w:t>Moody</w:t>
      </w:r>
      <w:r w:rsidRPr="00D427D8">
        <w:rPr>
          <w:b/>
          <w:bCs/>
        </w:rPr>
        <w:t>'</w:t>
      </w:r>
      <w:r w:rsidR="009F6E91" w:rsidRPr="00D427D8">
        <w:rPr>
          <w:b/>
          <w:bCs/>
        </w:rPr>
        <w:t>s</w:t>
      </w:r>
      <w:r w:rsidRPr="00D427D8">
        <w:t>"</w:t>
      </w:r>
      <w:r w:rsidR="009F6E91" w:rsidRPr="00D427D8">
        <w:t xml:space="preserve"> means </w:t>
      </w:r>
      <w:r w:rsidR="009F6E91" w:rsidRPr="00D427D8">
        <w:rPr>
          <w:lang w:val="en-US"/>
        </w:rPr>
        <w:t>Moody</w:t>
      </w:r>
      <w:r w:rsidRPr="00D427D8">
        <w:rPr>
          <w:lang w:val="en-US"/>
        </w:rPr>
        <w:t>'</w:t>
      </w:r>
      <w:r w:rsidR="009F6E91" w:rsidRPr="00D427D8">
        <w:rPr>
          <w:lang w:val="en-US"/>
        </w:rPr>
        <w:t>s Deutschland GmbH</w:t>
      </w:r>
      <w:r w:rsidR="009F6E91" w:rsidRPr="00D427D8">
        <w:t xml:space="preserve"> or any successor of its rating business.</w:t>
      </w:r>
    </w:p>
    <w:p w14:paraId="464373C4" w14:textId="4D09F76D" w:rsidR="009F6E91" w:rsidRPr="00D427D8" w:rsidRDefault="00EF7333" w:rsidP="00124EF3">
      <w:pPr>
        <w:pStyle w:val="DefHead"/>
      </w:pPr>
      <w:r w:rsidRPr="00D427D8">
        <w:t>"</w:t>
      </w:r>
      <w:r w:rsidR="009F6E91" w:rsidRPr="00D427D8">
        <w:rPr>
          <w:b/>
        </w:rPr>
        <w:t>Most Senior Class of Notes</w:t>
      </w:r>
      <w:r w:rsidRPr="00D427D8">
        <w:t>"</w:t>
      </w:r>
      <w:r w:rsidR="009F6E91" w:rsidRPr="00D427D8">
        <w:t xml:space="preserve"> means on any Distribution Date and after giving effect to all payments in accordance with the applicable Priority of Payments:</w:t>
      </w:r>
    </w:p>
    <w:p w14:paraId="24BCF5B4" w14:textId="68F468D4" w:rsidR="009F6E91" w:rsidRPr="00D427D8" w:rsidRDefault="009F6E91" w:rsidP="00124EF3">
      <w:pPr>
        <w:pStyle w:val="DefLevel1"/>
      </w:pPr>
      <w:r w:rsidRPr="00D427D8">
        <w:t>for so long as the Class A Notes have not been redeemed in full, the Class A Notes;</w:t>
      </w:r>
    </w:p>
    <w:p w14:paraId="002AC985" w14:textId="03668D4C" w:rsidR="009F6E91" w:rsidRPr="00D427D8" w:rsidRDefault="009F6E91" w:rsidP="00124EF3">
      <w:pPr>
        <w:pStyle w:val="DefLevel1"/>
      </w:pPr>
      <w:r w:rsidRPr="00D427D8">
        <w:t>if no Class A Notes are then outstanding, and for so long as the Class B Notes have not been redeemed in full, the Class B Notes;</w:t>
      </w:r>
    </w:p>
    <w:p w14:paraId="04819F9A" w14:textId="10474EE4" w:rsidR="009F6E91" w:rsidRPr="00D427D8" w:rsidRDefault="009F6E91" w:rsidP="00124EF3">
      <w:pPr>
        <w:pStyle w:val="DefLevel1"/>
      </w:pPr>
      <w:r w:rsidRPr="00D427D8">
        <w:t>if no Class B Notes are then outstanding, and for so long as the Class C Notes have not been redeemed in full, the Class C Notes;</w:t>
      </w:r>
    </w:p>
    <w:p w14:paraId="7BD497D5" w14:textId="1AAA2FBC" w:rsidR="009F6E91" w:rsidRPr="00D427D8" w:rsidRDefault="009F6E91" w:rsidP="00124EF3">
      <w:pPr>
        <w:pStyle w:val="DefLevel1"/>
      </w:pPr>
      <w:r w:rsidRPr="00D427D8">
        <w:t>if no Class C Notes are then outstanding, and for so long as the Class D Notes have not been redeemed in full, the Class D Notes;</w:t>
      </w:r>
    </w:p>
    <w:p w14:paraId="25D1BA22" w14:textId="0DF60DE6" w:rsidR="009F6E91" w:rsidRPr="00D427D8" w:rsidRDefault="009F6E91" w:rsidP="00124EF3">
      <w:pPr>
        <w:pStyle w:val="DefLevel1"/>
      </w:pPr>
      <w:r w:rsidRPr="00D427D8">
        <w:t>if no Class D Notes are then outstanding, and for so long as the Class E Notes have not been redeemed in full, the Class E Notes;</w:t>
      </w:r>
    </w:p>
    <w:p w14:paraId="79DE5F53" w14:textId="337FF8C9" w:rsidR="009F6E91" w:rsidRPr="00D427D8" w:rsidRDefault="009F6E91" w:rsidP="00124EF3">
      <w:pPr>
        <w:pStyle w:val="DefLevel1"/>
      </w:pPr>
      <w:r w:rsidRPr="00D427D8">
        <w:t>if no Class E Notes are then outstanding, and for so long as the Class F Notes have not been redeemed in full, the Class F Notes;</w:t>
      </w:r>
    </w:p>
    <w:p w14:paraId="62FBDD19" w14:textId="4F7814C1" w:rsidR="009F6E91" w:rsidRPr="00D427D8" w:rsidRDefault="009F6E91" w:rsidP="00124EF3">
      <w:pPr>
        <w:pStyle w:val="DefLevel1"/>
      </w:pPr>
      <w:r w:rsidRPr="00D427D8">
        <w:t>if no Class F Notes are then outstanding, and for so long as the Class G Notes have not been redeemed in full, the Class G Notes.</w:t>
      </w:r>
    </w:p>
    <w:p w14:paraId="735E024A" w14:textId="09546BF3" w:rsidR="009F6E91" w:rsidRPr="00D427D8" w:rsidRDefault="00EF7333" w:rsidP="009F6E91">
      <w:pPr>
        <w:pStyle w:val="Body2"/>
      </w:pPr>
      <w:r w:rsidRPr="00D427D8">
        <w:t>"</w:t>
      </w:r>
      <w:r w:rsidR="009F6E91" w:rsidRPr="00D427D8">
        <w:rPr>
          <w:b/>
        </w:rPr>
        <w:t>Negative Carry Event</w:t>
      </w:r>
      <w:r w:rsidRPr="00D427D8">
        <w:t>"</w:t>
      </w:r>
      <w:r w:rsidR="009F6E91" w:rsidRPr="00D427D8">
        <w:t xml:space="preserve"> means an event that occurs if, on any two consecutive Distribution Dates, the balance of the Reinvestment Principal Ledger exceeds 10 per cent of the </w:t>
      </w:r>
      <w:r w:rsidR="009F6E91" w:rsidRPr="00D427D8">
        <w:rPr>
          <w:color w:val="000000"/>
          <w:lang w:val="en-US" w:eastAsia="de-DE"/>
        </w:rPr>
        <w:t>Aggregate Discounted Asset Balance</w:t>
      </w:r>
      <w:r w:rsidR="009F6E91" w:rsidRPr="00D427D8">
        <w:t xml:space="preserve"> of the Purchased Lease Receivables and Purchased Expectancy Rights comprised in the Portfolio as at the Determination Date immediately preceding the relevant Distribution Date.</w:t>
      </w:r>
    </w:p>
    <w:p w14:paraId="788AB489" w14:textId="2E7DADD1" w:rsidR="009F6E91" w:rsidRPr="00D427D8" w:rsidRDefault="00124EF3" w:rsidP="00124EF3">
      <w:pPr>
        <w:pStyle w:val="DefHead"/>
        <w:rPr>
          <w:lang w:val="en-US"/>
        </w:rPr>
      </w:pPr>
      <w:r w:rsidRPr="00D427D8">
        <w:rPr>
          <w:lang w:bidi="he-IL"/>
        </w:rPr>
        <w:t>"</w:t>
      </w:r>
      <w:r w:rsidRPr="00D427D8">
        <w:rPr>
          <w:rStyle w:val="BoldText"/>
        </w:rPr>
        <w:t>Net Present Value</w:t>
      </w:r>
      <w:r w:rsidRPr="00D427D8">
        <w:rPr>
          <w:lang w:bidi="he-IL"/>
        </w:rPr>
        <w:t xml:space="preserve">" </w:t>
      </w:r>
      <w:r w:rsidRPr="00D427D8">
        <w:rPr>
          <w:lang w:val="en-US"/>
        </w:rPr>
        <w:t xml:space="preserve">means, as of the relevant </w:t>
      </w:r>
      <w:r w:rsidRPr="00D427D8">
        <w:t>determination d</w:t>
      </w:r>
      <w:r w:rsidRPr="00D427D8">
        <w:rPr>
          <w:lang w:val="en-US"/>
        </w:rPr>
        <w:t>ate,</w:t>
      </w:r>
    </w:p>
    <w:p w14:paraId="7C3CDC15" w14:textId="25C0E196" w:rsidR="009F6E91" w:rsidRPr="00D427D8" w:rsidRDefault="00124EF3" w:rsidP="00124EF3">
      <w:pPr>
        <w:pStyle w:val="DefLevel1"/>
        <w:rPr>
          <w:lang w:val="en-US"/>
        </w:rPr>
      </w:pPr>
      <w:r w:rsidRPr="00D427D8">
        <w:rPr>
          <w:lang w:val="en-US"/>
        </w:rPr>
        <w:t xml:space="preserve">in </w:t>
      </w:r>
      <w:r w:rsidRPr="00D427D8">
        <w:rPr>
          <w:lang w:bidi="he-IL"/>
        </w:rPr>
        <w:t>relation</w:t>
      </w:r>
      <w:r w:rsidRPr="00D427D8">
        <w:rPr>
          <w:lang w:val="en-US"/>
        </w:rPr>
        <w:t xml:space="preserve"> to the Lease Receivables, the amount calculated as follows:</w:t>
      </w:r>
    </w:p>
    <w:p w14:paraId="45CFB55F" w14:textId="2A7DC277" w:rsidR="00C21615" w:rsidRPr="00D427D8" w:rsidRDefault="008305FF" w:rsidP="00C21615">
      <w:pPr>
        <w:pStyle w:val="Body3"/>
        <w:rPr>
          <w:lang w:val="en-US"/>
        </w:rPr>
      </w:pPr>
      <m:oMath>
        <m:f>
          <m:fPr>
            <m:ctrlPr>
              <w:rPr>
                <w:rFonts w:ascii="Cambria Math" w:hAnsi="Cambria Math"/>
                <w:i/>
                <w:lang w:val="en-US"/>
              </w:rPr>
            </m:ctrlPr>
          </m:fPr>
          <m:num>
            <m:r>
              <w:rPr>
                <w:rFonts w:ascii="Cambria Math" w:hAnsi="Cambria Math"/>
                <w:lang w:val="en-US"/>
              </w:rPr>
              <m:t xml:space="preserve">outstanding Lease Instalments × </m:t>
            </m:r>
            <m:d>
              <m:dPr>
                <m:begChr m:val="["/>
                <m:endChr m:val="]"/>
                <m:ctrlPr>
                  <w:rPr>
                    <w:rFonts w:ascii="Cambria Math" w:hAnsi="Cambria Math"/>
                    <w:i/>
                    <w:lang w:val="en-US"/>
                  </w:rPr>
                </m:ctrlPr>
              </m:dPr>
              <m:e>
                <m:r>
                  <w:rPr>
                    <w:rFonts w:ascii="Cambria Math" w:hAnsi="Cambria Math"/>
                    <w:lang w:val="en-US"/>
                  </w:rPr>
                  <m:t xml:space="preserve">1-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 xml:space="preserve">1+ </m:t>
                        </m:r>
                        <m:f>
                          <m:fPr>
                            <m:ctrlPr>
                              <w:rPr>
                                <w:rFonts w:ascii="Cambria Math" w:hAnsi="Cambria Math"/>
                                <w:i/>
                                <w:lang w:val="en-US"/>
                              </w:rPr>
                            </m:ctrlPr>
                          </m:fPr>
                          <m:num>
                            <m:r>
                              <w:rPr>
                                <w:rFonts w:ascii="Cambria Math" w:hAnsi="Cambria Math"/>
                                <w:lang w:val="en-US"/>
                              </w:rPr>
                              <m:t>Discount Rate</m:t>
                            </m:r>
                          </m:num>
                          <m:den>
                            <m:r>
                              <w:rPr>
                                <w:rFonts w:ascii="Cambria Math" w:hAnsi="Cambria Math"/>
                                <w:lang w:val="en-US"/>
                              </w:rPr>
                              <m:t>12</m:t>
                            </m:r>
                          </m:den>
                        </m:f>
                      </m:e>
                    </m:d>
                  </m:e>
                  <m:sup>
                    <m:r>
                      <w:rPr>
                        <w:rFonts w:ascii="Cambria Math" w:hAnsi="Cambria Math"/>
                        <w:lang w:val="en-US"/>
                      </w:rPr>
                      <m:t>-number of remaining Lease Instalments</m:t>
                    </m:r>
                  </m:sup>
                </m:sSup>
              </m:e>
            </m:d>
          </m:num>
          <m:den>
            <m:f>
              <m:fPr>
                <m:ctrlPr>
                  <w:rPr>
                    <w:rFonts w:ascii="Cambria Math" w:hAnsi="Cambria Math"/>
                    <w:i/>
                    <w:lang w:val="en-US"/>
                  </w:rPr>
                </m:ctrlPr>
              </m:fPr>
              <m:num>
                <m:r>
                  <w:rPr>
                    <w:rFonts w:ascii="Cambria Math" w:hAnsi="Cambria Math"/>
                    <w:lang w:val="en-US"/>
                  </w:rPr>
                  <m:t>Discount Rate</m:t>
                </m:r>
              </m:num>
              <m:den>
                <m:r>
                  <w:rPr>
                    <w:rFonts w:ascii="Cambria Math" w:hAnsi="Cambria Math"/>
                    <w:lang w:val="en-US"/>
                  </w:rPr>
                  <m:t>12</m:t>
                </m:r>
              </m:den>
            </m:f>
          </m:den>
        </m:f>
      </m:oMath>
      <w:r w:rsidR="00C21615" w:rsidRPr="00D427D8">
        <w:rPr>
          <w:lang w:val="en-US"/>
        </w:rPr>
        <w:t>; and</w:t>
      </w:r>
    </w:p>
    <w:p w14:paraId="755AD780" w14:textId="1AB55BFF" w:rsidR="009F6E91" w:rsidRPr="00D427D8" w:rsidRDefault="00124EF3" w:rsidP="00C21615">
      <w:pPr>
        <w:pStyle w:val="DefLevel1"/>
        <w:rPr>
          <w:lang w:val="en-US"/>
        </w:rPr>
      </w:pPr>
      <w:r w:rsidRPr="00D427D8">
        <w:rPr>
          <w:lang w:val="en-US"/>
        </w:rPr>
        <w:t xml:space="preserve">in </w:t>
      </w:r>
      <w:r w:rsidRPr="00D427D8">
        <w:rPr>
          <w:lang w:bidi="he-IL"/>
        </w:rPr>
        <w:t>relation</w:t>
      </w:r>
      <w:r w:rsidRPr="00D427D8">
        <w:rPr>
          <w:lang w:val="en-US"/>
        </w:rPr>
        <w:t xml:space="preserve"> to Expectancy Rights, the amount calculated as follows:</w:t>
      </w:r>
    </w:p>
    <w:p w14:paraId="12AC4004" w14:textId="39FECB41" w:rsidR="00C21615" w:rsidRPr="00D427D8" w:rsidRDefault="00C21615" w:rsidP="00C21615">
      <w:pPr>
        <w:pStyle w:val="Body3"/>
        <w:rPr>
          <w:lang w:val="en-US"/>
        </w:rPr>
      </w:pPr>
      <m:oMathPara>
        <m:oMath>
          <m:r>
            <w:rPr>
              <w:rFonts w:ascii="Cambria Math" w:hAnsi="Cambria Math"/>
              <w:lang w:val="en-US"/>
            </w:rPr>
            <m:t>Expectancy Right Value ×</m:t>
          </m:r>
          <m:sSup>
            <m:sSupPr>
              <m:ctrlPr>
                <w:rPr>
                  <w:rFonts w:ascii="Cambria Math" w:hAnsi="Cambria Math"/>
                  <w:i/>
                  <w:lang w:val="en-US"/>
                </w:rPr>
              </m:ctrlPr>
            </m:sSupPr>
            <m:e>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Discount Rate</m:t>
                      </m:r>
                    </m:num>
                    <m:den>
                      <m:r>
                        <w:rPr>
                          <w:rFonts w:ascii="Cambria Math" w:hAnsi="Cambria Math"/>
                          <w:lang w:val="en-US"/>
                        </w:rPr>
                        <m:t>12</m:t>
                      </m:r>
                    </m:den>
                  </m:f>
                </m:e>
              </m:d>
            </m:e>
            <m:sup>
              <m:r>
                <w:rPr>
                  <w:rFonts w:ascii="Cambria Math" w:hAnsi="Cambria Math"/>
                  <w:lang w:val="en-US"/>
                </w:rPr>
                <m:t>-(number of remaining Lease Instalments+1)</m:t>
              </m:r>
            </m:sup>
          </m:sSup>
        </m:oMath>
      </m:oMathPara>
    </w:p>
    <w:p w14:paraId="590283FF" w14:textId="76D3BE9A" w:rsidR="009F6E91" w:rsidRPr="00D427D8" w:rsidRDefault="00EF7333" w:rsidP="00C21615">
      <w:pPr>
        <w:pStyle w:val="DefHead"/>
      </w:pPr>
      <w:r w:rsidRPr="00D427D8">
        <w:lastRenderedPageBreak/>
        <w:t>"</w:t>
      </w:r>
      <w:r w:rsidR="009F6E91" w:rsidRPr="00D427D8">
        <w:rPr>
          <w:b/>
        </w:rPr>
        <w:t>Non-Permitted Variation</w:t>
      </w:r>
      <w:r w:rsidRPr="00D427D8">
        <w:t>"</w:t>
      </w:r>
      <w:r w:rsidR="009F6E91" w:rsidRPr="00D427D8">
        <w:t xml:space="preserve"> means any change to a Lease Agreement that relates to a Lease Receivable which has the effect of:</w:t>
      </w:r>
    </w:p>
    <w:p w14:paraId="508EC5AC" w14:textId="4CC112DE" w:rsidR="009F6E91" w:rsidRPr="00D427D8" w:rsidRDefault="009F6E91" w:rsidP="00C21615">
      <w:pPr>
        <w:pStyle w:val="DefLevel1"/>
        <w:rPr>
          <w:color w:val="000000" w:themeColor="text1"/>
        </w:rPr>
      </w:pPr>
      <w:r w:rsidRPr="00D427D8">
        <w:rPr>
          <w:color w:val="000000" w:themeColor="text1"/>
        </w:rPr>
        <w:t xml:space="preserve">writing-off the </w:t>
      </w:r>
      <w:r w:rsidRPr="00D427D8">
        <w:t>outstanding Discounted Receivables Balance</w:t>
      </w:r>
      <w:r w:rsidRPr="00D427D8">
        <w:rPr>
          <w:color w:val="000000" w:themeColor="text1"/>
        </w:rPr>
        <w:t>; or</w:t>
      </w:r>
    </w:p>
    <w:p w14:paraId="104230E1" w14:textId="25FDB7ED" w:rsidR="009F6E91" w:rsidRPr="00D427D8" w:rsidRDefault="009F6E91" w:rsidP="00C21615">
      <w:pPr>
        <w:pStyle w:val="DefLevel1"/>
      </w:pPr>
      <w:r w:rsidRPr="00D427D8">
        <w:t>reducing the Discount Rate; or</w:t>
      </w:r>
    </w:p>
    <w:p w14:paraId="5659CF99" w14:textId="525FD6A7" w:rsidR="009F6E91" w:rsidRPr="00D427D8" w:rsidRDefault="009F6E91" w:rsidP="00C21615">
      <w:pPr>
        <w:pStyle w:val="DefLevel1"/>
      </w:pPr>
      <w:r w:rsidRPr="00D427D8">
        <w:t xml:space="preserve">extending the initial contractual term of the Lease Receivable </w:t>
      </w:r>
      <w:r w:rsidR="00823555" w:rsidRPr="00823555">
        <w:t xml:space="preserve">such that the new contractual maturity date of such Lease Receivable falls after the date which is </w:t>
      </w:r>
      <w:r w:rsidRPr="00D427D8">
        <w:t>twenty-four (24) months prior the Final Legal Maturity Date,</w:t>
      </w:r>
    </w:p>
    <w:p w14:paraId="4E7E12B2" w14:textId="46A5855C" w:rsidR="009F6E91" w:rsidRPr="00D427D8" w:rsidRDefault="009F6E91" w:rsidP="009F6E91">
      <w:pPr>
        <w:pStyle w:val="Body2"/>
      </w:pPr>
      <w:r w:rsidRPr="00D427D8">
        <w:t>but in the case of items (a) to (c) above, shall not, for the avoidance of doubt, include any action taken with respect to the Servicer</w:t>
      </w:r>
      <w:r w:rsidR="00EF7333" w:rsidRPr="00D427D8">
        <w:t>'</w:t>
      </w:r>
      <w:r w:rsidRPr="00D427D8">
        <w:t>s credit and arrears management process in accordance with its servicing procedures for managing arrears in relation to Defaulted Receivables.</w:t>
      </w:r>
    </w:p>
    <w:p w14:paraId="55A02901" w14:textId="60B9190B" w:rsidR="009F6E91" w:rsidRPr="00D427D8" w:rsidRDefault="00EF7333" w:rsidP="00C21615">
      <w:pPr>
        <w:pStyle w:val="DefHead"/>
      </w:pPr>
      <w:r w:rsidRPr="00D427D8">
        <w:t>"</w:t>
      </w:r>
      <w:r w:rsidR="009F6E91" w:rsidRPr="00D427D8">
        <w:rPr>
          <w:b/>
        </w:rPr>
        <w:t>Normal Amortisation Period</w:t>
      </w:r>
      <w:r w:rsidRPr="00D427D8">
        <w:t>"</w:t>
      </w:r>
      <w:r w:rsidR="009F6E91" w:rsidRPr="00D427D8">
        <w:t xml:space="preserve"> means the period which:</w:t>
      </w:r>
    </w:p>
    <w:p w14:paraId="7C51EC3E" w14:textId="2939EDDD" w:rsidR="009F6E91" w:rsidRPr="00D427D8" w:rsidRDefault="009F6E91" w:rsidP="00C21615">
      <w:pPr>
        <w:pStyle w:val="DefLevel1"/>
      </w:pPr>
      <w:r w:rsidRPr="00D427D8">
        <w:t>shall commence on the Distribution Date following the earlier of (i) the Revolving Period End Date and (ii) the occurrence of a Revolving Period Termination Event; and</w:t>
      </w:r>
    </w:p>
    <w:p w14:paraId="6DE10167" w14:textId="2232B7D0" w:rsidR="009F6E91" w:rsidRPr="00D427D8" w:rsidRDefault="009F6E91" w:rsidP="00C21615">
      <w:pPr>
        <w:pStyle w:val="DefLevel1"/>
      </w:pPr>
      <w:r w:rsidRPr="00D427D8">
        <w:t>shall end on the earlier of:</w:t>
      </w:r>
    </w:p>
    <w:p w14:paraId="6BFFC86C" w14:textId="13FFFA37" w:rsidR="009F6E91" w:rsidRPr="00D427D8" w:rsidRDefault="009F6E91" w:rsidP="00C21615">
      <w:pPr>
        <w:pStyle w:val="DefLevel2"/>
      </w:pPr>
      <w:r w:rsidRPr="00D427D8">
        <w:t>the date on which the aggregate Principal Outstanding Notes Balance of each Class of Notes is reduced to zero; or</w:t>
      </w:r>
    </w:p>
    <w:p w14:paraId="4EB8C8C0" w14:textId="5E2EBC1D" w:rsidR="009F6E91" w:rsidRPr="00D427D8" w:rsidRDefault="009F6E91" w:rsidP="00C21615">
      <w:pPr>
        <w:pStyle w:val="DefLevel2"/>
      </w:pPr>
      <w:r w:rsidRPr="00D427D8">
        <w:t>the Final Legal Maturity Date; or</w:t>
      </w:r>
    </w:p>
    <w:p w14:paraId="21FA4EC9" w14:textId="41F37DDA" w:rsidR="009F6E91" w:rsidRPr="00D427D8" w:rsidRDefault="009F6E91" w:rsidP="00C21615">
      <w:pPr>
        <w:pStyle w:val="DefLevel2"/>
      </w:pPr>
      <w:r w:rsidRPr="00D427D8">
        <w:t>the Distribution Date following the occurrence of an Accelerated Amortisation Event.</w:t>
      </w:r>
    </w:p>
    <w:p w14:paraId="1AAD311D" w14:textId="77EB805E" w:rsidR="009F6E91" w:rsidRPr="00D427D8" w:rsidRDefault="00EF7333" w:rsidP="009F6E91">
      <w:pPr>
        <w:pStyle w:val="Body2"/>
      </w:pPr>
      <w:r w:rsidRPr="00D427D8">
        <w:t>"</w:t>
      </w:r>
      <w:r w:rsidR="009F6E91" w:rsidRPr="00D427D8">
        <w:rPr>
          <w:b/>
        </w:rPr>
        <w:t>Note Acceleration Notice</w:t>
      </w:r>
      <w:r w:rsidRPr="00D427D8">
        <w:t>"</w:t>
      </w:r>
      <w:r w:rsidR="009F6E91" w:rsidRPr="00D427D8">
        <w:t xml:space="preserve"> has the meaning given to such term in clause 14.3(a)(ii) of the Collateral Agency Agreement.</w:t>
      </w:r>
    </w:p>
    <w:p w14:paraId="0141F2F1" w14:textId="46B6AB45" w:rsidR="009F6E91" w:rsidRPr="00D427D8" w:rsidRDefault="00EF7333" w:rsidP="009F6E91">
      <w:pPr>
        <w:pStyle w:val="Body2"/>
      </w:pPr>
      <w:r w:rsidRPr="00D427D8">
        <w:t>"</w:t>
      </w:r>
      <w:r w:rsidR="009F6E91" w:rsidRPr="00D427D8">
        <w:rPr>
          <w:b/>
          <w:bCs/>
        </w:rPr>
        <w:t>Note Principal Amount</w:t>
      </w:r>
      <w:r w:rsidRPr="00D427D8">
        <w:t>"</w:t>
      </w:r>
      <w:r w:rsidR="009F6E91" w:rsidRPr="00D427D8">
        <w:t xml:space="preserve"> means the principal amount of the Note.</w:t>
      </w:r>
    </w:p>
    <w:p w14:paraId="5A11AD03" w14:textId="13AF90C2" w:rsidR="009F6E91" w:rsidRPr="00D427D8" w:rsidRDefault="00EF7333" w:rsidP="009F6E91">
      <w:pPr>
        <w:pStyle w:val="Body2"/>
      </w:pPr>
      <w:r w:rsidRPr="00D427D8">
        <w:t>"</w:t>
      </w:r>
      <w:r w:rsidR="009F6E91" w:rsidRPr="00D427D8">
        <w:rPr>
          <w:b/>
        </w:rPr>
        <w:t>Noteholders</w:t>
      </w:r>
      <w:r w:rsidRPr="00D427D8">
        <w:rPr>
          <w:b/>
        </w:rPr>
        <w:t>"</w:t>
      </w:r>
      <w:r w:rsidR="009F6E91" w:rsidRPr="00D427D8">
        <w:t xml:space="preserve"> means each holder of any Note.</w:t>
      </w:r>
    </w:p>
    <w:p w14:paraId="73274566" w14:textId="1B4C2683" w:rsidR="009F6E91" w:rsidRPr="00D427D8" w:rsidRDefault="00EF7333" w:rsidP="009F6E91">
      <w:pPr>
        <w:pStyle w:val="Body2"/>
      </w:pPr>
      <w:r w:rsidRPr="00D427D8">
        <w:t>"</w:t>
      </w:r>
      <w:r w:rsidR="009F6E91" w:rsidRPr="00D427D8">
        <w:rPr>
          <w:b/>
        </w:rPr>
        <w:t>Note Tax Event</w:t>
      </w:r>
      <w:r w:rsidRPr="00D427D8">
        <w:t>"</w:t>
      </w:r>
      <w:r w:rsidR="009F6E91" w:rsidRPr="00D427D8">
        <w:t xml:space="preserve"> means, if, by reason of a change in Luxembourg tax law or regulation (or the application or official interpretation thereof), which change becomes effective on or after the Closing Date, on the next Distribution Date, the Issuer or the Paying Agent would be required to deduct or withhold from any payment of principal or interest on any Class of the Notes any amount for, or on account of, any present or future taxes, duties, assessments or governmental charges of whatever nature imposed, levied, collected, withheld or assessed by the Grand Duchy of Luxembourg or any other tax authority outside the Grand Duchy of Luxembourg to which the Issuer becomes subject in respect of payments made by it of principal and interest on the Notes.</w:t>
      </w:r>
    </w:p>
    <w:p w14:paraId="449E4248" w14:textId="660B9A8C" w:rsidR="009F6E91" w:rsidRPr="00D427D8" w:rsidRDefault="00EF7333" w:rsidP="009F6E91">
      <w:pPr>
        <w:pStyle w:val="Body2"/>
      </w:pPr>
      <w:r w:rsidRPr="00D427D8">
        <w:t>"</w:t>
      </w:r>
      <w:r w:rsidR="009F6E91" w:rsidRPr="00D427D8">
        <w:rPr>
          <w:b/>
        </w:rPr>
        <w:t>Note Tax Event Notice</w:t>
      </w:r>
      <w:r w:rsidRPr="00D427D8">
        <w:t>"</w:t>
      </w:r>
      <w:r w:rsidR="009F6E91" w:rsidRPr="00D427D8">
        <w:t xml:space="preserve"> means a notice which is given by the Issuer to Paying Agent and the Noteholders in accordance with Condition 12 (</w:t>
      </w:r>
      <w:r w:rsidR="009F6E91" w:rsidRPr="00D427D8">
        <w:rPr>
          <w:i/>
        </w:rPr>
        <w:t>Notice to the Noteholders</w:t>
      </w:r>
      <w:r w:rsidR="009F6E91" w:rsidRPr="00D427D8">
        <w:t>) upon the occurrence of a Note Tax Event provided that a Note Tax Event shall only take effect if the notice is delivered not more than sixty (60) days</w:t>
      </w:r>
      <w:r w:rsidRPr="00D427D8">
        <w:t>'</w:t>
      </w:r>
      <w:r w:rsidR="009F6E91" w:rsidRPr="00D427D8">
        <w:t xml:space="preserve"> nor less than two (2) Business Days</w:t>
      </w:r>
      <w:r w:rsidRPr="00D427D8">
        <w:t>'</w:t>
      </w:r>
      <w:r w:rsidR="009F6E91" w:rsidRPr="00D427D8">
        <w:t xml:space="preserve"> prior to the Determination Date immediately preceding the Distribution Date immediately following the delivery of such notice.</w:t>
      </w:r>
    </w:p>
    <w:p w14:paraId="0661911D" w14:textId="729F111C" w:rsidR="009F6E91" w:rsidRPr="00D427D8" w:rsidRDefault="00EF7333" w:rsidP="009F6E91">
      <w:pPr>
        <w:pStyle w:val="Body2"/>
      </w:pPr>
      <w:bookmarkStart w:id="192" w:name="_Hlk197448488"/>
      <w:r w:rsidRPr="00D427D8">
        <w:t>"</w:t>
      </w:r>
      <w:r w:rsidR="009F6E91" w:rsidRPr="00D427D8">
        <w:rPr>
          <w:b/>
        </w:rPr>
        <w:t>Notes</w:t>
      </w:r>
      <w:r w:rsidRPr="00D427D8">
        <w:t>"</w:t>
      </w:r>
      <w:r w:rsidR="009F6E91" w:rsidRPr="00D427D8">
        <w:t xml:space="preserve"> means collectively the Class A Notes, the Class B Notes, the Class C Notes, the Class D Notes, the Class E Notes, the Class F Notes and the Class G Notes.</w:t>
      </w:r>
    </w:p>
    <w:bookmarkEnd w:id="192"/>
    <w:p w14:paraId="6808A78D" w14:textId="6C7A4E30" w:rsidR="009F6E91" w:rsidRPr="00D427D8" w:rsidRDefault="00EF7333" w:rsidP="00C21615">
      <w:pPr>
        <w:pStyle w:val="DefHead"/>
      </w:pPr>
      <w:r w:rsidRPr="00D427D8">
        <w:t>"</w:t>
      </w:r>
      <w:r w:rsidR="009F6E91" w:rsidRPr="00D427D8">
        <w:rPr>
          <w:b/>
        </w:rPr>
        <w:t>Notes Interest Amount</w:t>
      </w:r>
      <w:r w:rsidRPr="00D427D8">
        <w:t>"</w:t>
      </w:r>
      <w:r w:rsidR="009F6E91" w:rsidRPr="00D427D8">
        <w:t xml:space="preserve"> means with respect to any particular Class of Notes:</w:t>
      </w:r>
    </w:p>
    <w:p w14:paraId="2F10B7E5" w14:textId="0EC275C4" w:rsidR="009F6E91" w:rsidRPr="00D427D8" w:rsidRDefault="009F6E91" w:rsidP="00C21615">
      <w:pPr>
        <w:pStyle w:val="DefLevel1"/>
      </w:pPr>
      <w:r w:rsidRPr="00D427D8">
        <w:t>the Class A Notes Interest Amount;</w:t>
      </w:r>
    </w:p>
    <w:p w14:paraId="2F6BA6B5" w14:textId="552C9374" w:rsidR="009F6E91" w:rsidRPr="00D427D8" w:rsidRDefault="009F6E91" w:rsidP="00C21615">
      <w:pPr>
        <w:pStyle w:val="DefLevel1"/>
      </w:pPr>
      <w:r w:rsidRPr="00D427D8">
        <w:t>the Class B Notes Interest Amount;</w:t>
      </w:r>
    </w:p>
    <w:p w14:paraId="4FE7316A" w14:textId="2A21AC46" w:rsidR="009F6E91" w:rsidRPr="00D427D8" w:rsidRDefault="009F6E91" w:rsidP="00C21615">
      <w:pPr>
        <w:pStyle w:val="DefLevel1"/>
      </w:pPr>
      <w:r w:rsidRPr="00D427D8">
        <w:t>the Class C Notes Interest Amount;</w:t>
      </w:r>
    </w:p>
    <w:p w14:paraId="735F8A2B" w14:textId="68DAB8D1" w:rsidR="009F6E91" w:rsidRPr="00D427D8" w:rsidRDefault="009F6E91" w:rsidP="00C21615">
      <w:pPr>
        <w:pStyle w:val="DefLevel1"/>
      </w:pPr>
      <w:r w:rsidRPr="00D427D8">
        <w:t>the Class D Notes Interest Amount;</w:t>
      </w:r>
    </w:p>
    <w:p w14:paraId="33448B95" w14:textId="29F11D64" w:rsidR="009F6E91" w:rsidRPr="00D427D8" w:rsidRDefault="009F6E91" w:rsidP="00C21615">
      <w:pPr>
        <w:pStyle w:val="DefLevel1"/>
      </w:pPr>
      <w:r w:rsidRPr="00D427D8">
        <w:lastRenderedPageBreak/>
        <w:t>the Class E Notes Interest Amount;</w:t>
      </w:r>
    </w:p>
    <w:p w14:paraId="67ABA59F" w14:textId="22015BA6" w:rsidR="009F6E91" w:rsidRPr="00D427D8" w:rsidRDefault="009F6E91" w:rsidP="00C21615">
      <w:pPr>
        <w:pStyle w:val="DefLevel1"/>
      </w:pPr>
      <w:r w:rsidRPr="00D427D8">
        <w:t>the Class F Notes Interest Amount; and</w:t>
      </w:r>
    </w:p>
    <w:p w14:paraId="3EFDC471" w14:textId="2925AC5F" w:rsidR="009F6E91" w:rsidRPr="00D427D8" w:rsidRDefault="009F6E91" w:rsidP="00C21615">
      <w:pPr>
        <w:pStyle w:val="DefLevel1"/>
      </w:pPr>
      <w:r w:rsidRPr="00D427D8">
        <w:t>the Class G Notes Interest Amount.</w:t>
      </w:r>
    </w:p>
    <w:p w14:paraId="2865EA4F" w14:textId="2B6FCB4A" w:rsidR="009F6E91" w:rsidRPr="00D427D8" w:rsidRDefault="00EF7333" w:rsidP="00C21615">
      <w:pPr>
        <w:pStyle w:val="DefHead"/>
      </w:pPr>
      <w:r w:rsidRPr="00D427D8">
        <w:t>"</w:t>
      </w:r>
      <w:r w:rsidR="009F6E91" w:rsidRPr="00D427D8">
        <w:rPr>
          <w:b/>
        </w:rPr>
        <w:t>Notes Interest Rate</w:t>
      </w:r>
      <w:r w:rsidRPr="00D427D8">
        <w:t>"</w:t>
      </w:r>
      <w:r w:rsidR="009F6E91" w:rsidRPr="00D427D8">
        <w:t xml:space="preserve"> means with respect to any particular Class of Notes:</w:t>
      </w:r>
    </w:p>
    <w:p w14:paraId="68DAA892" w14:textId="255293C7" w:rsidR="009F6E91" w:rsidRPr="00D427D8" w:rsidRDefault="009F6E91" w:rsidP="00C21615">
      <w:pPr>
        <w:pStyle w:val="DefLevel1"/>
      </w:pPr>
      <w:r w:rsidRPr="00D427D8">
        <w:t>the Class A Notes Interest Rate;</w:t>
      </w:r>
    </w:p>
    <w:p w14:paraId="2781DB02" w14:textId="6BFBF5E8" w:rsidR="009F6E91" w:rsidRPr="00D427D8" w:rsidRDefault="009F6E91" w:rsidP="00C21615">
      <w:pPr>
        <w:pStyle w:val="DefLevel1"/>
      </w:pPr>
      <w:r w:rsidRPr="00D427D8">
        <w:t>the Class B Notes Interest Rate;</w:t>
      </w:r>
    </w:p>
    <w:p w14:paraId="3BBB99C5" w14:textId="3C15C376" w:rsidR="009F6E91" w:rsidRPr="00D427D8" w:rsidRDefault="009F6E91" w:rsidP="00C21615">
      <w:pPr>
        <w:pStyle w:val="DefLevel1"/>
      </w:pPr>
      <w:r w:rsidRPr="00D427D8">
        <w:t>the Class C Notes Interest Rate;</w:t>
      </w:r>
    </w:p>
    <w:p w14:paraId="2706DD54" w14:textId="29F85B36" w:rsidR="009F6E91" w:rsidRPr="00D427D8" w:rsidRDefault="009F6E91" w:rsidP="00C21615">
      <w:pPr>
        <w:pStyle w:val="DefLevel1"/>
      </w:pPr>
      <w:r w:rsidRPr="00D427D8">
        <w:t>the Class D Notes Interest Rate;</w:t>
      </w:r>
    </w:p>
    <w:p w14:paraId="4D65B349" w14:textId="37CFFC30" w:rsidR="009F6E91" w:rsidRPr="00D427D8" w:rsidRDefault="009F6E91" w:rsidP="00C21615">
      <w:pPr>
        <w:pStyle w:val="DefLevel1"/>
      </w:pPr>
      <w:r w:rsidRPr="00D427D8">
        <w:t>the Class E Notes Interest Rate;</w:t>
      </w:r>
    </w:p>
    <w:p w14:paraId="519BD435" w14:textId="410A818C" w:rsidR="009F6E91" w:rsidRPr="00D427D8" w:rsidRDefault="009F6E91" w:rsidP="00C21615">
      <w:pPr>
        <w:pStyle w:val="DefLevel1"/>
      </w:pPr>
      <w:r w:rsidRPr="00D427D8">
        <w:t>the Class F Notes Interest Rate; and</w:t>
      </w:r>
    </w:p>
    <w:p w14:paraId="6228C32D" w14:textId="4B18B5F8" w:rsidR="009F6E91" w:rsidRPr="00D427D8" w:rsidRDefault="009F6E91" w:rsidP="00C21615">
      <w:pPr>
        <w:pStyle w:val="DefLevel1"/>
      </w:pPr>
      <w:r w:rsidRPr="00D427D8">
        <w:t>the Class G Notes Interest Rate.</w:t>
      </w:r>
    </w:p>
    <w:p w14:paraId="50D491F4" w14:textId="519D300A" w:rsidR="009F6E91" w:rsidRPr="00D427D8" w:rsidRDefault="00EF7333" w:rsidP="0044653A">
      <w:pPr>
        <w:pStyle w:val="DefHead"/>
      </w:pPr>
      <w:r w:rsidRPr="00D427D8">
        <w:t>"</w:t>
      </w:r>
      <w:r w:rsidR="009F6E91" w:rsidRPr="00D427D8">
        <w:rPr>
          <w:b/>
        </w:rPr>
        <w:t>Notes Principal Payment</w:t>
      </w:r>
      <w:r w:rsidRPr="00D427D8">
        <w:t>"</w:t>
      </w:r>
      <w:r w:rsidR="009F6E91" w:rsidRPr="00D427D8">
        <w:t xml:space="preserve"> means with respect to any particular Class of Notes:</w:t>
      </w:r>
    </w:p>
    <w:p w14:paraId="05F01A1B" w14:textId="0E09CA55" w:rsidR="009F6E91" w:rsidRPr="00D427D8" w:rsidRDefault="009F6E91" w:rsidP="0044653A">
      <w:pPr>
        <w:pStyle w:val="DefLevel1"/>
      </w:pPr>
      <w:r w:rsidRPr="00D427D8">
        <w:t>the Class A Notes Principal Payment;</w:t>
      </w:r>
    </w:p>
    <w:p w14:paraId="672636D4" w14:textId="28A3CD30" w:rsidR="009F6E91" w:rsidRPr="00D427D8" w:rsidRDefault="009F6E91" w:rsidP="0044653A">
      <w:pPr>
        <w:pStyle w:val="DefLevel1"/>
      </w:pPr>
      <w:r w:rsidRPr="00D427D8">
        <w:t>the Class B Notes Principal Payment;</w:t>
      </w:r>
    </w:p>
    <w:p w14:paraId="4012459F" w14:textId="2F0367A8" w:rsidR="009F6E91" w:rsidRPr="00D427D8" w:rsidRDefault="009F6E91" w:rsidP="0044653A">
      <w:pPr>
        <w:pStyle w:val="DefLevel1"/>
      </w:pPr>
      <w:r w:rsidRPr="00D427D8">
        <w:t>the Class C Notes Principal Payment;</w:t>
      </w:r>
    </w:p>
    <w:p w14:paraId="1805C01A" w14:textId="30AC5ADE" w:rsidR="009F6E91" w:rsidRPr="00D427D8" w:rsidRDefault="009F6E91" w:rsidP="0044653A">
      <w:pPr>
        <w:pStyle w:val="DefLevel1"/>
      </w:pPr>
      <w:r w:rsidRPr="00D427D8">
        <w:t>the Class D Notes Principal Payment;</w:t>
      </w:r>
    </w:p>
    <w:p w14:paraId="2FA76908" w14:textId="5F26D163" w:rsidR="009F6E91" w:rsidRPr="00D427D8" w:rsidRDefault="009F6E91" w:rsidP="0044653A">
      <w:pPr>
        <w:pStyle w:val="DefLevel1"/>
      </w:pPr>
      <w:r w:rsidRPr="00D427D8">
        <w:t>the Class E Notes Principal Payment;</w:t>
      </w:r>
    </w:p>
    <w:p w14:paraId="44752B9A" w14:textId="6F3B9B87" w:rsidR="009F6E91" w:rsidRPr="00D427D8" w:rsidRDefault="009F6E91" w:rsidP="0044653A">
      <w:pPr>
        <w:pStyle w:val="DefLevel1"/>
      </w:pPr>
      <w:r w:rsidRPr="00D427D8">
        <w:t>the Class F Notes Principal Payment; and</w:t>
      </w:r>
    </w:p>
    <w:p w14:paraId="5E1688A9" w14:textId="5CCA7EB4" w:rsidR="009F6E91" w:rsidRPr="00D427D8" w:rsidRDefault="009F6E91" w:rsidP="0044653A">
      <w:pPr>
        <w:pStyle w:val="DefLevel1"/>
      </w:pPr>
      <w:r w:rsidRPr="00D427D8">
        <w:t>the Class G Notes Principal Payment.</w:t>
      </w:r>
    </w:p>
    <w:p w14:paraId="2185B3CE" w14:textId="5B39D368" w:rsidR="009F6E91" w:rsidRPr="00D427D8" w:rsidRDefault="00EF7333" w:rsidP="00C21615">
      <w:pPr>
        <w:pStyle w:val="DefHead"/>
      </w:pPr>
      <w:r w:rsidRPr="00D427D8">
        <w:t>"</w:t>
      </w:r>
      <w:r w:rsidR="009F6E91" w:rsidRPr="00D427D8">
        <w:rPr>
          <w:b/>
        </w:rPr>
        <w:t>Notes Redemption Amount</w:t>
      </w:r>
      <w:r w:rsidRPr="00D427D8">
        <w:t>"</w:t>
      </w:r>
      <w:r w:rsidR="009F6E91" w:rsidRPr="00D427D8">
        <w:t xml:space="preserve"> means with respect to any particular Class of Notes:</w:t>
      </w:r>
    </w:p>
    <w:p w14:paraId="214FBBB5" w14:textId="5F6BB88C" w:rsidR="009F6E91" w:rsidRPr="00D427D8" w:rsidRDefault="009F6E91" w:rsidP="0044653A">
      <w:pPr>
        <w:pStyle w:val="DefLevel1"/>
      </w:pPr>
      <w:r w:rsidRPr="00D427D8">
        <w:t>the Class A Notes Redemption Amount;</w:t>
      </w:r>
    </w:p>
    <w:p w14:paraId="0AE0C861" w14:textId="4293C80C" w:rsidR="009F6E91" w:rsidRPr="00D427D8" w:rsidRDefault="009F6E91" w:rsidP="0044653A">
      <w:pPr>
        <w:pStyle w:val="DefLevel1"/>
      </w:pPr>
      <w:r w:rsidRPr="00D427D8">
        <w:t>the Class B Notes Redemption Amount;</w:t>
      </w:r>
    </w:p>
    <w:p w14:paraId="6C73D880" w14:textId="3A6E517F" w:rsidR="009F6E91" w:rsidRPr="00D427D8" w:rsidRDefault="009F6E91" w:rsidP="0044653A">
      <w:pPr>
        <w:pStyle w:val="DefLevel1"/>
      </w:pPr>
      <w:r w:rsidRPr="00D427D8">
        <w:t>the Class C Notes Redemption Amount;</w:t>
      </w:r>
    </w:p>
    <w:p w14:paraId="3345873C" w14:textId="35394683" w:rsidR="009F6E91" w:rsidRPr="00D427D8" w:rsidRDefault="009F6E91" w:rsidP="0044653A">
      <w:pPr>
        <w:pStyle w:val="DefLevel1"/>
      </w:pPr>
      <w:r w:rsidRPr="00D427D8">
        <w:t>the Class D Notes Redemption Amount;</w:t>
      </w:r>
    </w:p>
    <w:p w14:paraId="0D61CF75" w14:textId="7152CD1A" w:rsidR="009F6E91" w:rsidRPr="00D427D8" w:rsidRDefault="009F6E91" w:rsidP="0044653A">
      <w:pPr>
        <w:pStyle w:val="DefLevel1"/>
      </w:pPr>
      <w:r w:rsidRPr="00D427D8">
        <w:t>the Class E Notes Redemption Amount;</w:t>
      </w:r>
    </w:p>
    <w:p w14:paraId="7C6079FE" w14:textId="10936385" w:rsidR="009F6E91" w:rsidRPr="00D427D8" w:rsidRDefault="009F6E91" w:rsidP="0044653A">
      <w:pPr>
        <w:pStyle w:val="DefLevel1"/>
      </w:pPr>
      <w:r w:rsidRPr="00D427D8">
        <w:t>the Class F Notes Redemption Amount; and</w:t>
      </w:r>
    </w:p>
    <w:p w14:paraId="1C34F1D9" w14:textId="015DAF93" w:rsidR="009F6E91" w:rsidRPr="00D427D8" w:rsidRDefault="009F6E91" w:rsidP="0044653A">
      <w:pPr>
        <w:pStyle w:val="DefLevel1"/>
      </w:pPr>
      <w:r w:rsidRPr="00D427D8">
        <w:t>the Class G Notes Redemption Amount.</w:t>
      </w:r>
    </w:p>
    <w:p w14:paraId="362ECCF4" w14:textId="0BACB155" w:rsidR="009F6E91" w:rsidRPr="00D427D8" w:rsidRDefault="00EF7333" w:rsidP="009F6E91">
      <w:pPr>
        <w:pStyle w:val="Body2"/>
      </w:pPr>
      <w:r w:rsidRPr="00D427D8">
        <w:t>"</w:t>
      </w:r>
      <w:r w:rsidR="009F6E91" w:rsidRPr="00D427D8">
        <w:rPr>
          <w:b/>
        </w:rPr>
        <w:t>Notes Subscription Agreement</w:t>
      </w:r>
      <w:r w:rsidRPr="00D427D8">
        <w:t>"</w:t>
      </w:r>
      <w:r w:rsidR="009F6E91" w:rsidRPr="00D427D8">
        <w:t xml:space="preserve"> means the notes subscription agreement dated on or about the Signing Date between </w:t>
      </w:r>
      <w:r w:rsidR="009F6E91" w:rsidRPr="00D427D8">
        <w:rPr>
          <w:i/>
        </w:rPr>
        <w:t>inter alia</w:t>
      </w:r>
      <w:r w:rsidR="009F6E91" w:rsidRPr="00D427D8">
        <w:t xml:space="preserve"> the Arranger, the Lead Manager, the Seller and the Issuer.</w:t>
      </w:r>
    </w:p>
    <w:p w14:paraId="3C796C2E" w14:textId="36EB94BD" w:rsidR="009F6E91" w:rsidRPr="00D427D8" w:rsidRDefault="0044653A" w:rsidP="0044653A">
      <w:pPr>
        <w:pStyle w:val="Body2"/>
        <w:rPr>
          <w:lang w:bidi="he-IL"/>
        </w:rPr>
      </w:pPr>
      <w:r w:rsidRPr="00D427D8">
        <w:t>"</w:t>
      </w:r>
      <w:r w:rsidRPr="00D427D8">
        <w:rPr>
          <w:rStyle w:val="BoldText"/>
        </w:rPr>
        <w:t>Offer</w:t>
      </w:r>
      <w:r w:rsidRPr="00D427D8">
        <w:t xml:space="preserve">" means an offer in the form as set out in schedule 1 to the </w:t>
      </w:r>
      <w:r w:rsidRPr="00D427D8">
        <w:rPr>
          <w:lang w:bidi="he-IL"/>
        </w:rPr>
        <w:t>Asset Purchase Agreement.</w:t>
      </w:r>
    </w:p>
    <w:p w14:paraId="1937FBC0" w14:textId="1FF90619" w:rsidR="009F6E91" w:rsidRPr="00D427D8" w:rsidRDefault="00EF7333" w:rsidP="009F6E91">
      <w:pPr>
        <w:pStyle w:val="Body2"/>
      </w:pPr>
      <w:r w:rsidRPr="00D427D8">
        <w:t>"</w:t>
      </w:r>
      <w:r w:rsidR="009F6E91" w:rsidRPr="00D427D8">
        <w:rPr>
          <w:b/>
        </w:rPr>
        <w:t>Paying Agent</w:t>
      </w:r>
      <w:r w:rsidRPr="00D427D8">
        <w:t>"</w:t>
      </w:r>
      <w:r w:rsidR="009F6E91" w:rsidRPr="00D427D8">
        <w:t xml:space="preserve"> means BNP Paribas, 16 boulevard des Italiens, 75009 Paris, France, acting through its Luxembourg Branch, 60, avenue J. F. Kennedy, L-1855 Luxembourg, Grand Duchy of Luxembourg.</w:t>
      </w:r>
    </w:p>
    <w:p w14:paraId="13C1C2D4" w14:textId="5C82FF13" w:rsidR="009F6E91" w:rsidRPr="00D427D8" w:rsidRDefault="0044653A" w:rsidP="0044653A">
      <w:pPr>
        <w:pStyle w:val="Body2"/>
        <w:rPr>
          <w:lang w:bidi="he-IL"/>
        </w:rPr>
      </w:pPr>
      <w:r w:rsidRPr="00D427D8">
        <w:rPr>
          <w:lang w:bidi="he-IL"/>
        </w:rPr>
        <w:lastRenderedPageBreak/>
        <w:t>"</w:t>
      </w:r>
      <w:r w:rsidRPr="00D427D8">
        <w:rPr>
          <w:rStyle w:val="BoldText"/>
        </w:rPr>
        <w:t>Performing Receivable</w:t>
      </w:r>
      <w:r w:rsidRPr="00D427D8">
        <w:rPr>
          <w:lang w:bidi="he-IL"/>
        </w:rPr>
        <w:t>" means any Purchased Lease Receivable that is not a Defaulted Receivable.</w:t>
      </w:r>
    </w:p>
    <w:p w14:paraId="0B5BFCD6" w14:textId="6DE306ED" w:rsidR="009F6E91" w:rsidRPr="00D427D8" w:rsidRDefault="00EF7333" w:rsidP="009F6E91">
      <w:pPr>
        <w:pStyle w:val="Body2"/>
      </w:pPr>
      <w:r w:rsidRPr="00D427D8">
        <w:t>"</w:t>
      </w:r>
      <w:r w:rsidR="009F6E91" w:rsidRPr="00D427D8">
        <w:rPr>
          <w:b/>
        </w:rPr>
        <w:t>Permanent Global Note</w:t>
      </w:r>
      <w:r w:rsidRPr="00D427D8">
        <w:t>"</w:t>
      </w:r>
      <w:r w:rsidR="009F6E91" w:rsidRPr="00D427D8">
        <w:t xml:space="preserve"> is defined in clause 3.2(a) of the Conditions.</w:t>
      </w:r>
    </w:p>
    <w:p w14:paraId="62FF4B99" w14:textId="73025EDF" w:rsidR="009F6E91" w:rsidRPr="00D427D8" w:rsidRDefault="0044653A" w:rsidP="0044653A">
      <w:pPr>
        <w:pStyle w:val="Body2"/>
      </w:pPr>
      <w:r w:rsidRPr="00D427D8">
        <w:t>"</w:t>
      </w:r>
      <w:r w:rsidRPr="00D427D8">
        <w:rPr>
          <w:rStyle w:val="BoldText"/>
        </w:rPr>
        <w:t>Person</w:t>
      </w:r>
      <w:r w:rsidRPr="00D427D8">
        <w:t>" means an individual, partnership, corporation (including a business trust), unincorporated association, trust, joint stock company, limited liability company, joint venture or other entity, or a government or political subdivision, agency or instrumentality thereof.</w:t>
      </w:r>
    </w:p>
    <w:p w14:paraId="77040CB6" w14:textId="6C3A1708" w:rsidR="009F6E91" w:rsidRPr="00D427D8" w:rsidRDefault="00EF7333" w:rsidP="009F6E91">
      <w:pPr>
        <w:pStyle w:val="Body2"/>
        <w:rPr>
          <w:lang w:bidi="he-IL"/>
        </w:rPr>
      </w:pPr>
      <w:r w:rsidRPr="00D427D8">
        <w:rPr>
          <w:lang w:bidi="he-IL"/>
        </w:rPr>
        <w:t>"</w:t>
      </w:r>
      <w:r w:rsidR="009F6E91" w:rsidRPr="00D427D8">
        <w:rPr>
          <w:b/>
          <w:bCs/>
          <w:lang w:bidi="he-IL"/>
        </w:rPr>
        <w:t>Personal Data</w:t>
      </w:r>
      <w:r w:rsidRPr="00D427D8">
        <w:rPr>
          <w:lang w:bidi="he-IL"/>
        </w:rPr>
        <w:t>"</w:t>
      </w:r>
      <w:r w:rsidR="009F6E91" w:rsidRPr="00D427D8">
        <w:rPr>
          <w:lang w:bidi="he-IL"/>
        </w:rPr>
        <w:tab/>
        <w:t>means any personal data (</w:t>
      </w:r>
      <w:r w:rsidR="009F6E91" w:rsidRPr="00D427D8">
        <w:rPr>
          <w:i/>
          <w:iCs/>
          <w:lang w:bidi="he-IL"/>
        </w:rPr>
        <w:t>persönliche Daten</w:t>
      </w:r>
      <w:r w:rsidR="009F6E91" w:rsidRPr="00D427D8">
        <w:rPr>
          <w:lang w:bidi="he-IL"/>
        </w:rPr>
        <w:t>), including, without limitation the name and address of the Lessee and any person.</w:t>
      </w:r>
    </w:p>
    <w:p w14:paraId="7168A40A" w14:textId="489D0E21" w:rsidR="009F6E91" w:rsidRPr="00D427D8" w:rsidRDefault="00EF7333" w:rsidP="009F6E91">
      <w:pPr>
        <w:pStyle w:val="Body2"/>
        <w:rPr>
          <w:lang w:bidi="he-IL"/>
        </w:rPr>
      </w:pPr>
      <w:r w:rsidRPr="00D427D8">
        <w:rPr>
          <w:lang w:bidi="he-IL"/>
        </w:rPr>
        <w:t>"</w:t>
      </w:r>
      <w:r w:rsidR="009F6E91" w:rsidRPr="00D427D8">
        <w:rPr>
          <w:b/>
          <w:lang w:bidi="he-IL"/>
        </w:rPr>
        <w:t>Portfolio</w:t>
      </w:r>
      <w:r w:rsidRPr="00D427D8">
        <w:rPr>
          <w:lang w:bidi="he-IL"/>
        </w:rPr>
        <w:t>"</w:t>
      </w:r>
      <w:r w:rsidR="009F6E91" w:rsidRPr="00D427D8">
        <w:rPr>
          <w:lang w:bidi="he-IL"/>
        </w:rPr>
        <w:t xml:space="preserve"> means the relevant portfolio of Purchased Lease Receivables purchased by the Issuer from the Seller and held by the Issuer.</w:t>
      </w:r>
    </w:p>
    <w:p w14:paraId="566A12A3" w14:textId="237FCDE6" w:rsidR="009F6E91" w:rsidRPr="00D427D8" w:rsidRDefault="0044653A" w:rsidP="0044653A">
      <w:pPr>
        <w:pStyle w:val="Body2"/>
      </w:pPr>
      <w:r w:rsidRPr="00D427D8">
        <w:t>"</w:t>
      </w:r>
      <w:r w:rsidRPr="00D427D8">
        <w:rPr>
          <w:rStyle w:val="BoldText"/>
        </w:rPr>
        <w:t>Preliminary Prospectus</w:t>
      </w:r>
      <w:r w:rsidRPr="00D427D8">
        <w:t xml:space="preserve">" means the preliminary prospectus dated </w:t>
      </w:r>
      <w:r w:rsidR="00317C2D">
        <w:t>27 May 2025</w:t>
      </w:r>
      <w:r w:rsidRPr="00D427D8">
        <w:t>.</w:t>
      </w:r>
    </w:p>
    <w:p w14:paraId="3E59CC8F" w14:textId="23B147C6" w:rsidR="009F6E91" w:rsidRPr="00D427D8" w:rsidRDefault="00EF7333" w:rsidP="009F6E91">
      <w:pPr>
        <w:pStyle w:val="Body2"/>
      </w:pPr>
      <w:bookmarkStart w:id="193" w:name="_Hlk165310979"/>
      <w:r w:rsidRPr="00D427D8">
        <w:t>"</w:t>
      </w:r>
      <w:r w:rsidR="009F6E91" w:rsidRPr="00D427D8">
        <w:rPr>
          <w:b/>
        </w:rPr>
        <w:t>Principal Additional Amounts</w:t>
      </w:r>
      <w:r w:rsidRPr="00D427D8">
        <w:t>"</w:t>
      </w:r>
      <w:r w:rsidR="009F6E91" w:rsidRPr="00D427D8">
        <w:t xml:space="preserve"> means, on any Distribution Date during the Revolving Period and the Normal Amortisation Period up to and including the date on which the Class F Notes have been redeemed in full, if the Servicer determines that there is an Interest Deficiency, the Available Principal Distribution Amount applied towards the </w:t>
      </w:r>
      <w:bookmarkEnd w:id="193"/>
      <w:r w:rsidR="009F6E91" w:rsidRPr="00D427D8">
        <w:t>Principal Deficiency Items.</w:t>
      </w:r>
    </w:p>
    <w:p w14:paraId="16095F85" w14:textId="695A051A" w:rsidR="009F6E91" w:rsidRPr="00D427D8" w:rsidRDefault="00EF7333" w:rsidP="009F6E91">
      <w:pPr>
        <w:pStyle w:val="Body2"/>
      </w:pPr>
      <w:bookmarkStart w:id="194" w:name="_Hlk198121204"/>
      <w:r w:rsidRPr="00D427D8">
        <w:t>"</w:t>
      </w:r>
      <w:r w:rsidR="009F6E91" w:rsidRPr="00D427D8">
        <w:rPr>
          <w:b/>
          <w:bCs/>
        </w:rPr>
        <w:t>Principal Deficiency Items</w:t>
      </w:r>
      <w:r w:rsidRPr="00D427D8">
        <w:t>"</w:t>
      </w:r>
      <w:r w:rsidR="009F6E91" w:rsidRPr="00D427D8">
        <w:t xml:space="preserve"> means items (1</w:t>
      </w:r>
      <w:r w:rsidR="009F6E91" w:rsidRPr="00D427D8">
        <w:rPr>
          <w:vertAlign w:val="superscript"/>
        </w:rPr>
        <w:t>st</w:t>
      </w:r>
      <w:r w:rsidR="009F6E91" w:rsidRPr="00D427D8">
        <w:t>) through (5</w:t>
      </w:r>
      <w:r w:rsidR="009F6E91" w:rsidRPr="00D427D8">
        <w:rPr>
          <w:vertAlign w:val="superscript"/>
        </w:rPr>
        <w:t>th</w:t>
      </w:r>
      <w:r w:rsidR="009F6E91" w:rsidRPr="00D427D8">
        <w:t>), (7</w:t>
      </w:r>
      <w:r w:rsidR="009F6E91" w:rsidRPr="00D427D8">
        <w:rPr>
          <w:vertAlign w:val="superscript"/>
        </w:rPr>
        <w:t>th</w:t>
      </w:r>
      <w:r w:rsidR="009F6E91" w:rsidRPr="00D427D8">
        <w:t>), (9</w:t>
      </w:r>
      <w:r w:rsidR="009F6E91" w:rsidRPr="00D427D8">
        <w:rPr>
          <w:vertAlign w:val="superscript"/>
        </w:rPr>
        <w:t>th</w:t>
      </w:r>
      <w:r w:rsidR="009F6E91" w:rsidRPr="00D427D8">
        <w:t>), (11</w:t>
      </w:r>
      <w:r w:rsidR="009F6E91" w:rsidRPr="00D427D8">
        <w:rPr>
          <w:vertAlign w:val="superscript"/>
        </w:rPr>
        <w:t>th</w:t>
      </w:r>
      <w:r w:rsidR="009F6E91" w:rsidRPr="00D427D8">
        <w:t>) and (13</w:t>
      </w:r>
      <w:r w:rsidR="009F6E91" w:rsidRPr="00D427D8">
        <w:rPr>
          <w:vertAlign w:val="superscript"/>
        </w:rPr>
        <w:t>th</w:t>
      </w:r>
      <w:r w:rsidR="009F6E91" w:rsidRPr="00D427D8">
        <w:t>) and, to the extent the Class E Notes are the Most Senior Class of Notes, item (15</w:t>
      </w:r>
      <w:r w:rsidR="009F6E91" w:rsidRPr="00D427D8">
        <w:rPr>
          <w:vertAlign w:val="superscript"/>
        </w:rPr>
        <w:t>th</w:t>
      </w:r>
      <w:r w:rsidR="009F6E91" w:rsidRPr="00D427D8">
        <w:t>) and, to the extent the Class F Notes are the Most Senior Class of Notes, item (17</w:t>
      </w:r>
      <w:r w:rsidR="009F6E91" w:rsidRPr="00D427D8">
        <w:rPr>
          <w:vertAlign w:val="superscript"/>
        </w:rPr>
        <w:t>th</w:t>
      </w:r>
      <w:r w:rsidR="009F6E91" w:rsidRPr="00D427D8">
        <w:t>) of the Interest Priority of Payments.</w:t>
      </w:r>
    </w:p>
    <w:bookmarkEnd w:id="194"/>
    <w:p w14:paraId="00A2356E" w14:textId="0BE74686" w:rsidR="009F6E91" w:rsidRPr="00D427D8" w:rsidRDefault="00EF7333" w:rsidP="009F6E91">
      <w:pPr>
        <w:pStyle w:val="Body2"/>
      </w:pPr>
      <w:r w:rsidRPr="00D427D8">
        <w:t>"</w:t>
      </w:r>
      <w:r w:rsidR="009F6E91" w:rsidRPr="00D427D8">
        <w:rPr>
          <w:b/>
        </w:rPr>
        <w:t>Principal Deficiency Ledger</w:t>
      </w:r>
      <w:r w:rsidRPr="00D427D8">
        <w:t>"</w:t>
      </w:r>
      <w:r w:rsidR="009F6E91" w:rsidRPr="00D427D8">
        <w:t xml:space="preserve"> means, on the Closing Date and with respect to any Monthly Period during the Revolving Period and the Normal Amortisation Period, the ledger of the same name comprising the Class A Principal Deficiency Sub-Ledger, the Class B Principal Deficiency Sub-Ledger, the Class C Principal Deficiency Sub-Ledger, the Class D Principal Deficiency Sub-Ledger, the Class E Principal Deficiency Sub-Ledger, the Class F Principal Deficiency Sub-Ledger and the Class G Principal Deficiency Sub-Ledger maintained by the Issuer which records on it (a) the Default Amount and (b) if an Interest Deficiency has occurred, the Available Principal Distribution Amount applied towards the Principal Deficiency Items.</w:t>
      </w:r>
    </w:p>
    <w:p w14:paraId="69E874B5" w14:textId="0C311475" w:rsidR="009F6E91" w:rsidRPr="00D427D8" w:rsidRDefault="00EF7333" w:rsidP="009F6E91">
      <w:pPr>
        <w:pStyle w:val="Body2"/>
      </w:pPr>
      <w:r w:rsidRPr="00D427D8">
        <w:t>"</w:t>
      </w:r>
      <w:r w:rsidR="009F6E91" w:rsidRPr="00D427D8">
        <w:rPr>
          <w:b/>
        </w:rPr>
        <w:t>Principal Outstanding Notes Balance</w:t>
      </w:r>
      <w:r w:rsidRPr="00D427D8">
        <w:t>"</w:t>
      </w:r>
      <w:r w:rsidR="009F6E91" w:rsidRPr="00D427D8">
        <w:t xml:space="preserve"> means, in respect of a Note on any Distribution Date, its principal amount </w:t>
      </w:r>
      <w:r w:rsidR="00843D54" w:rsidRPr="00D427D8">
        <w:t xml:space="preserve">initially equal to EUR 100,000 </w:t>
      </w:r>
      <w:r w:rsidR="009F6E91" w:rsidRPr="00D427D8">
        <w:t>after having been decreased pursuant to the Priority of Payments on such Distribution Date.</w:t>
      </w:r>
    </w:p>
    <w:p w14:paraId="15D222FE" w14:textId="7F5AE260" w:rsidR="009F6E91" w:rsidRPr="00D427D8" w:rsidRDefault="00EF7333" w:rsidP="0044653A">
      <w:pPr>
        <w:pStyle w:val="DefHead"/>
      </w:pPr>
      <w:r w:rsidRPr="00D427D8">
        <w:t>"</w:t>
      </w:r>
      <w:r w:rsidR="009F6E91" w:rsidRPr="00D427D8">
        <w:rPr>
          <w:b/>
        </w:rPr>
        <w:t>Priority of Payments</w:t>
      </w:r>
      <w:r w:rsidRPr="00D427D8">
        <w:t>"</w:t>
      </w:r>
      <w:r w:rsidR="009F6E91" w:rsidRPr="00D427D8">
        <w:rPr>
          <w:b/>
        </w:rPr>
        <w:t xml:space="preserve"> </w:t>
      </w:r>
      <w:r w:rsidR="009F6E91" w:rsidRPr="00D427D8">
        <w:t>means, as applicable:</w:t>
      </w:r>
    </w:p>
    <w:p w14:paraId="3995240B" w14:textId="02254E1B" w:rsidR="009F6E91" w:rsidRPr="00D427D8" w:rsidRDefault="009F6E91" w:rsidP="0044653A">
      <w:pPr>
        <w:pStyle w:val="DefLevel1"/>
      </w:pPr>
      <w:r w:rsidRPr="00D427D8">
        <w:t xml:space="preserve">during the Revolving Period and the Normal Amortisation Period, the </w:t>
      </w:r>
      <w:bookmarkStart w:id="195" w:name="_Hlk145930412"/>
      <w:r w:rsidRPr="00D427D8">
        <w:t xml:space="preserve">Interest Priority of Payments and/or the </w:t>
      </w:r>
      <w:bookmarkStart w:id="196" w:name="_Hlk145937248"/>
      <w:r w:rsidRPr="00D427D8">
        <w:t>Principal Priority of Payments</w:t>
      </w:r>
      <w:bookmarkEnd w:id="195"/>
      <w:bookmarkEnd w:id="196"/>
      <w:r w:rsidRPr="00D427D8">
        <w:t>;</w:t>
      </w:r>
    </w:p>
    <w:p w14:paraId="2994958F" w14:textId="6C322205" w:rsidR="009F6E91" w:rsidRPr="00D427D8" w:rsidRDefault="009F6E91" w:rsidP="0044653A">
      <w:pPr>
        <w:pStyle w:val="DefLevel1"/>
      </w:pPr>
      <w:r w:rsidRPr="00D427D8">
        <w:t>during the Accelerated Amortisation Period, the Accelerated Priority of Payments; or</w:t>
      </w:r>
    </w:p>
    <w:p w14:paraId="443A6771" w14:textId="5A5018B4" w:rsidR="009F6E91" w:rsidRPr="00D427D8" w:rsidRDefault="009F6E91" w:rsidP="0044653A">
      <w:pPr>
        <w:pStyle w:val="DefLevel1"/>
      </w:pPr>
      <w:r w:rsidRPr="00D427D8">
        <w:t>the CSA Account Priority of Payments.</w:t>
      </w:r>
    </w:p>
    <w:p w14:paraId="0F9F2163" w14:textId="7B6074E8" w:rsidR="009F6E91" w:rsidRPr="00D427D8" w:rsidRDefault="00EF7333" w:rsidP="009F6E91">
      <w:pPr>
        <w:pStyle w:val="Body2"/>
      </w:pPr>
      <w:r w:rsidRPr="00D427D8">
        <w:t>"</w:t>
      </w:r>
      <w:r w:rsidR="009F6E91" w:rsidRPr="00D427D8">
        <w:rPr>
          <w:b/>
        </w:rPr>
        <w:t>Prospectus</w:t>
      </w:r>
      <w:r w:rsidRPr="00D427D8">
        <w:t>"</w:t>
      </w:r>
      <w:r w:rsidR="009F6E91" w:rsidRPr="00D427D8">
        <w:t xml:space="preserve"> means the prospectus dated </w:t>
      </w:r>
      <w:r w:rsidR="00526BA1">
        <w:t>20 June 2025</w:t>
      </w:r>
      <w:r w:rsidR="00526BA1" w:rsidRPr="00D427D8">
        <w:t xml:space="preserve"> </w:t>
      </w:r>
      <w:r w:rsidR="009F6E91" w:rsidRPr="00D427D8">
        <w:t>and prepared in connection with the issue by the Issuer of the Notes.</w:t>
      </w:r>
    </w:p>
    <w:p w14:paraId="66D08371" w14:textId="38A22C3C" w:rsidR="009F6E91" w:rsidRPr="00D427D8" w:rsidRDefault="0044653A" w:rsidP="0044653A">
      <w:pPr>
        <w:pStyle w:val="Body2"/>
        <w:rPr>
          <w:lang w:bidi="he-IL"/>
        </w:rPr>
      </w:pPr>
      <w:r w:rsidRPr="00D427D8">
        <w:rPr>
          <w:lang w:bidi="he-IL"/>
        </w:rPr>
        <w:t>"</w:t>
      </w:r>
      <w:r w:rsidRPr="00D427D8">
        <w:rPr>
          <w:rStyle w:val="BoldText"/>
        </w:rPr>
        <w:t>Purchased Expectancy Rights</w:t>
      </w:r>
      <w:r w:rsidRPr="00D427D8">
        <w:rPr>
          <w:lang w:bidi="he-IL"/>
        </w:rPr>
        <w:t>" means the Expectancy Rights purchased or purported to be purchased under the ER Purchase Agreement.</w:t>
      </w:r>
    </w:p>
    <w:p w14:paraId="684F73E5" w14:textId="501D5630" w:rsidR="009F6E91" w:rsidRPr="00D427D8" w:rsidRDefault="0044653A" w:rsidP="0044653A">
      <w:pPr>
        <w:pStyle w:val="Body2"/>
        <w:rPr>
          <w:lang w:bidi="he-IL"/>
        </w:rPr>
      </w:pPr>
      <w:r w:rsidRPr="00D427D8">
        <w:rPr>
          <w:lang w:bidi="he-IL"/>
        </w:rPr>
        <w:t>"</w:t>
      </w:r>
      <w:r w:rsidRPr="00D427D8">
        <w:rPr>
          <w:rStyle w:val="BoldText"/>
        </w:rPr>
        <w:t>Purchased Lease Receivables</w:t>
      </w:r>
      <w:r w:rsidRPr="00D427D8">
        <w:rPr>
          <w:lang w:bidi="he-IL"/>
        </w:rPr>
        <w:t>" means the Lease Receivables purchased or purported to be purchased under the Lease Receivables Purchase Agreement.</w:t>
      </w:r>
    </w:p>
    <w:p w14:paraId="4B1DFCF8" w14:textId="120330A0" w:rsidR="009F6E91" w:rsidRPr="00D427D8" w:rsidRDefault="0044653A" w:rsidP="0044653A">
      <w:pPr>
        <w:pStyle w:val="Body2"/>
        <w:rPr>
          <w:lang w:bidi="he-IL"/>
        </w:rPr>
      </w:pPr>
      <w:r w:rsidRPr="00D427D8">
        <w:rPr>
          <w:lang w:bidi="he-IL"/>
        </w:rPr>
        <w:t>"</w:t>
      </w:r>
      <w:r w:rsidRPr="00D427D8">
        <w:rPr>
          <w:rStyle w:val="BoldText"/>
        </w:rPr>
        <w:t>Purchase Price</w:t>
      </w:r>
      <w:r w:rsidRPr="00D427D8">
        <w:rPr>
          <w:lang w:bidi="he-IL"/>
        </w:rPr>
        <w:t>" means the ER Purchase Price and the Lease Receivables Purchase Price, as the case may be.</w:t>
      </w:r>
    </w:p>
    <w:p w14:paraId="587E9BB2" w14:textId="4A610519" w:rsidR="009F6E91" w:rsidRPr="00D427D8" w:rsidRDefault="00EF7333" w:rsidP="009F6E91">
      <w:pPr>
        <w:pStyle w:val="Body2"/>
      </w:pPr>
      <w:r w:rsidRPr="00D427D8">
        <w:t>"</w:t>
      </w:r>
      <w:r w:rsidR="009F6E91" w:rsidRPr="00D427D8">
        <w:rPr>
          <w:b/>
        </w:rPr>
        <w:t>Qualified Replacement Data Protection Trustee</w:t>
      </w:r>
      <w:r w:rsidRPr="00D427D8">
        <w:t>"</w:t>
      </w:r>
      <w:r w:rsidR="009F6E91" w:rsidRPr="00D427D8">
        <w:t xml:space="preserve"> has the meaning given to such term in the Data Protection Agreement.</w:t>
      </w:r>
    </w:p>
    <w:p w14:paraId="0C27E132" w14:textId="6693C594" w:rsidR="009F6E91" w:rsidRPr="00D427D8" w:rsidRDefault="00EF7333" w:rsidP="009F6E91">
      <w:pPr>
        <w:pStyle w:val="Body2"/>
        <w:rPr>
          <w:lang w:val="en-US"/>
        </w:rPr>
      </w:pPr>
      <w:r w:rsidRPr="00D427D8">
        <w:rPr>
          <w:lang w:val="en-US"/>
        </w:rPr>
        <w:lastRenderedPageBreak/>
        <w:t>"</w:t>
      </w:r>
      <w:r w:rsidR="009F6E91" w:rsidRPr="00D427D8">
        <w:rPr>
          <w:b/>
          <w:lang w:val="en-US"/>
        </w:rPr>
        <w:t>Rated Notes</w:t>
      </w:r>
      <w:r w:rsidRPr="00D427D8">
        <w:rPr>
          <w:lang w:val="en-US"/>
        </w:rPr>
        <w:t>"</w:t>
      </w:r>
      <w:r w:rsidR="009F6E91" w:rsidRPr="00D427D8">
        <w:rPr>
          <w:lang w:val="en-US"/>
        </w:rPr>
        <w:t xml:space="preserve"> means the Class A Notes, the Class B Notes, the Class C Notes, the Class D Notes, the Class E Notes and the Class F Notes.</w:t>
      </w:r>
    </w:p>
    <w:p w14:paraId="70F6F35C" w14:textId="156F07E5" w:rsidR="009F6E91" w:rsidRPr="00D427D8" w:rsidRDefault="00EF7333" w:rsidP="009F6E91">
      <w:pPr>
        <w:pStyle w:val="Body2"/>
      </w:pPr>
      <w:r w:rsidRPr="00D427D8">
        <w:t>"</w:t>
      </w:r>
      <w:r w:rsidR="009F6E91" w:rsidRPr="00D427D8">
        <w:rPr>
          <w:b/>
        </w:rPr>
        <w:t>Rating Agencies</w:t>
      </w:r>
      <w:r w:rsidRPr="00D427D8">
        <w:t>"</w:t>
      </w:r>
      <w:r w:rsidR="009F6E91" w:rsidRPr="00D427D8">
        <w:t xml:space="preserve"> means DBRS and Moody</w:t>
      </w:r>
      <w:r w:rsidRPr="00D427D8">
        <w:t>'</w:t>
      </w:r>
      <w:r w:rsidR="009F6E91" w:rsidRPr="00D427D8">
        <w:t>s.</w:t>
      </w:r>
    </w:p>
    <w:p w14:paraId="4CE2F31A" w14:textId="427F99EF" w:rsidR="009F6E91" w:rsidRPr="00D427D8" w:rsidRDefault="00EF7333" w:rsidP="009F6E91">
      <w:pPr>
        <w:pStyle w:val="Body2"/>
      </w:pPr>
      <w:r w:rsidRPr="00D427D8">
        <w:t>"</w:t>
      </w:r>
      <w:r w:rsidR="009F6E91" w:rsidRPr="00D427D8">
        <w:rPr>
          <w:b/>
        </w:rPr>
        <w:t>Rating Agency Confirmation</w:t>
      </w:r>
      <w:r w:rsidRPr="00D427D8">
        <w:t>"</w:t>
      </w:r>
      <w:r w:rsidR="009F6E91" w:rsidRPr="00D427D8">
        <w:t xml:space="preserve"> means a confirmation in writing by the relevant Rating Agencies that the then current ratings of the relevant Classes of Rated Notes, will not be downgraded, qualified or withdrawn as a result of the relevant event or matter, provided that, if: (a) a confirmation or affirmation of rating or other response by a Rating Agency is a condition to any action or step under any Transaction Document; and (b) a written request such confirmation, affirmation or response is delivered to that Rating Agency by any of the Servicer, the Counterparty (in respect of a Rating Agency Confirmation requested pursuant to the provisions of </w:t>
      </w:r>
      <w:bookmarkStart w:id="197" w:name="_Hlk51006373"/>
      <w:r w:rsidR="009F6E91" w:rsidRPr="00D427D8">
        <w:t>the</w:t>
      </w:r>
      <w:bookmarkEnd w:id="197"/>
      <w:r w:rsidR="009F6E91" w:rsidRPr="00D427D8">
        <w:t xml:space="preserve"> Hedging Arrangement only) (each a </w:t>
      </w:r>
      <w:r w:rsidRPr="00D427D8">
        <w:t>"</w:t>
      </w:r>
      <w:r w:rsidR="009F6E91" w:rsidRPr="00D427D8">
        <w:rPr>
          <w:b/>
        </w:rPr>
        <w:t>Requesting Party</w:t>
      </w:r>
      <w:r w:rsidRPr="00D427D8">
        <w:t>"</w:t>
      </w:r>
      <w:r w:rsidR="009F6E91" w:rsidRPr="00D427D8">
        <w:t>) and one or more of the Rating Agencies (each a </w:t>
      </w:r>
      <w:r w:rsidRPr="00D427D8">
        <w:t>"</w:t>
      </w:r>
      <w:r w:rsidR="009F6E91" w:rsidRPr="00D427D8">
        <w:rPr>
          <w:b/>
        </w:rPr>
        <w:t>Non-Responsive Rating Agency</w:t>
      </w:r>
      <w:r w:rsidRPr="00D427D8">
        <w:t>"</w:t>
      </w:r>
      <w:r w:rsidR="009F6E91" w:rsidRPr="00D427D8">
        <w:t>) indicates that it does not consider such confirmation, affirmation or response necessary to the circumstances, the Requesting Party shall be entitled to disregard the requirement for a confirmation or affirmation of rating or other response by each Non-Responsive Rating Agency which provides such indication and proceed on the basis of the confirmations or affirmations of rating or other responses received by each other Rating Agency or, if all the Rating Agencies indicate that they do not consider such confirmation or affirmation or response necessary to the circumstances, on the basis that such confirmation or affirmation of rating or other response by a Rating Agency is not required in the particular circumstances of the request. If a Rating agency does not respond to a written request for a confirmation or affirmation of rating such non-response shall not be interpreted to mean that such Rating Agency has given any deemed confirmation or affirmation of rating or other response in respect of such action or step or any deemed indication that it does not consider such confirmation, affirmation or response necessary in the circumstances, provided that in the event of a non-response from all Rating Agencies, the Requesting Party will be entitled to proceed on the basis that such confirmation or affirmation of rating or other response by a Rating agency is not required in the particular circumstances of the request. However, nothing herein shall in any way affect the right of a Rating Agency to downgrade or withdraw its then current ratings of the relevant Class of Rated Notes in a manner as it sees fit.</w:t>
      </w:r>
    </w:p>
    <w:p w14:paraId="39950ED4" w14:textId="56A28266" w:rsidR="009F6E91" w:rsidRPr="00D427D8" w:rsidRDefault="0044653A" w:rsidP="0044653A">
      <w:pPr>
        <w:pStyle w:val="Body2"/>
        <w:rPr>
          <w:lang w:bidi="he-IL"/>
        </w:rPr>
      </w:pPr>
      <w:r w:rsidRPr="00D427D8">
        <w:rPr>
          <w:lang w:bidi="he-IL"/>
        </w:rPr>
        <w:t>"</w:t>
      </w:r>
      <w:r w:rsidRPr="00D427D8">
        <w:rPr>
          <w:rStyle w:val="BoldText"/>
        </w:rPr>
        <w:t>Realisation Policy</w:t>
      </w:r>
      <w:r w:rsidRPr="00D427D8">
        <w:rPr>
          <w:lang w:bidi="he-IL"/>
        </w:rPr>
        <w:t xml:space="preserve">" </w:t>
      </w:r>
      <w:bookmarkStart w:id="198" w:name="_Hlk88565971"/>
      <w:r w:rsidRPr="00D427D8">
        <w:rPr>
          <w:lang w:bidi="he-IL"/>
        </w:rPr>
        <w:t>means the body of binding working instructions (</w:t>
      </w:r>
      <w:r w:rsidRPr="00D427D8">
        <w:rPr>
          <w:i/>
          <w:lang w:bidi="he-IL"/>
        </w:rPr>
        <w:t>Richtlinien</w:t>
      </w:r>
      <w:r w:rsidRPr="00D427D8">
        <w:rPr>
          <w:lang w:bidi="he-IL"/>
        </w:rPr>
        <w:t xml:space="preserve"> </w:t>
      </w:r>
      <w:r w:rsidRPr="00D427D8">
        <w:rPr>
          <w:i/>
          <w:lang w:bidi="he-IL"/>
        </w:rPr>
        <w:t>und</w:t>
      </w:r>
      <w:r w:rsidRPr="00D427D8">
        <w:rPr>
          <w:lang w:bidi="he-IL"/>
        </w:rPr>
        <w:t xml:space="preserve"> </w:t>
      </w:r>
      <w:r w:rsidRPr="00D427D8">
        <w:rPr>
          <w:i/>
          <w:lang w:bidi="he-IL"/>
        </w:rPr>
        <w:t>Arbeitsanweisungen</w:t>
      </w:r>
      <w:r w:rsidRPr="00D427D8">
        <w:rPr>
          <w:lang w:bidi="he-IL"/>
        </w:rPr>
        <w:t>) drafted by the Seller to standardise its realisation management as consistently applied by the Seller, as set out in the section 'Residual Value Realisation' of the Credit and Collection Policy and as amended from time to time</w:t>
      </w:r>
      <w:bookmarkEnd w:id="198"/>
      <w:r w:rsidRPr="00D427D8">
        <w:rPr>
          <w:lang w:bidi="he-IL"/>
        </w:rPr>
        <w:t>.</w:t>
      </w:r>
    </w:p>
    <w:p w14:paraId="2666A173" w14:textId="049D3299" w:rsidR="009F6E91" w:rsidRPr="00D427D8" w:rsidRDefault="0044653A" w:rsidP="0044653A">
      <w:pPr>
        <w:pStyle w:val="Body2"/>
      </w:pPr>
      <w:r w:rsidRPr="00D427D8">
        <w:t>"</w:t>
      </w:r>
      <w:r w:rsidRPr="00D427D8">
        <w:rPr>
          <w:rStyle w:val="BoldText"/>
        </w:rPr>
        <w:t>Realisation Services</w:t>
      </w:r>
      <w:r w:rsidRPr="00D427D8">
        <w:t>" has the meaning assigned to such term in clause 2.10 of the Servicing Agreement.</w:t>
      </w:r>
    </w:p>
    <w:p w14:paraId="4A4C88BA" w14:textId="002E73D6" w:rsidR="009F6E91" w:rsidRPr="00D427D8" w:rsidRDefault="0044653A" w:rsidP="0044653A">
      <w:pPr>
        <w:pStyle w:val="Body2"/>
        <w:rPr>
          <w:lang w:bidi="he-IL"/>
        </w:rPr>
      </w:pPr>
      <w:r w:rsidRPr="00D427D8">
        <w:rPr>
          <w:lang w:bidi="he-IL"/>
        </w:rPr>
        <w:t>"</w:t>
      </w:r>
      <w:r w:rsidRPr="00D427D8">
        <w:rPr>
          <w:rStyle w:val="BoldText"/>
        </w:rPr>
        <w:t>Receivables</w:t>
      </w:r>
      <w:r w:rsidRPr="00D427D8">
        <w:rPr>
          <w:lang w:bidi="he-IL"/>
        </w:rPr>
        <w:t xml:space="preserve"> </w:t>
      </w:r>
      <w:r w:rsidRPr="00D427D8">
        <w:rPr>
          <w:rStyle w:val="BoldText"/>
        </w:rPr>
        <w:t>Eligibility Criteria</w:t>
      </w:r>
      <w:r w:rsidRPr="00D427D8">
        <w:rPr>
          <w:lang w:bidi="he-IL"/>
        </w:rPr>
        <w:t>" means the criteria set forth in Schedule 2 (</w:t>
      </w:r>
      <w:r w:rsidRPr="00D427D8">
        <w:rPr>
          <w:i/>
          <w:lang w:bidi="he-IL"/>
        </w:rPr>
        <w:t>Eligibility Criteria</w:t>
      </w:r>
      <w:r w:rsidRPr="00D427D8">
        <w:rPr>
          <w:iCs/>
          <w:lang w:bidi="he-IL"/>
        </w:rPr>
        <w:t>) and</w:t>
      </w:r>
      <w:r w:rsidRPr="00D427D8">
        <w:rPr>
          <w:i/>
          <w:lang w:bidi="he-IL"/>
        </w:rPr>
        <w:t xml:space="preserve"> </w:t>
      </w:r>
      <w:r w:rsidRPr="00D427D8">
        <w:rPr>
          <w:lang w:bidi="he-IL"/>
        </w:rPr>
        <w:t>Part 2 (</w:t>
      </w:r>
      <w:r w:rsidRPr="00D427D8">
        <w:rPr>
          <w:i/>
          <w:lang w:bidi="he-IL"/>
        </w:rPr>
        <w:t>Receivables Eligibility Criteria</w:t>
      </w:r>
      <w:r w:rsidRPr="00D427D8">
        <w:rPr>
          <w:lang w:bidi="he-IL"/>
        </w:rPr>
        <w:t>) of the Lease Receivables Purchase Agreement.</w:t>
      </w:r>
    </w:p>
    <w:p w14:paraId="51C5B75C" w14:textId="1D3123EB" w:rsidR="009F6E91" w:rsidRPr="00D427D8" w:rsidRDefault="0044653A" w:rsidP="0044653A">
      <w:pPr>
        <w:pStyle w:val="Body2"/>
      </w:pPr>
      <w:r w:rsidRPr="00D427D8">
        <w:t>"</w:t>
      </w:r>
      <w:r w:rsidRPr="00D427D8">
        <w:rPr>
          <w:rStyle w:val="BoldText"/>
        </w:rPr>
        <w:t>Reconciliation Amount</w:t>
      </w:r>
      <w:r w:rsidRPr="00D427D8">
        <w:t>" has meaning assigned to such term in clause 5.4 of the Agency Agreement.</w:t>
      </w:r>
    </w:p>
    <w:p w14:paraId="29182DFF" w14:textId="7CCD0945" w:rsidR="009F6E91" w:rsidRPr="00D427D8" w:rsidRDefault="00EF7333" w:rsidP="009F6E91">
      <w:pPr>
        <w:pStyle w:val="Body2"/>
        <w:rPr>
          <w:lang w:bidi="he-IL"/>
        </w:rPr>
      </w:pPr>
      <w:r w:rsidRPr="00D427D8">
        <w:rPr>
          <w:lang w:bidi="he-IL"/>
        </w:rPr>
        <w:t>"</w:t>
      </w:r>
      <w:r w:rsidR="009F6E91" w:rsidRPr="00D427D8">
        <w:rPr>
          <w:b/>
          <w:lang w:bidi="he-IL"/>
        </w:rPr>
        <w:t>Records</w:t>
      </w:r>
      <w:r w:rsidRPr="00D427D8">
        <w:rPr>
          <w:lang w:bidi="he-IL"/>
        </w:rPr>
        <w:t>"</w:t>
      </w:r>
      <w:r w:rsidR="009F6E91" w:rsidRPr="00D427D8">
        <w:rPr>
          <w:lang w:bidi="he-IL"/>
        </w:rPr>
        <w:t xml:space="preserve"> means, in respect of any Purchased Lease Receivable, all underlying agreements (such as Lease Agreements), invoices, receipts, correspondence, notes of dealings and other documents, books, books of account, registers, records and other information (especially computerised data, tapes, discs, punch cards, data processing software and related property and rights) maintained (and recreated in the event of destruction of the originals thereof) with respect to such Purchased Lease Receivable and the related Lessee to the extent relevant for the collection or servicing of the Purchased Lease Receivable.</w:t>
      </w:r>
    </w:p>
    <w:p w14:paraId="1FA966DB" w14:textId="6553B71E" w:rsidR="009F6E91" w:rsidRPr="00D427D8" w:rsidRDefault="0044653A" w:rsidP="0044653A">
      <w:pPr>
        <w:pStyle w:val="Body2"/>
        <w:rPr>
          <w:lang w:bidi="he-IL"/>
        </w:rPr>
      </w:pPr>
      <w:r w:rsidRPr="00D427D8">
        <w:rPr>
          <w:lang w:bidi="he-IL"/>
        </w:rPr>
        <w:t>"</w:t>
      </w:r>
      <w:r w:rsidRPr="00D427D8">
        <w:rPr>
          <w:rStyle w:val="BoldText"/>
        </w:rPr>
        <w:t>Recovery Proceeds</w:t>
      </w:r>
      <w:r w:rsidRPr="00D427D8">
        <w:rPr>
          <w:lang w:bidi="he-IL"/>
        </w:rPr>
        <w:t>" means any proceeds received in relation to Defaulted Receivables (including from the realisation of the Leased Vehicles or other Lease Collateral and any sale  of such under the Servicing Agreement);</w:t>
      </w:r>
    </w:p>
    <w:p w14:paraId="40DBA385" w14:textId="61D9A05B" w:rsidR="009F6E91" w:rsidRPr="00D427D8" w:rsidRDefault="0044653A" w:rsidP="0044653A">
      <w:pPr>
        <w:pStyle w:val="Body2"/>
      </w:pPr>
      <w:r w:rsidRPr="00D427D8">
        <w:t>"</w:t>
      </w:r>
      <w:r w:rsidRPr="00D427D8">
        <w:rPr>
          <w:rStyle w:val="BoldText"/>
        </w:rPr>
        <w:t>Reference List</w:t>
      </w:r>
      <w:r w:rsidRPr="00D427D8">
        <w:t>" means a list, electronically or otherwise, which contains in encrypted form the respective names and addresses of the relevant Lessees.</w:t>
      </w:r>
    </w:p>
    <w:p w14:paraId="451CF57D" w14:textId="539456A9" w:rsidR="009F6E91" w:rsidRPr="00D427D8" w:rsidRDefault="00EF7333" w:rsidP="009F6E91">
      <w:pPr>
        <w:pStyle w:val="Body2"/>
      </w:pPr>
      <w:r w:rsidRPr="00D427D8">
        <w:t>"</w:t>
      </w:r>
      <w:r w:rsidR="009F6E91" w:rsidRPr="00D427D8">
        <w:rPr>
          <w:b/>
        </w:rPr>
        <w:t>Regulation S</w:t>
      </w:r>
      <w:r w:rsidRPr="00D427D8">
        <w:t>"</w:t>
      </w:r>
      <w:r w:rsidR="009F6E91" w:rsidRPr="00D427D8">
        <w:t xml:space="preserve"> means Regulation S under the Securities Act.</w:t>
      </w:r>
    </w:p>
    <w:p w14:paraId="0302A3E4" w14:textId="21A3CD53" w:rsidR="009F6E91" w:rsidRPr="00D427D8" w:rsidRDefault="00EF7333" w:rsidP="0044653A">
      <w:pPr>
        <w:pStyle w:val="DefHead"/>
      </w:pPr>
      <w:r w:rsidRPr="00D427D8">
        <w:lastRenderedPageBreak/>
        <w:t>"</w:t>
      </w:r>
      <w:r w:rsidR="009F6E91" w:rsidRPr="00D427D8">
        <w:rPr>
          <w:rStyle w:val="BoldText"/>
        </w:rPr>
        <w:t>Regulatory Change Event</w:t>
      </w:r>
      <w:r w:rsidRPr="00D427D8">
        <w:t>"</w:t>
      </w:r>
      <w:r w:rsidR="009F6E91" w:rsidRPr="00D427D8">
        <w:t xml:space="preserve"> means:</w:t>
      </w:r>
    </w:p>
    <w:p w14:paraId="17560F63" w14:textId="4DD09EDC" w:rsidR="009F6E91" w:rsidRPr="00D427D8" w:rsidRDefault="009F6E91" w:rsidP="0044653A">
      <w:pPr>
        <w:pStyle w:val="DefLevel1"/>
      </w:pPr>
      <w:r w:rsidRPr="00D427D8">
        <w:t>any enactment or establishment of, or supplement or amendment to, or change in any law, regulation, rule, policy or guideline of the ECB or the ACPR or the application or official interpretation of, or view expressed by the ECB or the ACPR with respect to, any such law, regulation, rule, policy or guideline which becomes effective on or after the Closing Date; or</w:t>
      </w:r>
    </w:p>
    <w:p w14:paraId="5B990D3A" w14:textId="576B4639" w:rsidR="009F6E91" w:rsidRPr="00D427D8" w:rsidRDefault="009F6E91" w:rsidP="0044653A">
      <w:pPr>
        <w:pStyle w:val="DefLevel1"/>
      </w:pPr>
      <w:r w:rsidRPr="00D427D8">
        <w:t>a notification by or other communication from the ECB or the ACPR is received by the Seller with respect to the securitisation described in this Prospectus on or after the Closing Date; or</w:t>
      </w:r>
    </w:p>
    <w:p w14:paraId="199D46C2" w14:textId="7322CAD6" w:rsidR="009F6E91" w:rsidRPr="00D427D8" w:rsidRDefault="009F6E91" w:rsidP="0044653A">
      <w:pPr>
        <w:pStyle w:val="DefLevel1"/>
      </w:pPr>
      <w:r w:rsidRPr="00D427D8">
        <w:t xml:space="preserve">a change in or the adoption of any new law, rule, direction, guidance or regulation which requires the manner in which the Seller is retaining a material net economic interest of not less than five (5) per cent. in the securitisation described in this Prospectus (the </w:t>
      </w:r>
      <w:r w:rsidR="00EF7333" w:rsidRPr="00D427D8">
        <w:t>"</w:t>
      </w:r>
      <w:r w:rsidRPr="00D427D8">
        <w:rPr>
          <w:b/>
          <w:bCs/>
        </w:rPr>
        <w:t>Retained Exposures</w:t>
      </w:r>
      <w:r w:rsidR="00EF7333" w:rsidRPr="00D427D8">
        <w:t>"</w:t>
      </w:r>
      <w:r w:rsidRPr="00D427D8">
        <w:t>) to be restructured after the Closing Date or which would otherwise result in the manner in which the Retained Exposures to become non-compliant in relation to a Noteholder or which would otherwise have an adverse effect on the ability of the Seller to comply with Article 6 (Risk retention) of the EU Securitisation Regulation,</w:t>
      </w:r>
    </w:p>
    <w:p w14:paraId="41B04E67" w14:textId="77777777" w:rsidR="009F6E91" w:rsidRPr="00D427D8" w:rsidRDefault="009F6E91" w:rsidP="009F6E91">
      <w:pPr>
        <w:pStyle w:val="Body2"/>
      </w:pPr>
      <w:r w:rsidRPr="00D427D8">
        <w:t>which, in the reasonable opinion of the Seller, has the effect of materially adversely affecting the regulatory capital treatment or rate of return on capital pursuant to Article 244(2) of the CRR provided that any reference to Article 244(2) of the CRR shall be deemed to include any successor or replacement provisions to Article 244(2) of the CRR or materially increasing the cost or materially reducing the benefit to the Seller of the transactions contemplated by the Transaction Documents.</w:t>
      </w:r>
    </w:p>
    <w:p w14:paraId="23BC9BAA" w14:textId="77777777" w:rsidR="009F6E91" w:rsidRPr="00D427D8" w:rsidRDefault="009F6E91" w:rsidP="009F6E91">
      <w:pPr>
        <w:pStyle w:val="Body2"/>
      </w:pPr>
      <w:r w:rsidRPr="00D427D8">
        <w:t>The declaration of a Regulatory Change Event will not be prevented or excluded by the fact that, prior to the Closing Date:</w:t>
      </w:r>
    </w:p>
    <w:p w14:paraId="15AC7EDC" w14:textId="57D7C7EB" w:rsidR="009F6E91" w:rsidRPr="00D427D8" w:rsidRDefault="0044653A" w:rsidP="0044653A">
      <w:pPr>
        <w:pStyle w:val="Body2"/>
      </w:pPr>
      <w:r w:rsidRPr="00D427D8">
        <w:t>(i)</w:t>
      </w:r>
      <w:r w:rsidRPr="00D427D8">
        <w:tab/>
        <w:t>the event constituting any such Regulatory Change Event was:</w:t>
      </w:r>
    </w:p>
    <w:p w14:paraId="158B76F2" w14:textId="495C409C" w:rsidR="009F6E91" w:rsidRPr="00D427D8" w:rsidRDefault="0044653A" w:rsidP="0044653A">
      <w:pPr>
        <w:pStyle w:val="Body3"/>
        <w:ind w:left="2160" w:hanging="742"/>
      </w:pPr>
      <w:r w:rsidRPr="00D427D8">
        <w:t>(aa)</w:t>
      </w:r>
      <w:r w:rsidRPr="00D427D8">
        <w:tab/>
        <w:t>announced or contained in any proposal (whether in draft or final form) for a change in the laws, regulations, applicable regulatory rules, policies or guidelines (including any accord, standard, or recommendation of the ECB or the Basel Committee), as officially interpreted, implemented or applied by the ECB or the ACPR; or</w:t>
      </w:r>
    </w:p>
    <w:p w14:paraId="225EDE29" w14:textId="56CF2A7F" w:rsidR="009F6E91" w:rsidRPr="00D427D8" w:rsidRDefault="0044653A" w:rsidP="0044653A">
      <w:pPr>
        <w:pStyle w:val="Body3"/>
        <w:ind w:left="2160" w:hanging="742"/>
      </w:pPr>
      <w:r w:rsidRPr="00D427D8">
        <w:t>(bb)</w:t>
      </w:r>
      <w:r w:rsidRPr="00D427D8">
        <w:tab/>
        <w:t>incorporated in any law or regulation approved and/or published but the effectiveness or application of which is deferred, in whole or in part, beyond the Closing Date; or</w:t>
      </w:r>
    </w:p>
    <w:p w14:paraId="2C7D7FDF" w14:textId="20E5CB6C" w:rsidR="009F6E91" w:rsidRPr="00D427D8" w:rsidRDefault="0044653A" w:rsidP="0044653A">
      <w:pPr>
        <w:pStyle w:val="Body3"/>
        <w:ind w:left="2160" w:hanging="742"/>
      </w:pPr>
      <w:r w:rsidRPr="00D427D8">
        <w:t>(cc)</w:t>
      </w:r>
      <w:r w:rsidRPr="00D427D8">
        <w:tab/>
        <w:t>expressed in any statement by any official of the competent authority in expert meetings or other discussions in connection with such Regulatory Change Event; or</w:t>
      </w:r>
    </w:p>
    <w:p w14:paraId="659F5198" w14:textId="2256D3BB" w:rsidR="009F6E91" w:rsidRPr="00D427D8" w:rsidRDefault="0044653A" w:rsidP="0044653A">
      <w:pPr>
        <w:pStyle w:val="Body2"/>
        <w:ind w:left="1440" w:hanging="731"/>
      </w:pPr>
      <w:r w:rsidRPr="00D427D8">
        <w:t>(ii)</w:t>
      </w:r>
      <w:r w:rsidRPr="00D427D8">
        <w:tab/>
        <w:t>the competent authority has issued any notification, taken any decision or expressed any view with respect to any individual transaction, other than the securitisation described in this Prospectus. Accordingly, such proposals, statements, notifications or views will not be taken into account when assessing the regulatory capital treatment or the capital relief afforded by the Notes for the Seller or its affiliates or rate of return on capital pursuant to Article 244(2) of the CRR or an increase in the cost or reduction of benefits to the Seller or its affiliates of the securitisation described in this Prospectus immediately after the Closing Date.</w:t>
      </w:r>
    </w:p>
    <w:p w14:paraId="2C0A2E47" w14:textId="3DB5EECB" w:rsidR="009F6E91" w:rsidRPr="00D427D8" w:rsidRDefault="00EF7333" w:rsidP="009F6E91">
      <w:pPr>
        <w:pStyle w:val="Body2"/>
      </w:pPr>
      <w:r w:rsidRPr="00D427D8">
        <w:t>"</w:t>
      </w:r>
      <w:r w:rsidR="009F6E91" w:rsidRPr="00D427D8">
        <w:rPr>
          <w:b/>
        </w:rPr>
        <w:t>Regulatory Change Event Notice</w:t>
      </w:r>
      <w:r w:rsidRPr="00D427D8">
        <w:t>"</w:t>
      </w:r>
      <w:r w:rsidR="009F6E91" w:rsidRPr="00D427D8">
        <w:t xml:space="preserve"> means a notice which is given by the Seller to the Issuer, the Paying Agent and the Noteholders in accordance with Condition 13 (</w:t>
      </w:r>
      <w:r w:rsidR="009F6E91" w:rsidRPr="00D427D8">
        <w:rPr>
          <w:i/>
        </w:rPr>
        <w:t>Notice to the Noteholders</w:t>
      </w:r>
      <w:r w:rsidR="009F6E91" w:rsidRPr="00D427D8">
        <w:t>) upon the occurrence of a Regulatory Change Event provided that a Regulatory Change Event Notice shall only take effect if delivered not more than sixty (60) days</w:t>
      </w:r>
      <w:r w:rsidRPr="00D427D8">
        <w:t>'</w:t>
      </w:r>
      <w:r w:rsidR="009F6E91" w:rsidRPr="00D427D8">
        <w:t xml:space="preserve"> nor less than two (2) Business Days</w:t>
      </w:r>
      <w:r w:rsidRPr="00D427D8">
        <w:t>'</w:t>
      </w:r>
      <w:r w:rsidR="009F6E91" w:rsidRPr="00D427D8">
        <w:t xml:space="preserve"> prior to the Determination Date immediately preceding the Distribution Date immediately following the delivery of such notice.</w:t>
      </w:r>
    </w:p>
    <w:p w14:paraId="1D9E2F83" w14:textId="072727C5" w:rsidR="009F6E91" w:rsidRPr="00D427D8" w:rsidDel="002E7AFD" w:rsidRDefault="00EF7333" w:rsidP="009F6E91">
      <w:pPr>
        <w:pStyle w:val="Body2"/>
      </w:pPr>
      <w:r w:rsidRPr="00D427D8">
        <w:t>"</w:t>
      </w:r>
      <w:r w:rsidR="009F6E91" w:rsidRPr="00D427D8">
        <w:rPr>
          <w:b/>
        </w:rPr>
        <w:t>Reinvestment Principal</w:t>
      </w:r>
      <w:r w:rsidR="009F6E91" w:rsidRPr="00D427D8" w:rsidDel="002E7AFD">
        <w:rPr>
          <w:b/>
        </w:rPr>
        <w:t xml:space="preserve"> </w:t>
      </w:r>
      <w:r w:rsidR="009F6E91" w:rsidRPr="00D427D8">
        <w:rPr>
          <w:b/>
        </w:rPr>
        <w:t>Ledger</w:t>
      </w:r>
      <w:r w:rsidRPr="00D427D8">
        <w:t>"</w:t>
      </w:r>
      <w:r w:rsidR="009F6E91" w:rsidRPr="00D427D8" w:rsidDel="002E7AFD">
        <w:rPr>
          <w:b/>
        </w:rPr>
        <w:t xml:space="preserve"> </w:t>
      </w:r>
      <w:r w:rsidR="009F6E91" w:rsidRPr="00D427D8">
        <w:t>means, on the Closing Date and with respect to any Monthly Period during the Revolving Period, the ledger of the same name maintained by the Issuer which records on it any amount credited pursuant to item (3</w:t>
      </w:r>
      <w:r w:rsidR="009F6E91" w:rsidRPr="00D427D8">
        <w:rPr>
          <w:vertAlign w:val="superscript"/>
        </w:rPr>
        <w:t>rd</w:t>
      </w:r>
      <w:r w:rsidR="009F6E91" w:rsidRPr="00D427D8">
        <w:t>) of the Principal Priority of Payments.</w:t>
      </w:r>
    </w:p>
    <w:p w14:paraId="589186A3" w14:textId="30D55DA9" w:rsidR="009F6E91" w:rsidRPr="00D427D8" w:rsidRDefault="00EF7333" w:rsidP="009F6E91">
      <w:pPr>
        <w:pStyle w:val="Body2"/>
        <w:rPr>
          <w:lang w:bidi="he-IL"/>
        </w:rPr>
      </w:pPr>
      <w:r w:rsidRPr="00D427D8">
        <w:rPr>
          <w:lang w:bidi="he-IL"/>
        </w:rPr>
        <w:lastRenderedPageBreak/>
        <w:t>"</w:t>
      </w:r>
      <w:r w:rsidR="009F6E91" w:rsidRPr="00D427D8">
        <w:rPr>
          <w:b/>
          <w:lang w:bidi="he-IL"/>
        </w:rPr>
        <w:t>Release Condition</w:t>
      </w:r>
      <w:r w:rsidRPr="00D427D8">
        <w:rPr>
          <w:lang w:bidi="he-IL"/>
        </w:rPr>
        <w:t>"</w:t>
      </w:r>
      <w:r w:rsidR="009F6E91" w:rsidRPr="00D427D8">
        <w:rPr>
          <w:lang w:bidi="he-IL"/>
        </w:rPr>
        <w:t xml:space="preserve"> has the meaning given to such term in the Lease Receivables Purchase Agreement</w:t>
      </w:r>
      <w:r w:rsidR="009F6E91" w:rsidRPr="00D427D8">
        <w:t>.</w:t>
      </w:r>
    </w:p>
    <w:p w14:paraId="61E6F115" w14:textId="2922A43B" w:rsidR="009F6E91" w:rsidRPr="00D427D8" w:rsidRDefault="00EF7333" w:rsidP="009F6E91">
      <w:pPr>
        <w:pStyle w:val="Body2"/>
      </w:pPr>
      <w:r w:rsidRPr="00D427D8">
        <w:t>"</w:t>
      </w:r>
      <w:r w:rsidR="009F6E91" w:rsidRPr="00D427D8">
        <w:rPr>
          <w:b/>
        </w:rPr>
        <w:t>Relevant Margin</w:t>
      </w:r>
      <w:r w:rsidRPr="00D427D8">
        <w:t>"</w:t>
      </w:r>
      <w:r w:rsidR="009F6E91" w:rsidRPr="00D427D8">
        <w:t xml:space="preserve"> means with respect to each Class of Notes the margin specified for such Class of Notes in Condition 6.3(c).</w:t>
      </w:r>
    </w:p>
    <w:p w14:paraId="73BB929C" w14:textId="48363003" w:rsidR="009F6E91" w:rsidRPr="00D427D8" w:rsidRDefault="00EF7333" w:rsidP="009F6E91">
      <w:pPr>
        <w:pStyle w:val="Body2"/>
      </w:pPr>
      <w:r w:rsidRPr="00D427D8">
        <w:t>"</w:t>
      </w:r>
      <w:r w:rsidR="009F6E91" w:rsidRPr="00D427D8">
        <w:rPr>
          <w:b/>
          <w:bCs/>
        </w:rPr>
        <w:t>Reporting Agent</w:t>
      </w:r>
      <w:r w:rsidRPr="00D427D8">
        <w:t>"</w:t>
      </w:r>
      <w:r w:rsidR="009F6E91" w:rsidRPr="00D427D8">
        <w:t xml:space="preserve"> means </w:t>
      </w:r>
      <w:r w:rsidR="009F6E91" w:rsidRPr="00D427D8">
        <w:rPr>
          <w:lang w:val="en-US"/>
        </w:rPr>
        <w:t>France Titrisation, 1, boulevard Haussmann, 75009 Paris, France (business address: 9, rue du Débarcadère).</w:t>
      </w:r>
    </w:p>
    <w:p w14:paraId="7DF45EA8" w14:textId="12756BAE" w:rsidR="009F6E91" w:rsidRPr="00D427D8" w:rsidRDefault="00EF7333" w:rsidP="0044653A">
      <w:pPr>
        <w:pStyle w:val="DefHead"/>
      </w:pPr>
      <w:r w:rsidRPr="00D427D8">
        <w:t>"</w:t>
      </w:r>
      <w:r w:rsidR="009F6E91" w:rsidRPr="00D427D8">
        <w:rPr>
          <w:b/>
        </w:rPr>
        <w:t>Required Notes Redemption Amount</w:t>
      </w:r>
      <w:r w:rsidRPr="00D427D8">
        <w:t>"</w:t>
      </w:r>
      <w:r w:rsidR="009F6E91" w:rsidRPr="00D427D8">
        <w:t xml:space="preserve"> means, in respect of any Distribution Date falling within the Normal Amortisation Period (only), an amount equal to the difference between:</w:t>
      </w:r>
    </w:p>
    <w:p w14:paraId="22E05A21" w14:textId="0734397B" w:rsidR="009F6E91" w:rsidRPr="00D427D8" w:rsidRDefault="009F6E91" w:rsidP="0044653A">
      <w:pPr>
        <w:pStyle w:val="DefLevel1"/>
      </w:pPr>
      <w:r w:rsidRPr="00D427D8">
        <w:t>the aggregate Principal Outstanding Notes Balance of all Classes of Notes on the Distribution Date immediately preceding such Distribution Date after giving effect to any principal repayment on such preceding Distribution Date; and</w:t>
      </w:r>
    </w:p>
    <w:p w14:paraId="13EE6AA6" w14:textId="798DC818" w:rsidR="009F6E91" w:rsidRPr="00D427D8" w:rsidRDefault="009F6E91" w:rsidP="0044653A">
      <w:pPr>
        <w:pStyle w:val="DefLevel1"/>
      </w:pPr>
      <w:r w:rsidRPr="00D427D8">
        <w:t xml:space="preserve">the </w:t>
      </w:r>
      <w:r w:rsidRPr="00D427D8">
        <w:rPr>
          <w:color w:val="000000"/>
          <w:lang w:val="en-US" w:eastAsia="de-DE"/>
        </w:rPr>
        <w:t>Aggregate Discounted Asset Balance</w:t>
      </w:r>
      <w:r w:rsidRPr="00D427D8">
        <w:t xml:space="preserve"> on the Determination Date immediately preceding such Distribution Date.</w:t>
      </w:r>
    </w:p>
    <w:p w14:paraId="3C7E20CC" w14:textId="06D6D204" w:rsidR="009F6E91" w:rsidRPr="00D427D8" w:rsidDel="002E7AFD" w:rsidRDefault="00EF7333" w:rsidP="009F6E91">
      <w:pPr>
        <w:pStyle w:val="Body2"/>
      </w:pPr>
      <w:r w:rsidRPr="00D427D8">
        <w:t>"</w:t>
      </w:r>
      <w:r w:rsidR="009F6E91" w:rsidRPr="00D427D8" w:rsidDel="002E7AFD">
        <w:rPr>
          <w:b/>
        </w:rPr>
        <w:t>Reserve Account</w:t>
      </w:r>
      <w:r w:rsidRPr="00D427D8">
        <w:t>"</w:t>
      </w:r>
      <w:r w:rsidR="009F6E91" w:rsidRPr="00D427D8" w:rsidDel="002E7AFD">
        <w:t xml:space="preserve"> means the interest bearing account </w:t>
      </w:r>
      <w:r w:rsidR="009F6E91" w:rsidRPr="00D427D8">
        <w:t>as defined in the schedule to the Account Bank Agreement.</w:t>
      </w:r>
    </w:p>
    <w:p w14:paraId="4DBCF851" w14:textId="263EC7CC" w:rsidR="009F6E91" w:rsidRPr="00D427D8" w:rsidRDefault="00EF7333" w:rsidP="009F6E91">
      <w:pPr>
        <w:pStyle w:val="Body2"/>
      </w:pPr>
      <w:r w:rsidRPr="00D427D8">
        <w:t>"</w:t>
      </w:r>
      <w:r w:rsidR="009F6E91" w:rsidRPr="00D427D8">
        <w:rPr>
          <w:b/>
        </w:rPr>
        <w:t>Revolving Period</w:t>
      </w:r>
      <w:r w:rsidRPr="00D427D8">
        <w:t>"</w:t>
      </w:r>
      <w:r w:rsidR="009F6E91" w:rsidRPr="00D427D8">
        <w:t xml:space="preserve"> means the period from (and including) the Closing Date and ending on (but excluding) the earlier of (i) the Revolving Period End Date; and (ii) the date on which a Revolving Period Termination Event occurs.</w:t>
      </w:r>
    </w:p>
    <w:p w14:paraId="658F1CD5" w14:textId="32C2B0DD" w:rsidR="009F6E91" w:rsidRPr="00D427D8" w:rsidRDefault="00EF7333" w:rsidP="009F6E91">
      <w:pPr>
        <w:pStyle w:val="Body2"/>
      </w:pPr>
      <w:r w:rsidRPr="00D427D8">
        <w:t>"</w:t>
      </w:r>
      <w:r w:rsidR="009F6E91" w:rsidRPr="00D427D8">
        <w:rPr>
          <w:b/>
        </w:rPr>
        <w:t>Revolving Period End Date</w:t>
      </w:r>
      <w:r w:rsidRPr="00D427D8">
        <w:t>"</w:t>
      </w:r>
      <w:r w:rsidR="009F6E91" w:rsidRPr="00D427D8">
        <w:t xml:space="preserve"> means the Distribution Date falling in </w:t>
      </w:r>
      <w:r w:rsidR="00D70F65">
        <w:t>July 2026</w:t>
      </w:r>
      <w:r w:rsidR="009F6E91" w:rsidRPr="00D427D8">
        <w:t>.</w:t>
      </w:r>
    </w:p>
    <w:p w14:paraId="3E51F650" w14:textId="4FC7F143" w:rsidR="009F6E91" w:rsidRPr="00D427D8" w:rsidRDefault="00EF7333" w:rsidP="0044653A">
      <w:pPr>
        <w:pStyle w:val="DefHead"/>
      </w:pPr>
      <w:r w:rsidRPr="00D427D8">
        <w:t>"</w:t>
      </w:r>
      <w:r w:rsidR="009F6E91" w:rsidRPr="00D427D8">
        <w:rPr>
          <w:b/>
        </w:rPr>
        <w:t>Revolving Period Termination Event</w:t>
      </w:r>
      <w:r w:rsidRPr="00D427D8">
        <w:t>"</w:t>
      </w:r>
      <w:r w:rsidR="009F6E91" w:rsidRPr="00D427D8">
        <w:t xml:space="preserve"> means the occurrence of any of the following:</w:t>
      </w:r>
    </w:p>
    <w:p w14:paraId="1E2A37BE" w14:textId="77777777" w:rsidR="00D70F65" w:rsidRDefault="009F6E91" w:rsidP="0044653A">
      <w:pPr>
        <w:pStyle w:val="DefLevel1"/>
      </w:pPr>
      <w:r w:rsidRPr="00D427D8">
        <w:t xml:space="preserve">the </w:t>
      </w:r>
      <w:r w:rsidR="00D70F65" w:rsidRPr="00D70F65">
        <w:t xml:space="preserve">Cumulative Gross Loss Ratio is greater than, on the relevant Distribution Date on which such ratio will be calculated by the Servicer: </w:t>
      </w:r>
    </w:p>
    <w:p w14:paraId="232D88C4" w14:textId="5412C88A" w:rsidR="00D70F65" w:rsidRDefault="00D70F65" w:rsidP="0044653A">
      <w:pPr>
        <w:pStyle w:val="DefLevel2"/>
      </w:pPr>
      <w:r w:rsidRPr="00D70F65">
        <w:t xml:space="preserve">0.50% per cent. between the Closing Date and the Distribution Date falling January 2026 (excluded); </w:t>
      </w:r>
    </w:p>
    <w:p w14:paraId="7D818EEB" w14:textId="14EB3246" w:rsidR="00D70F65" w:rsidRDefault="00D70F65" w:rsidP="00D70F65">
      <w:pPr>
        <w:pStyle w:val="DefLevel2"/>
      </w:pPr>
      <w:r w:rsidRPr="00D70F65">
        <w:t xml:space="preserve">1.00% per cent. between the Distribution Date falling in January 2026 </w:t>
      </w:r>
      <w:r w:rsidR="00C7143B" w:rsidRPr="00D70F65">
        <w:t>(including)</w:t>
      </w:r>
      <w:r w:rsidR="00C7143B">
        <w:t xml:space="preserve"> </w:t>
      </w:r>
      <w:r w:rsidRPr="00D70F65">
        <w:t>and the Distribution Date falling in June 2026 (including);</w:t>
      </w:r>
    </w:p>
    <w:p w14:paraId="3F00FA82" w14:textId="18F8026B" w:rsidR="009F6E91" w:rsidRPr="00D427D8" w:rsidRDefault="009F6E91" w:rsidP="0044653A">
      <w:pPr>
        <w:pStyle w:val="DefLevel1"/>
      </w:pPr>
      <w:r w:rsidRPr="00D427D8">
        <w:t>a Seller Event of Default has occurred and is continuing;</w:t>
      </w:r>
    </w:p>
    <w:p w14:paraId="23972B7D" w14:textId="31ED5E84" w:rsidR="009F6E91" w:rsidRPr="00D427D8" w:rsidRDefault="009F6E91" w:rsidP="0044653A">
      <w:pPr>
        <w:pStyle w:val="DefLevel1"/>
      </w:pPr>
      <w:r w:rsidRPr="00D427D8">
        <w:t>a Servicer Default has occurred and is continuing;</w:t>
      </w:r>
    </w:p>
    <w:p w14:paraId="796C2137" w14:textId="7A4FC6E4" w:rsidR="009F6E91" w:rsidRPr="00D427D8" w:rsidRDefault="009F6E91" w:rsidP="0044653A">
      <w:pPr>
        <w:pStyle w:val="DefLevel1"/>
      </w:pPr>
      <w:r w:rsidRPr="00D427D8">
        <w:t>an Event of Default or Termination Event under the</w:t>
      </w:r>
      <w:r w:rsidRPr="00D427D8" w:rsidDel="00CA6DAD">
        <w:t xml:space="preserve"> </w:t>
      </w:r>
      <w:r w:rsidRPr="00D427D8">
        <w:t>Hedging Arrangement (each as defined therein);</w:t>
      </w:r>
    </w:p>
    <w:p w14:paraId="44432DC5" w14:textId="618E09F8" w:rsidR="009F6E91" w:rsidRPr="00D427D8" w:rsidRDefault="009F6E91" w:rsidP="0044653A">
      <w:pPr>
        <w:pStyle w:val="DefLevel1"/>
      </w:pPr>
      <w:r w:rsidRPr="00D427D8">
        <w:t>a Liquidity Reserve Shortfall; or</w:t>
      </w:r>
    </w:p>
    <w:p w14:paraId="603FC2E5" w14:textId="212153BA" w:rsidR="009F6E91" w:rsidRPr="00D427D8" w:rsidRDefault="009F6E91" w:rsidP="0044653A">
      <w:pPr>
        <w:pStyle w:val="DefLevel1"/>
      </w:pPr>
      <w:r w:rsidRPr="00D427D8">
        <w:t>a Negative Carry Event has occurred and is continuing; or</w:t>
      </w:r>
    </w:p>
    <w:p w14:paraId="0924AD5A" w14:textId="1695B7E0" w:rsidR="009F6E91" w:rsidRPr="00D427D8" w:rsidRDefault="009F6E91" w:rsidP="0044653A">
      <w:pPr>
        <w:pStyle w:val="DefLevel1"/>
      </w:pPr>
      <w:r w:rsidRPr="00D427D8">
        <w:t>a Regulatory Change Event; or</w:t>
      </w:r>
    </w:p>
    <w:p w14:paraId="5F1B0739" w14:textId="08BBD3C9" w:rsidR="009F6E91" w:rsidRPr="00D427D8" w:rsidRDefault="009F6E91" w:rsidP="0044653A">
      <w:pPr>
        <w:pStyle w:val="DefLevel1"/>
        <w:rPr>
          <w:lang w:val="en-US"/>
        </w:rPr>
      </w:pPr>
      <w:r w:rsidRPr="00D427D8">
        <w:rPr>
          <w:lang w:val="en-US"/>
        </w:rPr>
        <w:t>a Note Tax Event; or</w:t>
      </w:r>
    </w:p>
    <w:p w14:paraId="2AF0F205" w14:textId="46835796" w:rsidR="009F6E91" w:rsidRPr="00D427D8" w:rsidRDefault="009F6E91" w:rsidP="0044653A">
      <w:pPr>
        <w:pStyle w:val="DefLevel1"/>
      </w:pPr>
      <w:r w:rsidRPr="00D427D8">
        <w:t xml:space="preserve">the Class G Principal Deficiency Sub-Ledger is greater than </w:t>
      </w:r>
      <w:r w:rsidR="00D70F65">
        <w:t>0.50</w:t>
      </w:r>
      <w:r w:rsidRPr="00D427D8">
        <w:t xml:space="preserve"> per cent. of the </w:t>
      </w:r>
      <w:r w:rsidRPr="00D427D8">
        <w:rPr>
          <w:color w:val="000000"/>
          <w:lang w:val="en-US" w:eastAsia="de-DE"/>
        </w:rPr>
        <w:t>Aggregate Discounted Asset Balance</w:t>
      </w:r>
      <w:r w:rsidRPr="00D427D8">
        <w:t xml:space="preserve"> on the immediately succeeding Distribution Date after application of the </w:t>
      </w:r>
      <w:r w:rsidRPr="00D427D8">
        <w:rPr>
          <w:bCs/>
          <w:iCs/>
        </w:rPr>
        <w:t>Available Interest Distribution Amount</w:t>
      </w:r>
      <w:r w:rsidRPr="00D427D8">
        <w:t xml:space="preserve"> in accordance with the Interest Priority of Payments; or</w:t>
      </w:r>
    </w:p>
    <w:p w14:paraId="78817B43" w14:textId="48B227F4" w:rsidR="009F6E91" w:rsidRPr="00D427D8" w:rsidRDefault="009F6E91" w:rsidP="0044653A">
      <w:pPr>
        <w:pStyle w:val="DefLevel1"/>
      </w:pPr>
      <w:r w:rsidRPr="00D427D8">
        <w:t>an Accelerated Amortisation Event has occurred and is continuing.</w:t>
      </w:r>
    </w:p>
    <w:p w14:paraId="1A62A431" w14:textId="67F9BDF8" w:rsidR="009F6E91" w:rsidRPr="00D427D8" w:rsidRDefault="00A212A1" w:rsidP="00A212A1">
      <w:pPr>
        <w:pStyle w:val="Body2"/>
      </w:pPr>
      <w:r w:rsidRPr="00D427D8">
        <w:t>"</w:t>
      </w:r>
      <w:r w:rsidRPr="00D427D8">
        <w:rPr>
          <w:rStyle w:val="BoldText"/>
        </w:rPr>
        <w:t>Risk Retention U.S. Person</w:t>
      </w:r>
      <w:r w:rsidRPr="00D427D8">
        <w:t>" means any "U.S. person" as defined in the U.S. Risk Retention Rules.</w:t>
      </w:r>
    </w:p>
    <w:p w14:paraId="5541A02D" w14:textId="2E18A008" w:rsidR="009F6E91" w:rsidRPr="00D427D8" w:rsidRDefault="00A212A1" w:rsidP="00A212A1">
      <w:pPr>
        <w:pStyle w:val="Body2"/>
        <w:rPr>
          <w:lang w:bidi="he-IL"/>
        </w:rPr>
      </w:pPr>
      <w:bookmarkStart w:id="199" w:name="_Hlk191567114"/>
      <w:r w:rsidRPr="00D427D8">
        <w:rPr>
          <w:lang w:bidi="he-IL"/>
        </w:rPr>
        <w:lastRenderedPageBreak/>
        <w:t>"</w:t>
      </w:r>
      <w:r w:rsidRPr="00D427D8">
        <w:rPr>
          <w:rStyle w:val="BoldText"/>
        </w:rPr>
        <w:t>RW Contract</w:t>
      </w:r>
      <w:r w:rsidRPr="00D427D8">
        <w:rPr>
          <w:lang w:bidi="he-IL"/>
        </w:rPr>
        <w:t>" (</w:t>
      </w:r>
      <w:r w:rsidRPr="00D427D8">
        <w:rPr>
          <w:i/>
          <w:iCs/>
          <w:lang w:bidi="he-IL"/>
        </w:rPr>
        <w:t>Restwert-Verträge</w:t>
      </w:r>
      <w:r w:rsidRPr="00D427D8">
        <w:rPr>
          <w:lang w:bidi="he-IL"/>
        </w:rPr>
        <w:t>) means Lease Agreements under which the Lessee has to reimburse the Seller for any difference between the Expectancy Right Value of the Leased Vehicle and its actual market value as at contractual maturity of the Lease Agreement.</w:t>
      </w:r>
      <w:bookmarkEnd w:id="199"/>
    </w:p>
    <w:p w14:paraId="51AAB6EA" w14:textId="3AB4FCC9" w:rsidR="009F6E91" w:rsidRPr="00D427D8" w:rsidRDefault="00EF7333" w:rsidP="009F6E91">
      <w:pPr>
        <w:pStyle w:val="Body2"/>
      </w:pPr>
      <w:r w:rsidRPr="00D427D8">
        <w:t>"</w:t>
      </w:r>
      <w:r w:rsidR="009F6E91" w:rsidRPr="00D427D8">
        <w:rPr>
          <w:b/>
          <w:bCs/>
        </w:rPr>
        <w:t>Sanctioned Person</w:t>
      </w:r>
      <w:r w:rsidRPr="00D427D8">
        <w:t>"</w:t>
      </w:r>
      <w:r w:rsidR="009F6E91" w:rsidRPr="00D427D8">
        <w:t xml:space="preserve"> shall mean any person who is a designated target of Sanctions or is otherwise a subject of Sanctions (including without limitation as a result of being (a) owned or controlled directly or indirectly by any person which is a designated target of Sanctions, or (b) organised under the laws of, or a resident of, any country that is subject to general or country-wide Sanctions).</w:t>
      </w:r>
    </w:p>
    <w:p w14:paraId="1D37FD4F" w14:textId="3C092247" w:rsidR="009F6E91" w:rsidRPr="00D427D8" w:rsidRDefault="00EF7333" w:rsidP="009F6E91">
      <w:pPr>
        <w:pStyle w:val="Body2"/>
      </w:pPr>
      <w:r w:rsidRPr="00D427D8">
        <w:t>"</w:t>
      </w:r>
      <w:r w:rsidR="009F6E91" w:rsidRPr="00D427D8">
        <w:rPr>
          <w:b/>
          <w:bCs/>
        </w:rPr>
        <w:t>Sanctions</w:t>
      </w:r>
      <w:r w:rsidRPr="00D427D8">
        <w:t>"</w:t>
      </w:r>
      <w:r w:rsidR="009F6E91" w:rsidRPr="00D427D8">
        <w:t xml:space="preserve"> shall mean any laws, regulations, economic, financial or trade sanctions or restrictive measures enacted, administered, imposed or enforced by the government of the United Kingdom, the United States of America, the United Nations, the European Union or any of its member states in which the Issuer, or any individual or entity that owns or controls the Issuer, is resident, the U.S. Office of Foreign Assets Control of the U.S. Department of the Treasury (OFAC), the Office of Export Enforcement of the U.S. Department of Commerce (OEE), the U.S. Department of State and/or His Majesty</w:t>
      </w:r>
      <w:r w:rsidRPr="00D427D8">
        <w:t>'</w:t>
      </w:r>
      <w:r w:rsidR="009F6E91" w:rsidRPr="00D427D8">
        <w:t>s Treasury or any other relevant sanctions authority.</w:t>
      </w:r>
    </w:p>
    <w:p w14:paraId="07FD926C" w14:textId="6160939A" w:rsidR="009F6E91" w:rsidRPr="00D427D8" w:rsidRDefault="00A212A1" w:rsidP="00A212A1">
      <w:pPr>
        <w:pStyle w:val="Body2"/>
      </w:pPr>
      <w:r w:rsidRPr="00D427D8">
        <w:rPr>
          <w:rStyle w:val="BoldText"/>
        </w:rPr>
        <w:t>"Schedule of Receivables</w:t>
      </w:r>
      <w:r w:rsidRPr="00D427D8">
        <w:t>" means the respective schedule of Lease Receivables and Expectancy Rights purchased on the Closing Date and each Further Purchase Date pursuant to the relevant Asset Purchase Agreement.</w:t>
      </w:r>
    </w:p>
    <w:p w14:paraId="25E70118" w14:textId="35330C0B" w:rsidR="009F6E91" w:rsidRPr="00D427D8" w:rsidRDefault="00A212A1" w:rsidP="00A212A1">
      <w:pPr>
        <w:pStyle w:val="Body2"/>
      </w:pPr>
      <w:r w:rsidRPr="00D427D8">
        <w:rPr>
          <w:lang w:bidi="he-IL"/>
        </w:rPr>
        <w:t>"</w:t>
      </w:r>
      <w:r w:rsidRPr="00D427D8">
        <w:rPr>
          <w:rStyle w:val="BoldText"/>
        </w:rPr>
        <w:t>Scheduled Interest Payment</w:t>
      </w:r>
      <w:r w:rsidRPr="00D427D8">
        <w:rPr>
          <w:lang w:bidi="he-IL"/>
        </w:rPr>
        <w:t>"</w:t>
      </w:r>
      <w:r w:rsidRPr="00D427D8">
        <w:t xml:space="preserve"> means, in respect of any Lease Receivable and any related ER Receivable payable on its relevant due date, the Discounted Receivables Balance of the relevant Lease Agreement as at the preceding due date multiplied by the Discount Rate divided by twelve (12).</w:t>
      </w:r>
    </w:p>
    <w:p w14:paraId="2A21B09D" w14:textId="25ADC74C" w:rsidR="009F6E91" w:rsidRPr="00D427D8" w:rsidRDefault="00A212A1" w:rsidP="00A212A1">
      <w:pPr>
        <w:pStyle w:val="Body2"/>
      </w:pPr>
      <w:r w:rsidRPr="00D427D8">
        <w:rPr>
          <w:lang w:bidi="he-IL"/>
        </w:rPr>
        <w:t>"</w:t>
      </w:r>
      <w:r w:rsidRPr="00D427D8">
        <w:rPr>
          <w:rStyle w:val="BoldText"/>
        </w:rPr>
        <w:t>Scheduled Payments</w:t>
      </w:r>
      <w:r w:rsidRPr="00D427D8">
        <w:rPr>
          <w:lang w:bidi="he-IL"/>
        </w:rPr>
        <w:t xml:space="preserve">" </w:t>
      </w:r>
      <w:r w:rsidRPr="00D427D8">
        <w:t>means, in respect of any Lease Agreement (a) the amounts of each of the Lease Receivable to be paid by the Lessee on each date on which any such payment has to be made under that Lease Agreement and (b) the amount of the ER Receivable of such Lease Agreement (assuming that the payment of the ER Receivable will not take place prior to the maturity of the corresponding Lease Agreement) and "</w:t>
      </w:r>
      <w:r w:rsidRPr="00D427D8">
        <w:rPr>
          <w:rStyle w:val="BoldText"/>
        </w:rPr>
        <w:t>Scheduled Payment</w:t>
      </w:r>
      <w:r w:rsidRPr="00D427D8">
        <w:t>" means any of these payments.</w:t>
      </w:r>
    </w:p>
    <w:p w14:paraId="69814808" w14:textId="00BAE8B5" w:rsidR="009F6E91" w:rsidRPr="00D427D8" w:rsidRDefault="00A212A1" w:rsidP="00A212A1">
      <w:pPr>
        <w:pStyle w:val="Body2"/>
      </w:pPr>
      <w:r w:rsidRPr="00D427D8">
        <w:rPr>
          <w:lang w:bidi="he-IL"/>
        </w:rPr>
        <w:t>"</w:t>
      </w:r>
      <w:r w:rsidRPr="00D427D8">
        <w:rPr>
          <w:rStyle w:val="BoldText"/>
        </w:rPr>
        <w:t>Scheduled Principal Payments</w:t>
      </w:r>
      <w:r w:rsidRPr="00D427D8">
        <w:rPr>
          <w:lang w:bidi="he-IL"/>
        </w:rPr>
        <w:t>"</w:t>
      </w:r>
      <w:r w:rsidRPr="00D427D8">
        <w:t xml:space="preserve"> means, in respect of any Lease Receivable and any related ER Receivable payable on its relevant due date, the amount equal to the positive difference between the amount of the relevant Scheduled Payment and the Scheduled Interest Payment.</w:t>
      </w:r>
    </w:p>
    <w:p w14:paraId="1FB5424F" w14:textId="7FC59455" w:rsidR="009F6E91" w:rsidRPr="00D427D8" w:rsidRDefault="00EF7333" w:rsidP="009F6E91">
      <w:pPr>
        <w:pStyle w:val="Body2"/>
        <w:rPr>
          <w:lang w:eastAsia="en-US"/>
        </w:rPr>
      </w:pPr>
      <w:r w:rsidRPr="00D427D8">
        <w:rPr>
          <w:lang w:eastAsia="en-US"/>
        </w:rPr>
        <w:t>"</w:t>
      </w:r>
      <w:r w:rsidR="009F6E91" w:rsidRPr="00D427D8">
        <w:rPr>
          <w:b/>
          <w:bCs/>
          <w:lang w:eastAsia="en-US"/>
        </w:rPr>
        <w:t>Secured Liabilities</w:t>
      </w:r>
      <w:r w:rsidRPr="00D427D8">
        <w:rPr>
          <w:lang w:eastAsia="en-US"/>
        </w:rPr>
        <w:t>"</w:t>
      </w:r>
      <w:r w:rsidR="009F6E91" w:rsidRPr="00D427D8">
        <w:rPr>
          <w:lang w:eastAsia="en-US"/>
        </w:rPr>
        <w:t xml:space="preserve"> means any present or future obligation of the Issuer under the Transaction Documents or the Hedging Arrangement </w:t>
      </w:r>
      <w:r w:rsidR="009F6E91" w:rsidRPr="00D427D8">
        <w:rPr>
          <w:i/>
          <w:iCs/>
          <w:lang w:eastAsia="en-US"/>
        </w:rPr>
        <w:t>vis-à-vis</w:t>
      </w:r>
      <w:r w:rsidR="009F6E91" w:rsidRPr="00D427D8">
        <w:rPr>
          <w:lang w:eastAsia="en-US"/>
        </w:rPr>
        <w:t xml:space="preserve"> the Secured Parties.</w:t>
      </w:r>
    </w:p>
    <w:p w14:paraId="07BD9DA8" w14:textId="3F6D281F" w:rsidR="009F6E91" w:rsidRPr="00D427D8" w:rsidRDefault="00EF7333" w:rsidP="009F6E91">
      <w:pPr>
        <w:pStyle w:val="Body2"/>
      </w:pPr>
      <w:r w:rsidRPr="00D427D8">
        <w:t>"</w:t>
      </w:r>
      <w:r w:rsidR="009F6E91" w:rsidRPr="00D427D8">
        <w:rPr>
          <w:b/>
        </w:rPr>
        <w:t>Secured Parties</w:t>
      </w:r>
      <w:r w:rsidRPr="00D427D8">
        <w:t>"</w:t>
      </w:r>
      <w:r w:rsidR="009F6E91" w:rsidRPr="00D427D8">
        <w:t xml:space="preserve"> means each person entitled to a distribution of funds pursuant to the relevant Priority of Payments except, for the avoidance of doubt, governmental bodies or authorities (e.g. tax authorities).</w:t>
      </w:r>
    </w:p>
    <w:p w14:paraId="1055D80D" w14:textId="5563F0BF" w:rsidR="009F6E91" w:rsidRPr="00D427D8" w:rsidRDefault="00EF7333" w:rsidP="009F6E91">
      <w:pPr>
        <w:pStyle w:val="Body2"/>
      </w:pPr>
      <w:r w:rsidRPr="00D427D8">
        <w:rPr>
          <w:lang w:eastAsia="en-US"/>
        </w:rPr>
        <w:t>"</w:t>
      </w:r>
      <w:r w:rsidR="009F6E91" w:rsidRPr="00D427D8">
        <w:rPr>
          <w:b/>
          <w:lang w:eastAsia="en-US"/>
        </w:rPr>
        <w:t>Securities Act</w:t>
      </w:r>
      <w:r w:rsidRPr="00D427D8">
        <w:rPr>
          <w:lang w:eastAsia="en-US"/>
        </w:rPr>
        <w:t>"</w:t>
      </w:r>
      <w:r w:rsidR="009F6E91" w:rsidRPr="00D427D8">
        <w:rPr>
          <w:lang w:eastAsia="en-US"/>
        </w:rPr>
        <w:t xml:space="preserve"> means the U.S. Securities Act of 1933, as amended.</w:t>
      </w:r>
    </w:p>
    <w:p w14:paraId="484E3008" w14:textId="17556CB9" w:rsidR="009F6E91" w:rsidRPr="00D427D8" w:rsidRDefault="00EF7333" w:rsidP="009F6E91">
      <w:pPr>
        <w:pStyle w:val="Body2"/>
      </w:pPr>
      <w:r w:rsidRPr="00D427D8">
        <w:t>"</w:t>
      </w:r>
      <w:r w:rsidR="009F6E91" w:rsidRPr="00D427D8">
        <w:rPr>
          <w:b/>
        </w:rPr>
        <w:t>Securitisation</w:t>
      </w:r>
      <w:r w:rsidRPr="00D427D8">
        <w:t>"</w:t>
      </w:r>
      <w:r w:rsidR="009F6E91" w:rsidRPr="00D427D8">
        <w:t xml:space="preserve"> means the securitisation transaction contemplated by this Prospectus and the Transaction Documents.</w:t>
      </w:r>
    </w:p>
    <w:p w14:paraId="7A957D6B" w14:textId="396DC136" w:rsidR="009F6E91" w:rsidRPr="00D427D8" w:rsidRDefault="00A212A1" w:rsidP="00A212A1">
      <w:pPr>
        <w:pStyle w:val="Body2"/>
        <w:rPr>
          <w:lang w:val="en-US"/>
        </w:rPr>
      </w:pPr>
      <w:r w:rsidRPr="00D427D8">
        <w:rPr>
          <w:lang w:val="en-US"/>
        </w:rPr>
        <w:t>"</w:t>
      </w:r>
      <w:r w:rsidRPr="00D427D8">
        <w:rPr>
          <w:rStyle w:val="BoldText"/>
        </w:rPr>
        <w:t>Securitisation Regulation (EU) Disclosure Requirements</w:t>
      </w:r>
      <w:r w:rsidRPr="00D427D8">
        <w:rPr>
          <w:lang w:val="en-US"/>
        </w:rPr>
        <w:t xml:space="preserve">" means the disclosure requirements set out in Articles 7 and 22(5) of the </w:t>
      </w:r>
      <w:bookmarkStart w:id="200" w:name="_Hlk196817020"/>
      <w:r w:rsidRPr="00D427D8">
        <w:rPr>
          <w:lang w:val="en-US"/>
        </w:rPr>
        <w:t xml:space="preserve">EU Securitisation Regulation </w:t>
      </w:r>
      <w:bookmarkEnd w:id="200"/>
      <w:r w:rsidRPr="00D427D8">
        <w:rPr>
          <w:lang w:val="en-US"/>
        </w:rPr>
        <w:t>and Commission Delegated Regulation (EU) 2020/1224.</w:t>
      </w:r>
    </w:p>
    <w:p w14:paraId="53F95BE5" w14:textId="3E219A06" w:rsidR="009F6E91" w:rsidRPr="00D427D8" w:rsidRDefault="00A212A1" w:rsidP="00A212A1">
      <w:pPr>
        <w:pStyle w:val="Body2"/>
        <w:rPr>
          <w:lang w:bidi="he-IL"/>
        </w:rPr>
      </w:pPr>
      <w:r w:rsidRPr="00D427D8">
        <w:t>"</w:t>
      </w:r>
      <w:r w:rsidRPr="00D427D8">
        <w:rPr>
          <w:rStyle w:val="BoldText"/>
        </w:rPr>
        <w:t>Security</w:t>
      </w:r>
      <w:r w:rsidRPr="00D427D8">
        <w:t xml:space="preserve">" </w:t>
      </w:r>
      <w:r w:rsidRPr="00D427D8">
        <w:rPr>
          <w:lang w:bidi="he-IL"/>
        </w:rPr>
        <w:t>means all the security rights and interest created by the Issuer over its assets (with the exception of the security under the ER Security Documents) in favour of the Collateral Agent and for the benefit of the Secured Parties pursuant to the provisions of the relevant Security Documents.</w:t>
      </w:r>
    </w:p>
    <w:p w14:paraId="20473AEF" w14:textId="78CDA574" w:rsidR="009F6E91" w:rsidRPr="00D427D8" w:rsidRDefault="00EF7333" w:rsidP="009F6E91">
      <w:pPr>
        <w:pStyle w:val="Body2"/>
      </w:pPr>
      <w:r w:rsidRPr="00D427D8">
        <w:t>"</w:t>
      </w:r>
      <w:r w:rsidR="009F6E91" w:rsidRPr="00D427D8">
        <w:rPr>
          <w:b/>
        </w:rPr>
        <w:t>Security Assignment Deed</w:t>
      </w:r>
      <w:r w:rsidRPr="00D427D8">
        <w:t>"</w:t>
      </w:r>
      <w:r w:rsidR="009F6E91" w:rsidRPr="00D427D8">
        <w:t xml:space="preserve"> means the security assignment deed dated the Signing Date among the Issuer and the Collateral Agent.</w:t>
      </w:r>
    </w:p>
    <w:p w14:paraId="67AC9506" w14:textId="57457419" w:rsidR="009F6E91" w:rsidRPr="00D427D8" w:rsidRDefault="00EF7333" w:rsidP="009F6E91">
      <w:pPr>
        <w:pStyle w:val="Body2"/>
      </w:pPr>
      <w:r w:rsidRPr="00D427D8">
        <w:t>"</w:t>
      </w:r>
      <w:r w:rsidR="009F6E91" w:rsidRPr="00D427D8">
        <w:rPr>
          <w:b/>
          <w:bCs/>
        </w:rPr>
        <w:t>Security Documents</w:t>
      </w:r>
      <w:r w:rsidRPr="00D427D8">
        <w:t>"</w:t>
      </w:r>
      <w:r w:rsidR="009F6E91" w:rsidRPr="00D427D8">
        <w:t xml:space="preserve"> means the Collateral Agency Agreement, </w:t>
      </w:r>
      <w:r w:rsidR="009F6E91" w:rsidRPr="00D427D8">
        <w:rPr>
          <w:lang w:bidi="he-IL"/>
        </w:rPr>
        <w:t>the ER Collateral Agency Agreement</w:t>
      </w:r>
      <w:r w:rsidR="009F6E91" w:rsidRPr="00D427D8">
        <w:t xml:space="preserve"> and the Security Assignment Deed;</w:t>
      </w:r>
    </w:p>
    <w:p w14:paraId="62DDFBD7" w14:textId="6734179E" w:rsidR="009F6E91" w:rsidRPr="00D427D8" w:rsidRDefault="00EF7333" w:rsidP="009F6E91">
      <w:pPr>
        <w:pStyle w:val="Body2"/>
      </w:pPr>
      <w:r w:rsidRPr="00D427D8">
        <w:lastRenderedPageBreak/>
        <w:t>"</w:t>
      </w:r>
      <w:r w:rsidR="009F6E91" w:rsidRPr="00D427D8">
        <w:rPr>
          <w:b/>
        </w:rPr>
        <w:t>Security Interest</w:t>
      </w:r>
      <w:r w:rsidRPr="00D427D8">
        <w:t>"</w:t>
      </w:r>
      <w:r w:rsidR="009F6E91" w:rsidRPr="00D427D8">
        <w:t xml:space="preserve"> means any mortgage, pledge, lien, charge, assignment by way of security, hypothecation, encumbrance or other security interest or any other agreement or arrangement having the effect of conferring security or similar effect.</w:t>
      </w:r>
    </w:p>
    <w:p w14:paraId="79136030" w14:textId="2CFC6B3C" w:rsidR="009F6E91" w:rsidRPr="00D427D8" w:rsidRDefault="00EF7333" w:rsidP="009F6E91">
      <w:pPr>
        <w:pStyle w:val="Body2"/>
      </w:pPr>
      <w:r w:rsidRPr="00D427D8">
        <w:t>"</w:t>
      </w:r>
      <w:r w:rsidR="009F6E91" w:rsidRPr="00D427D8">
        <w:rPr>
          <w:b/>
        </w:rPr>
        <w:t>Seller</w:t>
      </w:r>
      <w:r w:rsidRPr="00D427D8">
        <w:t>"</w:t>
      </w:r>
      <w:r w:rsidR="009F6E91" w:rsidRPr="00D427D8">
        <w:t xml:space="preserve"> means Stellantis Bank.</w:t>
      </w:r>
    </w:p>
    <w:p w14:paraId="775DFFA7" w14:textId="216B376C" w:rsidR="009F6E91" w:rsidRPr="00D427D8" w:rsidRDefault="00EF7333" w:rsidP="00A212A1">
      <w:pPr>
        <w:pStyle w:val="DefHead"/>
      </w:pPr>
      <w:r w:rsidRPr="00D427D8">
        <w:t>"</w:t>
      </w:r>
      <w:r w:rsidR="009F6E91" w:rsidRPr="00D427D8">
        <w:rPr>
          <w:b/>
        </w:rPr>
        <w:t>Seller Event of Default</w:t>
      </w:r>
      <w:r w:rsidRPr="00D427D8">
        <w:t>"</w:t>
      </w:r>
      <w:r w:rsidR="009F6E91" w:rsidRPr="00D427D8">
        <w:t xml:space="preserve"> means any one of the following events described below:</w:t>
      </w:r>
    </w:p>
    <w:p w14:paraId="6C25B15C" w14:textId="75B3A0CA" w:rsidR="009F6E91" w:rsidRPr="00D427D8" w:rsidRDefault="009F6E91" w:rsidP="00A212A1">
      <w:pPr>
        <w:pStyle w:val="DefLevel1"/>
      </w:pPr>
      <w:r w:rsidRPr="00D427D8">
        <w:t>any breach by the Seller of:</w:t>
      </w:r>
    </w:p>
    <w:p w14:paraId="7D1214D3" w14:textId="070A9F8A" w:rsidR="009F6E91" w:rsidRPr="00D427D8" w:rsidRDefault="009F6E91" w:rsidP="00A212A1">
      <w:pPr>
        <w:pStyle w:val="DefLevel2"/>
      </w:pPr>
      <w:r w:rsidRPr="00D427D8">
        <w:t>any of its material non-monetary obligations under any Asset Purchase Agreement and such breach is not remedied by the Seller within:</w:t>
      </w:r>
    </w:p>
    <w:p w14:paraId="39B5CCFA" w14:textId="781BF926" w:rsidR="009F6E91" w:rsidRPr="00D427D8" w:rsidRDefault="00A212A1" w:rsidP="00A212A1">
      <w:pPr>
        <w:pStyle w:val="Body4"/>
      </w:pPr>
      <w:r w:rsidRPr="00D427D8">
        <w:t>(A)</w:t>
      </w:r>
      <w:r w:rsidRPr="00D427D8">
        <w:tab/>
        <w:t>five (5) Business Days; or</w:t>
      </w:r>
    </w:p>
    <w:p w14:paraId="0E856312" w14:textId="5655A761" w:rsidR="009F6E91" w:rsidRPr="00D427D8" w:rsidRDefault="00A212A1" w:rsidP="00A212A1">
      <w:pPr>
        <w:pStyle w:val="Body4"/>
        <w:ind w:left="2880" w:hanging="754"/>
      </w:pPr>
      <w:r w:rsidRPr="00D427D8">
        <w:t>(B)</w:t>
      </w:r>
      <w:r w:rsidRPr="00D427D8">
        <w:tab/>
        <w:t>fifteen (15) Business Days if the breach is due to force majeure or technical reasons,</w:t>
      </w:r>
    </w:p>
    <w:p w14:paraId="2E36719F" w14:textId="77777777" w:rsidR="009F6E91" w:rsidRPr="00D427D8" w:rsidRDefault="009F6E91" w:rsidP="009F6E91">
      <w:pPr>
        <w:pStyle w:val="Body4"/>
      </w:pPr>
      <w:r w:rsidRPr="00D427D8">
        <w:t>after the earlier of the date on which it is aware of such breach and/or receipt of notification in writing to the Seller by the Issuer to remedy such breach; or</w:t>
      </w:r>
    </w:p>
    <w:p w14:paraId="79B1B08F" w14:textId="3D971E8A" w:rsidR="009F6E91" w:rsidRPr="00D427D8" w:rsidRDefault="009F6E91" w:rsidP="00A212A1">
      <w:pPr>
        <w:pStyle w:val="DefLevel2"/>
      </w:pPr>
      <w:r w:rsidRPr="00D427D8">
        <w:t>any of its material monetary obligations under any Asset Purchase Agreement and such breach is not remedied by the Seller within:</w:t>
      </w:r>
    </w:p>
    <w:p w14:paraId="30CF48F3" w14:textId="061E9325" w:rsidR="009F6E91" w:rsidRPr="00D427D8" w:rsidRDefault="00A212A1" w:rsidP="00A212A1">
      <w:pPr>
        <w:pStyle w:val="Body4"/>
      </w:pPr>
      <w:r w:rsidRPr="00D427D8">
        <w:t>(A)</w:t>
      </w:r>
      <w:r w:rsidRPr="00D427D8">
        <w:tab/>
        <w:t>two (2) Business Days; or</w:t>
      </w:r>
    </w:p>
    <w:p w14:paraId="1B2E5471" w14:textId="0609664D" w:rsidR="009F6E91" w:rsidRPr="00D427D8" w:rsidRDefault="00A212A1" w:rsidP="00A212A1">
      <w:pPr>
        <w:pStyle w:val="Body4"/>
        <w:ind w:left="2880" w:hanging="754"/>
      </w:pPr>
      <w:r w:rsidRPr="00D427D8">
        <w:t>(B)</w:t>
      </w:r>
      <w:r w:rsidRPr="00D427D8">
        <w:tab/>
        <w:t>five (5) Business Days if the breach is due to force majeure or technical reasons,</w:t>
      </w:r>
    </w:p>
    <w:p w14:paraId="5B6A3570" w14:textId="77777777" w:rsidR="009F6E91" w:rsidRPr="00D427D8" w:rsidRDefault="009F6E91" w:rsidP="009F6E91">
      <w:pPr>
        <w:pStyle w:val="Body4"/>
      </w:pPr>
      <w:r w:rsidRPr="00D427D8">
        <w:t>after the earlier of the date on which it is aware of such breach and/or receipt of notification in writing to the Seller by the Issuer to remedy such breach; or</w:t>
      </w:r>
    </w:p>
    <w:p w14:paraId="1490E0FB" w14:textId="072C6DD5" w:rsidR="009F6E91" w:rsidRPr="00D427D8" w:rsidRDefault="009F6E91" w:rsidP="00A212A1">
      <w:pPr>
        <w:pStyle w:val="DefLevel1"/>
      </w:pPr>
      <w:r w:rsidRPr="00D427D8">
        <w:t>any breach by the Seller of any representation, warranty or undertaking made or given by the Seller in any Asset Purchase Agreement (other than relating to Receivables) is materially false or incorrect or has been breached and, where such materially false or incorrect representation or warranty or breached undertaking can be corrected or remedied by the Seller, is not corrected or remedied by the Seller within:</w:t>
      </w:r>
    </w:p>
    <w:p w14:paraId="1513C81D" w14:textId="697B70D1" w:rsidR="009F6E91" w:rsidRPr="00D427D8" w:rsidRDefault="009F6E91" w:rsidP="00A212A1">
      <w:pPr>
        <w:pStyle w:val="DefLevel2"/>
      </w:pPr>
      <w:r w:rsidRPr="00D427D8">
        <w:t>five (5) Business Days; or</w:t>
      </w:r>
    </w:p>
    <w:p w14:paraId="32F0CC97" w14:textId="3FA3F637" w:rsidR="009F6E91" w:rsidRPr="00D427D8" w:rsidRDefault="009F6E91" w:rsidP="00A212A1">
      <w:pPr>
        <w:pStyle w:val="DefLevel2"/>
      </w:pPr>
      <w:r w:rsidRPr="00D427D8">
        <w:t>sixty (60) calendar days if the breach is due to force majeure or technical reasons,</w:t>
      </w:r>
    </w:p>
    <w:p w14:paraId="5AE57E57" w14:textId="77777777" w:rsidR="009F6E91" w:rsidRPr="00D427D8" w:rsidRDefault="009F6E91" w:rsidP="009F6E91">
      <w:pPr>
        <w:pStyle w:val="Body3"/>
      </w:pPr>
      <w:r w:rsidRPr="00D427D8">
        <w:t>after the earlier of the date on which it is aware of such misrepresentation or such breach and/or receipt of notification in writing to the Seller by the Issuer to remedy such false or incorrect representation or warranty or breached undertaking.</w:t>
      </w:r>
    </w:p>
    <w:p w14:paraId="312CC65E" w14:textId="4E7E2F03" w:rsidR="009F6E91" w:rsidRPr="00D427D8" w:rsidRDefault="009F6E91" w:rsidP="00A212A1">
      <w:pPr>
        <w:pStyle w:val="DefLevel1"/>
      </w:pPr>
      <w:r w:rsidRPr="00D427D8">
        <w:t>any Insolvency Event with respect to the Seller occurs and is continuing; or</w:t>
      </w:r>
    </w:p>
    <w:p w14:paraId="1DC2DA2B" w14:textId="2DE8DA61" w:rsidR="009F6E91" w:rsidRPr="00D427D8" w:rsidRDefault="009F6E91" w:rsidP="00A212A1">
      <w:pPr>
        <w:pStyle w:val="DefLevel1"/>
      </w:pPr>
      <w:r w:rsidRPr="00D427D8">
        <w:t xml:space="preserve">the banking licence of the Seller is cancelled or withdrawn by the ACPR or the Seller is permanently prohibited from conducting its credit business </w:t>
      </w:r>
      <w:r w:rsidRPr="00D427D8">
        <w:rPr>
          <w:color w:val="000000"/>
        </w:rPr>
        <w:t>(</w:t>
      </w:r>
      <w:r w:rsidRPr="00D427D8">
        <w:rPr>
          <w:i/>
          <w:color w:val="000000"/>
        </w:rPr>
        <w:t>interdiction totale d</w:t>
      </w:r>
      <w:r w:rsidR="00EF7333" w:rsidRPr="00D427D8">
        <w:rPr>
          <w:i/>
          <w:color w:val="000000"/>
        </w:rPr>
        <w:t>'</w:t>
      </w:r>
      <w:r w:rsidRPr="00D427D8">
        <w:rPr>
          <w:i/>
          <w:color w:val="000000"/>
        </w:rPr>
        <w:t>activité</w:t>
      </w:r>
      <w:r w:rsidRPr="00D427D8">
        <w:rPr>
          <w:color w:val="000000"/>
        </w:rPr>
        <w:t>) by the ACPR</w:t>
      </w:r>
      <w:r w:rsidRPr="00D427D8">
        <w:t>.</w:t>
      </w:r>
    </w:p>
    <w:p w14:paraId="57386B2D" w14:textId="2D5D29A9" w:rsidR="009F6E91" w:rsidRPr="00D427D8" w:rsidRDefault="00EF7333" w:rsidP="009F6E91">
      <w:pPr>
        <w:pStyle w:val="Body2"/>
      </w:pPr>
      <w:r w:rsidRPr="00D427D8">
        <w:t>"</w:t>
      </w:r>
      <w:r w:rsidR="009F6E91" w:rsidRPr="00D427D8">
        <w:rPr>
          <w:b/>
        </w:rPr>
        <w:t>Senior Expenses</w:t>
      </w:r>
      <w:r w:rsidRPr="00D427D8">
        <w:t>"</w:t>
      </w:r>
      <w:r w:rsidR="009F6E91" w:rsidRPr="00D427D8">
        <w:t xml:space="preserve"> means the expenses listed in items 1</w:t>
      </w:r>
      <w:r w:rsidR="009F6E91" w:rsidRPr="00D427D8">
        <w:rPr>
          <w:vertAlign w:val="superscript"/>
        </w:rPr>
        <w:t>st</w:t>
      </w:r>
      <w:r w:rsidR="009F6E91" w:rsidRPr="00D427D8">
        <w:t xml:space="preserve"> through 4</w:t>
      </w:r>
      <w:r w:rsidR="009F6E91" w:rsidRPr="00D427D8">
        <w:rPr>
          <w:vertAlign w:val="superscript"/>
        </w:rPr>
        <w:t>th</w:t>
      </w:r>
      <w:r w:rsidR="009F6E91" w:rsidRPr="00D427D8">
        <w:t xml:space="preserve"> of the Interest Priority of Payments.</w:t>
      </w:r>
    </w:p>
    <w:p w14:paraId="2A748919" w14:textId="07A6B40C" w:rsidR="009F6E91" w:rsidRPr="00D427D8" w:rsidRDefault="00EF7333" w:rsidP="009F6E91">
      <w:pPr>
        <w:pStyle w:val="Body2"/>
      </w:pPr>
      <w:r w:rsidRPr="00D427D8">
        <w:t>"</w:t>
      </w:r>
      <w:r w:rsidR="009F6E91" w:rsidRPr="00D427D8">
        <w:rPr>
          <w:b/>
          <w:bCs/>
        </w:rPr>
        <w:t>Senior Expenses and Interest Reserve</w:t>
      </w:r>
      <w:r w:rsidRPr="00D427D8">
        <w:t>"</w:t>
      </w:r>
      <w:r w:rsidR="009F6E91" w:rsidRPr="00D427D8">
        <w:t xml:space="preserve"> means the reserve funded by the Subordinated Lender on the Distribution Account in an amount equal to EUR</w:t>
      </w:r>
      <w:r w:rsidR="00CB16CF" w:rsidRPr="00CB16CF">
        <w:t xml:space="preserve"> 781,538.27 </w:t>
      </w:r>
      <w:r w:rsidR="009F6E91" w:rsidRPr="00D427D8">
        <w:t>on the Closing Date pursuant to the Subordinated Loan Agreement and which will be used by the Issuer to pay the Senior Expenses and interest on the Notes on the first Distribution Date.</w:t>
      </w:r>
    </w:p>
    <w:p w14:paraId="53BC3F33" w14:textId="6DB9B90A" w:rsidR="009F6E91" w:rsidRPr="00D427D8" w:rsidRDefault="00EF7333" w:rsidP="00A212A1">
      <w:pPr>
        <w:pStyle w:val="DefHead"/>
      </w:pPr>
      <w:r w:rsidRPr="00D427D8">
        <w:t>"</w:t>
      </w:r>
      <w:r w:rsidR="009F6E91" w:rsidRPr="00D427D8">
        <w:rPr>
          <w:b/>
        </w:rPr>
        <w:t>Sequential Redemption Event</w:t>
      </w:r>
      <w:r w:rsidRPr="00D427D8">
        <w:t>"</w:t>
      </w:r>
      <w:r w:rsidR="009F6E91" w:rsidRPr="00D427D8">
        <w:t xml:space="preserve"> means the occurrence of any of the following events during the Normal Amortisation Period (only):</w:t>
      </w:r>
    </w:p>
    <w:p w14:paraId="77D16D6D" w14:textId="71AD6DF7" w:rsidR="009F6E91" w:rsidRPr="00D427D8" w:rsidRDefault="009F6E91" w:rsidP="00A212A1">
      <w:pPr>
        <w:pStyle w:val="DefLevel1"/>
      </w:pPr>
      <w:r w:rsidRPr="00D427D8">
        <w:lastRenderedPageBreak/>
        <w:t xml:space="preserve">the </w:t>
      </w:r>
      <w:r w:rsidR="00D70F65" w:rsidRPr="00D70F65">
        <w:t>Class G Principal Deficiency Sub-Ledger is greater  than 0.50 per cent. of the Aggregate Discounted Asset Balance on the immediately succeeding Distribution Date after application of the Available Interest Distribution Amount in accordance with the Interest Priority of Payments; or</w:t>
      </w:r>
    </w:p>
    <w:p w14:paraId="385FF000" w14:textId="429B72F4" w:rsidR="009F6E91" w:rsidRPr="00D427D8" w:rsidRDefault="009F6E91" w:rsidP="00A212A1">
      <w:pPr>
        <w:pStyle w:val="DefLevel1"/>
      </w:pPr>
      <w:r w:rsidRPr="00D427D8">
        <w:t>the Cumulative Gross Loss Ratio is greater than:</w:t>
      </w:r>
    </w:p>
    <w:p w14:paraId="574AA66C" w14:textId="6A364592" w:rsidR="00D70F65" w:rsidRDefault="00D70F65" w:rsidP="00A212A1">
      <w:pPr>
        <w:pStyle w:val="DefLevel2"/>
      </w:pPr>
      <w:r w:rsidRPr="00D70F65">
        <w:t xml:space="preserve">0.50 cent. between the Closing Date (included) and the Distribution Date falling in December 2025 (included); or </w:t>
      </w:r>
      <w:r>
        <w:t>,</w:t>
      </w:r>
    </w:p>
    <w:p w14:paraId="5B4AAC9A" w14:textId="399D0D54" w:rsidR="00D70F65" w:rsidRDefault="00D70F65" w:rsidP="00A212A1">
      <w:pPr>
        <w:pStyle w:val="DefLevel2"/>
      </w:pPr>
      <w:r w:rsidRPr="00D70F65">
        <w:t xml:space="preserve">1.00 per cent. between the Distribution Date falling in January 2026 (included) and the Distribution Date falling in August 2026 (included); or </w:t>
      </w:r>
    </w:p>
    <w:p w14:paraId="088A27EA" w14:textId="5F95351A" w:rsidR="00D70F65" w:rsidRDefault="00D70F65" w:rsidP="00A212A1">
      <w:pPr>
        <w:pStyle w:val="DefLevel2"/>
      </w:pPr>
      <w:r w:rsidRPr="00D70F65">
        <w:t xml:space="preserve">1.30 per cent. between the Distribution Date falling in September 2026 (included) and the Distribution Date falling in December 2026 (included); or </w:t>
      </w:r>
    </w:p>
    <w:p w14:paraId="55128AD4" w14:textId="489A2D1A" w:rsidR="00D70F65" w:rsidRDefault="00D70F65" w:rsidP="00A212A1">
      <w:pPr>
        <w:pStyle w:val="DefLevel2"/>
      </w:pPr>
      <w:r w:rsidRPr="00D70F65">
        <w:t xml:space="preserve">2.50 per cent. between the Distribution Date falling in January 2027 (included) and the Distribution Date falling in in June 2027 (included); or </w:t>
      </w:r>
    </w:p>
    <w:p w14:paraId="22D828BF" w14:textId="2CFB13E1" w:rsidR="00D70F65" w:rsidRDefault="00D70F65" w:rsidP="00D70F65">
      <w:pPr>
        <w:pStyle w:val="DefLevel2"/>
      </w:pPr>
      <w:r w:rsidRPr="00D70F65">
        <w:t>3.8</w:t>
      </w:r>
      <w:r w:rsidR="00526BA1">
        <w:t>0</w:t>
      </w:r>
      <w:r w:rsidR="001C3D25">
        <w:t xml:space="preserve"> </w:t>
      </w:r>
      <w:r w:rsidRPr="00D70F65">
        <w:t xml:space="preserve">per cent. between the Distribution Date falling in July 2027 (included) and the Final Legal Maturity Date (included); or </w:t>
      </w:r>
    </w:p>
    <w:p w14:paraId="73B47967" w14:textId="22D3650B" w:rsidR="009F6E91" w:rsidRPr="00D427D8" w:rsidRDefault="009F6E91" w:rsidP="00A212A1">
      <w:pPr>
        <w:pStyle w:val="DefLevel1"/>
      </w:pPr>
      <w:r w:rsidRPr="00D427D8">
        <w:t xml:space="preserve">the </w:t>
      </w:r>
      <w:r w:rsidRPr="00D427D8">
        <w:rPr>
          <w:color w:val="000000"/>
          <w:lang w:val="en-US" w:eastAsia="de-DE"/>
        </w:rPr>
        <w:t>Aggregate Discounted Asset Balance</w:t>
      </w:r>
      <w:r w:rsidRPr="00D427D8">
        <w:t xml:space="preserve"> has fallen below ten per cent. (10%) of the </w:t>
      </w:r>
      <w:r w:rsidRPr="00D427D8">
        <w:rPr>
          <w:color w:val="000000"/>
          <w:lang w:val="en-US" w:eastAsia="de-DE"/>
        </w:rPr>
        <w:t>Aggregate Discounted Asset Balance</w:t>
      </w:r>
      <w:r w:rsidRPr="00D427D8">
        <w:t xml:space="preserve"> as of the Closing Date but the Clean-Up Call </w:t>
      </w:r>
      <w:r w:rsidRPr="00D427D8">
        <w:rPr>
          <w:bCs/>
          <w:iCs/>
        </w:rPr>
        <w:t>Option</w:t>
      </w:r>
      <w:r w:rsidRPr="00D427D8">
        <w:t xml:space="preserve"> has not been exercised; or</w:t>
      </w:r>
    </w:p>
    <w:p w14:paraId="6DA2503D" w14:textId="6BF1A7CA" w:rsidR="009F6E91" w:rsidRPr="00D427D8" w:rsidRDefault="009F6E91" w:rsidP="00A212A1">
      <w:pPr>
        <w:pStyle w:val="DefLevel1"/>
      </w:pPr>
      <w:r w:rsidRPr="00D427D8">
        <w:t>a Liquidity Reserve Shortfall.</w:t>
      </w:r>
    </w:p>
    <w:p w14:paraId="06ED1CB0" w14:textId="1E940D20" w:rsidR="009F6E91" w:rsidRPr="00D427D8" w:rsidRDefault="00A212A1" w:rsidP="00A212A1">
      <w:pPr>
        <w:pStyle w:val="Body2"/>
      </w:pPr>
      <w:r w:rsidRPr="00D427D8">
        <w:t>"</w:t>
      </w:r>
      <w:r w:rsidRPr="00D427D8">
        <w:rPr>
          <w:rStyle w:val="BoldText"/>
        </w:rPr>
        <w:t>Servicer</w:t>
      </w:r>
      <w:r w:rsidRPr="00D427D8">
        <w:t>" means Stellantis Bank.</w:t>
      </w:r>
    </w:p>
    <w:p w14:paraId="51724E66" w14:textId="70A77C56" w:rsidR="009F6E91" w:rsidRPr="00D427D8" w:rsidRDefault="00EF7333" w:rsidP="00A212A1">
      <w:pPr>
        <w:pStyle w:val="DefHead"/>
      </w:pPr>
      <w:r w:rsidRPr="00D427D8">
        <w:t>"</w:t>
      </w:r>
      <w:r w:rsidR="009F6E91" w:rsidRPr="00D427D8">
        <w:rPr>
          <w:b/>
        </w:rPr>
        <w:t>Servicer Default</w:t>
      </w:r>
      <w:r w:rsidRPr="00D427D8">
        <w:t>"</w:t>
      </w:r>
      <w:r w:rsidR="009F6E91" w:rsidRPr="00D427D8">
        <w:t xml:space="preserve"> means any of the following events:</w:t>
      </w:r>
    </w:p>
    <w:p w14:paraId="29367D51" w14:textId="30BEDA68" w:rsidR="009F6E91" w:rsidRPr="00D427D8" w:rsidRDefault="009F6E91" w:rsidP="00A212A1">
      <w:pPr>
        <w:pStyle w:val="DefLevel1"/>
      </w:pPr>
      <w:r w:rsidRPr="00D427D8">
        <w:t>any failure by the Servicer to deliver any required payment for deposit in the Distribution Account pursuant to the Servicing Agreement, which failure continues unremedied for a period of five Business Days after (i) written notice thereof is received by the Servicer or (ii) discovery of such failure by an officer of the Servicer;</w:t>
      </w:r>
    </w:p>
    <w:p w14:paraId="2A72533C" w14:textId="24CDA285" w:rsidR="009F6E91" w:rsidRPr="00D427D8" w:rsidRDefault="009F6E91" w:rsidP="00A212A1">
      <w:pPr>
        <w:pStyle w:val="DefLevel1"/>
      </w:pPr>
      <w:r w:rsidRPr="00D427D8">
        <w:t>failure on the part of the Servicer to duly observe or perform any other covenants, representations or agreements of the Servicer set forth in the Servicing Agreement and the other Transaction Documents to which it is a party which failure (i) materially and adversely affects the interests of the Noteholders, and (ii) continues unremedied for a period of thirty days after the earlier of (aa) the date on which written notice of such failure will have been given to the Servicer or (bb) discovery of such failure by an officer of the Servicer;</w:t>
      </w:r>
    </w:p>
    <w:p w14:paraId="7EEFF138" w14:textId="7FE0A0E1" w:rsidR="009F6E91" w:rsidRPr="00D427D8" w:rsidRDefault="009F6E91" w:rsidP="00A212A1">
      <w:pPr>
        <w:pStyle w:val="DefLevel1"/>
      </w:pPr>
      <w:r w:rsidRPr="00D427D8">
        <w:t>any Insolvency Event with respect to the Servicer occurs and is continuing; or</w:t>
      </w:r>
    </w:p>
    <w:p w14:paraId="5605FC09" w14:textId="1DA56705" w:rsidR="009F6E91" w:rsidRPr="00D427D8" w:rsidRDefault="009F6E91" w:rsidP="00A212A1">
      <w:pPr>
        <w:pStyle w:val="DefLevel1"/>
      </w:pPr>
      <w:r w:rsidRPr="00D427D8">
        <w:t xml:space="preserve">the banking licence of the Servicer is cancelled or withdrawn by the ACPR or the Servicer is permanently prohibited from conducting its credit business </w:t>
      </w:r>
      <w:r w:rsidRPr="00D427D8">
        <w:rPr>
          <w:color w:val="000000"/>
        </w:rPr>
        <w:t>(</w:t>
      </w:r>
      <w:r w:rsidRPr="00D427D8">
        <w:rPr>
          <w:i/>
          <w:color w:val="000000"/>
        </w:rPr>
        <w:t>interdiction totale d</w:t>
      </w:r>
      <w:r w:rsidR="00EF7333" w:rsidRPr="00D427D8">
        <w:rPr>
          <w:i/>
          <w:color w:val="000000"/>
        </w:rPr>
        <w:t>'</w:t>
      </w:r>
      <w:r w:rsidRPr="00D427D8">
        <w:rPr>
          <w:i/>
          <w:color w:val="000000"/>
        </w:rPr>
        <w:t>activité</w:t>
      </w:r>
      <w:r w:rsidRPr="00D427D8">
        <w:rPr>
          <w:color w:val="000000"/>
        </w:rPr>
        <w:t>) by the ACPR</w:t>
      </w:r>
      <w:r w:rsidRPr="00D427D8">
        <w:t>.</w:t>
      </w:r>
    </w:p>
    <w:p w14:paraId="3EA2C780" w14:textId="28F2D7A8" w:rsidR="009F6E91" w:rsidRPr="00D427D8" w:rsidRDefault="00A212A1" w:rsidP="00A212A1">
      <w:pPr>
        <w:pStyle w:val="Body2"/>
        <w:rPr>
          <w:lang w:bidi="he-IL"/>
        </w:rPr>
      </w:pPr>
      <w:r w:rsidRPr="00D427D8">
        <w:rPr>
          <w:lang w:bidi="he-IL"/>
        </w:rPr>
        <w:t>"</w:t>
      </w:r>
      <w:r w:rsidRPr="00D427D8">
        <w:rPr>
          <w:rStyle w:val="BoldText"/>
        </w:rPr>
        <w:t>Servicer Report</w:t>
      </w:r>
      <w:r w:rsidRPr="00D427D8">
        <w:rPr>
          <w:lang w:bidi="he-IL"/>
        </w:rPr>
        <w:t xml:space="preserve">" means any monthly report substantially in the form as agreed between the Seller, the Servicer (if different) and the Issuer, which shall be prepared by the Servicer with respect to each Monthly Period and delivered to the Issuer, the Calculation Agent and the </w:t>
      </w:r>
      <w:r w:rsidRPr="00D427D8">
        <w:rPr>
          <w:lang w:val="en-US" w:bidi="he-IL"/>
        </w:rPr>
        <w:t xml:space="preserve">Reporting Agent </w:t>
      </w:r>
      <w:r w:rsidR="006F5CD6" w:rsidRPr="00E71F61">
        <w:rPr>
          <w:szCs w:val="19"/>
          <w:lang w:bidi="he-IL"/>
        </w:rPr>
        <w:t xml:space="preserve">three (3) Business Days </w:t>
      </w:r>
      <w:r w:rsidR="006F5CD6">
        <w:rPr>
          <w:szCs w:val="19"/>
          <w:lang w:bidi="he-IL"/>
        </w:rPr>
        <w:t>prior to any Determination</w:t>
      </w:r>
      <w:r w:rsidR="006F5CD6" w:rsidRPr="00E71F61">
        <w:rPr>
          <w:szCs w:val="19"/>
          <w:lang w:bidi="he-IL"/>
        </w:rPr>
        <w:t xml:space="preserve"> Date</w:t>
      </w:r>
      <w:r w:rsidR="006F5CD6" w:rsidRPr="00560D25">
        <w:rPr>
          <w:szCs w:val="19"/>
          <w:lang w:bidi="he-IL"/>
        </w:rPr>
        <w:t>.</w:t>
      </w:r>
    </w:p>
    <w:p w14:paraId="05CC585D" w14:textId="3B1285EE" w:rsidR="009F6E91" w:rsidRPr="00D427D8" w:rsidRDefault="00EF7333" w:rsidP="009F6E91">
      <w:pPr>
        <w:pStyle w:val="Body2"/>
      </w:pPr>
      <w:r w:rsidRPr="00D427D8">
        <w:t>"</w:t>
      </w:r>
      <w:r w:rsidR="009F6E91" w:rsidRPr="00D427D8">
        <w:rPr>
          <w:b/>
        </w:rPr>
        <w:t>Servicing Agreement</w:t>
      </w:r>
      <w:r w:rsidRPr="00D427D8">
        <w:t>"</w:t>
      </w:r>
      <w:r w:rsidR="009F6E91" w:rsidRPr="00D427D8">
        <w:t xml:space="preserve"> means the servicing agreement entered into on the Signing Date between, </w:t>
      </w:r>
      <w:r w:rsidR="009F6E91" w:rsidRPr="00D427D8">
        <w:rPr>
          <w:i/>
          <w:iCs/>
        </w:rPr>
        <w:t>inter alia</w:t>
      </w:r>
      <w:r w:rsidR="009F6E91" w:rsidRPr="00D427D8">
        <w:t>, the Issuer and the Servicer.</w:t>
      </w:r>
    </w:p>
    <w:p w14:paraId="0B66999E" w14:textId="700AA42F" w:rsidR="009F6E91" w:rsidRPr="00D427D8" w:rsidRDefault="00EF7333" w:rsidP="009F6E91">
      <w:pPr>
        <w:pStyle w:val="Body2"/>
      </w:pPr>
      <w:r w:rsidRPr="00D427D8">
        <w:t>"</w:t>
      </w:r>
      <w:r w:rsidR="009F6E91" w:rsidRPr="00D427D8">
        <w:rPr>
          <w:b/>
        </w:rPr>
        <w:t>Signing Date</w:t>
      </w:r>
      <w:r w:rsidRPr="00D427D8">
        <w:t>"</w:t>
      </w:r>
      <w:r w:rsidR="009F6E91" w:rsidRPr="00D427D8">
        <w:t xml:space="preserve"> means </w:t>
      </w:r>
      <w:r w:rsidR="00526BA1">
        <w:t>20 June 2025</w:t>
      </w:r>
      <w:r w:rsidR="00526BA1" w:rsidRPr="00D427D8">
        <w:t>.</w:t>
      </w:r>
    </w:p>
    <w:p w14:paraId="7A1FEDDB" w14:textId="6AC4F343" w:rsidR="009F6E91" w:rsidRPr="00D427D8" w:rsidRDefault="00EF7333" w:rsidP="009F6E91">
      <w:pPr>
        <w:pStyle w:val="Body2"/>
      </w:pPr>
      <w:r w:rsidRPr="00D427D8">
        <w:t>"</w:t>
      </w:r>
      <w:r w:rsidR="009F6E91" w:rsidRPr="00D427D8">
        <w:rPr>
          <w:b/>
          <w:lang w:val="en-US"/>
        </w:rPr>
        <w:t>Single Resolution Board</w:t>
      </w:r>
      <w:r w:rsidRPr="00D427D8">
        <w:t>"</w:t>
      </w:r>
      <w:r w:rsidR="009F6E91" w:rsidRPr="00D427D8">
        <w:t xml:space="preserve"> means the union agency established pursuant to Article 42 of the Regulation (EU) No 806/2014 of the European Parliament and of the Council of 15 July 2014 </w:t>
      </w:r>
      <w:r w:rsidR="009F6E91" w:rsidRPr="00D427D8">
        <w:lastRenderedPageBreak/>
        <w:t>establishing uniform rules and a uniform procedure for the resolution of credit institutions and certain investment firms in the framework of a Single Resolution Mechanism and a Single Resolution Fund.</w:t>
      </w:r>
    </w:p>
    <w:p w14:paraId="35F4D1E3" w14:textId="0E116A39" w:rsidR="009F6E91" w:rsidRPr="00D427D8" w:rsidRDefault="00EF7333" w:rsidP="009F6E91">
      <w:pPr>
        <w:pStyle w:val="Body2"/>
      </w:pPr>
      <w:r w:rsidRPr="00D427D8">
        <w:t>"</w:t>
      </w:r>
      <w:r w:rsidR="009F6E91" w:rsidRPr="00D427D8">
        <w:rPr>
          <w:b/>
        </w:rPr>
        <w:t>Stellantis Bank</w:t>
      </w:r>
      <w:r w:rsidRPr="00D427D8">
        <w:t>"</w:t>
      </w:r>
      <w:r w:rsidR="009F6E91" w:rsidRPr="00D427D8">
        <w:t xml:space="preserve"> means Stellantis Bank S.A., acting through its German branch.</w:t>
      </w:r>
    </w:p>
    <w:p w14:paraId="0C24B787" w14:textId="57934F43" w:rsidR="009F6E91" w:rsidRPr="00D427D8" w:rsidRDefault="00EF7333" w:rsidP="009F6E91">
      <w:pPr>
        <w:pStyle w:val="Body2"/>
      </w:pPr>
      <w:r w:rsidRPr="00D427D8">
        <w:t>"</w:t>
      </w:r>
      <w:r w:rsidR="009F6E91" w:rsidRPr="00D427D8">
        <w:rPr>
          <w:b/>
          <w:bCs/>
        </w:rPr>
        <w:t>Stellantis Brands</w:t>
      </w:r>
      <w:r w:rsidRPr="00D427D8">
        <w:t>"</w:t>
      </w:r>
      <w:r w:rsidR="009F6E91" w:rsidRPr="00D427D8">
        <w:t xml:space="preserve"> means Peugeot, Fiat, Jeep, Citroën, Opel, Vauxhall, Ram, Dodge, Alfa Romeo, DS, Lancia, Maserati and Abarth.</w:t>
      </w:r>
    </w:p>
    <w:p w14:paraId="77A16326" w14:textId="2E013F30" w:rsidR="009F6E91" w:rsidRPr="00D427D8" w:rsidRDefault="00EF7333" w:rsidP="009F6E91">
      <w:pPr>
        <w:pStyle w:val="Body2"/>
      </w:pPr>
      <w:r w:rsidRPr="00D427D8">
        <w:t>"</w:t>
      </w:r>
      <w:r w:rsidR="009F6E91" w:rsidRPr="00D427D8">
        <w:rPr>
          <w:b/>
          <w:bCs/>
        </w:rPr>
        <w:t>STS-securitisation</w:t>
      </w:r>
      <w:r w:rsidRPr="00D427D8">
        <w:t>"</w:t>
      </w:r>
      <w:r w:rsidR="009F6E91" w:rsidRPr="00D427D8">
        <w:t xml:space="preserve"> means a simple, transparent and standardised securitisation established and structured in accordance with the requirements of the EU Securitisation Regulation.</w:t>
      </w:r>
    </w:p>
    <w:p w14:paraId="05658FFC" w14:textId="28984880" w:rsidR="009F6E91" w:rsidRPr="00D427D8" w:rsidRDefault="00EF7333" w:rsidP="009F6E91">
      <w:pPr>
        <w:pStyle w:val="Body2"/>
      </w:pPr>
      <w:r w:rsidRPr="00D427D8">
        <w:t>"</w:t>
      </w:r>
      <w:r w:rsidR="009F6E91" w:rsidRPr="00D427D8">
        <w:rPr>
          <w:b/>
          <w:bCs/>
        </w:rPr>
        <w:t>STS Verification</w:t>
      </w:r>
      <w:r w:rsidRPr="00D427D8">
        <w:t>"</w:t>
      </w:r>
      <w:r w:rsidR="009F6E91" w:rsidRPr="00D427D8">
        <w:t xml:space="preserve"> means a report from PCS which verifies compliance of the Securitisation with the criteria stemming from Articles 18, 19, 20, 21 and 22 of the EU Securitisation Regulation.</w:t>
      </w:r>
    </w:p>
    <w:p w14:paraId="24516EAC" w14:textId="155EBB62" w:rsidR="009F6E91" w:rsidRPr="00D427D8" w:rsidRDefault="00EF7333" w:rsidP="009F6E91">
      <w:pPr>
        <w:pStyle w:val="Body2"/>
      </w:pPr>
      <w:r w:rsidRPr="00D427D8">
        <w:t>"</w:t>
      </w:r>
      <w:r w:rsidR="009F6E91" w:rsidRPr="00D427D8">
        <w:rPr>
          <w:b/>
        </w:rPr>
        <w:t>Subordinated Lender</w:t>
      </w:r>
      <w:r w:rsidRPr="00D427D8">
        <w:t>"</w:t>
      </w:r>
      <w:r w:rsidR="009F6E91" w:rsidRPr="00D427D8">
        <w:t xml:space="preserve"> means Stellantis Bank.</w:t>
      </w:r>
    </w:p>
    <w:p w14:paraId="630F71D5" w14:textId="6D64FFA2" w:rsidR="009F6E91" w:rsidRPr="00D427D8" w:rsidRDefault="00EF7333" w:rsidP="009F6E91">
      <w:pPr>
        <w:pStyle w:val="Body2"/>
      </w:pPr>
      <w:r w:rsidRPr="00D427D8">
        <w:t>"</w:t>
      </w:r>
      <w:r w:rsidR="009F6E91" w:rsidRPr="00D427D8">
        <w:rPr>
          <w:b/>
        </w:rPr>
        <w:t>Subordinated Loan</w:t>
      </w:r>
      <w:r w:rsidRPr="00D427D8">
        <w:t>"</w:t>
      </w:r>
      <w:r w:rsidR="009F6E91" w:rsidRPr="00D427D8">
        <w:t xml:space="preserve"> means the loan advanced by the Subordinated Lender to the Issuer pursuant to the Subordinated Loan Agreement in order to fund (i) the initial Liquidity Reserve Target Amount</w:t>
      </w:r>
      <w:r w:rsidR="00241D06">
        <w:t xml:space="preserve"> and</w:t>
      </w:r>
      <w:r w:rsidR="009F6E91" w:rsidRPr="00D427D8">
        <w:t xml:space="preserve"> (ii) the Senior Expenses and Interest Reserve on the Closing Date</w:t>
      </w:r>
      <w:r w:rsidR="00241D06">
        <w:t>.</w:t>
      </w:r>
    </w:p>
    <w:p w14:paraId="628EDECE" w14:textId="6C786B41" w:rsidR="009F6E91" w:rsidRPr="00D427D8" w:rsidRDefault="00EF7333" w:rsidP="009F6E91">
      <w:pPr>
        <w:pStyle w:val="Body2"/>
      </w:pPr>
      <w:r w:rsidRPr="00D427D8">
        <w:t>"</w:t>
      </w:r>
      <w:r w:rsidR="009F6E91" w:rsidRPr="00D427D8">
        <w:rPr>
          <w:b/>
        </w:rPr>
        <w:t>Subordinated Loan Agreement</w:t>
      </w:r>
      <w:r w:rsidRPr="00D427D8">
        <w:t>"</w:t>
      </w:r>
      <w:r w:rsidR="009F6E91" w:rsidRPr="00D427D8">
        <w:t xml:space="preserve"> means the subordinated loan agreement entered into on the Signing Date between the Issuer and the Subordinated Lender.</w:t>
      </w:r>
    </w:p>
    <w:p w14:paraId="1E066A4B" w14:textId="1AB4E01C" w:rsidR="009F6E91" w:rsidRPr="00D427D8" w:rsidRDefault="00EF7333" w:rsidP="009F6E91">
      <w:pPr>
        <w:pStyle w:val="Body2"/>
      </w:pPr>
      <w:r w:rsidRPr="00D427D8">
        <w:t>"</w:t>
      </w:r>
      <w:r w:rsidR="009F6E91" w:rsidRPr="00D427D8">
        <w:rPr>
          <w:b/>
        </w:rPr>
        <w:t>Subordinated Loan Balance</w:t>
      </w:r>
      <w:r w:rsidRPr="00D427D8">
        <w:t>"</w:t>
      </w:r>
      <w:r w:rsidR="009F6E91" w:rsidRPr="00D427D8">
        <w:t xml:space="preserve"> means, on any date, the aggregate outstanding principal amount owed to the Subordinated Lender under the Subordinated Loan Agreement.</w:t>
      </w:r>
    </w:p>
    <w:p w14:paraId="77287079" w14:textId="6856A1DA" w:rsidR="009F6E91" w:rsidRPr="00D427D8" w:rsidRDefault="00EF7333" w:rsidP="009F6E91">
      <w:pPr>
        <w:pStyle w:val="Body2"/>
      </w:pPr>
      <w:r w:rsidRPr="00D427D8">
        <w:t>"</w:t>
      </w:r>
      <w:r w:rsidR="009F6E91" w:rsidRPr="00D427D8">
        <w:rPr>
          <w:b/>
        </w:rPr>
        <w:t>Subordinated Loan Rate of Interest</w:t>
      </w:r>
      <w:r w:rsidRPr="00D427D8">
        <w:rPr>
          <w:b/>
        </w:rPr>
        <w:t>"</w:t>
      </w:r>
      <w:r w:rsidR="009F6E91" w:rsidRPr="00D427D8">
        <w:t xml:space="preserve"> has the meaning given in the Subordinated Loan Agreement.</w:t>
      </w:r>
    </w:p>
    <w:p w14:paraId="656FB8C2" w14:textId="56B2CE2F" w:rsidR="009F6E91" w:rsidRPr="00D427D8" w:rsidRDefault="00EF7333" w:rsidP="009F6E91">
      <w:pPr>
        <w:pStyle w:val="Body2"/>
      </w:pPr>
      <w:r w:rsidRPr="00D427D8">
        <w:t>"</w:t>
      </w:r>
      <w:r w:rsidR="009F6E91" w:rsidRPr="00D427D8">
        <w:rPr>
          <w:b/>
        </w:rPr>
        <w:t>Substitute Reference Rate</w:t>
      </w:r>
      <w:r w:rsidRPr="00D427D8">
        <w:t>"</w:t>
      </w:r>
      <w:r w:rsidR="009F6E91" w:rsidRPr="00D427D8">
        <w:t xml:space="preserve"> means a rate (expressed as a percentage rate </w:t>
      </w:r>
      <w:r w:rsidR="009F6E91" w:rsidRPr="00D427D8">
        <w:rPr>
          <w:i/>
        </w:rPr>
        <w:t>per annum</w:t>
      </w:r>
      <w:r w:rsidR="009F6E91" w:rsidRPr="00D427D8">
        <w:t xml:space="preserve">) which corresponds to an alternative reference rate (the </w:t>
      </w:r>
      <w:r w:rsidRPr="00D427D8">
        <w:t>"</w:t>
      </w:r>
      <w:r w:rsidR="009F6E91" w:rsidRPr="00D427D8">
        <w:rPr>
          <w:b/>
        </w:rPr>
        <w:t>Alternative Reference Rate</w:t>
      </w:r>
      <w:r w:rsidRPr="00D427D8">
        <w:t>"</w:t>
      </w:r>
      <w:r w:rsidR="009F6E91" w:rsidRPr="00D427D8">
        <w:t>) provided by a third party and meeting any applicable legal requirements for being used for determining the payment obligations under the Notes determined by the Rate Determination Agent, on behalf of the Calculation Agent, in its due discretion, as modified by applying the adjustments (e.g. in the form of premiums or discounts), if any, that may be determined by the Rate Determination Agent, on behalf of the Calculation Agent, in its due discretion.</w:t>
      </w:r>
    </w:p>
    <w:p w14:paraId="0A0FCC69" w14:textId="77599037" w:rsidR="009F6E91" w:rsidRPr="00D427D8" w:rsidRDefault="00EF7333" w:rsidP="009F6E91">
      <w:pPr>
        <w:pStyle w:val="Body2"/>
      </w:pPr>
      <w:r w:rsidRPr="00D427D8">
        <w:t>"</w:t>
      </w:r>
      <w:r w:rsidR="009F6E91" w:rsidRPr="00D427D8">
        <w:rPr>
          <w:b/>
        </w:rPr>
        <w:t>T 2 System</w:t>
      </w:r>
      <w:r w:rsidRPr="00D427D8">
        <w:rPr>
          <w:b/>
        </w:rPr>
        <w:t>"</w:t>
      </w:r>
      <w:r w:rsidR="009F6E91" w:rsidRPr="00D427D8">
        <w:t xml:space="preserve"> means the real time gross settlement system operated by the Eurosystem, or any successor system.</w:t>
      </w:r>
    </w:p>
    <w:p w14:paraId="1B219B22" w14:textId="4E7CD4F6" w:rsidR="009F6E91" w:rsidRPr="00D427D8" w:rsidRDefault="00EF7333" w:rsidP="009F6E91">
      <w:pPr>
        <w:pStyle w:val="Body2"/>
      </w:pPr>
      <w:r w:rsidRPr="00D427D8">
        <w:t>"</w:t>
      </w:r>
      <w:r w:rsidR="009F6E91" w:rsidRPr="00D427D8">
        <w:rPr>
          <w:b/>
        </w:rPr>
        <w:t>Tax</w:t>
      </w:r>
      <w:r w:rsidRPr="00D427D8">
        <w:t>"</w:t>
      </w:r>
      <w:r w:rsidR="009F6E91" w:rsidRPr="00D427D8">
        <w:t xml:space="preserve"> includes all present and future taxes, levies, imposts, duties, fees, deductions, withholdings or charges of any nature whatsoever and wherever imposed, including, without limitation, VAT or other tax in respect of added value and any transfer, gross receipts, business, excise, sales, use, occupation, franchise, persona or real property or other tax, together with all penalties, charges, fines and/or interest relating to any of the foregoing, and Taxes shall be construed accordingly.</w:t>
      </w:r>
    </w:p>
    <w:p w14:paraId="734929A9" w14:textId="378E7140" w:rsidR="009F6E91" w:rsidRPr="00D427D8" w:rsidRDefault="00A212A1" w:rsidP="00A212A1">
      <w:pPr>
        <w:pStyle w:val="Body2"/>
        <w:rPr>
          <w:lang w:bidi="he-IL"/>
        </w:rPr>
      </w:pPr>
      <w:r w:rsidRPr="00D427D8">
        <w:rPr>
          <w:lang w:bidi="he-IL"/>
        </w:rPr>
        <w:t>"</w:t>
      </w:r>
      <w:r w:rsidRPr="00D427D8">
        <w:rPr>
          <w:rStyle w:val="BoldText"/>
        </w:rPr>
        <w:t>Tax Event</w:t>
      </w:r>
      <w:r w:rsidRPr="00D427D8">
        <w:rPr>
          <w:lang w:bidi="he-IL"/>
        </w:rPr>
        <w:t>" means the occurrence of an event pursuant to which the Purchaser is or will be subject to German taxation and therefore required to pay trade tax and/or corporate income tax/solidarity surcharge to the German tax authorities or VAT which neither itself nor the Seller is entitled to reclaim (</w:t>
      </w:r>
      <w:r w:rsidRPr="00D427D8">
        <w:rPr>
          <w:i/>
          <w:iCs/>
          <w:lang w:bidi="he-IL"/>
        </w:rPr>
        <w:t>keine Vorsteuerabzugsberechtigung</w:t>
      </w:r>
      <w:r w:rsidRPr="00D427D8">
        <w:rPr>
          <w:lang w:bidi="he-IL"/>
        </w:rPr>
        <w:t>) or unpaid VAT on behalf of the Seller pursuant to section 13c of the German VAT Act (</w:t>
      </w:r>
      <w:r w:rsidRPr="00D427D8">
        <w:rPr>
          <w:i/>
          <w:lang w:bidi="he-IL"/>
        </w:rPr>
        <w:t>Umsatzsteuergesetz</w:t>
      </w:r>
      <w:r w:rsidRPr="00D427D8">
        <w:rPr>
          <w:lang w:bidi="he-IL"/>
        </w:rPr>
        <w:t>).</w:t>
      </w:r>
    </w:p>
    <w:p w14:paraId="58D02F14" w14:textId="604A71E8" w:rsidR="009F6E91" w:rsidRPr="00D427D8" w:rsidRDefault="00EF7333" w:rsidP="009F6E91">
      <w:pPr>
        <w:pStyle w:val="Body2"/>
      </w:pPr>
      <w:r w:rsidRPr="00D427D8">
        <w:t>"</w:t>
      </w:r>
      <w:r w:rsidR="009F6E91" w:rsidRPr="00D427D8">
        <w:rPr>
          <w:b/>
        </w:rPr>
        <w:t>Tax Information Arrangement</w:t>
      </w:r>
      <w:r w:rsidRPr="00D427D8">
        <w:t>"</w:t>
      </w:r>
      <w:r w:rsidR="009F6E91" w:rsidRPr="00D427D8">
        <w:t xml:space="preserve"> means any governmental or inter-governmental arrangement, or other arrangement between competent authorities, for the cross-border exchange of tax information applicable in any jurisdiction (or any treaty, law, regulation, or official guidance enacted, issued or amended in any jurisdiction which facilitates the implementation of such arrangement) including (without limitation) FATCA, any arrangement analogous to FATCA, and any bilateral or multilateral tax information arrangement.</w:t>
      </w:r>
    </w:p>
    <w:p w14:paraId="45AB07AE" w14:textId="29724400" w:rsidR="009F6E91" w:rsidRPr="00D427D8" w:rsidRDefault="00EF7333" w:rsidP="009F6E91">
      <w:pPr>
        <w:pStyle w:val="Body2"/>
      </w:pPr>
      <w:r w:rsidRPr="00D427D8">
        <w:rPr>
          <w:bCs/>
        </w:rPr>
        <w:t>"</w:t>
      </w:r>
      <w:r w:rsidR="009F6E91" w:rsidRPr="00D427D8">
        <w:rPr>
          <w:b/>
          <w:bCs/>
        </w:rPr>
        <w:t>Total Deposit Exposure Amount</w:t>
      </w:r>
      <w:r w:rsidRPr="00D427D8">
        <w:rPr>
          <w:bCs/>
        </w:rPr>
        <w:t>"</w:t>
      </w:r>
      <w:r w:rsidR="009F6E91" w:rsidRPr="00D427D8">
        <w:rPr>
          <w:b/>
          <w:bCs/>
        </w:rPr>
        <w:t xml:space="preserve"> </w:t>
      </w:r>
      <w:r w:rsidR="009F6E91" w:rsidRPr="00D427D8">
        <w:t>means the sum of all Deposit Exposure Amounts.</w:t>
      </w:r>
    </w:p>
    <w:p w14:paraId="4D5269E3" w14:textId="37484758" w:rsidR="009F6E91" w:rsidRPr="00D427D8" w:rsidRDefault="00EF7333" w:rsidP="009F6E91">
      <w:pPr>
        <w:pStyle w:val="Body2"/>
      </w:pPr>
      <w:r w:rsidRPr="00D427D8">
        <w:t>"</w:t>
      </w:r>
      <w:r w:rsidR="009F6E91" w:rsidRPr="00D427D8">
        <w:rPr>
          <w:b/>
        </w:rPr>
        <w:t>Transaction Documents</w:t>
      </w:r>
      <w:r w:rsidRPr="00D427D8">
        <w:t>"</w:t>
      </w:r>
      <w:r w:rsidR="009F6E91" w:rsidRPr="00D427D8">
        <w:t xml:space="preserve"> means the German Transaction Documents and the English Transaction Document.</w:t>
      </w:r>
    </w:p>
    <w:p w14:paraId="6DB514D6" w14:textId="20DC949A" w:rsidR="009F6E91" w:rsidRPr="00D427D8" w:rsidRDefault="00EF7333" w:rsidP="009F6E91">
      <w:pPr>
        <w:pStyle w:val="Body2"/>
      </w:pPr>
      <w:r w:rsidRPr="00D427D8">
        <w:lastRenderedPageBreak/>
        <w:t>"</w:t>
      </w:r>
      <w:r w:rsidR="009F6E91" w:rsidRPr="00D427D8">
        <w:rPr>
          <w:b/>
        </w:rPr>
        <w:t>Transaction Party</w:t>
      </w:r>
      <w:r w:rsidRPr="00D427D8">
        <w:t>"</w:t>
      </w:r>
      <w:r w:rsidR="009F6E91" w:rsidRPr="00D427D8">
        <w:t xml:space="preserve"> means any person who is a party to a Transaction Document.</w:t>
      </w:r>
    </w:p>
    <w:p w14:paraId="56ED3ABF" w14:textId="407171FB" w:rsidR="009F6E91" w:rsidRPr="00D427D8" w:rsidRDefault="00EF7333" w:rsidP="009F6E91">
      <w:pPr>
        <w:pStyle w:val="Body2"/>
      </w:pPr>
      <w:r w:rsidRPr="00D427D8">
        <w:t>"</w:t>
      </w:r>
      <w:r w:rsidR="009F6E91" w:rsidRPr="00D427D8">
        <w:rPr>
          <w:b/>
          <w:bCs/>
        </w:rPr>
        <w:t>Transaction Security</w:t>
      </w:r>
      <w:r w:rsidRPr="00D427D8">
        <w:t>"</w:t>
      </w:r>
      <w:r w:rsidR="009F6E91" w:rsidRPr="00D427D8">
        <w:t xml:space="preserve"> means the Security and the ER Security.</w:t>
      </w:r>
    </w:p>
    <w:p w14:paraId="65F38587" w14:textId="3C2DA9E5" w:rsidR="009F6E91" w:rsidRPr="00D427D8" w:rsidRDefault="00EF7333" w:rsidP="009F6E91">
      <w:pPr>
        <w:pStyle w:val="Body2"/>
      </w:pPr>
      <w:r w:rsidRPr="00D427D8">
        <w:t>"</w:t>
      </w:r>
      <w:r w:rsidR="009F6E91" w:rsidRPr="00D427D8">
        <w:rPr>
          <w:b/>
        </w:rPr>
        <w:t>U.S. Risk Retention Rules</w:t>
      </w:r>
      <w:r w:rsidRPr="00D427D8">
        <w:t>"</w:t>
      </w:r>
      <w:r w:rsidR="009F6E91" w:rsidRPr="00D427D8">
        <w:t xml:space="preserve"> means Regulation RR (17 C.F.R. Part 246) implementing the risk retention requirements of Section 15G of the U.S. Securities Exchange Act of 1934, as amended.</w:t>
      </w:r>
    </w:p>
    <w:p w14:paraId="4A568B92" w14:textId="2DD2B3F1" w:rsidR="009F6E91" w:rsidRPr="00D427D8" w:rsidRDefault="00EF7333" w:rsidP="009F6E91">
      <w:pPr>
        <w:pStyle w:val="Body2"/>
      </w:pPr>
      <w:r w:rsidRPr="00D427D8">
        <w:t>"</w:t>
      </w:r>
      <w:r w:rsidR="009F6E91" w:rsidRPr="00D427D8">
        <w:rPr>
          <w:b/>
        </w:rPr>
        <w:t>U.S. Risk Retention Waiver</w:t>
      </w:r>
      <w:r w:rsidRPr="00D427D8">
        <w:t>"</w:t>
      </w:r>
      <w:r w:rsidR="009F6E91" w:rsidRPr="00D427D8">
        <w:t xml:space="preserve"> means the Seller</w:t>
      </w:r>
      <w:r w:rsidRPr="00D427D8">
        <w:t>'</w:t>
      </w:r>
      <w:r w:rsidR="009F6E91" w:rsidRPr="00D427D8">
        <w:t>s prior consent for the Notes to be sold to, or for the account or benefit of a Risk Retention U.S. Person where such sale falls within the exemption provided by Section __.20 of the U.S. Risk Retention Rules.</w:t>
      </w:r>
    </w:p>
    <w:p w14:paraId="75353FB8" w14:textId="0D4A7105" w:rsidR="009F6E91" w:rsidRPr="00D427D8" w:rsidRDefault="00A212A1" w:rsidP="00A212A1">
      <w:pPr>
        <w:pStyle w:val="Body2"/>
        <w:rPr>
          <w:lang w:val="de-DE"/>
        </w:rPr>
      </w:pPr>
      <w:r w:rsidRPr="00D427D8">
        <w:rPr>
          <w:lang w:val="de-DE"/>
        </w:rPr>
        <w:t>"</w:t>
      </w:r>
      <w:r w:rsidRPr="00D427D8">
        <w:rPr>
          <w:rStyle w:val="BoldText"/>
          <w:lang w:val="de-LU"/>
        </w:rPr>
        <w:t>VAT</w:t>
      </w:r>
      <w:r w:rsidRPr="00D427D8">
        <w:rPr>
          <w:lang w:val="de-DE"/>
        </w:rPr>
        <w:t>" means VAT (</w:t>
      </w:r>
      <w:r w:rsidRPr="00D427D8">
        <w:rPr>
          <w:i/>
          <w:lang w:val="de-DE"/>
        </w:rPr>
        <w:t>Umsatzsteuer</w:t>
      </w:r>
      <w:r w:rsidRPr="00D427D8">
        <w:rPr>
          <w:lang w:val="de-DE"/>
        </w:rPr>
        <w:t>) in accordance with the German VAT Act (</w:t>
      </w:r>
      <w:r w:rsidRPr="00D427D8">
        <w:rPr>
          <w:i/>
          <w:lang w:val="de-DE"/>
        </w:rPr>
        <w:t>Umsatzsteuergesetz</w:t>
      </w:r>
      <w:r w:rsidRPr="00D427D8">
        <w:rPr>
          <w:lang w:val="de-DE"/>
        </w:rPr>
        <w:t>).</w:t>
      </w:r>
    </w:p>
    <w:p w14:paraId="16DA7453" w14:textId="5824476E" w:rsidR="009F6E91" w:rsidRPr="00D427D8" w:rsidRDefault="00A212A1" w:rsidP="00A212A1">
      <w:pPr>
        <w:pStyle w:val="Body2"/>
        <w:rPr>
          <w:lang w:val="en-US"/>
        </w:rPr>
      </w:pPr>
      <w:bookmarkStart w:id="201" w:name="_Hlk88507584"/>
      <w:bookmarkStart w:id="202" w:name="_Hlk83249011"/>
      <w:r w:rsidRPr="00D427D8">
        <w:t>"</w:t>
      </w:r>
      <w:r w:rsidRPr="00D427D8">
        <w:rPr>
          <w:rStyle w:val="BoldText"/>
        </w:rPr>
        <w:t>VAT Account</w:t>
      </w:r>
      <w:r w:rsidRPr="00D427D8">
        <w:t xml:space="preserve">" means a bank account held in the name of the Issuer with the Account Bank and </w:t>
      </w:r>
      <w:bookmarkStart w:id="203" w:name="_Hlk83251764"/>
      <w:r w:rsidRPr="00D427D8">
        <w:t xml:space="preserve">with IBAN </w:t>
      </w:r>
      <w:r w:rsidR="00F77842" w:rsidRPr="00D427D8">
        <w:t>DE25500305006565538883</w:t>
      </w:r>
      <w:r w:rsidRPr="00D427D8">
        <w:rPr>
          <w:lang w:val="en-US"/>
        </w:rPr>
        <w:t xml:space="preserve">, </w:t>
      </w:r>
      <w:bookmarkStart w:id="204" w:name="_Hlk188895083"/>
      <w:bookmarkEnd w:id="203"/>
      <w:r w:rsidRPr="00D427D8">
        <w:rPr>
          <w:lang w:val="en-US"/>
        </w:rPr>
        <w:t xml:space="preserve">used exclusively for (i) </w:t>
      </w:r>
      <w:bookmarkStart w:id="205" w:name="_Hlk86188107"/>
      <w:r w:rsidRPr="00D427D8">
        <w:rPr>
          <w:lang w:val="en-US"/>
        </w:rPr>
        <w:t xml:space="preserve">the receipt of </w:t>
      </w:r>
      <w:bookmarkEnd w:id="205"/>
      <w:r w:rsidRPr="00D427D8">
        <w:rPr>
          <w:lang w:val="en-US"/>
        </w:rPr>
        <w:t xml:space="preserve">VAT payments from the Servicer in accordance with </w:t>
      </w:r>
      <w:r w:rsidRPr="00D427D8">
        <w:t xml:space="preserve">clause 2.3(f) of the Servicing Agreement, (ii) </w:t>
      </w:r>
      <w:r w:rsidRPr="00D427D8">
        <w:rPr>
          <w:lang w:val="en-US"/>
        </w:rPr>
        <w:t xml:space="preserve">the receipt of any Input VAT Refunds, (iii) the </w:t>
      </w:r>
      <w:r w:rsidRPr="00D427D8">
        <w:t xml:space="preserve">payment of VAT due to the tax authorities, (iv) the repayment of the VAT Bridge Loan </w:t>
      </w:r>
      <w:r w:rsidRPr="00D427D8">
        <w:rPr>
          <w:lang w:val="en-US"/>
        </w:rPr>
        <w:t>and (v) the payment of any related fees or costs to the tax authorities, if any</w:t>
      </w:r>
      <w:bookmarkEnd w:id="204"/>
      <w:r w:rsidRPr="00D427D8">
        <w:rPr>
          <w:lang w:val="en-US"/>
        </w:rPr>
        <w:t>.</w:t>
      </w:r>
    </w:p>
    <w:bookmarkEnd w:id="201"/>
    <w:p w14:paraId="55AD5F01" w14:textId="27B6BCA9" w:rsidR="009F6E91" w:rsidRPr="00D427D8" w:rsidRDefault="00A212A1" w:rsidP="00A212A1">
      <w:pPr>
        <w:pStyle w:val="Body2"/>
        <w:rPr>
          <w:lang w:val="en-US"/>
        </w:rPr>
      </w:pPr>
      <w:r w:rsidRPr="00D427D8">
        <w:rPr>
          <w:lang w:val="en-US"/>
        </w:rPr>
        <w:t>"</w:t>
      </w:r>
      <w:r w:rsidRPr="00D427D8">
        <w:rPr>
          <w:rStyle w:val="BoldText"/>
        </w:rPr>
        <w:t>VAT Advance Period</w:t>
      </w:r>
      <w:r w:rsidRPr="00D427D8">
        <w:rPr>
          <w:lang w:val="en-US"/>
        </w:rPr>
        <w:t>" means each calendar month.</w:t>
      </w:r>
    </w:p>
    <w:p w14:paraId="772294CF" w14:textId="1060A0A2" w:rsidR="009F6E91" w:rsidRPr="00D427D8" w:rsidRDefault="00A212A1" w:rsidP="00A212A1">
      <w:pPr>
        <w:pStyle w:val="Body2"/>
        <w:rPr>
          <w:lang w:val="en-US"/>
        </w:rPr>
      </w:pPr>
      <w:r w:rsidRPr="00D427D8">
        <w:rPr>
          <w:lang w:val="en-US"/>
        </w:rPr>
        <w:t>"</w:t>
      </w:r>
      <w:r w:rsidRPr="00D427D8">
        <w:rPr>
          <w:rStyle w:val="BoldText"/>
        </w:rPr>
        <w:t>VAT Advance Return Filing</w:t>
      </w:r>
      <w:r w:rsidRPr="00D427D8">
        <w:rPr>
          <w:lang w:val="en-US"/>
        </w:rPr>
        <w:t>" means the filing to be made by the Issuer via its tax advisor, in each case at the latest on the VAT Advance Submission Date following each VAT Advance Period, in order to receive input VAT refunds. Simultaneously with each such filing, the competent tax office will be notified of the assignment by the Issuer of its claim for input VAT refunds to the Seller as lender of the VAT Bridge Loan.</w:t>
      </w:r>
    </w:p>
    <w:p w14:paraId="04B3B52D" w14:textId="7BB8CC04" w:rsidR="009F6E91" w:rsidRPr="00D427D8" w:rsidRDefault="00A212A1" w:rsidP="00A212A1">
      <w:pPr>
        <w:pStyle w:val="Body2"/>
        <w:rPr>
          <w:lang w:val="en-US"/>
        </w:rPr>
      </w:pPr>
      <w:r w:rsidRPr="00D427D8">
        <w:rPr>
          <w:lang w:val="en-US"/>
        </w:rPr>
        <w:t>"</w:t>
      </w:r>
      <w:bookmarkStart w:id="206" w:name="_Hlk83244487"/>
      <w:r w:rsidRPr="00D427D8">
        <w:rPr>
          <w:rStyle w:val="BoldText"/>
        </w:rPr>
        <w:t>VAT Advance Submission Date</w:t>
      </w:r>
      <w:bookmarkEnd w:id="206"/>
      <w:r w:rsidRPr="00D427D8">
        <w:rPr>
          <w:lang w:val="en-US"/>
        </w:rPr>
        <w:t xml:space="preserve">" means the </w:t>
      </w:r>
      <w:r w:rsidR="00317C2D">
        <w:rPr>
          <w:lang w:val="en-US"/>
        </w:rPr>
        <w:t>10</w:t>
      </w:r>
      <w:r w:rsidR="00317C2D" w:rsidRPr="00317C2D">
        <w:rPr>
          <w:vertAlign w:val="superscript"/>
          <w:lang w:val="en-US"/>
        </w:rPr>
        <w:t>th</w:t>
      </w:r>
      <w:r w:rsidR="00317C2D">
        <w:rPr>
          <w:lang w:val="en-US"/>
        </w:rPr>
        <w:t xml:space="preserve"> (tenth)</w:t>
      </w:r>
      <w:r w:rsidRPr="00D427D8">
        <w:t xml:space="preserve"> </w:t>
      </w:r>
      <w:r w:rsidRPr="00D427D8">
        <w:rPr>
          <w:lang w:val="en-US"/>
        </w:rPr>
        <w:t xml:space="preserve">calendar day of each calendar month, being the day on which the VAT Advance Return </w:t>
      </w:r>
      <w:r w:rsidRPr="00D427D8">
        <w:t xml:space="preserve">Filing </w:t>
      </w:r>
      <w:r w:rsidRPr="00D427D8">
        <w:rPr>
          <w:lang w:val="en-US"/>
        </w:rPr>
        <w:t>for the immediately preceding VAT Advance Period has to be submitted at latest by the Issuer to the competent tax office of the Issuer.</w:t>
      </w:r>
    </w:p>
    <w:p w14:paraId="7D3A2914" w14:textId="586B2F39" w:rsidR="009F6E91" w:rsidRPr="00D427D8" w:rsidRDefault="00A212A1" w:rsidP="00A212A1">
      <w:pPr>
        <w:pStyle w:val="Body2"/>
        <w:rPr>
          <w:lang w:val="en-US"/>
        </w:rPr>
      </w:pPr>
      <w:r w:rsidRPr="00D427D8">
        <w:rPr>
          <w:lang w:val="en-US"/>
        </w:rPr>
        <w:t>"</w:t>
      </w:r>
      <w:r w:rsidRPr="00D427D8">
        <w:rPr>
          <w:rStyle w:val="BoldText"/>
        </w:rPr>
        <w:t>VAT Bridge Loan</w:t>
      </w:r>
      <w:r w:rsidRPr="00D427D8">
        <w:rPr>
          <w:lang w:val="en-US"/>
        </w:rPr>
        <w:t>" means the loan granted by the Seller as lender to the Issuer under the VAT Bridge Loan Agreement.</w:t>
      </w:r>
    </w:p>
    <w:p w14:paraId="3B46EB23" w14:textId="4CC0A2D0" w:rsidR="009F6E91" w:rsidRPr="00D427D8" w:rsidRDefault="00A212A1" w:rsidP="00A212A1">
      <w:pPr>
        <w:pStyle w:val="Body2"/>
        <w:rPr>
          <w:lang w:val="en-US"/>
        </w:rPr>
      </w:pPr>
      <w:r w:rsidRPr="00D427D8">
        <w:rPr>
          <w:lang w:val="en-US"/>
        </w:rPr>
        <w:t>"</w:t>
      </w:r>
      <w:bookmarkStart w:id="207" w:name="_Hlk82822382"/>
      <w:r w:rsidRPr="00D427D8">
        <w:rPr>
          <w:rStyle w:val="BoldText"/>
        </w:rPr>
        <w:t>VAT Bridge Loan Agreement</w:t>
      </w:r>
      <w:bookmarkEnd w:id="207"/>
      <w:r w:rsidRPr="00D427D8">
        <w:rPr>
          <w:lang w:val="en-US"/>
        </w:rPr>
        <w:t xml:space="preserve">" means a loan agreement entered into between the Issuer and the Lender </w:t>
      </w:r>
      <w:bookmarkStart w:id="208" w:name="_Hlk82796912"/>
      <w:r w:rsidRPr="00D427D8">
        <w:rPr>
          <w:lang w:val="en-US"/>
        </w:rPr>
        <w:t xml:space="preserve">on or around the Signing Date, under </w:t>
      </w:r>
      <w:bookmarkEnd w:id="208"/>
      <w:r w:rsidRPr="00D427D8">
        <w:rPr>
          <w:lang w:val="en-US"/>
        </w:rPr>
        <w:t>which the Seller as lender grants the VAT Bridge Loan to the Issuer.</w:t>
      </w:r>
    </w:p>
    <w:p w14:paraId="2AB775C2" w14:textId="48788E29" w:rsidR="009F6E91" w:rsidRPr="00D427D8" w:rsidRDefault="00A212A1" w:rsidP="00A212A1">
      <w:pPr>
        <w:pStyle w:val="Body2"/>
      </w:pPr>
      <w:r w:rsidRPr="00D427D8">
        <w:t>"</w:t>
      </w:r>
      <w:bookmarkStart w:id="209" w:name="_Hlk82791907"/>
      <w:r w:rsidRPr="00D427D8">
        <w:rPr>
          <w:rStyle w:val="BoldText"/>
        </w:rPr>
        <w:t>VAT Bridge Loan Disbursement Amount</w:t>
      </w:r>
      <w:bookmarkEnd w:id="209"/>
      <w:r w:rsidRPr="00D427D8">
        <w:t>" means, on the Closing Date and on each Further Purchase Date, an amount equal to the amount of VAT payable by the Borrower (in its capacity as Issuer) as part of the aggregate ER Purchase Prices due and payable on such date under the ER Purchase Agreement and as set out in the ER Invoice issued by the Lender (in its capacity as Seller) thereunder.</w:t>
      </w:r>
    </w:p>
    <w:p w14:paraId="5B2D575C" w14:textId="4DFAD1DA" w:rsidR="009F6E91" w:rsidRPr="00D427D8" w:rsidRDefault="00A212A1" w:rsidP="00A212A1">
      <w:pPr>
        <w:pStyle w:val="Body2"/>
        <w:rPr>
          <w:lang w:bidi="he-IL"/>
        </w:rPr>
      </w:pPr>
      <w:bookmarkStart w:id="210" w:name="_Hlk189125994"/>
      <w:r w:rsidRPr="00D427D8">
        <w:rPr>
          <w:lang w:bidi="he-IL"/>
        </w:rPr>
        <w:t>"</w:t>
      </w:r>
      <w:bookmarkStart w:id="211" w:name="_Hlk86188407"/>
      <w:r w:rsidRPr="00D427D8">
        <w:rPr>
          <w:rStyle w:val="BoldText"/>
        </w:rPr>
        <w:t>Vehicle</w:t>
      </w:r>
      <w:r w:rsidRPr="00D427D8">
        <w:rPr>
          <w:lang w:bidi="he-IL"/>
        </w:rPr>
        <w:t xml:space="preserve"> </w:t>
      </w:r>
      <w:r w:rsidRPr="00D427D8">
        <w:rPr>
          <w:rStyle w:val="BoldText"/>
        </w:rPr>
        <w:t>Realisation Proceeds</w:t>
      </w:r>
      <w:bookmarkEnd w:id="211"/>
      <w:r w:rsidRPr="00D427D8">
        <w:rPr>
          <w:lang w:bidi="he-IL"/>
        </w:rPr>
        <w:t>"</w:t>
      </w:r>
      <w:bookmarkStart w:id="212" w:name="_Hlk191566765"/>
      <w:r w:rsidRPr="00D427D8">
        <w:rPr>
          <w:lang w:bidi="he-IL"/>
        </w:rPr>
        <w:t xml:space="preserve"> </w:t>
      </w:r>
      <w:r w:rsidRPr="00D427D8">
        <w:t>means the proceeds obtained by the Servicer for the sale of the Leased Vehicles relating to the Purchased Expectancy Rights by way of a sale under the Servicing Agreement (including by way of sale to the Car Dealers under the Leased Vehicle Put Options), which for the avoidance of doubt in case of a Kilometre Contract, shall equal an amount equal to the Expectancy Right Value, and, less an amount equal to the ER Purchase Price Residual for such Purchased Expectancy Right. For the avoidance of doubt, any VAT contained in vehicle sales proceeds or otherwise payable in connection with the disposal of Purchased Expectancy Rights or the related Leased Vehicles shall not form part of the Vehicle Realisation Proceeds.</w:t>
      </w:r>
      <w:bookmarkEnd w:id="212"/>
    </w:p>
    <w:bookmarkEnd w:id="210"/>
    <w:p w14:paraId="757D53FD" w14:textId="089AFA93" w:rsidR="009F6E91" w:rsidRPr="00D427D8" w:rsidRDefault="00A212A1" w:rsidP="00A212A1">
      <w:pPr>
        <w:pStyle w:val="Body2"/>
      </w:pPr>
      <w:r w:rsidRPr="00D427D8">
        <w:rPr>
          <w:lang w:bidi="he-IL"/>
        </w:rPr>
        <w:t>"</w:t>
      </w:r>
      <w:bookmarkStart w:id="213" w:name="_Hlk84970740"/>
      <w:r w:rsidRPr="00D427D8">
        <w:rPr>
          <w:rStyle w:val="BoldText"/>
        </w:rPr>
        <w:t>Vehicle</w:t>
      </w:r>
      <w:r w:rsidRPr="00D427D8">
        <w:rPr>
          <w:lang w:bidi="he-IL"/>
        </w:rPr>
        <w:t xml:space="preserve"> </w:t>
      </w:r>
      <w:r w:rsidRPr="00D427D8">
        <w:rPr>
          <w:rStyle w:val="BoldText"/>
        </w:rPr>
        <w:t>Realisation Proceeds Credit Note</w:t>
      </w:r>
      <w:bookmarkEnd w:id="213"/>
      <w:r w:rsidRPr="00D427D8">
        <w:rPr>
          <w:lang w:bidi="he-IL"/>
        </w:rPr>
        <w:t xml:space="preserve">" </w:t>
      </w:r>
      <w:r w:rsidRPr="00D427D8">
        <w:t xml:space="preserve">means a credit note to be issued by the Seller (in its capacity as Servicer) on a monthly basis in case of the realisation of a Leased Vehicle under the Servicing Agreement and transfer of the respective Vehicle Realisation Proceeds to the Issuer in accordance with the Servicing Agreement, specifying the total amount of the sales proceeds received during the relevant </w:t>
      </w:r>
      <w:r w:rsidRPr="00D427D8">
        <w:rPr>
          <w:lang w:val="en-US"/>
        </w:rPr>
        <w:t xml:space="preserve">VAT Advance Period </w:t>
      </w:r>
      <w:r w:rsidRPr="00D427D8">
        <w:t>and any VAT included therein.</w:t>
      </w:r>
    </w:p>
    <w:bookmarkEnd w:id="202"/>
    <w:p w14:paraId="640BFC81" w14:textId="3552F184" w:rsidR="009F6E91" w:rsidRPr="00D427D8" w:rsidRDefault="00EF7333" w:rsidP="009F6E91">
      <w:pPr>
        <w:pStyle w:val="Body2"/>
      </w:pPr>
      <w:r w:rsidRPr="00D427D8">
        <w:t>"</w:t>
      </w:r>
      <w:r w:rsidR="009F6E91" w:rsidRPr="00D427D8">
        <w:rPr>
          <w:b/>
        </w:rPr>
        <w:t>Volcker Rule</w:t>
      </w:r>
      <w:r w:rsidRPr="00D427D8">
        <w:t>"</w:t>
      </w:r>
      <w:r w:rsidR="009F6E91" w:rsidRPr="00D427D8">
        <w:t xml:space="preserve"> means Section 619 of the U.S. Dodd-Frank Wall Street Reform and Consumer Protection Act together with implementing regulations thereof.</w:t>
      </w:r>
    </w:p>
    <w:bookmarkEnd w:id="148"/>
    <w:p w14:paraId="3AE2DAC6" w14:textId="6DA8317F" w:rsidR="009F6E91" w:rsidRPr="00D427D8" w:rsidRDefault="009F6E91" w:rsidP="00A212A1">
      <w:pPr>
        <w:pStyle w:val="SchHeading1"/>
      </w:pPr>
      <w:r w:rsidRPr="00D427D8">
        <w:lastRenderedPageBreak/>
        <w:t>Interpretation and Construction</w:t>
      </w:r>
    </w:p>
    <w:p w14:paraId="2BEFA5B6" w14:textId="3B9493BA" w:rsidR="009F6E91" w:rsidRPr="00D427D8" w:rsidRDefault="009F6E91" w:rsidP="00A212A1">
      <w:pPr>
        <w:pStyle w:val="SchHeading2"/>
      </w:pPr>
      <w:r w:rsidRPr="00D427D8">
        <w:t>Principles of interpretation</w:t>
      </w:r>
    </w:p>
    <w:p w14:paraId="23B51168" w14:textId="47E683A5" w:rsidR="009F6E91" w:rsidRPr="00D427D8" w:rsidRDefault="00A212A1" w:rsidP="00A212A1">
      <w:pPr>
        <w:pStyle w:val="Body2"/>
      </w:pPr>
      <w:r w:rsidRPr="00D427D8">
        <w:t>The following principles of interpretation shall apply to the Transaction Documents:</w:t>
      </w:r>
    </w:p>
    <w:p w14:paraId="746997E6" w14:textId="06165E38" w:rsidR="009F6E91" w:rsidRPr="00D427D8" w:rsidRDefault="009F6E91" w:rsidP="00A212A1">
      <w:pPr>
        <w:pStyle w:val="SchNumber3"/>
      </w:pPr>
      <w:r w:rsidRPr="00D427D8">
        <w:t>References to an agreement or document (including any Transaction Document) will be deemed also to refer to the agreement or document as amended, supplemented, restated, verified, replaced or novated (in whole or in part) from time to time and to any agreement or document executed pursuant thereto executed pursuant thereto.</w:t>
      </w:r>
    </w:p>
    <w:p w14:paraId="11F53996" w14:textId="232932CF" w:rsidR="009F6E91" w:rsidRPr="00D427D8" w:rsidRDefault="009F6E91" w:rsidP="00A212A1">
      <w:pPr>
        <w:pStyle w:val="SchNumber3"/>
      </w:pPr>
      <w:r w:rsidRPr="00D427D8">
        <w:t>References to any party to an agreement or document will include references to its successors, transferees and assignees (</w:t>
      </w:r>
      <w:r w:rsidRPr="00D427D8">
        <w:rPr>
          <w:i/>
        </w:rPr>
        <w:t>Zessionar</w:t>
      </w:r>
      <w:r w:rsidRPr="00D427D8">
        <w:t>) and any person deriving title under or through it, whether in security or otherwise, whomsoever, which expression will include any person into which that party may be merged or consolidated, or any company resulting from any merger, conversion or consolidation to which that party will be a party, or any person succeeding to substantially all of the business of that party (</w:t>
      </w:r>
      <w:r w:rsidRPr="00D427D8">
        <w:rPr>
          <w:i/>
        </w:rPr>
        <w:t>Rechtsnachfolger</w:t>
      </w:r>
      <w:r w:rsidRPr="00D427D8">
        <w:t>).</w:t>
      </w:r>
    </w:p>
    <w:p w14:paraId="07AED9AE" w14:textId="7E8EE5F8" w:rsidR="009F6E91" w:rsidRPr="00D427D8" w:rsidRDefault="009F6E91" w:rsidP="00A212A1">
      <w:pPr>
        <w:pStyle w:val="SchNumber3"/>
      </w:pPr>
      <w:r w:rsidRPr="00D427D8">
        <w:t>References to:</w:t>
      </w:r>
    </w:p>
    <w:p w14:paraId="59E1A5CD" w14:textId="19D3B4EA" w:rsidR="009F6E91" w:rsidRPr="00D427D8" w:rsidRDefault="009F6E91" w:rsidP="00A4555F">
      <w:pPr>
        <w:pStyle w:val="SchNumber4"/>
      </w:pPr>
      <w:r w:rsidRPr="00D427D8">
        <w:t>recitals, clauses, provisions, sections, annexes and schedules within each Transaction Document shall be construed as references to the recitals, clauses, provisions, sections, annexes and schedules of that Transaction Document and each reference to a sub-clause or a paragraph is to the relevant sub-clause of the clause, or to the relevant paragraph of the sub-clause, in which the reference appears;</w:t>
      </w:r>
    </w:p>
    <w:p w14:paraId="40A28F27" w14:textId="69D02256" w:rsidR="009F6E91" w:rsidRPr="00D427D8" w:rsidRDefault="009F6E91" w:rsidP="00A4555F">
      <w:pPr>
        <w:pStyle w:val="SchNumber4"/>
      </w:pPr>
      <w:r w:rsidRPr="00D427D8">
        <w:t>Agreement in a Transaction Document means the reference to the respective Transaction Document where the term is used in capitalised letters;</w:t>
      </w:r>
    </w:p>
    <w:p w14:paraId="375A914D" w14:textId="70C23952" w:rsidR="009F6E91" w:rsidRPr="00D427D8" w:rsidRDefault="009F6E91" w:rsidP="00A4555F">
      <w:pPr>
        <w:pStyle w:val="SchNumber4"/>
      </w:pPr>
      <w:r w:rsidRPr="00D427D8">
        <w:t>Parties in a Transaction Document means the reference to the parties of such Transaction Document;</w:t>
      </w:r>
    </w:p>
    <w:p w14:paraId="2885116A" w14:textId="661DF732" w:rsidR="009F6E91" w:rsidRPr="00D427D8" w:rsidRDefault="009F6E91" w:rsidP="00A4555F">
      <w:pPr>
        <w:pStyle w:val="SchNumber4"/>
      </w:pPr>
      <w:r w:rsidRPr="00D427D8">
        <w:t>a person in a Transaction Document refers to any legal person, including any individual, corporation, partnership, joint venture, association, limited liability company, joint stock company, trust, unincorporated organisation or government or any agency or political subdivision thereof; and</w:t>
      </w:r>
    </w:p>
    <w:p w14:paraId="13F9CC34" w14:textId="26A13579" w:rsidR="009F6E91" w:rsidRPr="00D427D8" w:rsidRDefault="009F6E91" w:rsidP="00A4555F">
      <w:pPr>
        <w:pStyle w:val="SchNumber4"/>
      </w:pPr>
      <w:r w:rsidRPr="00D427D8">
        <w:t>any statutory provision refers to any statutory modification, re-statement or re-enactment thereof and also to any statutory instrument, order or regulation made thereunder or under any statutory modification, re-statement or re-enactment thereof.</w:t>
      </w:r>
    </w:p>
    <w:p w14:paraId="711B9F4F" w14:textId="4B1952D4" w:rsidR="009F6E91" w:rsidRPr="00D427D8" w:rsidRDefault="009F6E91" w:rsidP="00A4555F">
      <w:pPr>
        <w:pStyle w:val="SchNumber3"/>
      </w:pPr>
      <w:r w:rsidRPr="00D427D8">
        <w:t>Headings in an agreement are for ease of reference only and shall not affect the meaning or interpretation of any provision of an agreement.</w:t>
      </w:r>
    </w:p>
    <w:p w14:paraId="4BBB9149" w14:textId="258B730C" w:rsidR="009F6E91" w:rsidRPr="00D427D8" w:rsidRDefault="009F6E91" w:rsidP="00A4555F">
      <w:pPr>
        <w:pStyle w:val="SchNumber3"/>
      </w:pPr>
      <w:r w:rsidRPr="00D427D8">
        <w:t>Words importing the singular number include the plural and vice versa, words denoting one gender only will include the other gender and words denoting person only will include firms and corporations and vice versa.</w:t>
      </w:r>
    </w:p>
    <w:p w14:paraId="75C17376" w14:textId="71C959A4" w:rsidR="009F6E91" w:rsidRPr="00D427D8" w:rsidRDefault="009F6E91" w:rsidP="00A4555F">
      <w:pPr>
        <w:pStyle w:val="SchNumber3"/>
      </w:pPr>
      <w:r w:rsidRPr="00D427D8">
        <w:t>Where a Party is obliged to provide information under a Transaction Document, such obligation shall also be fulfilled if the relevant information is given by a third party on behalf of the relevant Party.</w:t>
      </w:r>
    </w:p>
    <w:p w14:paraId="19775CD2" w14:textId="5480D0F4" w:rsidR="009F6E91" w:rsidRPr="00D427D8" w:rsidRDefault="009F6E91" w:rsidP="00A4555F">
      <w:pPr>
        <w:pStyle w:val="SchNumber3"/>
      </w:pPr>
      <w:r w:rsidRPr="00D427D8">
        <w:t>Schedules, Appendices, Annexes and Exhibits form an integral part of the relevant agreement to which they are attached.</w:t>
      </w:r>
    </w:p>
    <w:p w14:paraId="1330ADF2" w14:textId="6CDCFB87" w:rsidR="009F6E91" w:rsidRPr="00D427D8" w:rsidRDefault="009F6E91" w:rsidP="00A4555F">
      <w:pPr>
        <w:pStyle w:val="SchNumber3"/>
      </w:pPr>
      <w:r w:rsidRPr="00D427D8">
        <w:t>Where a non-German language word, term or concept has a specific legal meaning under any law other than German law, this is irrelevant for its interpretation (</w:t>
      </w:r>
      <w:r w:rsidRPr="00D427D8">
        <w:rPr>
          <w:i/>
        </w:rPr>
        <w:t>Auslegung</w:t>
      </w:r>
      <w:r w:rsidRPr="00D427D8">
        <w:t>). Only the translation of that word, term or concept into general German language shall be authoritative for interpretation.</w:t>
      </w:r>
    </w:p>
    <w:p w14:paraId="4D8DE598" w14:textId="74AA508B" w:rsidR="009F6E91" w:rsidRPr="00D427D8" w:rsidRDefault="009F6E91" w:rsidP="00A4555F">
      <w:pPr>
        <w:pStyle w:val="SchNumber3"/>
      </w:pPr>
      <w:r w:rsidRPr="00D427D8">
        <w:lastRenderedPageBreak/>
        <w:t>Where a German word is set in parenthesis to any non-German language term, such German word shall be authoritative for the translation into German of such term (and, consequently, for its interpretation) wherever such term is used.</w:t>
      </w:r>
    </w:p>
    <w:p w14:paraId="57ADD966" w14:textId="44E0D0EB" w:rsidR="009F6E91" w:rsidRPr="00D427D8" w:rsidRDefault="009F6E91" w:rsidP="00A4555F">
      <w:pPr>
        <w:pStyle w:val="SchNumber3"/>
      </w:pPr>
      <w:r w:rsidRPr="00D427D8">
        <w:t>A more special provision in a Transaction Document supersedes or extends a general provision in any other Transaction Agreement (</w:t>
      </w:r>
      <w:r w:rsidRPr="00D427D8">
        <w:rPr>
          <w:i/>
        </w:rPr>
        <w:t>Vorrang der spezielleren vor der allgemeinen Regelung</w:t>
      </w:r>
      <w:r w:rsidRPr="00D427D8">
        <w:t>).</w:t>
      </w:r>
    </w:p>
    <w:p w14:paraId="437A0E72" w14:textId="7FBB9AEA" w:rsidR="009F6E91" w:rsidRPr="00D427D8" w:rsidRDefault="009F6E91" w:rsidP="00A4555F">
      <w:pPr>
        <w:pStyle w:val="SchNumber3"/>
      </w:pPr>
      <w:r w:rsidRPr="00D427D8">
        <w:t>The following English terms shall be translated into German as follows:</w:t>
      </w:r>
    </w:p>
    <w:p w14:paraId="3C8916F0" w14:textId="29DF1C55" w:rsidR="009F6E91" w:rsidRPr="00D427D8" w:rsidRDefault="00EF7333" w:rsidP="00A4555F">
      <w:pPr>
        <w:pStyle w:val="SchNumber4"/>
      </w:pPr>
      <w:r w:rsidRPr="00D427D8">
        <w:t>"</w:t>
      </w:r>
      <w:r w:rsidR="009F6E91" w:rsidRPr="00D427D8">
        <w:t>including, but not limited to</w:t>
      </w:r>
      <w:r w:rsidRPr="00D427D8">
        <w:t>"</w:t>
      </w:r>
      <w:r w:rsidR="009F6E91" w:rsidRPr="00D427D8">
        <w:t xml:space="preserve">: </w:t>
      </w:r>
      <w:r w:rsidR="009F6E91" w:rsidRPr="00D427D8">
        <w:rPr>
          <w:i/>
          <w:iCs/>
        </w:rPr>
        <w:t>insbesondere</w:t>
      </w:r>
    </w:p>
    <w:p w14:paraId="7241C1C3" w14:textId="6F5B1E76" w:rsidR="009F6E91" w:rsidRPr="00D427D8" w:rsidRDefault="00EF7333" w:rsidP="00A4555F">
      <w:pPr>
        <w:pStyle w:val="SchNumber4"/>
      </w:pPr>
      <w:r w:rsidRPr="00D427D8">
        <w:t>"</w:t>
      </w:r>
      <w:r w:rsidR="009F6E91" w:rsidRPr="00D427D8">
        <w:t>without undue delay</w:t>
      </w:r>
      <w:r w:rsidRPr="00D427D8">
        <w:t>"</w:t>
      </w:r>
      <w:r w:rsidR="009F6E91" w:rsidRPr="00D427D8">
        <w:t xml:space="preserve">: </w:t>
      </w:r>
      <w:r w:rsidR="009F6E91" w:rsidRPr="00D427D8">
        <w:rPr>
          <w:i/>
          <w:iCs/>
        </w:rPr>
        <w:t>unverzüglich</w:t>
      </w:r>
      <w:r w:rsidR="009F6E91" w:rsidRPr="00D427D8">
        <w:t>, as further qualified in clause 5.3(b) of the Master Agreement</w:t>
      </w:r>
    </w:p>
    <w:p w14:paraId="5FB3481B" w14:textId="17776486" w:rsidR="009F6E91" w:rsidRPr="00D427D8" w:rsidRDefault="00EF7333" w:rsidP="00A4555F">
      <w:pPr>
        <w:pStyle w:val="SchNumber4"/>
        <w:rPr>
          <w:lang w:val="de-DE"/>
        </w:rPr>
      </w:pPr>
      <w:r w:rsidRPr="00D427D8">
        <w:rPr>
          <w:lang w:val="de-DE"/>
        </w:rPr>
        <w:t>"</w:t>
      </w:r>
      <w:r w:rsidR="009F6E91" w:rsidRPr="00D427D8">
        <w:rPr>
          <w:lang w:val="de-DE"/>
        </w:rPr>
        <w:t>tax resident</w:t>
      </w:r>
      <w:r w:rsidRPr="00D427D8">
        <w:rPr>
          <w:lang w:val="de-DE"/>
        </w:rPr>
        <w:t>"</w:t>
      </w:r>
      <w:r w:rsidR="009F6E91" w:rsidRPr="00D427D8">
        <w:rPr>
          <w:lang w:val="de-DE"/>
        </w:rPr>
        <w:t>: unbeschränkt steuerpflichtig</w:t>
      </w:r>
    </w:p>
    <w:p w14:paraId="7BE20DCB" w14:textId="7EE49FE2" w:rsidR="009F6E91" w:rsidRPr="00D427D8" w:rsidRDefault="00EF7333" w:rsidP="00A4555F">
      <w:pPr>
        <w:pStyle w:val="SchNumber4"/>
        <w:rPr>
          <w:lang w:val="de-DE"/>
        </w:rPr>
      </w:pPr>
      <w:r w:rsidRPr="00D427D8">
        <w:rPr>
          <w:lang w:val="de-DE"/>
        </w:rPr>
        <w:t>"</w:t>
      </w:r>
      <w:r w:rsidR="009F6E91" w:rsidRPr="00D427D8">
        <w:rPr>
          <w:lang w:val="de-DE"/>
        </w:rPr>
        <w:t>tax</w:t>
      </w:r>
      <w:r w:rsidRPr="00D427D8">
        <w:rPr>
          <w:lang w:val="de-DE"/>
        </w:rPr>
        <w:t>"</w:t>
      </w:r>
      <w:r w:rsidR="009F6E91" w:rsidRPr="00D427D8">
        <w:rPr>
          <w:lang w:val="de-DE"/>
        </w:rPr>
        <w:t>: öffentliche Abgaben.</w:t>
      </w:r>
    </w:p>
    <w:p w14:paraId="2A382AB8" w14:textId="5B32F127" w:rsidR="009F6E91" w:rsidRPr="00D427D8" w:rsidRDefault="009F6E91" w:rsidP="00A4555F">
      <w:pPr>
        <w:pStyle w:val="SchNumber3"/>
      </w:pPr>
      <w:r w:rsidRPr="00D427D8">
        <w:t>Words appearing in the German language shall have the meaning ascribed to them under the law of the Federal Republic of Germany and such meaning shall prevail over their translation into English, if any;</w:t>
      </w:r>
    </w:p>
    <w:p w14:paraId="47CBA5FE" w14:textId="4C5A3F9B" w:rsidR="009F6E91" w:rsidRPr="00D427D8" w:rsidRDefault="009F6E91" w:rsidP="00A4555F">
      <w:pPr>
        <w:pStyle w:val="SchNumber3"/>
      </w:pPr>
      <w:r w:rsidRPr="00D427D8">
        <w:t>Unless expressly provided for to the contrary, all references made in any Transaction Document to a day, are references to a calendar day.</w:t>
      </w:r>
    </w:p>
    <w:p w14:paraId="6AABD03F" w14:textId="4DF41C4A" w:rsidR="009F6E91" w:rsidRPr="00D427D8" w:rsidRDefault="009F6E91" w:rsidP="00A4555F">
      <w:pPr>
        <w:pStyle w:val="SchHeading2"/>
      </w:pPr>
      <w:r w:rsidRPr="00D427D8">
        <w:t>Business Day Convention</w:t>
      </w:r>
    </w:p>
    <w:p w14:paraId="5C60EBF5" w14:textId="4A31A26C" w:rsidR="009F6E91" w:rsidRPr="00D427D8" w:rsidRDefault="00A4555F" w:rsidP="00A4555F">
      <w:pPr>
        <w:pStyle w:val="Body2"/>
      </w:pPr>
      <w:r w:rsidRPr="00D427D8">
        <w:t>If, under the Transaction Documents, the date for:</w:t>
      </w:r>
    </w:p>
    <w:p w14:paraId="0D490580" w14:textId="3D47005D" w:rsidR="009F6E91" w:rsidRPr="00D427D8" w:rsidRDefault="009F6E91" w:rsidP="00A4555F">
      <w:pPr>
        <w:pStyle w:val="SchNumber3"/>
      </w:pPr>
      <w:r w:rsidRPr="00D427D8">
        <w:t>payment of any amount due (in particular, any Distribution Date);</w:t>
      </w:r>
    </w:p>
    <w:p w14:paraId="4564BDC4" w14:textId="67E5CE91" w:rsidR="009F6E91" w:rsidRPr="00D427D8" w:rsidRDefault="009F6E91" w:rsidP="00A4555F">
      <w:pPr>
        <w:pStyle w:val="SchNumber3"/>
      </w:pPr>
      <w:r w:rsidRPr="00D427D8">
        <w:t>giving a declaration;</w:t>
      </w:r>
    </w:p>
    <w:p w14:paraId="44D0DFDF" w14:textId="76328842" w:rsidR="009F6E91" w:rsidRPr="00D427D8" w:rsidRDefault="009F6E91" w:rsidP="00A4555F">
      <w:pPr>
        <w:pStyle w:val="SchNumber3"/>
      </w:pPr>
      <w:r w:rsidRPr="00D427D8">
        <w:t>relevant for the calculation of floating interest or other floating periodic payments; or</w:t>
      </w:r>
    </w:p>
    <w:p w14:paraId="1C29356C" w14:textId="0BA24849" w:rsidR="009F6E91" w:rsidRPr="00D427D8" w:rsidRDefault="009F6E91" w:rsidP="00A4555F">
      <w:pPr>
        <w:pStyle w:val="SchNumber3"/>
      </w:pPr>
      <w:r w:rsidRPr="00D427D8">
        <w:t>performing a certain task (in particular any Determination Date);</w:t>
      </w:r>
    </w:p>
    <w:p w14:paraId="73F327AE" w14:textId="19BAA96F" w:rsidR="009F6E91" w:rsidRPr="00D427D8" w:rsidRDefault="00A4555F" w:rsidP="00A4555F">
      <w:pPr>
        <w:pStyle w:val="Body2"/>
      </w:pPr>
      <w:r w:rsidRPr="00D427D8">
        <w:t>does not fall on a Business Day then such date shall be the next following Business Day, unless such Business Day falls in the next calendar month, in which case the Business Day that precedes such date shall be the relevant date.</w:t>
      </w:r>
    </w:p>
    <w:p w14:paraId="524627EF" w14:textId="28EE14EE" w:rsidR="009F6E91" w:rsidRPr="00D427D8" w:rsidRDefault="009F6E91" w:rsidP="00A4555F">
      <w:pPr>
        <w:pStyle w:val="SchHeading2"/>
      </w:pPr>
      <w:r w:rsidRPr="00D427D8">
        <w:t>No double counting</w:t>
      </w:r>
    </w:p>
    <w:p w14:paraId="6876E10D" w14:textId="78BC3DB7" w:rsidR="009F6E91" w:rsidRPr="00D427D8" w:rsidRDefault="00A4555F" w:rsidP="00A4555F">
      <w:pPr>
        <w:pStyle w:val="Body2"/>
      </w:pPr>
      <w:r w:rsidRPr="00D427D8">
        <w:t>No provision in a Transaction Document shall allow or entitle to a double counting of any amounts or values.</w:t>
      </w:r>
    </w:p>
    <w:p w14:paraId="33A498C6" w14:textId="77777777" w:rsidR="009F6E91" w:rsidRPr="00D427D8" w:rsidRDefault="009F6E91" w:rsidP="00EF7333">
      <w:pPr>
        <w:pStyle w:val="Body1"/>
      </w:pPr>
      <w:r w:rsidRPr="00D427D8">
        <w:br w:type="page"/>
      </w:r>
    </w:p>
    <w:p w14:paraId="4C85B0BB" w14:textId="77777777" w:rsidR="009F6E91" w:rsidRPr="00D427D8" w:rsidRDefault="009F6E91" w:rsidP="00926C3A">
      <w:pPr>
        <w:pStyle w:val="CentredHeading"/>
      </w:pPr>
      <w:bookmarkStart w:id="214" w:name="_Toc194046509"/>
      <w:bookmarkStart w:id="215" w:name="_Toc198539667"/>
      <w:r w:rsidRPr="00D427D8">
        <w:lastRenderedPageBreak/>
        <w:t>ANNEX B</w:t>
      </w:r>
      <w:r w:rsidRPr="00D427D8">
        <w:br/>
        <w:t>PRIORITY OF PAYMENTS SCHEDULE</w:t>
      </w:r>
      <w:bookmarkEnd w:id="214"/>
      <w:bookmarkEnd w:id="215"/>
    </w:p>
    <w:p w14:paraId="3FD9D6BE" w14:textId="687FCE98" w:rsidR="009F6E91" w:rsidRPr="00D427D8" w:rsidRDefault="009F6E91" w:rsidP="00C8283A">
      <w:pPr>
        <w:pStyle w:val="SchNumber1"/>
        <w:numPr>
          <w:ilvl w:val="2"/>
          <w:numId w:val="51"/>
        </w:numPr>
        <w:rPr>
          <w:rStyle w:val="Heading1Text"/>
        </w:rPr>
      </w:pPr>
      <w:r w:rsidRPr="00D427D8">
        <w:rPr>
          <w:rStyle w:val="Heading1Text"/>
        </w:rPr>
        <w:t>Interpretation</w:t>
      </w:r>
    </w:p>
    <w:p w14:paraId="23100494" w14:textId="77777777" w:rsidR="009F6E91" w:rsidRPr="00D427D8" w:rsidRDefault="009F6E91" w:rsidP="009F6E91">
      <w:pPr>
        <w:pStyle w:val="Body2"/>
      </w:pPr>
      <w:r w:rsidRPr="00D427D8">
        <w:rPr>
          <w:b/>
          <w:bCs/>
          <w:i/>
          <w:iCs/>
        </w:rPr>
        <w:t xml:space="preserve">Order of priority </w:t>
      </w:r>
      <w:r w:rsidRPr="00D427D8">
        <w:t xml:space="preserve">means that payments, applications, withholdings or provisions in respect of lower ranking amounts shall only be made if all payments, applications, withholdings or provisions of a higher order of priority have first been made in full; items to be discharged </w:t>
      </w:r>
      <w:r w:rsidRPr="00D427D8">
        <w:rPr>
          <w:i/>
        </w:rPr>
        <w:t>pro rata</w:t>
      </w:r>
      <w:r w:rsidRPr="00D427D8">
        <w:t xml:space="preserve"> shall be discharged </w:t>
      </w:r>
      <w:r w:rsidRPr="00D427D8">
        <w:rPr>
          <w:i/>
        </w:rPr>
        <w:t>pro rata</w:t>
      </w:r>
      <w:r w:rsidRPr="00D427D8">
        <w:t xml:space="preserve"> to their respective nominal amounts.</w:t>
      </w:r>
    </w:p>
    <w:p w14:paraId="388C552B" w14:textId="0A2587FF" w:rsidR="009F6E91" w:rsidRPr="00D427D8" w:rsidRDefault="009F6E91" w:rsidP="007B236A">
      <w:pPr>
        <w:pStyle w:val="SchHeading1"/>
      </w:pPr>
      <w:r w:rsidRPr="00D427D8">
        <w:t>General</w:t>
      </w:r>
    </w:p>
    <w:p w14:paraId="7AAC1D52" w14:textId="50A5C454" w:rsidR="009F6E91" w:rsidRPr="00D427D8" w:rsidRDefault="009F6E91" w:rsidP="003D216D">
      <w:pPr>
        <w:pStyle w:val="SchNumber2"/>
        <w:rPr>
          <w:rStyle w:val="Heading1Text"/>
        </w:rPr>
      </w:pPr>
      <w:r w:rsidRPr="00D427D8">
        <w:rPr>
          <w:rStyle w:val="Heading1Text"/>
        </w:rPr>
        <w:t>Determination of the Available Distribution Amount</w:t>
      </w:r>
    </w:p>
    <w:p w14:paraId="37EDD6AA" w14:textId="6BBBD92E" w:rsidR="009F6E91" w:rsidRPr="00D427D8" w:rsidRDefault="009F6E91" w:rsidP="007B236A">
      <w:pPr>
        <w:pStyle w:val="SchNumber3"/>
      </w:pPr>
      <w:r w:rsidRPr="00D427D8">
        <w:t xml:space="preserve">On each Determination Date the </w:t>
      </w:r>
      <w:r w:rsidRPr="00D427D8">
        <w:rPr>
          <w:bCs/>
          <w:iCs/>
        </w:rPr>
        <w:t>Available Distribution Amount</w:t>
      </w:r>
      <w:r w:rsidRPr="00D427D8">
        <w:rPr>
          <w:b/>
          <w:bCs/>
          <w:i/>
          <w:iCs/>
        </w:rPr>
        <w:t xml:space="preserve"> </w:t>
      </w:r>
      <w:r w:rsidRPr="00D427D8">
        <w:t xml:space="preserve">shall be calculated, in each case for the Monthly Period </w:t>
      </w:r>
      <w:bookmarkStart w:id="216" w:name="_Hlk167184353"/>
      <w:r w:rsidRPr="00D427D8">
        <w:t>immediately preceding the next Distribution Date</w:t>
      </w:r>
      <w:bookmarkEnd w:id="216"/>
      <w:r w:rsidRPr="00D427D8">
        <w:t>, as follows:</w:t>
      </w:r>
    </w:p>
    <w:p w14:paraId="3A51059C" w14:textId="099B5369" w:rsidR="009F6E91" w:rsidRPr="00D427D8" w:rsidRDefault="009F6E91" w:rsidP="007B236A">
      <w:pPr>
        <w:pStyle w:val="SchNumber4"/>
      </w:pPr>
      <w:r w:rsidRPr="00D427D8">
        <w:t xml:space="preserve">all amounts standing to the credit of the Distribution Account and the Reserve Account but (to the extent that the Deposit Reserve Condition is met) in respect of the Deposit Reserve Amount to the extent only as required to make good reductions of the Scheduled Payments due from Deposit Lessees under Lease </w:t>
      </w:r>
      <w:r w:rsidR="007D0312" w:rsidRPr="00D427D8">
        <w:t xml:space="preserve">Agreements </w:t>
      </w:r>
      <w:r w:rsidRPr="00D427D8">
        <w:t>as a result of set-offs with deposits by such Deposit Lessees;</w:t>
      </w:r>
    </w:p>
    <w:p w14:paraId="515100F2" w14:textId="25CCFA65" w:rsidR="009F6E91" w:rsidRPr="00D427D8" w:rsidRDefault="009F6E91" w:rsidP="007B236A">
      <w:pPr>
        <w:pStyle w:val="SchNumber4"/>
      </w:pPr>
      <w:r w:rsidRPr="00D427D8">
        <w:t>after the deduction of:</w:t>
      </w:r>
    </w:p>
    <w:p w14:paraId="2B9E2480" w14:textId="66BF7EAB" w:rsidR="009F6E91" w:rsidRPr="00D427D8" w:rsidRDefault="009F6E91" w:rsidP="007B236A">
      <w:pPr>
        <w:pStyle w:val="SchNumber5"/>
      </w:pPr>
      <w:r w:rsidRPr="00D427D8">
        <w:t xml:space="preserve">an amount equal to any tax credits to be paid to the Counterparty pursuant to </w:t>
      </w:r>
      <w:bookmarkStart w:id="217" w:name="_Hlk158641157"/>
      <w:r w:rsidRPr="00D427D8">
        <w:t>Section 2(d)(iii)</w:t>
      </w:r>
      <w:bookmarkEnd w:id="217"/>
      <w:r w:rsidRPr="00D427D8">
        <w:t xml:space="preserve"> of the Hedging Arrangement;</w:t>
      </w:r>
    </w:p>
    <w:p w14:paraId="6CEAFB25" w14:textId="50D2258D" w:rsidR="009F6E91" w:rsidRPr="00D427D8" w:rsidRDefault="009F6E91" w:rsidP="007B236A">
      <w:pPr>
        <w:pStyle w:val="SchNumber5"/>
      </w:pPr>
      <w:r w:rsidRPr="00D427D8">
        <w:t>any Excess Liquidity Reserve to be paid to the Subordinated Lender;</w:t>
      </w:r>
    </w:p>
    <w:p w14:paraId="0DB1A092" w14:textId="28F76373" w:rsidR="009F6E91" w:rsidRPr="00D427D8" w:rsidRDefault="009F6E91" w:rsidP="007B236A">
      <w:pPr>
        <w:pStyle w:val="SchNumber5"/>
      </w:pPr>
      <w:r w:rsidRPr="00D427D8">
        <w:t>any repayment of the VAT Bridge Loan to be paid to the Lender; and</w:t>
      </w:r>
    </w:p>
    <w:p w14:paraId="7269CAB1" w14:textId="35AEF95C" w:rsidR="009F6E91" w:rsidRPr="00D427D8" w:rsidRDefault="009F6E91" w:rsidP="007B236A">
      <w:pPr>
        <w:pStyle w:val="SchNumber5"/>
        <w:rPr>
          <w:szCs w:val="19"/>
        </w:rPr>
      </w:pPr>
      <w:r w:rsidRPr="00D427D8">
        <w:t xml:space="preserve">the amount (if any) by which the Deposit Reserve Amount credited by the Seller to the Reserve Account, and then credited to the Distribution Account, exceeds the Total Deposit Exposure Amount as at such Distribution Date, to be repaid to the Seller </w:t>
      </w:r>
      <w:r w:rsidRPr="00D427D8">
        <w:rPr>
          <w:szCs w:val="19"/>
        </w:rPr>
        <w:t>(</w:t>
      </w:r>
      <w:r w:rsidRPr="00D427D8">
        <w:t>unless (1) the Seller has failed to punctually comply with its obligation to repurchase Receivables in accordance with clause 10.1 of the Lease Receivables Purchase Agreement or (2) an Insolvency Event has occurred in respect of the Seller)</w:t>
      </w:r>
      <w:r w:rsidRPr="00D427D8">
        <w:rPr>
          <w:szCs w:val="19"/>
        </w:rPr>
        <w:t>;</w:t>
      </w:r>
    </w:p>
    <w:p w14:paraId="5F91D758" w14:textId="43AEC41E" w:rsidR="009F6E91" w:rsidRPr="00D427D8" w:rsidRDefault="009F6E91" w:rsidP="007B236A">
      <w:pPr>
        <w:pStyle w:val="SchNumber4"/>
      </w:pPr>
      <w:r w:rsidRPr="00D427D8">
        <w:t>except on the Final Legal Maturity Date, less all amounts standing to the credit of the Distribution Account that are allocable to the Monthly Period in which the respective Distribution Date falls.</w:t>
      </w:r>
    </w:p>
    <w:p w14:paraId="78FF2C4C" w14:textId="2087B08D" w:rsidR="009F6E91" w:rsidRPr="00D427D8" w:rsidRDefault="009F6E91" w:rsidP="007B236A">
      <w:pPr>
        <w:pStyle w:val="SchNumber3"/>
      </w:pPr>
      <w:r w:rsidRPr="00D427D8">
        <w:t>On each Distribution Date, the Available Distribution Amount is applied to pay or withhold all amounts then due and payable with respect to the immediately preceding Monthly Period:</w:t>
      </w:r>
    </w:p>
    <w:p w14:paraId="70535DF0" w14:textId="22A67B0E" w:rsidR="009F6E91" w:rsidRPr="00D427D8" w:rsidRDefault="009F6E91" w:rsidP="007B236A">
      <w:pPr>
        <w:pStyle w:val="SchNumber4"/>
      </w:pPr>
      <w:r w:rsidRPr="00D427D8">
        <w:t xml:space="preserve">prior to an Accelerated Amortisation Event, as set out in the Interest Priority of Payments and the Principal Priority of Payments. For that purpose, the Available Distribution Amount will be split into the Available Interest Distribution Amount and the Available Principal Distribution Amount in accordance with paragraph </w:t>
      </w:r>
      <w:r w:rsidRPr="00D427D8">
        <w:rPr>
          <w:rFonts w:asciiTheme="minorHAnsi" w:hAnsiTheme="minorHAnsi" w:cstheme="minorHAnsi"/>
        </w:rPr>
        <w:t>2.2</w:t>
      </w:r>
      <w:r w:rsidRPr="00D427D8">
        <w:t>; and</w:t>
      </w:r>
    </w:p>
    <w:p w14:paraId="4947A39E" w14:textId="67CB9EDA" w:rsidR="009F6E91" w:rsidRPr="00D427D8" w:rsidRDefault="009F6E91" w:rsidP="007B236A">
      <w:pPr>
        <w:pStyle w:val="SchNumber4"/>
      </w:pPr>
      <w:r w:rsidRPr="00D427D8">
        <w:t>following an Accelerated Amortisation Event, as set out in the Accelerated Priority of Payments.</w:t>
      </w:r>
    </w:p>
    <w:p w14:paraId="5C5CBFBC" w14:textId="0269AA81" w:rsidR="009F6E91" w:rsidRPr="00D427D8" w:rsidRDefault="009F6E91" w:rsidP="003D216D">
      <w:pPr>
        <w:pStyle w:val="SchNumber2"/>
        <w:rPr>
          <w:rStyle w:val="Heading1Text"/>
        </w:rPr>
      </w:pPr>
      <w:bookmarkStart w:id="218" w:name="_Ref165627763"/>
      <w:r w:rsidRPr="00D427D8">
        <w:rPr>
          <w:rStyle w:val="Heading1Text"/>
        </w:rPr>
        <w:t>Split of Available Distribution Amount</w:t>
      </w:r>
      <w:bookmarkEnd w:id="218"/>
    </w:p>
    <w:p w14:paraId="6D34793E" w14:textId="02E02417" w:rsidR="009F6E91" w:rsidRPr="00D427D8" w:rsidRDefault="007B236A" w:rsidP="007B236A">
      <w:pPr>
        <w:pStyle w:val="Body2"/>
      </w:pPr>
      <w:r w:rsidRPr="00D427D8">
        <w:t>"</w:t>
      </w:r>
      <w:r w:rsidRPr="00D427D8">
        <w:rPr>
          <w:rStyle w:val="BoldText"/>
        </w:rPr>
        <w:t>Available Interest Distribution Amount</w:t>
      </w:r>
      <w:r w:rsidRPr="00D427D8">
        <w:t>"</w:t>
      </w:r>
      <w:r w:rsidRPr="00D427D8">
        <w:rPr>
          <w:i/>
        </w:rPr>
        <w:t xml:space="preserve"> </w:t>
      </w:r>
      <w:r w:rsidRPr="00D427D8">
        <w:t>shall be calculated as follows:</w:t>
      </w:r>
    </w:p>
    <w:tbl>
      <w:tblPr>
        <w:tblW w:w="4609" w:type="pct"/>
        <w:tblInd w:w="709" w:type="dxa"/>
        <w:tblCellMar>
          <w:left w:w="10" w:type="dxa"/>
          <w:right w:w="10" w:type="dxa"/>
        </w:tblCellMar>
        <w:tblLook w:val="04A0" w:firstRow="1" w:lastRow="0" w:firstColumn="1" w:lastColumn="0" w:noHBand="0" w:noVBand="1"/>
      </w:tblPr>
      <w:tblGrid>
        <w:gridCol w:w="565"/>
        <w:gridCol w:w="7797"/>
      </w:tblGrid>
      <w:tr w:rsidR="009F6E91" w:rsidRPr="00D427D8" w14:paraId="7B49DCBF" w14:textId="77777777" w:rsidTr="007B236A">
        <w:tc>
          <w:tcPr>
            <w:tcW w:w="338" w:type="pct"/>
          </w:tcPr>
          <w:p w14:paraId="111C3996" w14:textId="77777777" w:rsidR="009F6E91" w:rsidRPr="00D427D8" w:rsidRDefault="009F6E91" w:rsidP="00F77953">
            <w:pPr>
              <w:spacing w:before="40" w:after="40"/>
              <w:rPr>
                <w:rFonts w:asciiTheme="minorHAnsi" w:hAnsiTheme="minorHAnsi" w:cstheme="minorHAnsi"/>
                <w:szCs w:val="19"/>
              </w:rPr>
            </w:pPr>
          </w:p>
        </w:tc>
        <w:tc>
          <w:tcPr>
            <w:tcW w:w="4662" w:type="pct"/>
          </w:tcPr>
          <w:p w14:paraId="02D9DEED" w14:textId="77777777" w:rsidR="009F6E91" w:rsidRPr="00D427D8" w:rsidRDefault="009F6E91" w:rsidP="00F77953">
            <w:pPr>
              <w:spacing w:before="40" w:after="40"/>
              <w:rPr>
                <w:szCs w:val="19"/>
              </w:rPr>
            </w:pPr>
            <w:r w:rsidRPr="00D427D8">
              <w:rPr>
                <w:szCs w:val="19"/>
              </w:rPr>
              <w:t>The Available Interest Collections</w:t>
            </w:r>
          </w:p>
        </w:tc>
      </w:tr>
      <w:tr w:rsidR="009F6E91" w:rsidRPr="00D427D8" w14:paraId="570D6D89" w14:textId="77777777" w:rsidTr="007B236A">
        <w:tc>
          <w:tcPr>
            <w:tcW w:w="338" w:type="pct"/>
          </w:tcPr>
          <w:p w14:paraId="5BA6837F" w14:textId="77777777" w:rsidR="009F6E91" w:rsidRPr="00D427D8" w:rsidRDefault="009F6E91" w:rsidP="00F77953">
            <w:pPr>
              <w:spacing w:before="40" w:after="40"/>
              <w:rPr>
                <w:szCs w:val="19"/>
              </w:rPr>
            </w:pPr>
            <w:r w:rsidRPr="00D427D8">
              <w:rPr>
                <w:szCs w:val="19"/>
              </w:rPr>
              <w:t>+</w:t>
            </w:r>
          </w:p>
        </w:tc>
        <w:tc>
          <w:tcPr>
            <w:tcW w:w="4662" w:type="pct"/>
          </w:tcPr>
          <w:p w14:paraId="1E0F9680" w14:textId="77777777" w:rsidR="009F6E91" w:rsidRPr="00D427D8" w:rsidRDefault="009F6E91" w:rsidP="00F77953">
            <w:pPr>
              <w:spacing w:before="40" w:after="40"/>
              <w:rPr>
                <w:szCs w:val="19"/>
              </w:rPr>
            </w:pPr>
            <w:r w:rsidRPr="00D427D8">
              <w:rPr>
                <w:szCs w:val="19"/>
              </w:rPr>
              <w:t>The Principal Additional Amounts (if any)</w:t>
            </w:r>
          </w:p>
        </w:tc>
      </w:tr>
      <w:tr w:rsidR="009F6E91" w:rsidRPr="00D427D8" w14:paraId="246E2030" w14:textId="77777777" w:rsidTr="007B236A">
        <w:tc>
          <w:tcPr>
            <w:tcW w:w="338" w:type="pct"/>
          </w:tcPr>
          <w:p w14:paraId="39301416" w14:textId="77777777" w:rsidR="009F6E91" w:rsidRPr="00D427D8" w:rsidRDefault="009F6E91" w:rsidP="00842754">
            <w:pPr>
              <w:spacing w:before="40" w:after="40"/>
              <w:rPr>
                <w:szCs w:val="19"/>
              </w:rPr>
            </w:pPr>
            <w:r w:rsidRPr="00D427D8">
              <w:rPr>
                <w:szCs w:val="19"/>
              </w:rPr>
              <w:lastRenderedPageBreak/>
              <w:t>+</w:t>
            </w:r>
          </w:p>
        </w:tc>
        <w:tc>
          <w:tcPr>
            <w:tcW w:w="4662" w:type="pct"/>
          </w:tcPr>
          <w:p w14:paraId="047F5860" w14:textId="77777777" w:rsidR="009F6E91" w:rsidRPr="00D427D8" w:rsidRDefault="009F6E91" w:rsidP="00245836">
            <w:pPr>
              <w:spacing w:before="40" w:after="40"/>
              <w:rPr>
                <w:szCs w:val="19"/>
              </w:rPr>
            </w:pPr>
            <w:r w:rsidRPr="00D427D8">
              <w:rPr>
                <w:szCs w:val="19"/>
              </w:rPr>
              <w:t>The Liquidity Reserve (up to an amount of and only to the extent no Principal Additional Amounts are available or insufficient to cover any shortfalls under the Liquidity Reserve Items)</w:t>
            </w:r>
          </w:p>
        </w:tc>
      </w:tr>
      <w:tr w:rsidR="009F6E91" w:rsidRPr="00D427D8" w14:paraId="24AA639E" w14:textId="77777777" w:rsidTr="007B236A">
        <w:tc>
          <w:tcPr>
            <w:tcW w:w="338" w:type="pct"/>
          </w:tcPr>
          <w:p w14:paraId="2FD58597" w14:textId="77777777" w:rsidR="009F6E91" w:rsidRPr="00D427D8" w:rsidRDefault="009F6E91" w:rsidP="00842754">
            <w:pPr>
              <w:spacing w:before="40" w:after="40"/>
              <w:rPr>
                <w:szCs w:val="19"/>
              </w:rPr>
            </w:pPr>
            <w:r w:rsidRPr="00D427D8">
              <w:rPr>
                <w:szCs w:val="19"/>
              </w:rPr>
              <w:t>+</w:t>
            </w:r>
          </w:p>
        </w:tc>
        <w:tc>
          <w:tcPr>
            <w:tcW w:w="4662" w:type="pct"/>
          </w:tcPr>
          <w:p w14:paraId="2D72B584" w14:textId="77777777" w:rsidR="009F6E91" w:rsidRPr="00D427D8" w:rsidRDefault="009F6E91" w:rsidP="00245836">
            <w:pPr>
              <w:spacing w:before="40" w:after="40"/>
              <w:rPr>
                <w:szCs w:val="19"/>
              </w:rPr>
            </w:pPr>
            <w:r w:rsidRPr="00D427D8">
              <w:rPr>
                <w:szCs w:val="19"/>
              </w:rPr>
              <w:t>The Deposit Reserve Amount (to the extent that the Deposit Reserve Condition is met) up to an amount required to make good reductions of the interest components of Scheduled Payments due from Deposit Lessees under Lease Agreements as a result of set-offs with deposits by such Deposit Lessees</w:t>
            </w:r>
          </w:p>
        </w:tc>
      </w:tr>
      <w:tr w:rsidR="009F6E91" w:rsidRPr="00D427D8" w14:paraId="3D055EE9" w14:textId="77777777" w:rsidTr="007B236A">
        <w:tc>
          <w:tcPr>
            <w:tcW w:w="338" w:type="pct"/>
          </w:tcPr>
          <w:p w14:paraId="37BC75FF" w14:textId="77777777" w:rsidR="009F6E91" w:rsidRPr="00D427D8" w:rsidRDefault="009F6E91" w:rsidP="00842754">
            <w:pPr>
              <w:spacing w:before="40" w:after="40"/>
              <w:rPr>
                <w:szCs w:val="19"/>
              </w:rPr>
            </w:pPr>
            <w:r w:rsidRPr="00D427D8">
              <w:rPr>
                <w:szCs w:val="19"/>
              </w:rPr>
              <w:t>+</w:t>
            </w:r>
          </w:p>
        </w:tc>
        <w:tc>
          <w:tcPr>
            <w:tcW w:w="4662" w:type="pct"/>
          </w:tcPr>
          <w:p w14:paraId="54078A0F" w14:textId="77777777" w:rsidR="009F6E91" w:rsidRPr="00D427D8" w:rsidRDefault="009F6E91" w:rsidP="00842754">
            <w:pPr>
              <w:spacing w:before="40" w:after="40"/>
              <w:rPr>
                <w:szCs w:val="19"/>
              </w:rPr>
            </w:pPr>
            <w:r w:rsidRPr="00D427D8">
              <w:rPr>
                <w:szCs w:val="19"/>
              </w:rPr>
              <w:t>Interest Earnings, to the extent not allocable to the Monthly Period in which the respective Distribution Date falls, on</w:t>
            </w:r>
          </w:p>
          <w:p w14:paraId="404833CC" w14:textId="77777777" w:rsidR="009F6E91" w:rsidRPr="00D427D8" w:rsidRDefault="009F6E91" w:rsidP="00842754">
            <w:pPr>
              <w:tabs>
                <w:tab w:val="left" w:pos="459"/>
              </w:tabs>
              <w:spacing w:before="40" w:after="40"/>
              <w:rPr>
                <w:szCs w:val="19"/>
              </w:rPr>
            </w:pPr>
            <w:r w:rsidRPr="00D427D8">
              <w:rPr>
                <w:szCs w:val="19"/>
              </w:rPr>
              <w:t>(a)</w:t>
            </w:r>
            <w:r w:rsidRPr="00D427D8">
              <w:rPr>
                <w:szCs w:val="19"/>
              </w:rPr>
              <w:tab/>
              <w:t>the Reserve Account; and</w:t>
            </w:r>
          </w:p>
          <w:p w14:paraId="2CF7E47D" w14:textId="77777777" w:rsidR="009F6E91" w:rsidRPr="00D427D8" w:rsidRDefault="009F6E91" w:rsidP="00266CB1">
            <w:pPr>
              <w:spacing w:before="40" w:after="40"/>
              <w:ind w:left="459" w:hanging="459"/>
              <w:rPr>
                <w:szCs w:val="19"/>
              </w:rPr>
            </w:pPr>
            <w:r w:rsidRPr="00D427D8">
              <w:rPr>
                <w:szCs w:val="19"/>
              </w:rPr>
              <w:t>(b)</w:t>
            </w:r>
            <w:r w:rsidRPr="00D427D8">
              <w:rPr>
                <w:szCs w:val="19"/>
              </w:rPr>
              <w:tab/>
              <w:t>the Distribution Account</w:t>
            </w:r>
          </w:p>
        </w:tc>
      </w:tr>
      <w:tr w:rsidR="009F6E91" w:rsidRPr="00D427D8" w14:paraId="3A1F0DDE" w14:textId="77777777" w:rsidTr="007B236A">
        <w:tc>
          <w:tcPr>
            <w:tcW w:w="338" w:type="pct"/>
          </w:tcPr>
          <w:p w14:paraId="1216DFC6" w14:textId="77777777" w:rsidR="009F6E91" w:rsidRPr="00D427D8" w:rsidRDefault="009F6E91" w:rsidP="00842754">
            <w:pPr>
              <w:spacing w:before="40" w:after="40"/>
              <w:rPr>
                <w:szCs w:val="19"/>
              </w:rPr>
            </w:pPr>
            <w:r w:rsidRPr="00D427D8">
              <w:rPr>
                <w:szCs w:val="19"/>
              </w:rPr>
              <w:t>+</w:t>
            </w:r>
          </w:p>
        </w:tc>
        <w:tc>
          <w:tcPr>
            <w:tcW w:w="4662" w:type="pct"/>
          </w:tcPr>
          <w:p w14:paraId="12935B37" w14:textId="77777777" w:rsidR="009F6E91" w:rsidRPr="00D427D8" w:rsidRDefault="009F6E91" w:rsidP="00E85414">
            <w:pPr>
              <w:spacing w:before="40" w:after="40"/>
              <w:rPr>
                <w:szCs w:val="19"/>
              </w:rPr>
            </w:pPr>
            <w:r w:rsidRPr="00D427D8">
              <w:rPr>
                <w:szCs w:val="19"/>
              </w:rPr>
              <w:t>Any amounts received under the Hedging Arrangement (to the extent not payable to the CSA Account)</w:t>
            </w:r>
          </w:p>
        </w:tc>
      </w:tr>
      <w:tr w:rsidR="009F6E91" w:rsidRPr="00D427D8" w14:paraId="5BEEBA2E" w14:textId="77777777" w:rsidTr="007B236A">
        <w:tc>
          <w:tcPr>
            <w:tcW w:w="338" w:type="pct"/>
            <w:tcBorders>
              <w:bottom w:val="single" w:sz="12" w:space="0" w:color="auto"/>
            </w:tcBorders>
          </w:tcPr>
          <w:p w14:paraId="5463E307" w14:textId="77777777" w:rsidR="009F6E91" w:rsidRPr="00D427D8" w:rsidRDefault="009F6E91" w:rsidP="00842754">
            <w:pPr>
              <w:spacing w:before="40" w:after="40"/>
              <w:rPr>
                <w:szCs w:val="19"/>
              </w:rPr>
            </w:pPr>
            <w:r w:rsidRPr="00D427D8">
              <w:rPr>
                <w:szCs w:val="19"/>
              </w:rPr>
              <w:t>+</w:t>
            </w:r>
          </w:p>
        </w:tc>
        <w:tc>
          <w:tcPr>
            <w:tcW w:w="4662" w:type="pct"/>
            <w:tcBorders>
              <w:bottom w:val="single" w:sz="12" w:space="0" w:color="auto"/>
            </w:tcBorders>
          </w:tcPr>
          <w:p w14:paraId="1709542B" w14:textId="251AA2F8" w:rsidR="009F6E91" w:rsidRPr="00D427D8" w:rsidRDefault="009F6E91" w:rsidP="00E85414">
            <w:pPr>
              <w:spacing w:before="40" w:after="40"/>
              <w:rPr>
                <w:szCs w:val="19"/>
              </w:rPr>
            </w:pPr>
            <w:r w:rsidRPr="00D427D8">
              <w:rPr>
                <w:szCs w:val="19"/>
              </w:rPr>
              <w:t>At the first</w:t>
            </w:r>
            <w:r w:rsidR="002448A7">
              <w:rPr>
                <w:szCs w:val="19"/>
              </w:rPr>
              <w:t xml:space="preserve"> </w:t>
            </w:r>
            <w:r w:rsidRPr="00D427D8">
              <w:rPr>
                <w:szCs w:val="19"/>
              </w:rPr>
              <w:t xml:space="preserve">Distribution Date (being the Distribution Date falling in </w:t>
            </w:r>
            <w:r w:rsidR="006F5CD6">
              <w:rPr>
                <w:szCs w:val="19"/>
              </w:rPr>
              <w:t>July 2025</w:t>
            </w:r>
            <w:r w:rsidRPr="00D427D8">
              <w:rPr>
                <w:szCs w:val="19"/>
              </w:rPr>
              <w:t>), the Senior Expenses and Interest Reserve</w:t>
            </w:r>
          </w:p>
        </w:tc>
      </w:tr>
      <w:tr w:rsidR="009F6E91" w:rsidRPr="00D427D8" w14:paraId="11847F66" w14:textId="77777777" w:rsidTr="007B236A">
        <w:tc>
          <w:tcPr>
            <w:tcW w:w="338" w:type="pct"/>
            <w:tcBorders>
              <w:top w:val="single" w:sz="12" w:space="0" w:color="auto"/>
            </w:tcBorders>
          </w:tcPr>
          <w:p w14:paraId="70695844" w14:textId="77777777" w:rsidR="009F6E91" w:rsidRPr="00D427D8" w:rsidRDefault="009F6E91" w:rsidP="00842754">
            <w:pPr>
              <w:spacing w:before="40" w:after="40"/>
              <w:rPr>
                <w:szCs w:val="19"/>
              </w:rPr>
            </w:pPr>
            <w:r w:rsidRPr="00D427D8">
              <w:rPr>
                <w:szCs w:val="19"/>
              </w:rPr>
              <w:t>=</w:t>
            </w:r>
          </w:p>
        </w:tc>
        <w:tc>
          <w:tcPr>
            <w:tcW w:w="4662" w:type="pct"/>
            <w:tcBorders>
              <w:top w:val="single" w:sz="12" w:space="0" w:color="auto"/>
            </w:tcBorders>
          </w:tcPr>
          <w:p w14:paraId="146C1594" w14:textId="77777777" w:rsidR="009F6E91" w:rsidRPr="00D427D8" w:rsidRDefault="009F6E91" w:rsidP="00842754">
            <w:pPr>
              <w:spacing w:before="40" w:after="40"/>
              <w:rPr>
                <w:b/>
                <w:szCs w:val="19"/>
              </w:rPr>
            </w:pPr>
            <w:r w:rsidRPr="00D427D8">
              <w:rPr>
                <w:b/>
                <w:bCs/>
                <w:iCs/>
                <w:szCs w:val="19"/>
              </w:rPr>
              <w:t>Available Interest Distribution Amount</w:t>
            </w:r>
          </w:p>
        </w:tc>
      </w:tr>
    </w:tbl>
    <w:p w14:paraId="23181B1D" w14:textId="77777777" w:rsidR="009F6E91" w:rsidRPr="00D427D8" w:rsidRDefault="009F6E91" w:rsidP="00C70374">
      <w:pPr>
        <w:rPr>
          <w:rFonts w:asciiTheme="minorHAnsi" w:hAnsiTheme="minorHAnsi" w:cstheme="minorHAnsi"/>
          <w:szCs w:val="19"/>
        </w:rPr>
      </w:pPr>
    </w:p>
    <w:p w14:paraId="6ED4DDB5" w14:textId="70DB7613" w:rsidR="009F6E91" w:rsidRPr="00D427D8" w:rsidRDefault="007B236A" w:rsidP="007B236A">
      <w:pPr>
        <w:pStyle w:val="Body2"/>
      </w:pPr>
      <w:r w:rsidRPr="00D427D8">
        <w:t>For the avoidance of doubt, the Available Interest Distribution Amount cannot be higher than the Available Distribution Amount.</w:t>
      </w:r>
    </w:p>
    <w:p w14:paraId="774A4F1A" w14:textId="1F7791FB" w:rsidR="009F6E91" w:rsidRPr="00D427D8" w:rsidRDefault="007B236A" w:rsidP="007B236A">
      <w:pPr>
        <w:pStyle w:val="Body2"/>
      </w:pPr>
      <w:r w:rsidRPr="00D427D8">
        <w:t>"</w:t>
      </w:r>
      <w:r w:rsidRPr="00D427D8">
        <w:rPr>
          <w:rStyle w:val="BoldText"/>
        </w:rPr>
        <w:t>Available Principal Distribution Amount</w:t>
      </w:r>
      <w:r w:rsidRPr="00D427D8">
        <w:t>" means the amount by which the Available Distribution Amount exceeds the sum of the Available Interest Distribution Amount plus any amount standing to the credit of the Reinvestment Principal Ledger.</w:t>
      </w:r>
    </w:p>
    <w:p w14:paraId="78C99D71" w14:textId="2ABEBE21" w:rsidR="009F6E91" w:rsidRPr="00D427D8" w:rsidRDefault="009F6E91" w:rsidP="003D216D">
      <w:pPr>
        <w:pStyle w:val="SchNumber2"/>
        <w:rPr>
          <w:rStyle w:val="Heading1Text"/>
        </w:rPr>
      </w:pPr>
      <w:bookmarkStart w:id="219" w:name="_Ref158905126"/>
      <w:bookmarkStart w:id="220" w:name="_Hlk165311457"/>
      <w:bookmarkStart w:id="221" w:name="_Hlk167189148"/>
      <w:r w:rsidRPr="00D427D8">
        <w:rPr>
          <w:rStyle w:val="Heading1Text"/>
        </w:rPr>
        <w:t>Interest Priority of Payments</w:t>
      </w:r>
      <w:bookmarkEnd w:id="219"/>
    </w:p>
    <w:p w14:paraId="69A9E1C6" w14:textId="2CDA0804" w:rsidR="009F6E91" w:rsidRPr="00D427D8" w:rsidRDefault="00EF7333" w:rsidP="009F6E91">
      <w:pPr>
        <w:pStyle w:val="Body2"/>
      </w:pPr>
      <w:r w:rsidRPr="00D427D8">
        <w:t>"</w:t>
      </w:r>
      <w:r w:rsidR="009F6E91" w:rsidRPr="00D427D8">
        <w:rPr>
          <w:b/>
        </w:rPr>
        <w:t>Interest Priority of Payments</w:t>
      </w:r>
      <w:r w:rsidRPr="00D427D8">
        <w:t>"</w:t>
      </w:r>
      <w:r w:rsidR="009F6E91" w:rsidRPr="00D427D8">
        <w:t xml:space="preserve"> means the following order of priority in which the sum of the Available Interest Distribution Amount transferred in accordance with item (1</w:t>
      </w:r>
      <w:r w:rsidR="009F6E91" w:rsidRPr="00D427D8">
        <w:rPr>
          <w:vertAlign w:val="superscript"/>
        </w:rPr>
        <w:t>st</w:t>
      </w:r>
      <w:r w:rsidR="009F6E91" w:rsidRPr="00D427D8">
        <w:t>) of the Interest Priority of Payments will be applied on each Distribution Date during the Revolving Period and the Normal Amortisation Period and prior to the occurrence of an Accelerated Amortisation Event:</w:t>
      </w:r>
    </w:p>
    <w:p w14:paraId="35474E29" w14:textId="4C989907" w:rsidR="009F6E91" w:rsidRPr="00D427D8" w:rsidRDefault="007B236A" w:rsidP="007B236A">
      <w:pPr>
        <w:pStyle w:val="Body2"/>
      </w:pPr>
      <w:r w:rsidRPr="00D427D8">
        <w:rPr>
          <w:rStyle w:val="BoldText"/>
        </w:rPr>
        <w:t>(1</w:t>
      </w:r>
      <w:r w:rsidRPr="00D427D8">
        <w:rPr>
          <w:b/>
          <w:bCs/>
          <w:vertAlign w:val="superscript"/>
        </w:rPr>
        <w:t>st</w:t>
      </w:r>
      <w:r w:rsidRPr="00D427D8">
        <w:rPr>
          <w:rStyle w:val="BoldText"/>
        </w:rPr>
        <w:t>)</w:t>
      </w:r>
      <w:r w:rsidRPr="00D427D8">
        <w:rPr>
          <w:rFonts w:asciiTheme="minorHAnsi" w:hAnsiTheme="minorHAnsi" w:cstheme="minorHAnsi"/>
          <w:b/>
          <w:bCs/>
        </w:rPr>
        <w:tab/>
      </w:r>
      <w:r w:rsidRPr="00D427D8">
        <w:t>in or towards payment of amounts due and payable in respect of taxes (if any) by the Issuer.</w:t>
      </w:r>
    </w:p>
    <w:p w14:paraId="0B8E3D96" w14:textId="5F3C95D7" w:rsidR="009F6E91" w:rsidRPr="00D427D8" w:rsidRDefault="007B236A" w:rsidP="007B236A">
      <w:pPr>
        <w:pStyle w:val="Body2"/>
      </w:pPr>
      <w:r w:rsidRPr="00D427D8">
        <w:rPr>
          <w:rStyle w:val="BoldText"/>
        </w:rPr>
        <w:t>(2</w:t>
      </w:r>
      <w:r w:rsidRPr="00D427D8">
        <w:rPr>
          <w:b/>
          <w:bCs/>
          <w:vertAlign w:val="superscript"/>
        </w:rPr>
        <w:t>nd</w:t>
      </w:r>
      <w:r w:rsidRPr="00D427D8">
        <w:rPr>
          <w:rStyle w:val="BoldText"/>
        </w:rPr>
        <w:t>)</w:t>
      </w:r>
      <w:r w:rsidRPr="00D427D8">
        <w:rPr>
          <w:rFonts w:asciiTheme="minorHAnsi" w:hAnsiTheme="minorHAnsi" w:cstheme="minorHAnsi"/>
          <w:b/>
          <w:bCs/>
        </w:rPr>
        <w:tab/>
      </w:r>
      <w:r w:rsidRPr="00D427D8">
        <w:t xml:space="preserve">on a </w:t>
      </w:r>
      <w:r w:rsidRPr="00D427D8">
        <w:rPr>
          <w:i/>
          <w:iCs/>
        </w:rPr>
        <w:t xml:space="preserve">pro rata </w:t>
      </w:r>
      <w:r w:rsidRPr="00D427D8">
        <w:t xml:space="preserve">and </w:t>
      </w:r>
      <w:r w:rsidRPr="00D427D8">
        <w:rPr>
          <w:i/>
          <w:iCs/>
        </w:rPr>
        <w:t xml:space="preserve">pari passu </w:t>
      </w:r>
      <w:r w:rsidRPr="00D427D8">
        <w:t>basis according to the respective amounts thereof:</w:t>
      </w:r>
    </w:p>
    <w:p w14:paraId="6ADD49EE" w14:textId="78B45543" w:rsidR="009F6E91" w:rsidRPr="00D427D8" w:rsidRDefault="007B236A" w:rsidP="007B236A">
      <w:pPr>
        <w:pStyle w:val="Body3"/>
        <w:ind w:left="2160" w:hanging="742"/>
      </w:pPr>
      <w:r w:rsidRPr="00D427D8">
        <w:t>(1)</w:t>
      </w:r>
      <w:r w:rsidRPr="00D427D8">
        <w:rPr>
          <w:rFonts w:asciiTheme="minorHAnsi" w:hAnsiTheme="minorHAnsi" w:cstheme="minorHAnsi"/>
        </w:rPr>
        <w:tab/>
      </w:r>
      <w:r w:rsidRPr="00D427D8">
        <w:t>Fees or other remuneration and any costs, charges, liabilities and expenses incurred by and any indemnity payments due to the Collateral Agent and the ER Collateral Agent;</w:t>
      </w:r>
    </w:p>
    <w:p w14:paraId="466A1045" w14:textId="67085F82" w:rsidR="009F6E91" w:rsidRPr="00D427D8" w:rsidRDefault="007B236A" w:rsidP="007B236A">
      <w:pPr>
        <w:pStyle w:val="Body3"/>
        <w:ind w:left="2160" w:hanging="742"/>
      </w:pPr>
      <w:r w:rsidRPr="00D427D8">
        <w:t>(2)</w:t>
      </w:r>
      <w:r w:rsidRPr="00D427D8">
        <w:tab/>
        <w:t>all amounts due to the Account Bank under the Account Bank Agreement;</w:t>
      </w:r>
    </w:p>
    <w:p w14:paraId="6DFEF49D" w14:textId="3BB6191D" w:rsidR="009F6E91" w:rsidRPr="00D427D8" w:rsidRDefault="007B236A" w:rsidP="007B236A">
      <w:pPr>
        <w:pStyle w:val="Body3"/>
        <w:ind w:left="2160" w:hanging="742"/>
      </w:pPr>
      <w:r w:rsidRPr="00D427D8">
        <w:t>(3)</w:t>
      </w:r>
      <w:r w:rsidRPr="00D427D8">
        <w:tab/>
        <w:t>all amounts due to the Paying Agent, the Reporting Agent and the Calculation Agent under the Agency Agreement;</w:t>
      </w:r>
    </w:p>
    <w:p w14:paraId="68FB2B29" w14:textId="5080EC7B" w:rsidR="009F6E91" w:rsidRPr="00D427D8" w:rsidRDefault="007B236A" w:rsidP="007B236A">
      <w:pPr>
        <w:pStyle w:val="Body2"/>
      </w:pPr>
      <w:r w:rsidRPr="00D427D8">
        <w:rPr>
          <w:rStyle w:val="BoldText"/>
        </w:rPr>
        <w:t>(3</w:t>
      </w:r>
      <w:r w:rsidRPr="00D427D8">
        <w:rPr>
          <w:b/>
          <w:bCs/>
          <w:vertAlign w:val="superscript"/>
        </w:rPr>
        <w:t>rd</w:t>
      </w:r>
      <w:r w:rsidRPr="00D427D8">
        <w:rPr>
          <w:rStyle w:val="BoldText"/>
        </w:rPr>
        <w:t>)</w:t>
      </w:r>
      <w:r w:rsidRPr="00D427D8">
        <w:rPr>
          <w:rFonts w:asciiTheme="minorHAnsi" w:hAnsiTheme="minorHAnsi" w:cstheme="minorHAnsi"/>
          <w:b/>
          <w:bCs/>
        </w:rPr>
        <w:tab/>
      </w:r>
      <w:r w:rsidRPr="00D427D8">
        <w:t xml:space="preserve">on a </w:t>
      </w:r>
      <w:r w:rsidRPr="00D427D8">
        <w:rPr>
          <w:i/>
          <w:iCs/>
        </w:rPr>
        <w:t xml:space="preserve">pro rata </w:t>
      </w:r>
      <w:r w:rsidRPr="00D427D8">
        <w:t xml:space="preserve">and </w:t>
      </w:r>
      <w:r w:rsidRPr="00D427D8">
        <w:rPr>
          <w:i/>
          <w:iCs/>
        </w:rPr>
        <w:t xml:space="preserve">pari passu </w:t>
      </w:r>
      <w:r w:rsidRPr="00D427D8">
        <w:t>basis according to the respective amounts thereof:</w:t>
      </w:r>
    </w:p>
    <w:p w14:paraId="06B3B51D" w14:textId="60FE4205" w:rsidR="009F6E91" w:rsidRPr="00D427D8" w:rsidRDefault="007B236A" w:rsidP="007B236A">
      <w:pPr>
        <w:pStyle w:val="Body3"/>
        <w:ind w:left="2160" w:hanging="742"/>
      </w:pPr>
      <w:r w:rsidRPr="00D427D8">
        <w:t>(1)</w:t>
      </w:r>
      <w:r w:rsidRPr="00D427D8">
        <w:tab/>
        <w:t>any exceptional expenses which may be incurred by the Issuer and the Counterparty (including any costs in connection with taking measures in accordance with the EMIR Consent, subject to, with respect to the Issuer only, a maximum amount of such costs of EUR 1,500 per annum);</w:t>
      </w:r>
    </w:p>
    <w:p w14:paraId="3737DE9F" w14:textId="5420AEEA" w:rsidR="009F6E91" w:rsidRPr="00D427D8" w:rsidRDefault="007B236A" w:rsidP="007B236A">
      <w:pPr>
        <w:pStyle w:val="Body3"/>
        <w:ind w:left="2160" w:hanging="742"/>
      </w:pPr>
      <w:r w:rsidRPr="00D427D8">
        <w:t>(2)</w:t>
      </w:r>
      <w:r w:rsidRPr="00D427D8">
        <w:tab/>
        <w:t>all amounts due to the Corporate Services Provider and the Back-up Servicer Facilitator;</w:t>
      </w:r>
    </w:p>
    <w:p w14:paraId="75643F5E" w14:textId="1B34DFBB" w:rsidR="009F6E91" w:rsidRPr="00D427D8" w:rsidRDefault="007B236A" w:rsidP="007B236A">
      <w:pPr>
        <w:pStyle w:val="Body3"/>
        <w:ind w:left="2160" w:hanging="742"/>
      </w:pPr>
      <w:r w:rsidRPr="00D427D8">
        <w:t>(3)</w:t>
      </w:r>
      <w:r w:rsidRPr="00D427D8">
        <w:rPr>
          <w:rFonts w:asciiTheme="minorHAnsi" w:hAnsiTheme="minorHAnsi" w:cstheme="minorHAnsi"/>
        </w:rPr>
        <w:tab/>
      </w:r>
      <w:r w:rsidRPr="00D427D8">
        <w:t>all amounts due to the Data Protection Trustee under the Data Protection Agreement;</w:t>
      </w:r>
    </w:p>
    <w:p w14:paraId="21DFEF8A" w14:textId="6CCBA050" w:rsidR="009F6E91" w:rsidRPr="00D427D8" w:rsidRDefault="007B236A" w:rsidP="007B236A">
      <w:pPr>
        <w:pStyle w:val="Body2"/>
      </w:pPr>
      <w:r w:rsidRPr="00D427D8">
        <w:rPr>
          <w:rStyle w:val="BoldText"/>
        </w:rPr>
        <w:t>(4</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on a </w:t>
      </w:r>
      <w:r w:rsidRPr="00D427D8">
        <w:rPr>
          <w:i/>
          <w:iCs/>
        </w:rPr>
        <w:t xml:space="preserve">pro rata and pari passu </w:t>
      </w:r>
      <w:r w:rsidRPr="00D427D8">
        <w:t>basis according to the respective amounts thereof:</w:t>
      </w:r>
    </w:p>
    <w:p w14:paraId="26F53450" w14:textId="31BE3E6D" w:rsidR="009F6E91" w:rsidRPr="00D427D8" w:rsidRDefault="007B236A" w:rsidP="007B236A">
      <w:pPr>
        <w:pStyle w:val="Body3"/>
        <w:ind w:left="2160" w:hanging="742"/>
      </w:pPr>
      <w:r w:rsidRPr="00D427D8">
        <w:t>(1)</w:t>
      </w:r>
      <w:r w:rsidRPr="00D427D8">
        <w:tab/>
        <w:t>all amounts due to the Servicer under the Servicing Agreement and a Back-up Servicer under a back-up servicing agreement;</w:t>
      </w:r>
    </w:p>
    <w:p w14:paraId="27E496DD" w14:textId="63883691" w:rsidR="009F6E91" w:rsidRPr="00D427D8" w:rsidRDefault="007B236A" w:rsidP="007B236A">
      <w:pPr>
        <w:pStyle w:val="Body3"/>
        <w:ind w:left="2160" w:hanging="742"/>
      </w:pPr>
      <w:r w:rsidRPr="00D427D8">
        <w:lastRenderedPageBreak/>
        <w:t>(2)</w:t>
      </w:r>
      <w:r w:rsidRPr="00D427D8">
        <w:tab/>
        <w:t>all amounts due and payable to the Rating Agencies for their services in connection with the Transaction Documents and surveillance of the credit ratings;</w:t>
      </w:r>
    </w:p>
    <w:p w14:paraId="077C5FCD" w14:textId="0B339587" w:rsidR="009F6E91" w:rsidRPr="00D427D8" w:rsidRDefault="007B236A" w:rsidP="007B236A">
      <w:pPr>
        <w:pStyle w:val="Body2"/>
        <w:ind w:left="2160" w:hanging="1451"/>
      </w:pPr>
      <w:r w:rsidRPr="00D427D8">
        <w:rPr>
          <w:rStyle w:val="BoldText"/>
        </w:rPr>
        <w:t>(5</w:t>
      </w:r>
      <w:r w:rsidRPr="00D427D8">
        <w:rPr>
          <w:b/>
          <w:bCs/>
          <w:vertAlign w:val="superscript"/>
        </w:rPr>
        <w:t>th</w:t>
      </w:r>
      <w:r w:rsidRPr="00D427D8">
        <w:rPr>
          <w:rStyle w:val="BoldText"/>
        </w:rPr>
        <w:t>)</w:t>
      </w:r>
      <w:r w:rsidRPr="00D427D8">
        <w:rPr>
          <w:rFonts w:asciiTheme="minorHAnsi" w:hAnsiTheme="minorHAnsi" w:cstheme="minorHAnsi"/>
          <w:b/>
          <w:bCs/>
        </w:rPr>
        <w:tab/>
      </w:r>
      <w:r w:rsidRPr="00D427D8">
        <w:t>to pay amounts due and payable to the Counterparty (except for tax credits, returns of collateral, premiums and related interest on collateral in accordance with the Hedging Arrangement, each of which are payable outside the applicable Interest Priority of Payments, Principal Priority of Payments or Accelerated Priority of Payments) in respect of the Hedging Arrangement other than early termination amounts payable to the Counterparty under the</w:t>
      </w:r>
      <w:r w:rsidRPr="00D427D8" w:rsidDel="00CA6DAD">
        <w:t xml:space="preserve"> </w:t>
      </w:r>
      <w:r w:rsidRPr="00D427D8">
        <w:t>Hedging Arrangement where such early termination has been caused by:</w:t>
      </w:r>
    </w:p>
    <w:p w14:paraId="4973E1D6" w14:textId="16C4A0EB" w:rsidR="009F6E91" w:rsidRPr="00D427D8" w:rsidRDefault="009F6E91" w:rsidP="007B236A">
      <w:pPr>
        <w:pStyle w:val="SchNumber4"/>
      </w:pPr>
      <w:r w:rsidRPr="00D427D8">
        <w:t xml:space="preserve">an Additional Termination Event (as defined in the Hedging Arrangement) which occurs as a result of the failure of the Counterparty to comply with the requirements of a rating downgrade provision set out under the </w:t>
      </w:r>
      <w:r w:rsidR="00906C28" w:rsidRPr="00906C28">
        <w:t>Hedging Arrangement</w:t>
      </w:r>
      <w:r w:rsidRPr="00D427D8">
        <w:t>; or</w:t>
      </w:r>
    </w:p>
    <w:p w14:paraId="7DABA894" w14:textId="72CEB370" w:rsidR="009F6E91" w:rsidRPr="00D427D8" w:rsidRDefault="009F6E91" w:rsidP="007B236A">
      <w:pPr>
        <w:pStyle w:val="SchNumber4"/>
      </w:pPr>
      <w:r w:rsidRPr="00D427D8">
        <w:t>an Event of Default (as defined in the</w:t>
      </w:r>
      <w:r w:rsidRPr="00D427D8" w:rsidDel="00CA6DAD">
        <w:t xml:space="preserve"> </w:t>
      </w:r>
      <w:r w:rsidRPr="00D427D8">
        <w:t>Hedging Arrangement) (where the Counterparty is the defaulting party);</w:t>
      </w:r>
    </w:p>
    <w:p w14:paraId="3D6F2DCD" w14:textId="198CFE87" w:rsidR="009F6E91" w:rsidRPr="00D427D8" w:rsidRDefault="007B236A" w:rsidP="007B236A">
      <w:pPr>
        <w:pStyle w:val="Body2"/>
        <w:ind w:left="1440" w:hanging="731"/>
      </w:pPr>
      <w:r w:rsidRPr="00D427D8">
        <w:rPr>
          <w:rStyle w:val="BoldText"/>
        </w:rPr>
        <w:t>(6</w:t>
      </w:r>
      <w:r w:rsidRPr="00D427D8">
        <w:rPr>
          <w:b/>
          <w:bCs/>
          <w:vertAlign w:val="superscript"/>
        </w:rPr>
        <w:t>th</w:t>
      </w:r>
      <w:r w:rsidRPr="00D427D8">
        <w:rPr>
          <w:rStyle w:val="BoldText"/>
        </w:rPr>
        <w:t>)</w:t>
      </w:r>
      <w:r w:rsidRPr="00D427D8">
        <w:rPr>
          <w:rFonts w:asciiTheme="minorHAnsi" w:hAnsiTheme="minorHAnsi" w:cstheme="minorHAnsi"/>
          <w:b/>
          <w:bCs/>
        </w:rPr>
        <w:tab/>
      </w:r>
      <w:r w:rsidRPr="00D427D8">
        <w:t>to the extent the Liquidity Reserve is not used in full to cover any shortfalls under the Liquidity Reserve Items</w:t>
      </w:r>
      <w:r w:rsidRPr="00D427D8">
        <w:rPr>
          <w:bCs/>
        </w:rPr>
        <w:t xml:space="preserve"> </w:t>
      </w:r>
      <w:r w:rsidRPr="00D427D8">
        <w:t>to pay to the Reserve Account the amount, if any, required to replenish the Liquidity Reserve up to the Liquidity Reserve Target Amount;</w:t>
      </w:r>
    </w:p>
    <w:p w14:paraId="6D3CEB02" w14:textId="3E7368AB" w:rsidR="009F6E91" w:rsidRPr="00D427D8" w:rsidRDefault="007B236A" w:rsidP="007B236A">
      <w:pPr>
        <w:pStyle w:val="Body2"/>
        <w:ind w:left="1440" w:hanging="731"/>
      </w:pPr>
      <w:r w:rsidRPr="00D427D8">
        <w:rPr>
          <w:rStyle w:val="BoldText"/>
        </w:rPr>
        <w:t>(7</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A Notes Interest Amounts payable in respect of the Interest Period ending on such Distribution Date to the Class A Noteholders;</w:t>
      </w:r>
    </w:p>
    <w:p w14:paraId="5510AE40" w14:textId="1B6FD06F" w:rsidR="009F6E91" w:rsidRPr="00D427D8" w:rsidRDefault="007B236A" w:rsidP="007B236A">
      <w:pPr>
        <w:pStyle w:val="Body2"/>
        <w:ind w:left="1440" w:hanging="731"/>
      </w:pPr>
      <w:r w:rsidRPr="00D427D8">
        <w:rPr>
          <w:rStyle w:val="BoldText"/>
        </w:rPr>
        <w:t>(8</w:t>
      </w:r>
      <w:r w:rsidRPr="00D427D8">
        <w:rPr>
          <w:b/>
          <w:bCs/>
          <w:vertAlign w:val="superscript"/>
        </w:rPr>
        <w:t>th</w:t>
      </w:r>
      <w:r w:rsidRPr="00D427D8">
        <w:rPr>
          <w:rStyle w:val="BoldText"/>
        </w:rPr>
        <w:t>)</w:t>
      </w:r>
      <w:r w:rsidRPr="00D427D8">
        <w:rPr>
          <w:rFonts w:asciiTheme="minorHAnsi" w:hAnsiTheme="minorHAnsi" w:cstheme="minorHAnsi"/>
          <w:b/>
          <w:bCs/>
        </w:rPr>
        <w:tab/>
      </w:r>
      <w:r w:rsidRPr="00D427D8">
        <w:t>credit (while any Class A Notes will remain outstanding following such Distribution Date) of the Class A Principal Deficiency Sub-Ledger in an amount sufficient to eliminate any debit on the Class A Principal Deficiency Sub-Ledger (any such amounts to be applied as Available Principal Distribution Amount pursuant to the Principal Priority of Payments);</w:t>
      </w:r>
    </w:p>
    <w:p w14:paraId="7BF9B745" w14:textId="00581884" w:rsidR="009F6E91" w:rsidRPr="00D427D8" w:rsidRDefault="007B236A" w:rsidP="007B236A">
      <w:pPr>
        <w:pStyle w:val="Body2"/>
        <w:ind w:left="1440" w:hanging="731"/>
      </w:pPr>
      <w:r w:rsidRPr="00D427D8">
        <w:rPr>
          <w:rStyle w:val="BoldText"/>
        </w:rPr>
        <w:t>(9</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(i) the Class B Notes are the Most Senior Class of Notes or (ii) the amount debited on the Class B Principal Deficiency Sub-Ledger is less than 25 per cent. of the Principal Outstanding Notes Balance of the Class B Notes) to pay on a </w:t>
      </w:r>
      <w:r w:rsidRPr="00D427D8">
        <w:rPr>
          <w:i/>
        </w:rPr>
        <w:t>pro rata</w:t>
      </w:r>
      <w:r w:rsidRPr="00D427D8">
        <w:t xml:space="preserve"> and </w:t>
      </w:r>
      <w:r w:rsidRPr="00D427D8">
        <w:rPr>
          <w:i/>
        </w:rPr>
        <w:t>pari passu</w:t>
      </w:r>
      <w:r w:rsidRPr="00D427D8">
        <w:t xml:space="preserve"> basis the Class B Notes Interest Amounts payable in respect of the Interest Period ending on such Distribution Date to the Class B Noteholders;</w:t>
      </w:r>
    </w:p>
    <w:p w14:paraId="35F8D318" w14:textId="39FBD9AC" w:rsidR="009F6E91" w:rsidRPr="00D427D8" w:rsidRDefault="007B236A" w:rsidP="007B236A">
      <w:pPr>
        <w:pStyle w:val="Body2"/>
        <w:ind w:left="1440" w:hanging="731"/>
      </w:pPr>
      <w:r w:rsidRPr="00D427D8">
        <w:rPr>
          <w:rStyle w:val="BoldText"/>
        </w:rPr>
        <w:t>(10</w:t>
      </w:r>
      <w:r w:rsidRPr="00D427D8">
        <w:rPr>
          <w:b/>
          <w:bCs/>
          <w:vertAlign w:val="superscript"/>
        </w:rPr>
        <w:t>th</w:t>
      </w:r>
      <w:r w:rsidRPr="00D427D8">
        <w:rPr>
          <w:rStyle w:val="BoldText"/>
        </w:rPr>
        <w:t>)</w:t>
      </w:r>
      <w:r w:rsidRPr="00D427D8">
        <w:rPr>
          <w:rFonts w:asciiTheme="minorHAnsi" w:hAnsiTheme="minorHAnsi" w:cstheme="minorHAnsi"/>
          <w:b/>
          <w:bCs/>
        </w:rPr>
        <w:tab/>
      </w:r>
      <w:r w:rsidRPr="00D427D8">
        <w:t>credit (while any Class B Notes will remain outstanding following such Distribution Date) of the Class B Principal Deficiency Sub-Ledger in an amount sufficient to eliminate any debit on the Class B Principal Deficiency Sub-Ledger (any such amounts to be applied as Available Principal Distribution Amount pursuant to the Principal Priority of Payments);</w:t>
      </w:r>
    </w:p>
    <w:p w14:paraId="25C71178" w14:textId="5B6246AE" w:rsidR="009F6E91" w:rsidRPr="00D427D8" w:rsidRDefault="007B236A" w:rsidP="007B236A">
      <w:pPr>
        <w:pStyle w:val="Body2"/>
        <w:ind w:left="1440" w:hanging="731"/>
      </w:pPr>
      <w:r w:rsidRPr="00D427D8">
        <w:rPr>
          <w:rStyle w:val="BoldText"/>
        </w:rPr>
        <w:t>(11</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(i) the Class C Notes are the Most Senior Class of Notes or (ii) the amount debited on the Class C Principal Deficiency Sub-Ledger is less than 25 per cent. of the Principal Outstanding Notes Balance of the Class C Notes) to pay on a </w:t>
      </w:r>
      <w:r w:rsidRPr="00D427D8">
        <w:rPr>
          <w:i/>
        </w:rPr>
        <w:t>pro rata</w:t>
      </w:r>
      <w:r w:rsidRPr="00D427D8">
        <w:t xml:space="preserve"> and </w:t>
      </w:r>
      <w:r w:rsidRPr="00D427D8">
        <w:rPr>
          <w:i/>
        </w:rPr>
        <w:t>pari passu</w:t>
      </w:r>
      <w:r w:rsidRPr="00D427D8">
        <w:t xml:space="preserve"> basis the Class C Notes Interest Amounts payable in respect of the Interest Period ending on such Distribution Date to the Class C Noteholders;</w:t>
      </w:r>
    </w:p>
    <w:p w14:paraId="60F5E296" w14:textId="2E9FB236" w:rsidR="009F6E91" w:rsidRPr="00D427D8" w:rsidRDefault="007B236A" w:rsidP="007B236A">
      <w:pPr>
        <w:pStyle w:val="Body2"/>
        <w:ind w:left="1440" w:hanging="731"/>
      </w:pPr>
      <w:r w:rsidRPr="00D427D8">
        <w:rPr>
          <w:rStyle w:val="BoldText"/>
        </w:rPr>
        <w:t>(12</w:t>
      </w:r>
      <w:r w:rsidRPr="00D427D8">
        <w:rPr>
          <w:b/>
          <w:bCs/>
          <w:vertAlign w:val="superscript"/>
        </w:rPr>
        <w:t>th</w:t>
      </w:r>
      <w:r w:rsidRPr="00D427D8">
        <w:rPr>
          <w:rStyle w:val="BoldText"/>
        </w:rPr>
        <w:t>)</w:t>
      </w:r>
      <w:r w:rsidRPr="00D427D8">
        <w:rPr>
          <w:rFonts w:asciiTheme="minorHAnsi" w:hAnsiTheme="minorHAnsi" w:cstheme="minorHAnsi"/>
          <w:b/>
          <w:bCs/>
        </w:rPr>
        <w:tab/>
      </w:r>
      <w:r w:rsidRPr="00D427D8">
        <w:t>credit (while any Class C Notes will remain outstanding following such Distribution Date) of the Class C Principal Deficiency Sub-Ledger in an amount sufficient to eliminate any debit on the Class C Principal Deficiency Sub-Ledger (any such amounts to be applied as Available Principal Distribution Amount pursuant to the Principal Priority of Payments);</w:t>
      </w:r>
    </w:p>
    <w:p w14:paraId="540284F5" w14:textId="785E107A" w:rsidR="009F6E91" w:rsidRPr="00D427D8" w:rsidRDefault="007B236A" w:rsidP="007B236A">
      <w:pPr>
        <w:pStyle w:val="Body2"/>
        <w:ind w:left="1440" w:hanging="731"/>
      </w:pPr>
      <w:r w:rsidRPr="00D427D8">
        <w:rPr>
          <w:rStyle w:val="BoldText"/>
        </w:rPr>
        <w:t>(13</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(i) that the Class D Notes are the Most Senior Class of Notes or (ii) the amount debited on the Class D Principal Deficiency Sub-Ledger is less than 25 per cent. of the Principal Outstanding Notes Balance of the Class D Notes) to pay on a </w:t>
      </w:r>
      <w:r w:rsidRPr="00D427D8">
        <w:rPr>
          <w:i/>
        </w:rPr>
        <w:t>pro rata</w:t>
      </w:r>
      <w:r w:rsidRPr="00D427D8">
        <w:t xml:space="preserve"> and </w:t>
      </w:r>
      <w:r w:rsidRPr="00D427D8">
        <w:rPr>
          <w:i/>
        </w:rPr>
        <w:t>pari passu</w:t>
      </w:r>
      <w:r w:rsidRPr="00D427D8">
        <w:t xml:space="preserve"> basis the Class D Notes Interest Amounts payable in respect of the Interest Period ending on such Distribution Date to the Class D Noteholders;</w:t>
      </w:r>
    </w:p>
    <w:p w14:paraId="7FB39D7E" w14:textId="3CE11AFF" w:rsidR="009F6E91" w:rsidRPr="00D427D8" w:rsidRDefault="007B236A" w:rsidP="007B236A">
      <w:pPr>
        <w:pStyle w:val="Body2"/>
        <w:ind w:left="1440" w:hanging="731"/>
        <w:rPr>
          <w:rStyle w:val="BoldText"/>
        </w:rPr>
      </w:pPr>
      <w:r w:rsidRPr="00D427D8">
        <w:rPr>
          <w:rStyle w:val="BoldText"/>
        </w:rPr>
        <w:t>(14</w:t>
      </w:r>
      <w:r w:rsidRPr="00D427D8">
        <w:rPr>
          <w:b/>
          <w:vertAlign w:val="superscript"/>
        </w:rPr>
        <w:t>th</w:t>
      </w:r>
      <w:r w:rsidRPr="00D427D8">
        <w:rPr>
          <w:rStyle w:val="BoldText"/>
        </w:rPr>
        <w:t>)</w:t>
      </w:r>
      <w:r w:rsidRPr="00D427D8">
        <w:tab/>
        <w:t>credit (while any Class D Notes will remain outstanding following such Distribution Date) of the Class D Principal Deficiency Sub-Ledger in an amount sufficient to eliminate any debit on the Class D Principal Deficiency Sub-Ledger (any such amounts to be applied as Available Principal Distribution Amount pursuant to the Principal Priority of Payments);</w:t>
      </w:r>
    </w:p>
    <w:p w14:paraId="28ADD998" w14:textId="0C880885" w:rsidR="009F6E91" w:rsidRPr="00D427D8" w:rsidRDefault="007B236A" w:rsidP="007B236A">
      <w:pPr>
        <w:pStyle w:val="Body2"/>
        <w:ind w:left="1440" w:hanging="731"/>
      </w:pPr>
      <w:r w:rsidRPr="00D427D8">
        <w:rPr>
          <w:rStyle w:val="BoldText"/>
        </w:rPr>
        <w:lastRenderedPageBreak/>
        <w:t>(15</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(i) the Class E Notes are the Most Senior Class of Notes or (ii) the amount debited on the Class E Principal Deficiency Sub-Ledger is less than 25 per cent. of the Principal Outstanding Notes Balance of the Class E Notes) to pay on a </w:t>
      </w:r>
      <w:r w:rsidRPr="00D427D8">
        <w:rPr>
          <w:i/>
        </w:rPr>
        <w:t>pro rata</w:t>
      </w:r>
      <w:r w:rsidRPr="00D427D8">
        <w:t xml:space="preserve"> and </w:t>
      </w:r>
      <w:r w:rsidRPr="00D427D8">
        <w:rPr>
          <w:i/>
        </w:rPr>
        <w:t>pari passu</w:t>
      </w:r>
      <w:r w:rsidRPr="00D427D8">
        <w:t xml:space="preserve"> basis the Class E Notes Interest Amounts payable in respect of the Interest Period ending on such Distribution Date to the Class E Noteholders;</w:t>
      </w:r>
    </w:p>
    <w:p w14:paraId="30816892" w14:textId="198D1A7C" w:rsidR="009F6E91" w:rsidRPr="00D427D8" w:rsidRDefault="007B236A" w:rsidP="007B236A">
      <w:pPr>
        <w:pStyle w:val="Body2"/>
        <w:ind w:left="1440" w:hanging="731"/>
        <w:rPr>
          <w:rStyle w:val="BoldText"/>
        </w:rPr>
      </w:pPr>
      <w:r w:rsidRPr="00D427D8">
        <w:rPr>
          <w:rStyle w:val="BoldText"/>
        </w:rPr>
        <w:t>(16</w:t>
      </w:r>
      <w:r w:rsidRPr="00D427D8">
        <w:rPr>
          <w:b/>
          <w:vertAlign w:val="superscript"/>
        </w:rPr>
        <w:t>th</w:t>
      </w:r>
      <w:r w:rsidRPr="00D427D8">
        <w:rPr>
          <w:rStyle w:val="BoldText"/>
        </w:rPr>
        <w:t>)</w:t>
      </w:r>
      <w:r w:rsidRPr="00D427D8">
        <w:tab/>
        <w:t>credit (while any Class E Notes will remain outstanding following such Distribution Date) of the Class E Principal Deficiency Sub-Ledger in an amount sufficient to eliminate any debit on the Class E Principal Deficiency Sub-Ledger (any such amounts to be applied as Available Principal Distribution Amount pursuant to the Principal Priority of Payments);</w:t>
      </w:r>
    </w:p>
    <w:p w14:paraId="6F958666" w14:textId="52CB70AD" w:rsidR="009F6E91" w:rsidRPr="00D427D8" w:rsidRDefault="007B236A" w:rsidP="007B236A">
      <w:pPr>
        <w:pStyle w:val="Body2"/>
        <w:ind w:left="1440" w:hanging="731"/>
      </w:pPr>
      <w:r w:rsidRPr="00D427D8">
        <w:rPr>
          <w:rStyle w:val="BoldText"/>
        </w:rPr>
        <w:t>(17</w:t>
      </w:r>
      <w:r w:rsidRPr="00D427D8">
        <w:rPr>
          <w:b/>
          <w:vertAlign w:val="superscript"/>
        </w:rPr>
        <w:t>th</w:t>
      </w:r>
      <w:r w:rsidRPr="00D427D8">
        <w:rPr>
          <w:rStyle w:val="BoldText"/>
        </w:rPr>
        <w:t>)</w:t>
      </w:r>
      <w:r w:rsidRPr="00D427D8">
        <w:rPr>
          <w:rFonts w:asciiTheme="minorHAnsi" w:hAnsiTheme="minorHAnsi" w:cstheme="minorHAnsi"/>
        </w:rPr>
        <w:tab/>
      </w:r>
      <w:r w:rsidRPr="00D427D8">
        <w:rPr>
          <w:bCs/>
        </w:rPr>
        <w:t>(to the</w:t>
      </w:r>
      <w:r w:rsidRPr="00D427D8">
        <w:t xml:space="preserve"> extent that (i) the Class F Notes are the Most Senior Class of Notes or (ii) the amount debited on the Class F Principal Deficiency Sub-Ledger is less than 25 per cent. of the Principal Outstanding Notes Balance of the Class F Notes) to pay on a </w:t>
      </w:r>
      <w:r w:rsidRPr="00D427D8">
        <w:rPr>
          <w:i/>
        </w:rPr>
        <w:t>pro rata</w:t>
      </w:r>
      <w:r w:rsidRPr="00D427D8">
        <w:t xml:space="preserve"> and </w:t>
      </w:r>
      <w:r w:rsidRPr="00D427D8">
        <w:rPr>
          <w:i/>
        </w:rPr>
        <w:t>pari passu</w:t>
      </w:r>
      <w:r w:rsidRPr="00D427D8">
        <w:t xml:space="preserve"> basis the Class F Notes Interest Amounts payable in respect of the Interest Period ending on such Distribution Date to the Class F Noteholders;</w:t>
      </w:r>
    </w:p>
    <w:p w14:paraId="5651DD55" w14:textId="31324506" w:rsidR="009F6E91" w:rsidRPr="00D427D8" w:rsidRDefault="007B236A" w:rsidP="007B236A">
      <w:pPr>
        <w:pStyle w:val="Body2"/>
        <w:ind w:left="1440" w:hanging="731"/>
        <w:rPr>
          <w:rStyle w:val="BoldText"/>
        </w:rPr>
      </w:pPr>
      <w:r w:rsidRPr="00D427D8">
        <w:rPr>
          <w:rStyle w:val="BoldText"/>
        </w:rPr>
        <w:t>(18</w:t>
      </w:r>
      <w:r w:rsidRPr="00D427D8">
        <w:rPr>
          <w:b/>
          <w:vertAlign w:val="superscript"/>
        </w:rPr>
        <w:t>th</w:t>
      </w:r>
      <w:r w:rsidRPr="00D427D8">
        <w:rPr>
          <w:rStyle w:val="BoldText"/>
        </w:rPr>
        <w:t>)</w:t>
      </w:r>
      <w:r w:rsidRPr="00D427D8">
        <w:tab/>
        <w:t>credit (while any Class F Notes will remain outstanding following such Distribution Date) of the Class F Principal Deficiency Sub-Ledger in an amount sufficient to eliminate any debit on the Class F Principal Deficiency Sub-Ledger (any such amounts to be applied as Available Principal Distribution Amount pursuant to the Principal Priority of Payments);</w:t>
      </w:r>
    </w:p>
    <w:p w14:paraId="1DA4DD79" w14:textId="4B3EB44F" w:rsidR="009F6E91" w:rsidRPr="00D427D8" w:rsidRDefault="007B236A" w:rsidP="007B236A">
      <w:pPr>
        <w:pStyle w:val="Body2"/>
        <w:ind w:left="1440" w:hanging="731"/>
      </w:pPr>
      <w:r w:rsidRPr="00D427D8">
        <w:rPr>
          <w:rStyle w:val="BoldText"/>
        </w:rPr>
        <w:t>(19</w:t>
      </w:r>
      <w:r w:rsidRPr="00D427D8">
        <w:rPr>
          <w:b/>
          <w:vertAlign w:val="superscript"/>
        </w:rPr>
        <w:t>th</w:t>
      </w:r>
      <w:r w:rsidRPr="00D427D8">
        <w:rPr>
          <w:rStyle w:val="BoldText"/>
        </w:rPr>
        <w:t>)</w:t>
      </w:r>
      <w:r w:rsidRPr="00D427D8">
        <w:rPr>
          <w:rFonts w:asciiTheme="minorHAnsi" w:hAnsiTheme="minorHAnsi" w:cstheme="minorHAnsi"/>
        </w:rPr>
        <w:tab/>
      </w:r>
      <w:r w:rsidRPr="00D427D8">
        <w:t xml:space="preserve">(so long as the Class G Principal Deficiency Sub-Ledger is not in debit) to pay on a </w:t>
      </w:r>
      <w:r w:rsidRPr="00D427D8">
        <w:rPr>
          <w:i/>
        </w:rPr>
        <w:t>pro rata</w:t>
      </w:r>
      <w:r w:rsidRPr="00D427D8">
        <w:t xml:space="preserve"> and </w:t>
      </w:r>
      <w:r w:rsidRPr="00D427D8">
        <w:rPr>
          <w:i/>
        </w:rPr>
        <w:t xml:space="preserve">pari passu </w:t>
      </w:r>
      <w:r w:rsidRPr="00D427D8">
        <w:t>basis the Class G Notes Interest Amounts payable in respect of the Interest Period ending on such Distribution Date to the Class G Noteholders;</w:t>
      </w:r>
    </w:p>
    <w:p w14:paraId="58D12B65" w14:textId="0A7A0DE0" w:rsidR="009F6E91" w:rsidRPr="00D427D8" w:rsidRDefault="007B236A" w:rsidP="007B236A">
      <w:pPr>
        <w:pStyle w:val="Body2"/>
        <w:ind w:left="1440" w:hanging="731"/>
      </w:pPr>
      <w:r w:rsidRPr="00D427D8">
        <w:rPr>
          <w:rStyle w:val="BoldText"/>
        </w:rPr>
        <w:t>(20</w:t>
      </w:r>
      <w:r w:rsidRPr="00D427D8">
        <w:rPr>
          <w:b/>
          <w:vertAlign w:val="superscript"/>
        </w:rPr>
        <w:t>th</w:t>
      </w:r>
      <w:r w:rsidRPr="00D427D8">
        <w:rPr>
          <w:rStyle w:val="BoldText"/>
        </w:rPr>
        <w:t>)</w:t>
      </w:r>
      <w:r w:rsidRPr="00D427D8">
        <w:tab/>
        <w:t>credit (while any Class G Notes will remain outstanding following such Distribution Date) of the Class G Principal Deficiency Sub-Ledger in an amount sufficient to eliminate any debit on the Class G Principal Deficiency Sub-Ledger (any such amounts to be applied as Available Principal Distribution Amount pursuant to the Principal Priority of Payments);</w:t>
      </w:r>
    </w:p>
    <w:p w14:paraId="6B7AA39F" w14:textId="3F145045" w:rsidR="009F6E91" w:rsidRPr="00D427D8" w:rsidRDefault="007B236A" w:rsidP="007B236A">
      <w:pPr>
        <w:pStyle w:val="Body2"/>
        <w:ind w:left="1440" w:hanging="731"/>
      </w:pPr>
      <w:r w:rsidRPr="00D427D8">
        <w:rPr>
          <w:rStyle w:val="BoldText"/>
        </w:rPr>
        <w:t>(21</w:t>
      </w:r>
      <w:r w:rsidRPr="00D427D8">
        <w:rPr>
          <w:b/>
          <w:vertAlign w:val="superscript"/>
        </w:rPr>
        <w:t>st</w:t>
      </w:r>
      <w:r w:rsidRPr="00D427D8">
        <w:rPr>
          <w:rStyle w:val="BoldText"/>
        </w:rPr>
        <w:t>)</w:t>
      </w:r>
      <w:r w:rsidRPr="00D427D8">
        <w:rPr>
          <w:rFonts w:asciiTheme="minorHAnsi" w:hAnsiTheme="minorHAnsi" w:cstheme="minorHAnsi"/>
        </w:rPr>
        <w:tab/>
      </w:r>
      <w:r w:rsidRPr="00D427D8">
        <w:t xml:space="preserve">payment on a </w:t>
      </w:r>
      <w:r w:rsidRPr="00D427D8">
        <w:rPr>
          <w:i/>
        </w:rPr>
        <w:t>pari passu</w:t>
      </w:r>
      <w:r w:rsidRPr="00D427D8">
        <w:t xml:space="preserve"> and </w:t>
      </w:r>
      <w:r w:rsidRPr="00D427D8">
        <w:rPr>
          <w:i/>
        </w:rPr>
        <w:t>pro rata</w:t>
      </w:r>
      <w:r w:rsidRPr="00D427D8">
        <w:t xml:space="preserve"> basis of the Class B Notes Interest Amounts payable in respect of the Class B Notes (to the extent not already paid in accordance with item (9</w:t>
      </w:r>
      <w:r w:rsidRPr="00D427D8">
        <w:rPr>
          <w:vertAlign w:val="superscript"/>
        </w:rPr>
        <w:t>th</w:t>
      </w:r>
      <w:r w:rsidRPr="00D427D8">
        <w:t>) above);</w:t>
      </w:r>
    </w:p>
    <w:p w14:paraId="5AE3F41C" w14:textId="125C9C73" w:rsidR="009F6E91" w:rsidRPr="00D427D8" w:rsidRDefault="007B236A" w:rsidP="007B236A">
      <w:pPr>
        <w:pStyle w:val="Body2"/>
        <w:ind w:left="1440" w:hanging="731"/>
      </w:pPr>
      <w:r w:rsidRPr="00D427D8">
        <w:rPr>
          <w:rStyle w:val="BoldText"/>
        </w:rPr>
        <w:t>(22</w:t>
      </w:r>
      <w:r w:rsidRPr="00D427D8">
        <w:rPr>
          <w:b/>
          <w:vertAlign w:val="superscript"/>
        </w:rPr>
        <w:t>nd</w:t>
      </w:r>
      <w:r w:rsidRPr="00D427D8">
        <w:rPr>
          <w:rStyle w:val="BoldText"/>
        </w:rPr>
        <w:t>)</w:t>
      </w:r>
      <w:r w:rsidRPr="00D427D8">
        <w:tab/>
        <w:t xml:space="preserve">payment on a </w:t>
      </w:r>
      <w:r w:rsidRPr="00D427D8">
        <w:rPr>
          <w:i/>
        </w:rPr>
        <w:t>pari passu</w:t>
      </w:r>
      <w:r w:rsidRPr="00D427D8">
        <w:t xml:space="preserve"> and </w:t>
      </w:r>
      <w:r w:rsidRPr="00D427D8">
        <w:rPr>
          <w:i/>
        </w:rPr>
        <w:t>pro rata</w:t>
      </w:r>
      <w:r w:rsidRPr="00D427D8">
        <w:t xml:space="preserve"> basis of the Class C Notes Interest Amounts payable in respect of the Class C Notes (to the extent not already paid in accordance with item (11</w:t>
      </w:r>
      <w:r w:rsidRPr="00D427D8">
        <w:rPr>
          <w:vertAlign w:val="superscript"/>
        </w:rPr>
        <w:t>th</w:t>
      </w:r>
      <w:r w:rsidRPr="00D427D8">
        <w:t>) above);</w:t>
      </w:r>
    </w:p>
    <w:p w14:paraId="7618BEFE" w14:textId="5B6E35F8" w:rsidR="009F6E91" w:rsidRPr="00D427D8" w:rsidRDefault="007B236A" w:rsidP="007B236A">
      <w:pPr>
        <w:pStyle w:val="Body2"/>
        <w:ind w:left="1440" w:hanging="731"/>
      </w:pPr>
      <w:r w:rsidRPr="00D427D8">
        <w:rPr>
          <w:rStyle w:val="BoldText"/>
        </w:rPr>
        <w:t>(23</w:t>
      </w:r>
      <w:r w:rsidRPr="00D427D8">
        <w:rPr>
          <w:b/>
          <w:vertAlign w:val="superscript"/>
        </w:rPr>
        <w:t>rd</w:t>
      </w:r>
      <w:r w:rsidRPr="00D427D8">
        <w:rPr>
          <w:rStyle w:val="BoldText"/>
        </w:rPr>
        <w:t>)</w:t>
      </w:r>
      <w:r w:rsidRPr="00D427D8">
        <w:rPr>
          <w:rFonts w:asciiTheme="minorHAnsi" w:hAnsiTheme="minorHAnsi" w:cstheme="minorHAnsi"/>
          <w:b/>
        </w:rPr>
        <w:tab/>
      </w:r>
      <w:r w:rsidRPr="00D427D8">
        <w:t xml:space="preserve">payment on a </w:t>
      </w:r>
      <w:r w:rsidRPr="00D427D8">
        <w:rPr>
          <w:i/>
        </w:rPr>
        <w:t>pari passu</w:t>
      </w:r>
      <w:r w:rsidRPr="00D427D8">
        <w:t xml:space="preserve"> and </w:t>
      </w:r>
      <w:r w:rsidRPr="00D427D8">
        <w:rPr>
          <w:i/>
        </w:rPr>
        <w:t>pro rata</w:t>
      </w:r>
      <w:r w:rsidRPr="00D427D8">
        <w:t xml:space="preserve"> basis of the Class D Notes Interest Amounts payable in respect of the Class D Notes (to the extent not already paid in accordance with item (13</w:t>
      </w:r>
      <w:r w:rsidRPr="00D427D8">
        <w:rPr>
          <w:vertAlign w:val="superscript"/>
        </w:rPr>
        <w:t>th</w:t>
      </w:r>
      <w:r w:rsidRPr="00D427D8">
        <w:t>) above);</w:t>
      </w:r>
    </w:p>
    <w:p w14:paraId="2E641AE6" w14:textId="1AFB050C" w:rsidR="009F6E91" w:rsidRPr="00D427D8" w:rsidRDefault="007B236A" w:rsidP="007B236A">
      <w:pPr>
        <w:pStyle w:val="Body2"/>
        <w:ind w:left="1440" w:hanging="731"/>
        <w:rPr>
          <w:rStyle w:val="BoldText"/>
        </w:rPr>
      </w:pPr>
      <w:r w:rsidRPr="00D427D8">
        <w:rPr>
          <w:rStyle w:val="BoldText"/>
        </w:rPr>
        <w:t>(24</w:t>
      </w:r>
      <w:r w:rsidRPr="00D427D8">
        <w:rPr>
          <w:b/>
          <w:vertAlign w:val="superscript"/>
        </w:rPr>
        <w:t>th</w:t>
      </w:r>
      <w:r w:rsidRPr="00D427D8">
        <w:rPr>
          <w:rStyle w:val="BoldText"/>
        </w:rPr>
        <w:t>)</w:t>
      </w:r>
      <w:r w:rsidRPr="00D427D8">
        <w:rPr>
          <w:rFonts w:asciiTheme="minorHAnsi" w:hAnsiTheme="minorHAnsi" w:cstheme="minorHAnsi"/>
          <w:b/>
        </w:rPr>
        <w:tab/>
      </w:r>
      <w:r w:rsidRPr="00D427D8">
        <w:t xml:space="preserve">payment on a </w:t>
      </w:r>
      <w:r w:rsidRPr="00D427D8">
        <w:rPr>
          <w:i/>
        </w:rPr>
        <w:t>pari passu</w:t>
      </w:r>
      <w:r w:rsidRPr="00D427D8">
        <w:t xml:space="preserve"> and </w:t>
      </w:r>
      <w:r w:rsidRPr="00D427D8">
        <w:rPr>
          <w:i/>
        </w:rPr>
        <w:t>pro rata</w:t>
      </w:r>
      <w:r w:rsidRPr="00D427D8">
        <w:t xml:space="preserve"> basis of the Class E Notes Interest Amounts payable in respect of the Class E Notes (to the extent not already paid in accordance with item (15</w:t>
      </w:r>
      <w:r w:rsidRPr="00D427D8">
        <w:rPr>
          <w:vertAlign w:val="superscript"/>
        </w:rPr>
        <w:t>th</w:t>
      </w:r>
      <w:r w:rsidRPr="00D427D8">
        <w:t>) above);</w:t>
      </w:r>
    </w:p>
    <w:p w14:paraId="5168B083" w14:textId="45EDB87B" w:rsidR="009F6E91" w:rsidRPr="00D427D8" w:rsidRDefault="007B236A" w:rsidP="007B236A">
      <w:pPr>
        <w:pStyle w:val="Body2"/>
        <w:ind w:left="1440" w:hanging="731"/>
      </w:pPr>
      <w:r w:rsidRPr="00D427D8">
        <w:rPr>
          <w:rStyle w:val="BoldText"/>
        </w:rPr>
        <w:t>(25</w:t>
      </w:r>
      <w:r w:rsidRPr="00D427D8">
        <w:rPr>
          <w:b/>
          <w:vertAlign w:val="superscript"/>
        </w:rPr>
        <w:t>th</w:t>
      </w:r>
      <w:r w:rsidRPr="00D427D8">
        <w:rPr>
          <w:rStyle w:val="BoldText"/>
        </w:rPr>
        <w:t>)</w:t>
      </w:r>
      <w:r w:rsidRPr="00D427D8">
        <w:rPr>
          <w:rFonts w:asciiTheme="minorHAnsi" w:hAnsiTheme="minorHAnsi" w:cstheme="minorHAnsi"/>
          <w:b/>
        </w:rPr>
        <w:tab/>
      </w:r>
      <w:r w:rsidRPr="00D427D8">
        <w:t xml:space="preserve">payment on a </w:t>
      </w:r>
      <w:r w:rsidRPr="00D427D8">
        <w:rPr>
          <w:i/>
        </w:rPr>
        <w:t>pari passu</w:t>
      </w:r>
      <w:r w:rsidRPr="00D427D8">
        <w:t xml:space="preserve"> and </w:t>
      </w:r>
      <w:r w:rsidRPr="00D427D8">
        <w:rPr>
          <w:i/>
        </w:rPr>
        <w:t>pro rata</w:t>
      </w:r>
      <w:r w:rsidRPr="00D427D8">
        <w:t xml:space="preserve"> basis of the Class F Notes Interest Amounts payable in respect of the Class F Notes (to the extent not already paid in accordance with item (17</w:t>
      </w:r>
      <w:r w:rsidRPr="00D427D8">
        <w:rPr>
          <w:vertAlign w:val="superscript"/>
        </w:rPr>
        <w:t>th</w:t>
      </w:r>
      <w:r w:rsidRPr="00D427D8">
        <w:t>) above);</w:t>
      </w:r>
    </w:p>
    <w:p w14:paraId="38486BF4" w14:textId="2F7587BB" w:rsidR="009F6E91" w:rsidRPr="00D427D8" w:rsidRDefault="007B236A" w:rsidP="007B236A">
      <w:pPr>
        <w:pStyle w:val="Body2"/>
        <w:ind w:left="1440" w:hanging="731"/>
      </w:pPr>
      <w:r w:rsidRPr="00D427D8">
        <w:rPr>
          <w:rStyle w:val="BoldText"/>
        </w:rPr>
        <w:t>(26</w:t>
      </w:r>
      <w:r w:rsidRPr="00D427D8">
        <w:rPr>
          <w:b/>
          <w:vertAlign w:val="superscript"/>
        </w:rPr>
        <w:t>th</w:t>
      </w:r>
      <w:r w:rsidRPr="00D427D8">
        <w:rPr>
          <w:rStyle w:val="BoldText"/>
        </w:rPr>
        <w:t>)</w:t>
      </w:r>
      <w:r w:rsidRPr="00D427D8">
        <w:rPr>
          <w:rFonts w:asciiTheme="minorHAnsi" w:hAnsiTheme="minorHAnsi" w:cstheme="minorHAnsi"/>
          <w:b/>
        </w:rPr>
        <w:tab/>
      </w:r>
      <w:r w:rsidRPr="00D427D8">
        <w:t xml:space="preserve">payment on a </w:t>
      </w:r>
      <w:r w:rsidRPr="00D427D8">
        <w:rPr>
          <w:i/>
        </w:rPr>
        <w:t>pari passu</w:t>
      </w:r>
      <w:r w:rsidRPr="00D427D8">
        <w:t xml:space="preserve"> and </w:t>
      </w:r>
      <w:r w:rsidRPr="00D427D8">
        <w:rPr>
          <w:i/>
        </w:rPr>
        <w:t>pro rata</w:t>
      </w:r>
      <w:r w:rsidRPr="00D427D8">
        <w:t xml:space="preserve"> basis of the Class G Notes Interest Amounts payable in respect of the Class G Notes (to the extent not already paid in accordance with item (19</w:t>
      </w:r>
      <w:r w:rsidRPr="00D427D8">
        <w:rPr>
          <w:vertAlign w:val="superscript"/>
        </w:rPr>
        <w:t>th</w:t>
      </w:r>
      <w:r w:rsidRPr="00D427D8">
        <w:t>) above);</w:t>
      </w:r>
    </w:p>
    <w:p w14:paraId="4D624BBA" w14:textId="17AD94DD" w:rsidR="009F6E91" w:rsidRPr="00D427D8" w:rsidRDefault="007B236A" w:rsidP="007B236A">
      <w:pPr>
        <w:pStyle w:val="Body2"/>
        <w:ind w:left="1440" w:hanging="731"/>
      </w:pPr>
      <w:r w:rsidRPr="00D427D8">
        <w:rPr>
          <w:rStyle w:val="BoldText"/>
        </w:rPr>
        <w:t>(27</w:t>
      </w:r>
      <w:r w:rsidRPr="00D427D8">
        <w:rPr>
          <w:b/>
          <w:vertAlign w:val="superscript"/>
        </w:rPr>
        <w:t>th</w:t>
      </w:r>
      <w:r w:rsidRPr="00D427D8">
        <w:rPr>
          <w:rStyle w:val="BoldText"/>
        </w:rPr>
        <w:t>)</w:t>
      </w:r>
      <w:r w:rsidRPr="00D427D8">
        <w:rPr>
          <w:rFonts w:asciiTheme="minorHAnsi" w:hAnsiTheme="minorHAnsi" w:cstheme="minorHAnsi"/>
          <w:b/>
        </w:rPr>
        <w:tab/>
      </w:r>
      <w:r w:rsidRPr="00D427D8">
        <w:t>to pay any other amount due and payable to the Counterparty under the Hedging Arrangement (including the early termination amounts referred to at the end of item (5</w:t>
      </w:r>
      <w:r w:rsidRPr="00D427D8">
        <w:rPr>
          <w:vertAlign w:val="superscript"/>
        </w:rPr>
        <w:t>th</w:t>
      </w:r>
      <w:r w:rsidRPr="00D427D8">
        <w:t>)), and any amounts not already paid including costs in connection with taking measures in accordance with the EMIR Consent, not already paid in accordance with the Senior Expenses, except for collateral, premiums, and related interest on collateral in accordance with the Hedging Arrangement which are payable outside the applicable Interest Priority of Payments, Principal Priority of Payments or Accelerated Priority of Payments;</w:t>
      </w:r>
    </w:p>
    <w:p w14:paraId="4F00017A" w14:textId="3AB7AE62" w:rsidR="009F6E91" w:rsidRPr="00D427D8" w:rsidRDefault="007B236A" w:rsidP="007B236A">
      <w:pPr>
        <w:pStyle w:val="Body2"/>
        <w:ind w:left="1440" w:hanging="731"/>
      </w:pPr>
      <w:r w:rsidRPr="00D427D8">
        <w:rPr>
          <w:rStyle w:val="BoldText"/>
        </w:rPr>
        <w:lastRenderedPageBreak/>
        <w:t>(28</w:t>
      </w:r>
      <w:r w:rsidRPr="00D427D8">
        <w:rPr>
          <w:b/>
          <w:vertAlign w:val="superscript"/>
        </w:rPr>
        <w:t>th</w:t>
      </w:r>
      <w:r w:rsidRPr="00D427D8">
        <w:rPr>
          <w:rStyle w:val="BoldText"/>
        </w:rPr>
        <w:t>)</w:t>
      </w:r>
      <w:r w:rsidRPr="00D427D8">
        <w:rPr>
          <w:rFonts w:asciiTheme="minorHAnsi" w:hAnsiTheme="minorHAnsi" w:cstheme="minorHAnsi"/>
          <w:b/>
        </w:rPr>
        <w:tab/>
      </w:r>
      <w:r w:rsidRPr="00D427D8">
        <w:t>other amounts owed by the Issuer under the Transaction Documents;</w:t>
      </w:r>
    </w:p>
    <w:p w14:paraId="4E45762B" w14:textId="6F4DDF8D" w:rsidR="009F6E91" w:rsidRPr="00D427D8" w:rsidRDefault="007B236A" w:rsidP="007B236A">
      <w:pPr>
        <w:pStyle w:val="Body2"/>
        <w:ind w:left="1440" w:hanging="731"/>
      </w:pPr>
      <w:r w:rsidRPr="00D427D8">
        <w:rPr>
          <w:rStyle w:val="BoldText"/>
        </w:rPr>
        <w:t>(29</w:t>
      </w:r>
      <w:r w:rsidRPr="00D427D8">
        <w:rPr>
          <w:b/>
          <w:vertAlign w:val="superscript"/>
        </w:rPr>
        <w:t>th</w:t>
      </w:r>
      <w:r w:rsidRPr="00D427D8">
        <w:rPr>
          <w:rStyle w:val="BoldText"/>
        </w:rPr>
        <w:t>)</w:t>
      </w:r>
      <w:r w:rsidRPr="00D427D8">
        <w:rPr>
          <w:rFonts w:asciiTheme="minorHAnsi" w:hAnsiTheme="minorHAnsi" w:cstheme="minorHAnsi"/>
          <w:b/>
        </w:rPr>
        <w:tab/>
      </w:r>
      <w:r w:rsidRPr="00D427D8">
        <w:t>to repay to the Subordinated Lender whole or part of the principal of the Subordinated Loan;</w:t>
      </w:r>
    </w:p>
    <w:p w14:paraId="59D32916" w14:textId="22AC632E" w:rsidR="009F6E91" w:rsidRPr="00D427D8" w:rsidRDefault="007B236A" w:rsidP="007B236A">
      <w:pPr>
        <w:pStyle w:val="Body2"/>
        <w:ind w:left="1440" w:hanging="731"/>
      </w:pPr>
      <w:r w:rsidRPr="00D427D8">
        <w:rPr>
          <w:rStyle w:val="BoldText"/>
        </w:rPr>
        <w:t>(30</w:t>
      </w:r>
      <w:r w:rsidRPr="00D427D8">
        <w:rPr>
          <w:b/>
          <w:vertAlign w:val="superscript"/>
        </w:rPr>
        <w:t>th</w:t>
      </w:r>
      <w:r w:rsidRPr="00D427D8">
        <w:rPr>
          <w:rStyle w:val="BoldText"/>
        </w:rPr>
        <w:t>)</w:t>
      </w:r>
      <w:r w:rsidRPr="00D427D8">
        <w:tab/>
        <w:t>to pay to the Subordinated Lender accrued but unpaid interest in respect of the Subordinated Loan;</w:t>
      </w:r>
    </w:p>
    <w:p w14:paraId="14DC0630" w14:textId="13F779CF" w:rsidR="009F6E91" w:rsidRPr="00D427D8" w:rsidRDefault="007B236A" w:rsidP="007B236A">
      <w:pPr>
        <w:pStyle w:val="Body2"/>
        <w:ind w:left="1440" w:hanging="731"/>
      </w:pPr>
      <w:r w:rsidRPr="00D427D8">
        <w:rPr>
          <w:rStyle w:val="BoldText"/>
        </w:rPr>
        <w:t>(31</w:t>
      </w:r>
      <w:r w:rsidRPr="00D427D8">
        <w:rPr>
          <w:b/>
          <w:vertAlign w:val="superscript"/>
        </w:rPr>
        <w:t>st</w:t>
      </w:r>
      <w:r w:rsidRPr="00D427D8">
        <w:rPr>
          <w:rStyle w:val="BoldText"/>
        </w:rPr>
        <w:t>)</w:t>
      </w:r>
      <w:r w:rsidRPr="00D427D8">
        <w:tab/>
        <w:t>to pay any Excess Spread to the Seller under the Lease Receivables Purchase Agreement,</w:t>
      </w:r>
    </w:p>
    <w:p w14:paraId="57E62711" w14:textId="77777777" w:rsidR="009F6E91" w:rsidRPr="00D427D8" w:rsidRDefault="009F6E91" w:rsidP="009F6E91">
      <w:pPr>
        <w:pStyle w:val="Body2"/>
      </w:pPr>
      <w:r w:rsidRPr="00D427D8">
        <w:rPr>
          <w:i/>
        </w:rPr>
        <w:t>provided that</w:t>
      </w:r>
      <w:r w:rsidRPr="00D427D8">
        <w:t xml:space="preserve"> the Principal Additional Amounts shall be applied towards the Principal Deficiency Items only.</w:t>
      </w:r>
    </w:p>
    <w:p w14:paraId="3375A9E4" w14:textId="7290B25B" w:rsidR="009F6E91" w:rsidRPr="00D427D8" w:rsidRDefault="009F6E91" w:rsidP="007B236A">
      <w:pPr>
        <w:pStyle w:val="SchNumber2"/>
        <w:rPr>
          <w:rStyle w:val="Heading1Text"/>
        </w:rPr>
      </w:pPr>
      <w:bookmarkStart w:id="222" w:name="_Hlk165316587"/>
      <w:bookmarkEnd w:id="220"/>
      <w:r w:rsidRPr="00D427D8">
        <w:rPr>
          <w:rStyle w:val="Heading1Text"/>
        </w:rPr>
        <w:t>Principal Priority of Payments</w:t>
      </w:r>
    </w:p>
    <w:p w14:paraId="44036D30" w14:textId="474DAB0B" w:rsidR="009F6E91" w:rsidRPr="00D427D8" w:rsidRDefault="003D216D" w:rsidP="003D216D">
      <w:pPr>
        <w:pStyle w:val="Body2"/>
      </w:pPr>
      <w:r w:rsidRPr="00D427D8">
        <w:rPr>
          <w:bCs/>
          <w:iCs/>
        </w:rPr>
        <w:t>"</w:t>
      </w:r>
      <w:r w:rsidRPr="00D427D8">
        <w:rPr>
          <w:rStyle w:val="BoldText"/>
        </w:rPr>
        <w:t>Principal Priority of Payments</w:t>
      </w:r>
      <w:r w:rsidRPr="00D427D8">
        <w:rPr>
          <w:bCs/>
          <w:iCs/>
        </w:rPr>
        <w:t>"</w:t>
      </w:r>
      <w:r w:rsidRPr="00D427D8">
        <w:rPr>
          <w:b/>
          <w:bCs/>
          <w:i/>
          <w:iCs/>
        </w:rPr>
        <w:t xml:space="preserve"> </w:t>
      </w:r>
      <w:r w:rsidRPr="00D427D8">
        <w:t>means the following order of priority in which the sum of the Available Principal Distribution Amount will be applied on each Distribution Date during the Revolving Period and the Normal Amortisation Period and prior to the occurrence of an Accelerated Amortisation Event, provided that, during the Normal Amortisation Period (only), the calculations of the Notes Redemption Amounts by the Issuer shall take into account whether or not a Sequential Redemption Event has occurred:</w:t>
      </w:r>
    </w:p>
    <w:p w14:paraId="5280B0B7" w14:textId="6B80DD60" w:rsidR="009F6E91" w:rsidRPr="00D427D8" w:rsidRDefault="003D216D" w:rsidP="003D216D">
      <w:pPr>
        <w:pStyle w:val="Body2"/>
        <w:ind w:left="1440" w:hanging="731"/>
      </w:pPr>
      <w:r w:rsidRPr="00D427D8">
        <w:rPr>
          <w:rStyle w:val="BoldText"/>
        </w:rPr>
        <w:t>(1</w:t>
      </w:r>
      <w:r w:rsidRPr="00D427D8">
        <w:rPr>
          <w:b/>
          <w:bCs/>
          <w:vertAlign w:val="superscript"/>
        </w:rPr>
        <w:t>st</w:t>
      </w:r>
      <w:r w:rsidRPr="00D427D8">
        <w:rPr>
          <w:rStyle w:val="BoldText"/>
        </w:rPr>
        <w:t>)</w:t>
      </w:r>
      <w:r w:rsidRPr="00D427D8">
        <w:rPr>
          <w:rFonts w:asciiTheme="minorHAnsi" w:hAnsiTheme="minorHAnsi" w:cstheme="minorHAnsi"/>
          <w:b/>
          <w:bCs/>
        </w:rPr>
        <w:tab/>
      </w:r>
      <w:r w:rsidRPr="00D427D8">
        <w:t>to withhold on the Distribution Account an amount equal to the Principal Additional Amounts to be applied to meet any Interest Deficiency up to the available Principal Additional Amounts (for application in accordance with the Interest Priority of Payments);</w:t>
      </w:r>
    </w:p>
    <w:p w14:paraId="2E083400" w14:textId="196F7190" w:rsidR="009F6E91" w:rsidRPr="00D427D8" w:rsidRDefault="003D216D" w:rsidP="003D216D">
      <w:pPr>
        <w:pStyle w:val="Body2"/>
        <w:ind w:left="1440" w:hanging="731"/>
      </w:pPr>
      <w:r w:rsidRPr="00D427D8">
        <w:rPr>
          <w:rStyle w:val="BoldText"/>
        </w:rPr>
        <w:t>(2</w:t>
      </w:r>
      <w:r w:rsidRPr="00D427D8">
        <w:rPr>
          <w:b/>
          <w:vertAlign w:val="superscript"/>
        </w:rPr>
        <w:t>nd</w:t>
      </w:r>
      <w:r w:rsidRPr="00D427D8">
        <w:rPr>
          <w:rStyle w:val="BoldText"/>
        </w:rPr>
        <w:t>)</w:t>
      </w:r>
      <w:r w:rsidRPr="00D427D8">
        <w:rPr>
          <w:rFonts w:asciiTheme="minorHAnsi" w:hAnsiTheme="minorHAnsi" w:cstheme="minorHAnsi"/>
          <w:b/>
        </w:rPr>
        <w:tab/>
      </w:r>
      <w:r w:rsidRPr="00D427D8">
        <w:t>during the Revolving Period only, towards payment of the Further Purchase Price of the relevant Further Lease Receivables and Further Expectancy Rights purchased on such Distribution Date;</w:t>
      </w:r>
    </w:p>
    <w:p w14:paraId="0BBF9D79" w14:textId="4A61B79E" w:rsidR="009F6E91" w:rsidRPr="00D427D8" w:rsidRDefault="003D216D" w:rsidP="003D216D">
      <w:pPr>
        <w:pStyle w:val="Body2"/>
        <w:ind w:left="1440" w:hanging="731"/>
      </w:pPr>
      <w:r w:rsidRPr="00D427D8">
        <w:rPr>
          <w:rStyle w:val="BoldText"/>
        </w:rPr>
        <w:t>(3</w:t>
      </w:r>
      <w:r w:rsidRPr="00D427D8">
        <w:rPr>
          <w:b/>
          <w:vertAlign w:val="superscript"/>
        </w:rPr>
        <w:t>rd</w:t>
      </w:r>
      <w:r w:rsidRPr="00D427D8">
        <w:rPr>
          <w:rStyle w:val="BoldText"/>
        </w:rPr>
        <w:t>)</w:t>
      </w:r>
      <w:r w:rsidRPr="00D427D8">
        <w:rPr>
          <w:rFonts w:asciiTheme="minorHAnsi" w:hAnsiTheme="minorHAnsi" w:cstheme="minorHAnsi"/>
          <w:b/>
        </w:rPr>
        <w:tab/>
      </w:r>
      <w:r w:rsidRPr="00D427D8">
        <w:t>during the Revolving Period only, all remaining amounts should be applied towards the Reinvestment Principal Ledger;</w:t>
      </w:r>
    </w:p>
    <w:p w14:paraId="5108EAA5" w14:textId="3D65575D" w:rsidR="009F6E91" w:rsidRPr="00D427D8" w:rsidRDefault="003D216D" w:rsidP="003D216D">
      <w:pPr>
        <w:pStyle w:val="Body2"/>
        <w:ind w:left="1440" w:hanging="731"/>
      </w:pPr>
      <w:r w:rsidRPr="00D427D8">
        <w:rPr>
          <w:rStyle w:val="BoldText"/>
        </w:rPr>
        <w:t>(4</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A Notes Redemption Amount to the Class A Noteholders;</w:t>
      </w:r>
    </w:p>
    <w:p w14:paraId="5E1EA4EA" w14:textId="641F84D3" w:rsidR="009F6E91" w:rsidRPr="00D427D8" w:rsidRDefault="003D216D" w:rsidP="003D216D">
      <w:pPr>
        <w:pStyle w:val="Body2"/>
        <w:ind w:left="1440" w:hanging="731"/>
      </w:pPr>
      <w:r w:rsidRPr="00D427D8">
        <w:rPr>
          <w:rStyle w:val="BoldText"/>
        </w:rPr>
        <w:t>(5</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B Notes Redemption Amount to the Class B Noteholders;</w:t>
      </w:r>
    </w:p>
    <w:p w14:paraId="58A99134" w14:textId="26917FAB" w:rsidR="009F6E91" w:rsidRPr="00D427D8" w:rsidRDefault="003D216D" w:rsidP="003D216D">
      <w:pPr>
        <w:pStyle w:val="Body2"/>
        <w:ind w:left="1440" w:hanging="731"/>
      </w:pPr>
      <w:r w:rsidRPr="00D427D8">
        <w:rPr>
          <w:rStyle w:val="BoldText"/>
        </w:rPr>
        <w:t>(6</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C Notes Redemption Amount to the Class C Noteholders;</w:t>
      </w:r>
    </w:p>
    <w:p w14:paraId="7C345CD1" w14:textId="200E7104" w:rsidR="009F6E91" w:rsidRPr="00D427D8" w:rsidRDefault="003D216D" w:rsidP="003D216D">
      <w:pPr>
        <w:pStyle w:val="Body2"/>
        <w:ind w:left="1440" w:hanging="731"/>
        <w:rPr>
          <w:rStyle w:val="BoldText"/>
        </w:rPr>
      </w:pPr>
      <w:r w:rsidRPr="00D427D8">
        <w:rPr>
          <w:rStyle w:val="BoldText"/>
        </w:rPr>
        <w:t>(7</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D Notes Redemption Amount to the Class D Noteholders;</w:t>
      </w:r>
    </w:p>
    <w:p w14:paraId="7FD9B176" w14:textId="41496A0B" w:rsidR="009F6E91" w:rsidRPr="00D427D8" w:rsidRDefault="003D216D" w:rsidP="003D216D">
      <w:pPr>
        <w:pStyle w:val="Body2"/>
        <w:ind w:left="1440" w:hanging="731"/>
        <w:rPr>
          <w:rStyle w:val="BoldText"/>
        </w:rPr>
      </w:pPr>
      <w:r w:rsidRPr="00D427D8">
        <w:rPr>
          <w:rStyle w:val="BoldText"/>
        </w:rPr>
        <w:t>(8</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E Notes Redemption Amount to the Class E Noteholders;</w:t>
      </w:r>
    </w:p>
    <w:p w14:paraId="5D79FFAA" w14:textId="05E3EB04" w:rsidR="009F6E91" w:rsidRPr="00D427D8" w:rsidRDefault="003D216D" w:rsidP="003D216D">
      <w:pPr>
        <w:pStyle w:val="Body2"/>
        <w:ind w:left="1440" w:hanging="731"/>
        <w:rPr>
          <w:rStyle w:val="BoldText"/>
        </w:rPr>
      </w:pPr>
      <w:r w:rsidRPr="00D427D8">
        <w:rPr>
          <w:rStyle w:val="BoldText"/>
        </w:rPr>
        <w:t>(9</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F Notes Redemption Amount to the Class F Noteholders; and</w:t>
      </w:r>
    </w:p>
    <w:p w14:paraId="2C520A14" w14:textId="309237CD" w:rsidR="009F6E91" w:rsidRPr="00D427D8" w:rsidRDefault="003D216D" w:rsidP="003D216D">
      <w:pPr>
        <w:pStyle w:val="Body2"/>
        <w:ind w:left="1440" w:hanging="731"/>
      </w:pPr>
      <w:r w:rsidRPr="00D427D8">
        <w:rPr>
          <w:rStyle w:val="BoldText"/>
        </w:rPr>
        <w:t>(10</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G Notes Redemption Amount to the Class G Noteholders,</w:t>
      </w:r>
    </w:p>
    <w:bookmarkEnd w:id="222"/>
    <w:p w14:paraId="62597BA1" w14:textId="34175102" w:rsidR="009F6E91" w:rsidRPr="00D427D8" w:rsidRDefault="009F6E91" w:rsidP="003D216D">
      <w:pPr>
        <w:pStyle w:val="SchNumber2"/>
        <w:rPr>
          <w:rStyle w:val="Heading1Text"/>
        </w:rPr>
      </w:pPr>
      <w:r w:rsidRPr="00D427D8">
        <w:rPr>
          <w:rStyle w:val="Heading1Text"/>
        </w:rPr>
        <w:t>Accelerated Priority of Payments</w:t>
      </w:r>
    </w:p>
    <w:p w14:paraId="1DE8AB94" w14:textId="2B3217C0" w:rsidR="009F6E91" w:rsidRPr="00D427D8" w:rsidRDefault="003D216D" w:rsidP="003D216D">
      <w:pPr>
        <w:pStyle w:val="Body2"/>
      </w:pPr>
      <w:r w:rsidRPr="00D427D8">
        <w:rPr>
          <w:bCs/>
          <w:iCs/>
        </w:rPr>
        <w:t>"</w:t>
      </w:r>
      <w:r w:rsidRPr="00D427D8">
        <w:rPr>
          <w:rStyle w:val="BoldText"/>
        </w:rPr>
        <w:t>Accelerated Priority of Payments</w:t>
      </w:r>
      <w:r w:rsidRPr="00D427D8">
        <w:rPr>
          <w:bCs/>
          <w:iCs/>
        </w:rPr>
        <w:t>"</w:t>
      </w:r>
      <w:r w:rsidRPr="00D427D8">
        <w:rPr>
          <w:b/>
          <w:bCs/>
          <w:i/>
          <w:iCs/>
        </w:rPr>
        <w:t xml:space="preserve"> </w:t>
      </w:r>
      <w:r w:rsidRPr="00D427D8">
        <w:t xml:space="preserve">means the following order of priority in which the Available Distribution Amount will be applied on each Distribution Date following the occurrence of an </w:t>
      </w:r>
      <w:bookmarkStart w:id="223" w:name="_Hlk185361186"/>
      <w:r w:rsidRPr="00D427D8">
        <w:t xml:space="preserve">Accelerated Amortisation Event </w:t>
      </w:r>
      <w:bookmarkEnd w:id="223"/>
      <w:r w:rsidRPr="00D427D8">
        <w:t xml:space="preserve">and the delivery of a </w:t>
      </w:r>
      <w:bookmarkStart w:id="224" w:name="_Hlk145930112"/>
      <w:r w:rsidRPr="00D427D8">
        <w:t xml:space="preserve">Note Acceleration Notice </w:t>
      </w:r>
      <w:bookmarkEnd w:id="224"/>
      <w:r w:rsidRPr="00D427D8">
        <w:t>if an Issuer Event of Default has occurred:</w:t>
      </w:r>
    </w:p>
    <w:p w14:paraId="020B0950" w14:textId="1C4443CF" w:rsidR="009F6E91" w:rsidRPr="00D427D8" w:rsidRDefault="003D216D" w:rsidP="003D216D">
      <w:pPr>
        <w:pStyle w:val="Body2"/>
      </w:pPr>
      <w:r w:rsidRPr="00D427D8">
        <w:rPr>
          <w:rStyle w:val="BoldText"/>
        </w:rPr>
        <w:t>(1</w:t>
      </w:r>
      <w:r w:rsidRPr="00D427D8">
        <w:rPr>
          <w:b/>
          <w:bCs/>
          <w:vertAlign w:val="superscript"/>
        </w:rPr>
        <w:t>st</w:t>
      </w:r>
      <w:r w:rsidRPr="00D427D8">
        <w:rPr>
          <w:rStyle w:val="BoldText"/>
        </w:rPr>
        <w:t>)</w:t>
      </w:r>
      <w:r w:rsidRPr="00D427D8">
        <w:rPr>
          <w:rFonts w:asciiTheme="minorHAnsi" w:hAnsiTheme="minorHAnsi" w:cstheme="minorHAnsi"/>
          <w:b/>
          <w:bCs/>
        </w:rPr>
        <w:tab/>
      </w:r>
      <w:r w:rsidRPr="00D427D8">
        <w:t>in or towards payment of amounts due and payable in respect of taxes (if any) by the Issuer.</w:t>
      </w:r>
    </w:p>
    <w:p w14:paraId="7C70EC8B" w14:textId="3D46EF29" w:rsidR="009F6E91" w:rsidRPr="00D427D8" w:rsidRDefault="003D216D" w:rsidP="003D216D">
      <w:pPr>
        <w:pStyle w:val="Body2"/>
      </w:pPr>
      <w:r w:rsidRPr="00D427D8">
        <w:rPr>
          <w:rStyle w:val="BoldText"/>
        </w:rPr>
        <w:t>(2</w:t>
      </w:r>
      <w:r w:rsidRPr="00D427D8">
        <w:rPr>
          <w:b/>
          <w:bCs/>
          <w:vertAlign w:val="superscript"/>
        </w:rPr>
        <w:t>nd</w:t>
      </w:r>
      <w:r w:rsidRPr="00D427D8">
        <w:rPr>
          <w:rStyle w:val="BoldText"/>
        </w:rPr>
        <w:t>)</w:t>
      </w:r>
      <w:r w:rsidRPr="00D427D8">
        <w:rPr>
          <w:rFonts w:asciiTheme="minorHAnsi" w:hAnsiTheme="minorHAnsi" w:cstheme="minorHAnsi"/>
          <w:b/>
          <w:bCs/>
        </w:rPr>
        <w:tab/>
      </w:r>
      <w:r w:rsidRPr="00D427D8">
        <w:t xml:space="preserve">on a </w:t>
      </w:r>
      <w:r w:rsidRPr="00D427D8">
        <w:rPr>
          <w:i/>
          <w:iCs/>
        </w:rPr>
        <w:t xml:space="preserve">pro rata </w:t>
      </w:r>
      <w:r w:rsidRPr="00D427D8">
        <w:t xml:space="preserve">and </w:t>
      </w:r>
      <w:r w:rsidRPr="00D427D8">
        <w:rPr>
          <w:i/>
          <w:iCs/>
        </w:rPr>
        <w:t xml:space="preserve">pari passu </w:t>
      </w:r>
      <w:r w:rsidRPr="00D427D8">
        <w:t>basis according to the respective amounts thereof:</w:t>
      </w:r>
    </w:p>
    <w:p w14:paraId="132F9054" w14:textId="3AECB6DD" w:rsidR="009F6E91" w:rsidRPr="00D427D8" w:rsidRDefault="003D216D" w:rsidP="003D216D">
      <w:pPr>
        <w:pStyle w:val="Body3"/>
        <w:ind w:left="2160" w:hanging="742"/>
      </w:pPr>
      <w:r w:rsidRPr="00D427D8">
        <w:lastRenderedPageBreak/>
        <w:t>(1)</w:t>
      </w:r>
      <w:r w:rsidRPr="00D427D8">
        <w:rPr>
          <w:rFonts w:asciiTheme="minorHAnsi" w:hAnsiTheme="minorHAnsi" w:cstheme="minorHAnsi"/>
        </w:rPr>
        <w:tab/>
      </w:r>
      <w:r w:rsidRPr="00D427D8">
        <w:t>Fees or other remuneration and any costs, charges, liabilities and expenses incurred by and any indemnity payments due to the Collateral Agent and the ER Collateral Agent;</w:t>
      </w:r>
    </w:p>
    <w:p w14:paraId="22C0AC6D" w14:textId="7BE8BC07" w:rsidR="009F6E91" w:rsidRPr="00D427D8" w:rsidRDefault="003D216D" w:rsidP="003D216D">
      <w:pPr>
        <w:pStyle w:val="Body3"/>
        <w:ind w:left="2160" w:hanging="742"/>
      </w:pPr>
      <w:r w:rsidRPr="00D427D8">
        <w:t>(2)</w:t>
      </w:r>
      <w:r w:rsidRPr="00D427D8">
        <w:tab/>
        <w:t>all amounts due to the Account Bank under the Account Bank Agreement;</w:t>
      </w:r>
    </w:p>
    <w:p w14:paraId="54A39721" w14:textId="6AB2FF4D" w:rsidR="009F6E91" w:rsidRPr="00D427D8" w:rsidRDefault="003D216D" w:rsidP="003D216D">
      <w:pPr>
        <w:pStyle w:val="Body3"/>
        <w:ind w:left="2160" w:hanging="742"/>
      </w:pPr>
      <w:r w:rsidRPr="00D427D8">
        <w:t>(3)</w:t>
      </w:r>
      <w:r w:rsidRPr="00D427D8">
        <w:tab/>
        <w:t>all amounts due to the Paying Agent, the Reporting Agent and the Calculation Agent under the Agency Agreement;</w:t>
      </w:r>
    </w:p>
    <w:p w14:paraId="22E9BC69" w14:textId="14852354" w:rsidR="009F6E91" w:rsidRPr="00D427D8" w:rsidRDefault="003D216D" w:rsidP="003D216D">
      <w:pPr>
        <w:pStyle w:val="Body2"/>
      </w:pPr>
      <w:r w:rsidRPr="00D427D8">
        <w:rPr>
          <w:rStyle w:val="BoldText"/>
        </w:rPr>
        <w:t>(3</w:t>
      </w:r>
      <w:r w:rsidRPr="00D427D8">
        <w:rPr>
          <w:b/>
          <w:bCs/>
          <w:vertAlign w:val="superscript"/>
        </w:rPr>
        <w:t>rd</w:t>
      </w:r>
      <w:r w:rsidRPr="00D427D8">
        <w:rPr>
          <w:rStyle w:val="BoldText"/>
        </w:rPr>
        <w:t>)</w:t>
      </w:r>
      <w:r w:rsidRPr="00D427D8">
        <w:rPr>
          <w:rFonts w:asciiTheme="minorHAnsi" w:hAnsiTheme="minorHAnsi" w:cstheme="minorHAnsi"/>
          <w:b/>
          <w:bCs/>
        </w:rPr>
        <w:tab/>
      </w:r>
      <w:r w:rsidRPr="00D427D8">
        <w:t xml:space="preserve">on a </w:t>
      </w:r>
      <w:r w:rsidRPr="00D427D8">
        <w:rPr>
          <w:i/>
          <w:iCs/>
        </w:rPr>
        <w:t xml:space="preserve">pro rata </w:t>
      </w:r>
      <w:r w:rsidRPr="00D427D8">
        <w:t xml:space="preserve">and </w:t>
      </w:r>
      <w:r w:rsidRPr="00D427D8">
        <w:rPr>
          <w:i/>
          <w:iCs/>
        </w:rPr>
        <w:t xml:space="preserve">pari passu </w:t>
      </w:r>
      <w:r w:rsidRPr="00D427D8">
        <w:t>basis according to the respective amounts thereof:</w:t>
      </w:r>
    </w:p>
    <w:p w14:paraId="7BEDBF70" w14:textId="7B79DDED" w:rsidR="009F6E91" w:rsidRPr="00D427D8" w:rsidRDefault="003D216D" w:rsidP="003D216D">
      <w:pPr>
        <w:pStyle w:val="Body3"/>
        <w:ind w:left="2160" w:hanging="742"/>
      </w:pPr>
      <w:r w:rsidRPr="00D427D8">
        <w:t>(1)</w:t>
      </w:r>
      <w:r w:rsidRPr="00D427D8">
        <w:tab/>
        <w:t>exceptional expenses which may be incurred by the Issuer and the Counterparty (including any costs in connection with taking measures in accordance with the EMIR Consent, subject to, with respect to the Issuer only, a maximum amount of such costs of EUR 1,500 per annum); and</w:t>
      </w:r>
    </w:p>
    <w:p w14:paraId="6AD62DD6" w14:textId="7AA13B0E" w:rsidR="009F6E91" w:rsidRPr="00D427D8" w:rsidRDefault="003D216D" w:rsidP="003D216D">
      <w:pPr>
        <w:pStyle w:val="Body3"/>
        <w:ind w:left="2160" w:hanging="742"/>
      </w:pPr>
      <w:r w:rsidRPr="00D427D8">
        <w:t>(2)</w:t>
      </w:r>
      <w:r w:rsidRPr="00D427D8">
        <w:tab/>
        <w:t>all amounts due to the Corporate Services Provider and the Back-up Servicer Facilitator;</w:t>
      </w:r>
    </w:p>
    <w:p w14:paraId="35A95837" w14:textId="3EDFCA65" w:rsidR="009F6E91" w:rsidRPr="00D427D8" w:rsidRDefault="003D216D" w:rsidP="003D216D">
      <w:pPr>
        <w:pStyle w:val="Body3"/>
        <w:ind w:left="2160" w:hanging="742"/>
      </w:pPr>
      <w:r w:rsidRPr="00D427D8">
        <w:t>(3)</w:t>
      </w:r>
      <w:r w:rsidRPr="00D427D8">
        <w:rPr>
          <w:rFonts w:asciiTheme="minorHAnsi" w:hAnsiTheme="minorHAnsi" w:cstheme="minorHAnsi"/>
        </w:rPr>
        <w:tab/>
      </w:r>
      <w:r w:rsidRPr="00D427D8">
        <w:t>all amounts due to the Data Protection Trustee under the Data Protection Agreement;</w:t>
      </w:r>
    </w:p>
    <w:p w14:paraId="3CA9F7FE" w14:textId="2FE8F16B" w:rsidR="009F6E91" w:rsidRPr="00D427D8" w:rsidRDefault="003D216D" w:rsidP="003D216D">
      <w:pPr>
        <w:pStyle w:val="Body3"/>
        <w:ind w:left="2160" w:hanging="742"/>
      </w:pPr>
      <w:r w:rsidRPr="00D427D8">
        <w:t>(4)</w:t>
      </w:r>
      <w:r w:rsidRPr="00D427D8">
        <w:rPr>
          <w:rFonts w:asciiTheme="minorHAnsi" w:hAnsiTheme="minorHAnsi" w:cstheme="minorHAnsi"/>
        </w:rPr>
        <w:tab/>
      </w:r>
      <w:r w:rsidRPr="00D427D8">
        <w:t>all amounts due to a Receiver appointed under the Security Assignment Deed;</w:t>
      </w:r>
    </w:p>
    <w:p w14:paraId="5F9BA616" w14:textId="0A03DE52" w:rsidR="009F6E91" w:rsidRPr="00D427D8" w:rsidRDefault="003D216D" w:rsidP="003D216D">
      <w:pPr>
        <w:pStyle w:val="Body2"/>
      </w:pPr>
      <w:r w:rsidRPr="00D427D8">
        <w:rPr>
          <w:rStyle w:val="BoldText"/>
        </w:rPr>
        <w:t>(4</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on a </w:t>
      </w:r>
      <w:r w:rsidRPr="00D427D8">
        <w:rPr>
          <w:i/>
          <w:iCs/>
        </w:rPr>
        <w:t xml:space="preserve">pro rata and pari passu </w:t>
      </w:r>
      <w:r w:rsidRPr="00D427D8">
        <w:t>basis according to the respective amounts thereof:</w:t>
      </w:r>
    </w:p>
    <w:p w14:paraId="713F7986" w14:textId="4C44162F" w:rsidR="009F6E91" w:rsidRPr="00D427D8" w:rsidRDefault="003D216D" w:rsidP="003D216D">
      <w:pPr>
        <w:pStyle w:val="Body3"/>
        <w:ind w:left="2160" w:hanging="742"/>
      </w:pPr>
      <w:r w:rsidRPr="00D427D8">
        <w:t>(1)</w:t>
      </w:r>
      <w:r w:rsidRPr="00D427D8">
        <w:tab/>
        <w:t>all amounts due to the Servicer under the Servicing Agreement and a Back-up Servicer under a back-up servicing agreement;</w:t>
      </w:r>
    </w:p>
    <w:p w14:paraId="2B25FA39" w14:textId="5F454079" w:rsidR="009F6E91" w:rsidRPr="00D427D8" w:rsidRDefault="003D216D" w:rsidP="003D216D">
      <w:pPr>
        <w:pStyle w:val="Body3"/>
        <w:ind w:left="2160" w:hanging="742"/>
      </w:pPr>
      <w:r w:rsidRPr="00D427D8">
        <w:t>(2)</w:t>
      </w:r>
      <w:r w:rsidRPr="00D427D8">
        <w:tab/>
        <w:t>of all amounts due and payable to the Rating Agencies for their services in connection with the Transaction Documents and surveillance of the credit ratings;</w:t>
      </w:r>
    </w:p>
    <w:p w14:paraId="6AFD2FF3" w14:textId="43A8EF74" w:rsidR="009F6E91" w:rsidRPr="00D427D8" w:rsidRDefault="003D216D" w:rsidP="003D216D">
      <w:pPr>
        <w:pStyle w:val="Body2"/>
        <w:ind w:left="1440" w:hanging="731"/>
      </w:pPr>
      <w:r w:rsidRPr="00D427D8">
        <w:rPr>
          <w:rStyle w:val="BoldText"/>
        </w:rPr>
        <w:t>(5</w:t>
      </w:r>
      <w:r w:rsidRPr="00D427D8">
        <w:rPr>
          <w:b/>
          <w:bCs/>
          <w:vertAlign w:val="superscript"/>
        </w:rPr>
        <w:t>th</w:t>
      </w:r>
      <w:r w:rsidRPr="00D427D8">
        <w:rPr>
          <w:rStyle w:val="BoldText"/>
        </w:rPr>
        <w:t>)</w:t>
      </w:r>
      <w:r w:rsidRPr="00D427D8">
        <w:rPr>
          <w:rFonts w:asciiTheme="minorHAnsi" w:hAnsiTheme="minorHAnsi" w:cstheme="minorHAnsi"/>
          <w:b/>
          <w:bCs/>
        </w:rPr>
        <w:tab/>
      </w:r>
      <w:r w:rsidRPr="00D427D8">
        <w:t>to pay amounts due and payable to the Counterparty (except for tax credits, returns of collateral, premiums and related interest on collateral in accordance with the Hedging Arrangement, each of which are payable outside the applicable Interest Priority of Payments, Principal Priority of Payments or Accelerated Priority of Payments) in respect of the</w:t>
      </w:r>
      <w:r w:rsidRPr="00D427D8" w:rsidDel="00CA6DAD">
        <w:t xml:space="preserve"> </w:t>
      </w:r>
      <w:r w:rsidRPr="00D427D8">
        <w:t>Hedging Arrangement and other than early termination amounts payable to the Counterparty under the Hedging Arrangement where such early termination has been caused by:</w:t>
      </w:r>
    </w:p>
    <w:p w14:paraId="0E2575EA" w14:textId="74B9E0AC" w:rsidR="009F6E91" w:rsidRPr="00D427D8" w:rsidRDefault="009F6E91" w:rsidP="003D216D">
      <w:pPr>
        <w:pStyle w:val="SchNumber4"/>
      </w:pPr>
      <w:r w:rsidRPr="00D427D8">
        <w:t xml:space="preserve">an Additional Termination Event (as defined in the Hedging Arrangement) which occurs as a result of the failure of the Counterparty to comply with the requirements of a rating downgrade provision set out under the </w:t>
      </w:r>
      <w:r w:rsidR="00906C28" w:rsidRPr="00D427D8">
        <w:t>Hedging Arrangement</w:t>
      </w:r>
      <w:r w:rsidRPr="00D427D8">
        <w:t>; or</w:t>
      </w:r>
    </w:p>
    <w:p w14:paraId="4E295691" w14:textId="28175E22" w:rsidR="009F6E91" w:rsidRPr="00D427D8" w:rsidRDefault="009F6E91" w:rsidP="003D216D">
      <w:pPr>
        <w:pStyle w:val="SchNumber4"/>
      </w:pPr>
      <w:r w:rsidRPr="00D427D8">
        <w:t>an Event of Default (as defined in the</w:t>
      </w:r>
      <w:r w:rsidRPr="00D427D8" w:rsidDel="00CA6DAD">
        <w:t xml:space="preserve"> </w:t>
      </w:r>
      <w:r w:rsidRPr="00D427D8">
        <w:t>Hedging Arrangement) (where the Counterparty is the defaulting party);</w:t>
      </w:r>
    </w:p>
    <w:p w14:paraId="22EADA3C" w14:textId="479638D5" w:rsidR="009F6E91" w:rsidRPr="00D427D8" w:rsidRDefault="003D216D" w:rsidP="003D216D">
      <w:pPr>
        <w:pStyle w:val="Body2"/>
        <w:ind w:left="1440" w:hanging="731"/>
      </w:pPr>
      <w:r w:rsidRPr="00D427D8">
        <w:rPr>
          <w:rStyle w:val="BoldText"/>
        </w:rPr>
        <w:t>(6</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A Notes Interest Amounts payable in respect of the Interest Period ending on such Distribution Date to the Class A Noteholders;</w:t>
      </w:r>
    </w:p>
    <w:p w14:paraId="26C2F64E" w14:textId="205151B7" w:rsidR="009F6E91" w:rsidRPr="00D427D8" w:rsidRDefault="003D216D" w:rsidP="003D216D">
      <w:pPr>
        <w:pStyle w:val="Body2"/>
        <w:ind w:left="1440" w:hanging="731"/>
      </w:pPr>
      <w:r w:rsidRPr="00D427D8">
        <w:rPr>
          <w:rStyle w:val="BoldText"/>
        </w:rPr>
        <w:t>(7</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A Notes Redemption Amount to the Class A Noteholders until the Class A Notes are amortised in full;</w:t>
      </w:r>
    </w:p>
    <w:p w14:paraId="206FE541" w14:textId="378F2210" w:rsidR="009F6E91" w:rsidRPr="00D427D8" w:rsidRDefault="003D216D" w:rsidP="003D216D">
      <w:pPr>
        <w:pStyle w:val="Body2"/>
        <w:ind w:left="1440" w:hanging="731"/>
      </w:pPr>
      <w:r w:rsidRPr="00D427D8">
        <w:rPr>
          <w:rStyle w:val="BoldText"/>
        </w:rPr>
        <w:t>(8</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the Class B Notes are the Most Senior Class of Notes) to pay on a </w:t>
      </w:r>
      <w:r w:rsidRPr="00D427D8">
        <w:rPr>
          <w:i/>
        </w:rPr>
        <w:t>pro rata</w:t>
      </w:r>
      <w:r w:rsidRPr="00D427D8">
        <w:t xml:space="preserve"> and </w:t>
      </w:r>
      <w:r w:rsidRPr="00D427D8">
        <w:rPr>
          <w:i/>
        </w:rPr>
        <w:t>pari passu</w:t>
      </w:r>
      <w:r w:rsidRPr="00D427D8">
        <w:t xml:space="preserve"> basis the Class B Notes Interest Amounts payable in respect of the Interest Period ending on such Distribution Date to the Class B Noteholders;</w:t>
      </w:r>
    </w:p>
    <w:p w14:paraId="7FBABD0F" w14:textId="3C5D6AFA" w:rsidR="009F6E91" w:rsidRPr="00D427D8" w:rsidRDefault="003D216D" w:rsidP="003D216D">
      <w:pPr>
        <w:pStyle w:val="Body2"/>
        <w:ind w:left="1440" w:hanging="731"/>
      </w:pPr>
      <w:r w:rsidRPr="00D427D8">
        <w:rPr>
          <w:rStyle w:val="BoldText"/>
        </w:rPr>
        <w:t>(9</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B Notes Redemption Amount to the Class B Noteholders until the Class B Notes are amortised in full;</w:t>
      </w:r>
    </w:p>
    <w:p w14:paraId="39F3EF79" w14:textId="4E045257" w:rsidR="009F6E91" w:rsidRPr="00D427D8" w:rsidRDefault="003D216D" w:rsidP="003D216D">
      <w:pPr>
        <w:pStyle w:val="Body2"/>
        <w:ind w:left="1440" w:hanging="731"/>
      </w:pPr>
      <w:r w:rsidRPr="00D427D8">
        <w:rPr>
          <w:rStyle w:val="BoldText"/>
        </w:rPr>
        <w:t>(10</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the Class C Notes are the Most Senior Class of Notes) to pay on a </w:t>
      </w:r>
      <w:r w:rsidRPr="00D427D8">
        <w:rPr>
          <w:i/>
        </w:rPr>
        <w:t>pro rata</w:t>
      </w:r>
      <w:r w:rsidRPr="00D427D8">
        <w:t xml:space="preserve"> and </w:t>
      </w:r>
      <w:r w:rsidRPr="00D427D8">
        <w:rPr>
          <w:i/>
        </w:rPr>
        <w:t>pari passu</w:t>
      </w:r>
      <w:r w:rsidRPr="00D427D8">
        <w:t xml:space="preserve"> basis the Class C Notes Interest Amounts payable in respect of the Interest Period ending on such Distribution Date to the Class C Noteholders;</w:t>
      </w:r>
    </w:p>
    <w:p w14:paraId="5E36B4B8" w14:textId="5AE8B3A8" w:rsidR="009F6E91" w:rsidRPr="00D427D8" w:rsidRDefault="003D216D" w:rsidP="003D216D">
      <w:pPr>
        <w:pStyle w:val="Body2"/>
        <w:ind w:left="1440" w:hanging="731"/>
      </w:pPr>
      <w:r w:rsidRPr="00D427D8">
        <w:rPr>
          <w:rStyle w:val="BoldText"/>
        </w:rPr>
        <w:lastRenderedPageBreak/>
        <w:t>(11</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C Notes Redemption Amount to the Class C Noteholders until the Class C Notes are amortised in full;</w:t>
      </w:r>
    </w:p>
    <w:p w14:paraId="73BFE6C9" w14:textId="78F3120F" w:rsidR="009F6E91" w:rsidRPr="00D427D8" w:rsidRDefault="003D216D" w:rsidP="003D216D">
      <w:pPr>
        <w:pStyle w:val="Body2"/>
        <w:ind w:left="1440" w:hanging="731"/>
      </w:pPr>
      <w:r w:rsidRPr="00D427D8">
        <w:rPr>
          <w:rStyle w:val="BoldText"/>
        </w:rPr>
        <w:t>(12</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the Class D Notes are the Most Senior Class of Notes) to pay on a </w:t>
      </w:r>
      <w:r w:rsidRPr="00D427D8">
        <w:rPr>
          <w:i/>
        </w:rPr>
        <w:t>pro rata</w:t>
      </w:r>
      <w:r w:rsidRPr="00D427D8">
        <w:t xml:space="preserve"> and </w:t>
      </w:r>
      <w:r w:rsidRPr="00D427D8">
        <w:rPr>
          <w:i/>
        </w:rPr>
        <w:t>pari passu</w:t>
      </w:r>
      <w:r w:rsidRPr="00D427D8">
        <w:t xml:space="preserve"> basis the Class D Notes Interest Amounts payable in respect of the Interest Period ending on such Distribution Date to the Class D Noteholders;</w:t>
      </w:r>
    </w:p>
    <w:p w14:paraId="24059519" w14:textId="2B3F9435" w:rsidR="009F6E91" w:rsidRPr="00D427D8" w:rsidRDefault="003D216D" w:rsidP="003D216D">
      <w:pPr>
        <w:pStyle w:val="Body2"/>
        <w:ind w:left="1440" w:hanging="731"/>
      </w:pPr>
      <w:r w:rsidRPr="00D427D8">
        <w:rPr>
          <w:rStyle w:val="BoldText"/>
        </w:rPr>
        <w:t>(13</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D Notes Redemption Amount to the Class D Noteholders until the Class D Notes are amortised in full;</w:t>
      </w:r>
    </w:p>
    <w:p w14:paraId="05359F1A" w14:textId="4CC0E4F3" w:rsidR="009F6E91" w:rsidRPr="00D427D8" w:rsidRDefault="003D216D" w:rsidP="003D216D">
      <w:pPr>
        <w:pStyle w:val="Body2"/>
        <w:ind w:left="1440" w:hanging="731"/>
      </w:pPr>
      <w:r w:rsidRPr="00D427D8">
        <w:rPr>
          <w:rStyle w:val="BoldText"/>
        </w:rPr>
        <w:t>(14</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the Class E Notes are the Most Senior Class of Notes) to pay on a </w:t>
      </w:r>
      <w:r w:rsidRPr="00D427D8">
        <w:rPr>
          <w:i/>
        </w:rPr>
        <w:t>pro rata</w:t>
      </w:r>
      <w:r w:rsidRPr="00D427D8">
        <w:t xml:space="preserve"> and </w:t>
      </w:r>
      <w:r w:rsidRPr="00D427D8">
        <w:rPr>
          <w:i/>
        </w:rPr>
        <w:t>pari passu</w:t>
      </w:r>
      <w:r w:rsidRPr="00D427D8">
        <w:t xml:space="preserve"> basis the Class E Notes Interest Amounts payable in respect of the Interest Period ending on such Distribution Date to the Class E Noteholders;</w:t>
      </w:r>
    </w:p>
    <w:p w14:paraId="752552B4" w14:textId="70AD10B8" w:rsidR="009F6E91" w:rsidRPr="00D427D8" w:rsidRDefault="003D216D" w:rsidP="003D216D">
      <w:pPr>
        <w:pStyle w:val="Body2"/>
        <w:ind w:left="1440" w:hanging="731"/>
      </w:pPr>
      <w:r w:rsidRPr="00D427D8">
        <w:rPr>
          <w:rStyle w:val="BoldText"/>
        </w:rPr>
        <w:t>(15</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E Notes Redemption Amount to the Class E Noteholders until the Class E Notes are amortised in full;</w:t>
      </w:r>
    </w:p>
    <w:p w14:paraId="33E2AE50" w14:textId="3814FB24" w:rsidR="009F6E91" w:rsidRPr="00D427D8" w:rsidRDefault="003D216D" w:rsidP="003D216D">
      <w:pPr>
        <w:pStyle w:val="Body2"/>
        <w:ind w:left="1440" w:hanging="731"/>
      </w:pPr>
      <w:r w:rsidRPr="00D427D8">
        <w:rPr>
          <w:rStyle w:val="BoldText"/>
        </w:rPr>
        <w:t>(16</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the Class F Notes are the Most Senior Class of Notes) to pay on a </w:t>
      </w:r>
      <w:r w:rsidRPr="00D427D8">
        <w:rPr>
          <w:i/>
        </w:rPr>
        <w:t>pro rata</w:t>
      </w:r>
      <w:r w:rsidRPr="00D427D8">
        <w:t xml:space="preserve"> and </w:t>
      </w:r>
      <w:r w:rsidRPr="00D427D8">
        <w:rPr>
          <w:i/>
        </w:rPr>
        <w:t>pari passu</w:t>
      </w:r>
      <w:r w:rsidRPr="00D427D8">
        <w:t xml:space="preserve"> basis the Class F Notes Interest Amounts payable in respect of the Interest Period ending on such Distribution Date to the Class F Noteholders;</w:t>
      </w:r>
    </w:p>
    <w:p w14:paraId="1A4614B2" w14:textId="33ACEB89" w:rsidR="009F6E91" w:rsidRPr="00D427D8" w:rsidRDefault="003D216D" w:rsidP="003D216D">
      <w:pPr>
        <w:pStyle w:val="Body2"/>
        <w:ind w:left="1440" w:hanging="731"/>
      </w:pPr>
      <w:r w:rsidRPr="00D427D8">
        <w:rPr>
          <w:rStyle w:val="BoldText"/>
        </w:rPr>
        <w:t>(17</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F Notes Redemption Amount to the Class F Noteholders until the Class F Notes are amortised in full;</w:t>
      </w:r>
    </w:p>
    <w:p w14:paraId="0D94BE25" w14:textId="7B9519B9" w:rsidR="009F6E91" w:rsidRPr="00D427D8" w:rsidRDefault="003D216D" w:rsidP="003D216D">
      <w:pPr>
        <w:pStyle w:val="Body2"/>
        <w:ind w:left="1440" w:hanging="731"/>
      </w:pPr>
      <w:r w:rsidRPr="00D427D8">
        <w:rPr>
          <w:rStyle w:val="BoldText"/>
        </w:rPr>
        <w:t>(18</w:t>
      </w:r>
      <w:r w:rsidRPr="00D427D8">
        <w:rPr>
          <w:b/>
          <w:bCs/>
          <w:vertAlign w:val="superscript"/>
        </w:rPr>
        <w:t>th</w:t>
      </w:r>
      <w:r w:rsidRPr="00D427D8">
        <w:rPr>
          <w:rStyle w:val="BoldText"/>
        </w:rPr>
        <w:t>)</w:t>
      </w:r>
      <w:r w:rsidRPr="00D427D8">
        <w:rPr>
          <w:rFonts w:asciiTheme="minorHAnsi" w:hAnsiTheme="minorHAnsi" w:cstheme="minorHAnsi"/>
          <w:b/>
          <w:bCs/>
        </w:rPr>
        <w:tab/>
      </w:r>
      <w:r w:rsidRPr="00D427D8">
        <w:rPr>
          <w:bCs/>
        </w:rPr>
        <w:t>(to the</w:t>
      </w:r>
      <w:r w:rsidRPr="00D427D8">
        <w:t xml:space="preserve"> extent that the Class G Notes are the Most Senior Class of Notes) to pay on a </w:t>
      </w:r>
      <w:r w:rsidRPr="00D427D8">
        <w:rPr>
          <w:i/>
        </w:rPr>
        <w:t>pro rata</w:t>
      </w:r>
      <w:r w:rsidRPr="00D427D8">
        <w:t xml:space="preserve"> and </w:t>
      </w:r>
      <w:r w:rsidRPr="00D427D8">
        <w:rPr>
          <w:i/>
        </w:rPr>
        <w:t>pari passu</w:t>
      </w:r>
      <w:r w:rsidRPr="00D427D8">
        <w:t xml:space="preserve"> basis the Class G Notes Interest Amounts payable in respect of the Interest Period ending on such Distribution Date to the Class G Noteholders;</w:t>
      </w:r>
    </w:p>
    <w:p w14:paraId="1E4F3DE0" w14:textId="1965A50F" w:rsidR="009F6E91" w:rsidRPr="00D427D8" w:rsidRDefault="003D216D" w:rsidP="003D216D">
      <w:pPr>
        <w:pStyle w:val="Body2"/>
        <w:ind w:left="1440" w:hanging="731"/>
      </w:pPr>
      <w:r w:rsidRPr="00D427D8">
        <w:rPr>
          <w:rStyle w:val="BoldText"/>
        </w:rPr>
        <w:t>(19</w:t>
      </w:r>
      <w:r w:rsidRPr="00D427D8">
        <w:rPr>
          <w:b/>
          <w:bCs/>
          <w:vertAlign w:val="superscript"/>
        </w:rPr>
        <w:t>th</w:t>
      </w:r>
      <w:r w:rsidRPr="00D427D8">
        <w:rPr>
          <w:rStyle w:val="BoldText"/>
        </w:rPr>
        <w:t>)</w:t>
      </w:r>
      <w:r w:rsidRPr="00D427D8">
        <w:rPr>
          <w:rFonts w:asciiTheme="minorHAnsi" w:hAnsiTheme="minorHAnsi" w:cstheme="minorHAnsi"/>
          <w:b/>
          <w:bCs/>
        </w:rPr>
        <w:tab/>
      </w:r>
      <w:r w:rsidRPr="00D427D8">
        <w:t xml:space="preserve">to pay on a </w:t>
      </w:r>
      <w:r w:rsidRPr="00D427D8">
        <w:rPr>
          <w:i/>
        </w:rPr>
        <w:t>pro rata</w:t>
      </w:r>
      <w:r w:rsidRPr="00D427D8">
        <w:t xml:space="preserve"> and </w:t>
      </w:r>
      <w:r w:rsidRPr="00D427D8">
        <w:rPr>
          <w:i/>
        </w:rPr>
        <w:t>pari passu</w:t>
      </w:r>
      <w:r w:rsidRPr="00D427D8">
        <w:t xml:space="preserve"> basis the Class G Notes Redemption Amount to the Class G Noteholders until the Class G Notes are amortised in full;</w:t>
      </w:r>
    </w:p>
    <w:p w14:paraId="61058933" w14:textId="103BB646" w:rsidR="009F6E91" w:rsidRPr="00D427D8" w:rsidRDefault="003D216D" w:rsidP="003D216D">
      <w:pPr>
        <w:pStyle w:val="Body2"/>
        <w:ind w:left="1440" w:hanging="731"/>
      </w:pPr>
      <w:r w:rsidRPr="00D427D8">
        <w:rPr>
          <w:rStyle w:val="BoldText"/>
        </w:rPr>
        <w:t>(20</w:t>
      </w:r>
      <w:r w:rsidRPr="00D427D8">
        <w:rPr>
          <w:b/>
          <w:bCs/>
          <w:vertAlign w:val="superscript"/>
        </w:rPr>
        <w:t>th</w:t>
      </w:r>
      <w:r w:rsidRPr="00D427D8">
        <w:rPr>
          <w:rStyle w:val="BoldText"/>
        </w:rPr>
        <w:t>)</w:t>
      </w:r>
      <w:r w:rsidRPr="00D427D8">
        <w:rPr>
          <w:rFonts w:asciiTheme="minorHAnsi" w:hAnsiTheme="minorHAnsi" w:cstheme="minorHAnsi"/>
          <w:b/>
          <w:bCs/>
        </w:rPr>
        <w:tab/>
      </w:r>
      <w:r w:rsidRPr="00D427D8">
        <w:t>to pay any other amount due and payable to the Counterparty under the Hedging Arrangement (including the early termination amounts referred to at the end of item (5</w:t>
      </w:r>
      <w:r w:rsidRPr="00D427D8">
        <w:rPr>
          <w:vertAlign w:val="superscript"/>
        </w:rPr>
        <w:t>th</w:t>
      </w:r>
      <w:r w:rsidRPr="00D427D8">
        <w:t>)) and any amounts not already paid in accordance with the Senior Expenses; and</w:t>
      </w:r>
    </w:p>
    <w:p w14:paraId="2C6D46AA" w14:textId="26173524" w:rsidR="009F6E91" w:rsidRPr="00D427D8" w:rsidRDefault="003D216D" w:rsidP="003D216D">
      <w:pPr>
        <w:pStyle w:val="Body2"/>
        <w:ind w:left="1440" w:hanging="731"/>
        <w:rPr>
          <w:rStyle w:val="BoldText"/>
        </w:rPr>
      </w:pPr>
      <w:r w:rsidRPr="00D427D8">
        <w:rPr>
          <w:rStyle w:val="BoldText"/>
        </w:rPr>
        <w:t>(21</w:t>
      </w:r>
      <w:r w:rsidRPr="00D427D8">
        <w:rPr>
          <w:b/>
          <w:bCs/>
          <w:vertAlign w:val="superscript"/>
        </w:rPr>
        <w:t>st</w:t>
      </w:r>
      <w:r w:rsidRPr="00D427D8">
        <w:rPr>
          <w:rStyle w:val="BoldText"/>
        </w:rPr>
        <w:t>)</w:t>
      </w:r>
      <w:r w:rsidRPr="00D427D8">
        <w:rPr>
          <w:rFonts w:asciiTheme="minorHAnsi" w:hAnsiTheme="minorHAnsi" w:cstheme="minorHAnsi"/>
          <w:b/>
          <w:bCs/>
        </w:rPr>
        <w:tab/>
      </w:r>
      <w:r w:rsidRPr="00D427D8">
        <w:t>to pay to the Subordinated Lender in the following order of priority any accrued but unpaid interest on the Subordinated Loan and principal in respect of the Subordinated Loan until amortised in full.</w:t>
      </w:r>
    </w:p>
    <w:bookmarkEnd w:id="221"/>
    <w:p w14:paraId="773CB920" w14:textId="7D8B8E9E" w:rsidR="009F6E91" w:rsidRPr="00D427D8" w:rsidRDefault="009F6E91" w:rsidP="00E10CF9">
      <w:pPr>
        <w:pStyle w:val="SchNumber2"/>
        <w:rPr>
          <w:rStyle w:val="Heading1Text"/>
        </w:rPr>
      </w:pPr>
      <w:r w:rsidRPr="00D427D8">
        <w:rPr>
          <w:rStyle w:val="Heading1Text"/>
        </w:rPr>
        <w:t>CSA Account Priority of Payments</w:t>
      </w:r>
    </w:p>
    <w:p w14:paraId="6F970ADD" w14:textId="472E43C1" w:rsidR="009F6E91" w:rsidRPr="00D427D8" w:rsidRDefault="00E10CF9" w:rsidP="00E10CF9">
      <w:pPr>
        <w:pStyle w:val="Body2"/>
      </w:pPr>
      <w:r w:rsidRPr="00D427D8">
        <w:t>Any amounts standing to the credit of the CSA Account will not be available for the Issuer to make payments to the Noteholders and the other Secured Parties (except for the Counterparty) in accordance with the applicable Priority of Payments, but may be applied only in accordance with the following provisions (the "</w:t>
      </w:r>
      <w:r w:rsidRPr="00D427D8">
        <w:rPr>
          <w:rStyle w:val="BoldText"/>
        </w:rPr>
        <w:t>CSA Account Priority of Payments</w:t>
      </w:r>
      <w:r w:rsidRPr="00D427D8">
        <w:t>"):</w:t>
      </w:r>
    </w:p>
    <w:p w14:paraId="1088C570" w14:textId="53D4EEA4" w:rsidR="009F6E91" w:rsidRPr="00D427D8" w:rsidRDefault="009F6E91" w:rsidP="00E10CF9">
      <w:pPr>
        <w:pStyle w:val="SchNumber3"/>
      </w:pPr>
      <w:r w:rsidRPr="00D427D8">
        <w:t>prior to the designation of an Early Termination Date (as defined in the Hedging Arrangement) in respect of the</w:t>
      </w:r>
      <w:r w:rsidRPr="00D427D8" w:rsidDel="00CA0B89">
        <w:t xml:space="preserve"> </w:t>
      </w:r>
      <w:r w:rsidRPr="00D427D8">
        <w:t>Hedging Arrangement, solely in or towards payment or transfer of any Return Amounts, Interest Amounts and Distributions (each as defined in the credit support annex), and any return of collateral to the Counterparty upon a novation of the Counterparty</w:t>
      </w:r>
      <w:r w:rsidR="00EF7333" w:rsidRPr="00D427D8">
        <w:t>'</w:t>
      </w:r>
      <w:r w:rsidRPr="00D427D8">
        <w:t>s obligations under the</w:t>
      </w:r>
      <w:r w:rsidRPr="00D427D8" w:rsidDel="00CA0B89">
        <w:t xml:space="preserve"> </w:t>
      </w:r>
      <w:r w:rsidRPr="00D427D8">
        <w:t>Hedging Arrangement to a replacement counterparty on any day (whether or not such day is a Distribution Date), directly to the Counterparty in accordance with the terms of the respective credit support annex;</w:t>
      </w:r>
    </w:p>
    <w:p w14:paraId="6A0B049F" w14:textId="03E15303" w:rsidR="009F6E91" w:rsidRPr="00D427D8" w:rsidRDefault="009F6E91" w:rsidP="00E10CF9">
      <w:pPr>
        <w:pStyle w:val="SchNumber3"/>
      </w:pPr>
      <w:r w:rsidRPr="00D427D8">
        <w:t>upon or immediately following the designation of an Early Termination Date in respect of the</w:t>
      </w:r>
      <w:r w:rsidRPr="00D427D8" w:rsidDel="00CA0B89">
        <w:t xml:space="preserve"> </w:t>
      </w:r>
      <w:r w:rsidRPr="00D427D8">
        <w:t>Hedging Arrangement where the Issuer enters into a replacement Hedging Arrangement in respect of the Hedging Arrangement on or around the Early Termination Date of the</w:t>
      </w:r>
      <w:r w:rsidRPr="00D427D8" w:rsidDel="00CA0B89">
        <w:t xml:space="preserve"> </w:t>
      </w:r>
      <w:r w:rsidRPr="00D427D8">
        <w:t>Hedging Arrangement, on (in the case of (ii) below) the day on which such replacement Hedging Arrangement are entered into or (in the case of (i) below) on receipt of any replacement swap premium (if any) payable to the Issuer from the replacement counterparty (in each case, whether or not such day is a Distribution Date), in the following order of priority:</w:t>
      </w:r>
    </w:p>
    <w:p w14:paraId="43BD24AC" w14:textId="23831233" w:rsidR="009F6E91" w:rsidRPr="00D427D8" w:rsidRDefault="009F6E91" w:rsidP="00E10CF9">
      <w:pPr>
        <w:pStyle w:val="SchNumber4"/>
      </w:pPr>
      <w:r w:rsidRPr="00D427D8">
        <w:lastRenderedPageBreak/>
        <w:t>first, in or towards payment of any termination payment and returns of collateral due to the outgoing Counterparty under the Hedging Arrangement; and</w:t>
      </w:r>
    </w:p>
    <w:p w14:paraId="4A34BD51" w14:textId="765DEBD1" w:rsidR="009F6E91" w:rsidRPr="00D427D8" w:rsidRDefault="009F6E91" w:rsidP="00E10CF9">
      <w:pPr>
        <w:pStyle w:val="SchNumber4"/>
      </w:pPr>
      <w:r w:rsidRPr="00D427D8">
        <w:t>second, in or towards payment of any replacement swap premium (if any) payable by the Issuer to a replacement counterparty in order to enter into replacement Hedging Arrangement with the Issuer (with respect to the existing Hedging Arrangement being novated or terminated), but only up to an amount which is payable by the outgoing Counterparty as termination payment (not counting the posted collateral); and</w:t>
      </w:r>
    </w:p>
    <w:p w14:paraId="644F964E" w14:textId="043727FF" w:rsidR="009F6E91" w:rsidRPr="00D427D8" w:rsidRDefault="009F6E91" w:rsidP="00E10CF9">
      <w:pPr>
        <w:pStyle w:val="SchNumber4"/>
      </w:pPr>
      <w:r w:rsidRPr="00D427D8">
        <w:t xml:space="preserve">third, the surplus (if any) (a </w:t>
      </w:r>
      <w:r w:rsidR="00EF7333" w:rsidRPr="00D427D8">
        <w:t>"</w:t>
      </w:r>
      <w:r w:rsidRPr="00D427D8">
        <w:rPr>
          <w:b/>
          <w:bCs/>
          <w:iCs/>
        </w:rPr>
        <w:t>CSA Account Surplus</w:t>
      </w:r>
      <w:r w:rsidR="00EF7333" w:rsidRPr="00D427D8">
        <w:rPr>
          <w:bCs/>
          <w:iCs/>
        </w:rPr>
        <w:t>"</w:t>
      </w:r>
      <w:r w:rsidRPr="00D427D8">
        <w:t xml:space="preserve">) on such day to be transferred to the Distribution Account and deemed to form part of the Available Distribution Amount; following the designation of an Early Termination Date in respect of the Hedging Arrangement where (A) such Early Termination Date has been designated following an Event of Default (as defined in the Hedging Arrangement) in respect of which the Counterparty is the Defaulting Party or an Additional Termination Event (as defined in the Hedging Arrangement) which occurs as a result of the failure of the Counterparty to comply with the requirements of a rating downgrade provision set out under the </w:t>
      </w:r>
      <w:r w:rsidR="00906C28" w:rsidRPr="00D427D8">
        <w:t>Hedging Arrangement</w:t>
      </w:r>
      <w:r w:rsidR="00906C28">
        <w:t xml:space="preserve"> </w:t>
      </w:r>
      <w:r w:rsidRPr="00D427D8">
        <w:t>and (B) the Issuer is unable to or elects not to enter into a replacement Hedging Arrangement on or around the Early Termination Date of the Hedging Arrangement, on any day (whether or not such day is a Distribution Date) in or towards payment of any termination payment and returns of collateral due to the outgoing Counterparty;</w:t>
      </w:r>
    </w:p>
    <w:p w14:paraId="5C460BEC" w14:textId="1D638BEF" w:rsidR="009F6E91" w:rsidRPr="00D427D8" w:rsidRDefault="009F6E91" w:rsidP="00E10CF9">
      <w:pPr>
        <w:pStyle w:val="SchNumber3"/>
      </w:pPr>
      <w:r w:rsidRPr="00D427D8">
        <w:t xml:space="preserve">following the designation of an Early Termination Date in respect of the Hedging Arrangement where (A) such Early Termination Date has been designated following an Event of Default (as defined in the Hedging Arrangement) in respect of which the Counterparty is the Defaulting Party or an Additional Termination Event (as defined in the Hedging Arrangement) which occurs as a result of the failure of the Counterparty to comply with the requirements of a rating downgrade provision set out under the </w:t>
      </w:r>
      <w:r w:rsidR="00906C28" w:rsidRPr="00D427D8">
        <w:t>Hedging Arrangement</w:t>
      </w:r>
      <w:r w:rsidR="00906C28">
        <w:t xml:space="preserve"> </w:t>
      </w:r>
      <w:r w:rsidRPr="00D427D8">
        <w:t>and (B) the Issuer is unable to or elects not to enter into a replacement Hedging Arrangement on or around the Early Termination Date of the Hedging Arrangement, on any day (whether or not such day is a Distribution Date) in or towards payment of any termination payment and returns of collateral due to the outgoing Counterparty;</w:t>
      </w:r>
    </w:p>
    <w:p w14:paraId="0644318F" w14:textId="373FB405" w:rsidR="009F6E91" w:rsidRPr="00D427D8" w:rsidRDefault="009F6E91" w:rsidP="00E10CF9">
      <w:pPr>
        <w:pStyle w:val="SchNumber3"/>
      </w:pPr>
      <w:r w:rsidRPr="00D427D8">
        <w:t>following the designation of an Early Termination Date in respect of the Hedging Arrangement where such Early Termination Date has been designated otherwise than as a result of one of the events specified at items (b) and (c) above, on any day (whether or not such day is a Distribution Date) in or towards payment of any termination payment and returns of collateral due to the outgoing Counterparty; and</w:t>
      </w:r>
    </w:p>
    <w:p w14:paraId="012DDFBE" w14:textId="21E9EE13" w:rsidR="009F6E91" w:rsidRPr="00D427D8" w:rsidRDefault="009F6E91" w:rsidP="00E10CF9">
      <w:pPr>
        <w:pStyle w:val="SchNumber3"/>
      </w:pPr>
      <w:r w:rsidRPr="00D427D8">
        <w:t>following payment of any amounts due pursuant to (c) and (d) above, if amounts remain standing to the credit of the CSA Account, such amounts may be applied on any day (whether or not such day is a Distribution Date) only in accordance with the following provisions:</w:t>
      </w:r>
    </w:p>
    <w:p w14:paraId="57ED369E" w14:textId="272CEC6A" w:rsidR="009F6E91" w:rsidRPr="00D427D8" w:rsidRDefault="009F6E91" w:rsidP="00E10CF9">
      <w:pPr>
        <w:pStyle w:val="SchNumber4"/>
      </w:pPr>
      <w:r w:rsidRPr="00D427D8">
        <w:t>first, in or towards payment of any replacement swap premium (if any) payable by the Issuer to a replacement counterparty in order to enter into a replacement Hedging Arrangement with the Issuer with respect to the Hedging Arrangement being terminated; and</w:t>
      </w:r>
    </w:p>
    <w:p w14:paraId="425526E3" w14:textId="625196F2" w:rsidR="009F6E91" w:rsidRPr="00D427D8" w:rsidRDefault="00E10CF9" w:rsidP="00E10CF9">
      <w:pPr>
        <w:pStyle w:val="SchNumber4"/>
      </w:pPr>
      <w:r w:rsidRPr="00D427D8">
        <w:t>second, the CSA Account Surplus (if any) remaining after payment of such replacement swap premium to be transferred to the Distribution Account and deemed to form part of the Available Distribution Amount,</w:t>
      </w:r>
    </w:p>
    <w:p w14:paraId="57C1AF73" w14:textId="616C95A9" w:rsidR="009F6E91" w:rsidRPr="00D427D8" w:rsidRDefault="00E10CF9" w:rsidP="00E10CF9">
      <w:pPr>
        <w:pStyle w:val="Body3"/>
      </w:pPr>
      <w:r w:rsidRPr="00D427D8">
        <w:t>provided that if the Issuer has not entered into a replacement Hedging Arrangement with respect to the Hedging Arrangement on or prior to the earlier of:</w:t>
      </w:r>
    </w:p>
    <w:p w14:paraId="3C74B894" w14:textId="5F2BCB98" w:rsidR="009F6E91" w:rsidRPr="00D427D8" w:rsidRDefault="00E10CF9" w:rsidP="00E10CF9">
      <w:pPr>
        <w:pStyle w:val="Body4"/>
        <w:ind w:left="2880" w:hanging="754"/>
      </w:pPr>
      <w:r w:rsidRPr="00D427D8">
        <w:t>(1)</w:t>
      </w:r>
      <w:r w:rsidRPr="00D427D8">
        <w:tab/>
        <w:t>the Final Legal Maturity Date; or</w:t>
      </w:r>
    </w:p>
    <w:p w14:paraId="64D9CB86" w14:textId="1038B604" w:rsidR="009F6E91" w:rsidRPr="00D427D8" w:rsidRDefault="00E10CF9" w:rsidP="00E10CF9">
      <w:pPr>
        <w:pStyle w:val="Body4"/>
        <w:ind w:left="2880" w:hanging="754"/>
      </w:pPr>
      <w:r w:rsidRPr="00D427D8">
        <w:t>(2)</w:t>
      </w:r>
      <w:r w:rsidRPr="00D427D8">
        <w:tab/>
        <w:t xml:space="preserve">the occurrence of an Issuer Event of Default, then the remaining amount standing on the CSA Account on such day shall be transferred to the </w:t>
      </w:r>
      <w:r w:rsidRPr="00D427D8">
        <w:lastRenderedPageBreak/>
        <w:t>Distribution Account as soon as reasonably practicable thereafter and deemed to constitute a CSA Account Surplus.</w:t>
      </w:r>
    </w:p>
    <w:p w14:paraId="1261B1A5" w14:textId="77777777" w:rsidR="009F6E91" w:rsidRPr="00D427D8" w:rsidRDefault="009F6E91" w:rsidP="00EF7333">
      <w:pPr>
        <w:pStyle w:val="Body1"/>
      </w:pPr>
      <w:r w:rsidRPr="00D427D8">
        <w:br w:type="page"/>
      </w:r>
    </w:p>
    <w:p w14:paraId="48E8B1E0" w14:textId="77777777" w:rsidR="009F6E91" w:rsidRPr="00D427D8" w:rsidRDefault="009F6E91" w:rsidP="00926C3A">
      <w:pPr>
        <w:pStyle w:val="CentredHeading"/>
      </w:pPr>
      <w:bookmarkStart w:id="225" w:name="_Toc194046510"/>
      <w:bookmarkStart w:id="226" w:name="_Toc198539668"/>
      <w:r w:rsidRPr="00D427D8">
        <w:lastRenderedPageBreak/>
        <w:t>ANNEX C</w:t>
      </w:r>
      <w:r w:rsidRPr="00D427D8">
        <w:br/>
        <w:t>COLLATERAL AGENCY AGREEMENT</w:t>
      </w:r>
      <w:bookmarkEnd w:id="225"/>
      <w:bookmarkEnd w:id="226"/>
    </w:p>
    <w:p w14:paraId="21FCBB4A" w14:textId="7CBAB1AD" w:rsidR="009F6E91" w:rsidRPr="00D427D8" w:rsidRDefault="009F6E91" w:rsidP="009F6E91">
      <w:pPr>
        <w:pStyle w:val="Body1"/>
      </w:pPr>
      <w:r w:rsidRPr="00D427D8">
        <w:t>The following is the text of the material terms of the Collateral Agency Agreement between the Issuer, the Collateral Agent, the ER Collateral Agent, the Lead Manager, the Arranger, the Subordinated Lender, the Lender, the Data Protection Trustee, the Corporate Services Provider, the Back-up Servicer Facilitator, the Paying Agent, the Reporting Agent, the Calculation Agent, the Counterparty, the Account Bank, the Servicer and the Seller. The text is attached to the Conditions and constitutes an integral part of the Conditions – In case of any overlap or inconsistency in the definition of a term or expression in the Collateral Agency Agreement and elsewhere in this Prospectus, the definition contained in the Collateral Agency Agreement will prevail.</w:t>
      </w:r>
    </w:p>
    <w:p w14:paraId="77A9C259" w14:textId="5CDEEEE4" w:rsidR="009F6E91" w:rsidRPr="00D427D8" w:rsidRDefault="009F6E91" w:rsidP="00C8283A">
      <w:pPr>
        <w:pStyle w:val="SchNumber1"/>
        <w:numPr>
          <w:ilvl w:val="2"/>
          <w:numId w:val="52"/>
        </w:numPr>
        <w:rPr>
          <w:rStyle w:val="Heading1Text"/>
        </w:rPr>
      </w:pPr>
      <w:bookmarkStart w:id="227" w:name="_Hlk200123845"/>
      <w:r w:rsidRPr="00D427D8">
        <w:rPr>
          <w:rStyle w:val="Heading1Text"/>
        </w:rPr>
        <w:t>Definitions and Interpretation</w:t>
      </w:r>
    </w:p>
    <w:p w14:paraId="4691C093" w14:textId="6DEB3BE1" w:rsidR="009F6E91" w:rsidRPr="00D427D8" w:rsidRDefault="009F6E91" w:rsidP="00460EC7">
      <w:pPr>
        <w:pStyle w:val="SchHeading2"/>
      </w:pPr>
      <w:bookmarkStart w:id="228" w:name="_Hlk145922817"/>
      <w:r w:rsidRPr="00D427D8">
        <w:t>Incorporation of definitions</w:t>
      </w:r>
    </w:p>
    <w:p w14:paraId="6095A523" w14:textId="3F047163" w:rsidR="009F6E91" w:rsidRPr="00D427D8" w:rsidRDefault="009F6E91" w:rsidP="009F6E91">
      <w:pPr>
        <w:pStyle w:val="Body2"/>
      </w:pPr>
      <w:r w:rsidRPr="00D427D8">
        <w:t xml:space="preserve">In this Agreement (including the recitals), except insofar as the context otherwise requires, capitalised words and expressions shall have the same meanings as set out in the master agreement of even date (as amended and/or restated from time to time thereafter) entered into, </w:t>
      </w:r>
      <w:r w:rsidRPr="00D427D8">
        <w:rPr>
          <w:i/>
        </w:rPr>
        <w:t>inter</w:t>
      </w:r>
      <w:r w:rsidRPr="00D427D8">
        <w:t xml:space="preserve"> </w:t>
      </w:r>
      <w:r w:rsidRPr="00D427D8">
        <w:rPr>
          <w:i/>
        </w:rPr>
        <w:t>alia</w:t>
      </w:r>
      <w:r w:rsidRPr="00D427D8">
        <w:t>, by the Parties (the </w:t>
      </w:r>
      <w:r w:rsidR="00EF7333" w:rsidRPr="00D427D8">
        <w:t>"</w:t>
      </w:r>
      <w:r w:rsidRPr="00D427D8">
        <w:rPr>
          <w:b/>
        </w:rPr>
        <w:t>Master Agreement</w:t>
      </w:r>
      <w:r w:rsidR="00EF7333" w:rsidRPr="00D427D8">
        <w:t>"</w:t>
      </w:r>
      <w:r w:rsidRPr="00D427D8">
        <w:t>).</w:t>
      </w:r>
    </w:p>
    <w:p w14:paraId="67ED1278" w14:textId="746529EF" w:rsidR="009F6E91" w:rsidRPr="00D427D8" w:rsidRDefault="009F6E91" w:rsidP="00460EC7">
      <w:pPr>
        <w:pStyle w:val="SchHeading2"/>
        <w:rPr>
          <w:lang w:val="en-US"/>
        </w:rPr>
      </w:pPr>
      <w:r w:rsidRPr="00D427D8">
        <w:rPr>
          <w:lang w:val="en-US"/>
        </w:rPr>
        <w:t>Principles of construction</w:t>
      </w:r>
    </w:p>
    <w:p w14:paraId="0CEA6EDF" w14:textId="77777777" w:rsidR="009F6E91" w:rsidRPr="00D427D8" w:rsidRDefault="009F6E91" w:rsidP="009F6E91">
      <w:pPr>
        <w:pStyle w:val="Body2"/>
      </w:pPr>
      <w:r w:rsidRPr="00D427D8">
        <w:t xml:space="preserve">This Agreement incorporates the principles of construction set out in </w:t>
      </w:r>
      <w:bookmarkStart w:id="229" w:name="_Hlk170225584"/>
      <w:r w:rsidRPr="00D427D8">
        <w:t>clause 2 (</w:t>
      </w:r>
      <w:r w:rsidRPr="00D427D8">
        <w:rPr>
          <w:i/>
        </w:rPr>
        <w:t>Interpretation and Construction</w:t>
      </w:r>
      <w:r w:rsidRPr="00D427D8">
        <w:t xml:space="preserve">) </w:t>
      </w:r>
      <w:bookmarkEnd w:id="229"/>
      <w:r w:rsidRPr="00D427D8">
        <w:t>of the Master Agreement as though the same were set out in full in this Agreement. For purposes of such incorporation into this Agreement, such principles of construction shall be interpreted and construed in accordance with the plain meaning of their language under the stated governing law of this Agreement. In the event of any conflict between the provisions of this Agreement and the principles of construction set out in the Master Agreement, the provisions of this Agreement shall prevail.</w:t>
      </w:r>
    </w:p>
    <w:p w14:paraId="18AC1C5C" w14:textId="6806B81F" w:rsidR="009F6E91" w:rsidRPr="00D427D8" w:rsidRDefault="009F6E91" w:rsidP="00460EC7">
      <w:pPr>
        <w:pStyle w:val="SchHeading2"/>
      </w:pPr>
      <w:r w:rsidRPr="00D427D8">
        <w:t>Common terms</w:t>
      </w:r>
    </w:p>
    <w:bookmarkEnd w:id="228"/>
    <w:p w14:paraId="1DC8A381" w14:textId="53D4A627" w:rsidR="009F6E91" w:rsidRPr="00D427D8" w:rsidRDefault="00460EC7" w:rsidP="00460EC7">
      <w:pPr>
        <w:pStyle w:val="Body2"/>
      </w:pPr>
      <w:r w:rsidRPr="00D427D8">
        <w:t>This Agreement incorporates the common terms set out in clauses 3 (Communications) to 17.10 (</w:t>
      </w:r>
      <w:r w:rsidRPr="00D427D8">
        <w:rPr>
          <w:i/>
        </w:rPr>
        <w:t>Jurisdiction</w:t>
      </w:r>
      <w:r w:rsidRPr="00D427D8">
        <w:t>) of the Master Agreement as though the same were set out in full in this Agreement. For purposes of such incorporation into this Agreement, such common terms shall be interpreted and construed in accordance with the stated governing law of this Agreement. In the event of any conflict between the provisions of this Agreement and the common terms set out in the Master Agreement, the provisions of this Agreement shall prevail.</w:t>
      </w:r>
    </w:p>
    <w:p w14:paraId="35355A8A" w14:textId="64D278AB" w:rsidR="009F6E91" w:rsidRPr="00D427D8" w:rsidRDefault="009F6E91" w:rsidP="00460EC7">
      <w:pPr>
        <w:pStyle w:val="SchHeading2"/>
      </w:pPr>
      <w:r w:rsidRPr="00D427D8">
        <w:t>Appointment of the Collateral Agent</w:t>
      </w:r>
    </w:p>
    <w:p w14:paraId="5ADF2F55" w14:textId="54724FD8" w:rsidR="009F6E91" w:rsidRPr="00D427D8" w:rsidRDefault="00460EC7" w:rsidP="00460EC7">
      <w:pPr>
        <w:pStyle w:val="Body2"/>
      </w:pPr>
      <w:r w:rsidRPr="00D427D8">
        <w:t>The Issuer hereby appoints CSC Trustees GmbH as collateral agent (together with any successors or any other person appointed as Collateral Agent in accordance with this Agreement, the "</w:t>
      </w:r>
      <w:r w:rsidRPr="00D427D8">
        <w:rPr>
          <w:rStyle w:val="BoldText"/>
        </w:rPr>
        <w:t>Collateral Agent</w:t>
      </w:r>
      <w:r w:rsidRPr="00D427D8">
        <w:t>"). CSC Trustees GmbH hereby accepts such appointment.</w:t>
      </w:r>
    </w:p>
    <w:p w14:paraId="3F27A97E" w14:textId="6F7F95F0" w:rsidR="009F6E91" w:rsidRPr="00D427D8" w:rsidRDefault="009F6E91" w:rsidP="00460EC7">
      <w:pPr>
        <w:pStyle w:val="SchHeading1"/>
      </w:pPr>
      <w:r w:rsidRPr="00D427D8">
        <w:t>Duties of the Collateral Agent</w:t>
      </w:r>
    </w:p>
    <w:p w14:paraId="6F9E29E7" w14:textId="0C4C1929" w:rsidR="009F6E91" w:rsidRPr="00D427D8" w:rsidRDefault="00460EC7" w:rsidP="00460EC7">
      <w:pPr>
        <w:pStyle w:val="Body2"/>
      </w:pPr>
      <w:r w:rsidRPr="00D427D8">
        <w:t>This Agreement, inter alia, establishes the rights and obligations of the Collateral Agent to perform the duties of the Collateral Agent set forth in this Agreement or otherwise delegated to, the Collateral Agent. Except as set forth in this Agreement, the Collateral Agent is not obligated to supervise the discharge of the payment and other obligations of the Issuer under or otherwise arising in connection with the Transaction Documents or to carry out duties which are the responsibility of the management of the Issuer.</w:t>
      </w:r>
    </w:p>
    <w:p w14:paraId="21BA68AC" w14:textId="03FF33A8" w:rsidR="009F6E91" w:rsidRPr="00D427D8" w:rsidRDefault="00460EC7" w:rsidP="00460EC7">
      <w:pPr>
        <w:pStyle w:val="Body2"/>
      </w:pPr>
      <w:r w:rsidRPr="00D427D8">
        <w:t xml:space="preserve">The Collateral Agent shall not be required to exercise any discretion or take any action, but shall be required to act or to refrain from acting (and shall be fully protected in so acting or refraining from acting) upon written instructions from the Secured Parties (except as otherwise contemplated in this Agreement); provided, however, that the Collateral Agent shall not be required to take any action which would expose the Collateral Agent to any liability or which would cause the Collateral Agent to incur out-of-pocket expenses (unless it shall have first received reasonably satisfactory </w:t>
      </w:r>
      <w:r w:rsidRPr="00D427D8">
        <w:lastRenderedPageBreak/>
        <w:t>indemnification and, upon its request, prefunding therefor) or which is contrary to this Agreement or applicable law.</w:t>
      </w:r>
    </w:p>
    <w:p w14:paraId="074E5BBD" w14:textId="0CA814B9" w:rsidR="009F6E91" w:rsidRPr="00D427D8" w:rsidRDefault="009F6E91" w:rsidP="00B950C2">
      <w:pPr>
        <w:pStyle w:val="SchHeading1"/>
      </w:pPr>
      <w:bookmarkStart w:id="230" w:name="_Ref141886101"/>
      <w:r w:rsidRPr="00D427D8">
        <w:t>Position of the Collateral Agent</w:t>
      </w:r>
      <w:bookmarkEnd w:id="230"/>
    </w:p>
    <w:p w14:paraId="64221F8D" w14:textId="796C182D" w:rsidR="009F6E91" w:rsidRPr="00D427D8" w:rsidRDefault="009F6E91" w:rsidP="00B950C2">
      <w:pPr>
        <w:pStyle w:val="SchHeading2"/>
      </w:pPr>
      <w:r w:rsidRPr="00D427D8">
        <w:t>Position of the Collateral Agent in relation to the Secured Parties</w:t>
      </w:r>
    </w:p>
    <w:p w14:paraId="0C213F6A" w14:textId="265F029B" w:rsidR="009F6E91" w:rsidRPr="00D427D8" w:rsidRDefault="009F6E91" w:rsidP="00B950C2">
      <w:pPr>
        <w:pStyle w:val="SchNumber3"/>
      </w:pPr>
      <w:r w:rsidRPr="00D427D8">
        <w:t>The Collateral Agent shall hold the Security and shall act, and shall perform the duties and other obligations of the Collateral Agent set forth in this Agreement, in each case as a fiduciary (</w:t>
      </w:r>
      <w:r w:rsidRPr="00D427D8">
        <w:rPr>
          <w:i/>
          <w:iCs/>
        </w:rPr>
        <w:t>Treuhänder</w:t>
      </w:r>
      <w:r w:rsidRPr="00D427D8">
        <w:t>) of the Issuer and the Secured Parties.</w:t>
      </w:r>
    </w:p>
    <w:p w14:paraId="728A7B27" w14:textId="25F3B486" w:rsidR="009F6E91" w:rsidRPr="00D427D8" w:rsidRDefault="009F6E91" w:rsidP="00B950C2">
      <w:pPr>
        <w:pStyle w:val="SchNumber3"/>
      </w:pPr>
      <w:r w:rsidRPr="00D427D8">
        <w:t>In each case subject to the provisions of this Agreement, in particular clauses 19 to 22 and 25 below, the Collateral Agent shall carry out its duties and shall perform the tasks and exercise the functions hereunder and under the other Transaction Documents with particular regard to the interests of the Secured Parties, giving priority to the interests of the Noteholders according to the ranking under the applicable Priority of Payments as long as any Notes are outstanding and, following the full repayment of the Notes, giving priority to the interest of each Secured Party according to the ranking under the applicable Priority of Payments.</w:t>
      </w:r>
    </w:p>
    <w:p w14:paraId="45A38978" w14:textId="116145B6" w:rsidR="009F6E91" w:rsidRPr="00D427D8" w:rsidRDefault="009F6E91" w:rsidP="00B950C2">
      <w:pPr>
        <w:pStyle w:val="SchNumber3"/>
      </w:pPr>
      <w:r w:rsidRPr="00D427D8">
        <w:t>This Agreement grants all Secured Parties the right to demand that the Collateral Agent performs its duties hereunder pursuant to, and in accordance with the terms of, this Agreement, and, to the extent Secured Parties are not a party to this Agreement (in particular the Noteholders), these rights are granted pursuant to a contract for the benefit of a third party pursuant to section 328 of the German Civil Code (</w:t>
      </w:r>
      <w:r w:rsidRPr="00D427D8">
        <w:rPr>
          <w:i/>
          <w:iCs/>
        </w:rPr>
        <w:t>echter Vertrag zugunsten Dritter</w:t>
      </w:r>
      <w:r w:rsidRPr="00D427D8">
        <w:t>). The obligations of the Collateral Agent under this Agreement are owed exclusively to the Secured Parties, unless otherwise specified or the context otherwise requires.</w:t>
      </w:r>
    </w:p>
    <w:p w14:paraId="2DDD95A4" w14:textId="42E8714E" w:rsidR="009F6E91" w:rsidRPr="00D427D8" w:rsidRDefault="009F6E91" w:rsidP="00B950C2">
      <w:pPr>
        <w:pStyle w:val="SchHeading2"/>
      </w:pPr>
      <w:r w:rsidRPr="00D427D8">
        <w:t>Position of the Collateral Agent in relation to the Issuer</w:t>
      </w:r>
    </w:p>
    <w:p w14:paraId="28C26E46" w14:textId="5BBC001A" w:rsidR="009F6E91" w:rsidRPr="00D427D8" w:rsidRDefault="009F6E91" w:rsidP="00B950C2">
      <w:pPr>
        <w:pStyle w:val="SchNumber3"/>
      </w:pPr>
      <w:r w:rsidRPr="00D427D8">
        <w:t>The Collateral Agent shall be obligated to keep the Security and any collections thereon separate and apart from its own property and assets.</w:t>
      </w:r>
    </w:p>
    <w:p w14:paraId="460D4806" w14:textId="676EB2A1" w:rsidR="009F6E91" w:rsidRPr="00D427D8" w:rsidRDefault="009F6E91" w:rsidP="00B950C2">
      <w:pPr>
        <w:pStyle w:val="SchNumber3"/>
        <w:rPr>
          <w:lang w:val="en-US"/>
        </w:rPr>
      </w:pPr>
      <w:bookmarkStart w:id="231" w:name="_Ref141885289"/>
      <w:r w:rsidRPr="00D427D8">
        <w:t xml:space="preserve">The Issuer hereby grants the Collateral Agent its own separate claim (the </w:t>
      </w:r>
      <w:r w:rsidR="00EF7333" w:rsidRPr="00D427D8">
        <w:t>"</w:t>
      </w:r>
      <w:r w:rsidRPr="00D427D8">
        <w:rPr>
          <w:b/>
          <w:bCs/>
        </w:rPr>
        <w:t>Trustee Claim</w:t>
      </w:r>
      <w:r w:rsidR="00EF7333" w:rsidRPr="00D427D8">
        <w:t>"</w:t>
      </w:r>
      <w:r w:rsidRPr="00D427D8">
        <w:t xml:space="preserve">), </w:t>
      </w:r>
      <w:r w:rsidRPr="00D427D8">
        <w:rPr>
          <w:lang w:val="en-US"/>
        </w:rPr>
        <w:t>entitling the Collateral Agent to demand from the Issuer by way of an abstract acknowledgement of debt (</w:t>
      </w:r>
      <w:r w:rsidRPr="00D427D8">
        <w:rPr>
          <w:i/>
          <w:iCs/>
          <w:lang w:val="en-US"/>
        </w:rPr>
        <w:t>abstraktes Schuldanerkenntnis</w:t>
      </w:r>
      <w:r w:rsidRPr="00D427D8">
        <w:rPr>
          <w:lang w:val="en-US"/>
        </w:rPr>
        <w:t>):</w:t>
      </w:r>
      <w:bookmarkEnd w:id="231"/>
    </w:p>
    <w:p w14:paraId="0690EACB" w14:textId="341CD7BF" w:rsidR="009F6E91" w:rsidRPr="00D427D8" w:rsidRDefault="009F6E91" w:rsidP="00B950C2">
      <w:pPr>
        <w:pStyle w:val="SchNumber4"/>
      </w:pPr>
      <w:r w:rsidRPr="00D427D8">
        <w:t>that the Secured Liabilities be fulfilled; and</w:t>
      </w:r>
    </w:p>
    <w:p w14:paraId="008C34B5" w14:textId="1E74C9C9" w:rsidR="009F6E91" w:rsidRPr="00D427D8" w:rsidRDefault="009F6E91" w:rsidP="00B950C2">
      <w:pPr>
        <w:pStyle w:val="SchNumber4"/>
      </w:pPr>
      <w:bookmarkStart w:id="232" w:name="_Ref141885160"/>
      <w:r w:rsidRPr="00D427D8">
        <w:t>if the Issuer is in default on any Secured Liabilities, that any payment owed by the Issuer under the respective Secured Liabilities be made to, and held in, a trust bank account (</w:t>
      </w:r>
      <w:r w:rsidRPr="00D427D8">
        <w:rPr>
          <w:i/>
          <w:iCs/>
        </w:rPr>
        <w:t>Treuhandbankkonto</w:t>
      </w:r>
      <w:r w:rsidRPr="00D427D8">
        <w:t>) of the Collateral Agent for payment to the Secured Parties and discharge of the Issuer</w:t>
      </w:r>
      <w:r w:rsidR="00EF7333" w:rsidRPr="00D427D8">
        <w:t>'</w:t>
      </w:r>
      <w:r w:rsidRPr="00D427D8">
        <w:t>s obligation accordingly.</w:t>
      </w:r>
      <w:bookmarkEnd w:id="232"/>
      <w:r w:rsidRPr="00D427D8">
        <w:t xml:space="preserve"> For avoidance of doubt, such funds in the trust bank account are not held for the purposes of generating income and if such funds are held with an affiliate bank or financial institution of the Collateral Agent, it is obligated to account only for an interest amount equivalent to the standard interest rate it offers to an unaffiliated depositor.</w:t>
      </w:r>
    </w:p>
    <w:p w14:paraId="1DCEB7C2" w14:textId="2CD06D9C" w:rsidR="009F6E91" w:rsidRPr="00D427D8" w:rsidRDefault="009F6E91" w:rsidP="00B950C2">
      <w:pPr>
        <w:pStyle w:val="SchNumber3"/>
      </w:pPr>
      <w:r w:rsidRPr="00D427D8">
        <w:t xml:space="preserve">The </w:t>
      </w:r>
      <w:r w:rsidRPr="00D427D8">
        <w:rPr>
          <w:szCs w:val="19"/>
          <w:lang w:val="en-US"/>
        </w:rPr>
        <w:t>Trustee</w:t>
      </w:r>
      <w:r w:rsidRPr="00D427D8">
        <w:t xml:space="preserve"> Claim in whole or in part may be enforced separately from the relevant Secured Party</w:t>
      </w:r>
      <w:r w:rsidR="00EF7333" w:rsidRPr="00D427D8">
        <w:t>'</w:t>
      </w:r>
      <w:r w:rsidRPr="00D427D8">
        <w:t>s claim related thereto, provided that the Issuer shall be obligated to effect performance only once.</w:t>
      </w:r>
    </w:p>
    <w:p w14:paraId="1E6C4334" w14:textId="16AC542F" w:rsidR="009F6E91" w:rsidRPr="00D427D8" w:rsidRDefault="009F6E91" w:rsidP="00B950C2">
      <w:pPr>
        <w:pStyle w:val="SchNumber3"/>
      </w:pPr>
      <w:r w:rsidRPr="00D427D8">
        <w:t>The obligation of the Issuer to make payments to the respective Secured Party shall remain unaffected.</w:t>
      </w:r>
    </w:p>
    <w:p w14:paraId="3A5AE9EF" w14:textId="6C265521" w:rsidR="009F6E91" w:rsidRPr="00D427D8" w:rsidRDefault="009F6E91" w:rsidP="00B950C2">
      <w:pPr>
        <w:pStyle w:val="SchNumber3"/>
      </w:pPr>
      <w:r w:rsidRPr="00D427D8">
        <w:t>In the case of a payment pursuant to clause (b)(ii) above, the Issuer shall have a claim against the Collateral Agent for on-payment to the respective Secured Parties subject to the provisions of this Agreement.</w:t>
      </w:r>
    </w:p>
    <w:p w14:paraId="4CCD5552" w14:textId="272FAC7D" w:rsidR="009F6E91" w:rsidRPr="00D427D8" w:rsidRDefault="009F6E91" w:rsidP="00B950C2">
      <w:pPr>
        <w:pStyle w:val="SchHeading1"/>
      </w:pPr>
      <w:bookmarkStart w:id="233" w:name="_Ref141885678"/>
      <w:r w:rsidRPr="00D427D8">
        <w:lastRenderedPageBreak/>
        <w:t>Transfer of Lease Collateral to the Issuer</w:t>
      </w:r>
      <w:bookmarkEnd w:id="233"/>
    </w:p>
    <w:p w14:paraId="7C4F04B3" w14:textId="6A4F9A05" w:rsidR="009F6E91" w:rsidRPr="00D427D8" w:rsidRDefault="009F6E91" w:rsidP="00B950C2">
      <w:pPr>
        <w:pStyle w:val="SchHeading2"/>
      </w:pPr>
      <w:r w:rsidRPr="00D427D8">
        <w:t>Assignment of Lease Collateral</w:t>
      </w:r>
    </w:p>
    <w:p w14:paraId="7E744607" w14:textId="5FD07704" w:rsidR="009F6E91" w:rsidRPr="00D427D8" w:rsidRDefault="00B950C2" w:rsidP="00B950C2">
      <w:pPr>
        <w:pStyle w:val="Body2"/>
      </w:pPr>
      <w:r w:rsidRPr="00D427D8">
        <w:t>The Seller hereby transfers (</w:t>
      </w:r>
      <w:r w:rsidRPr="00D427D8">
        <w:rPr>
          <w:i/>
          <w:iCs/>
        </w:rPr>
        <w:t>überträgt</w:t>
      </w:r>
      <w:r w:rsidRPr="00D427D8">
        <w:t xml:space="preserve">) and assigns by way of security to the Issuer the Lease Collateral </w:t>
      </w:r>
      <w:r w:rsidRPr="00D427D8">
        <w:rPr>
          <w:szCs w:val="19"/>
        </w:rPr>
        <w:t>for the respective Purchased Lease Receivable</w:t>
      </w:r>
      <w:r w:rsidRPr="00D427D8">
        <w:t xml:space="preserve"> and the Issuer hereby accepts such transfer and assignment.</w:t>
      </w:r>
    </w:p>
    <w:p w14:paraId="4DAF7640" w14:textId="0AD4A61C" w:rsidR="009F6E91" w:rsidRPr="00D427D8" w:rsidRDefault="009F6E91" w:rsidP="00B950C2">
      <w:pPr>
        <w:pStyle w:val="SchHeading2"/>
      </w:pPr>
      <w:bookmarkStart w:id="234" w:name="_Ref141888393"/>
      <w:r w:rsidRPr="00D427D8">
        <w:t>Transfer of title to Lease Collateral</w:t>
      </w:r>
      <w:bookmarkEnd w:id="234"/>
    </w:p>
    <w:p w14:paraId="5F584AE4" w14:textId="588B42C7" w:rsidR="009F6E91" w:rsidRPr="00D427D8" w:rsidRDefault="00B950C2" w:rsidP="00B950C2">
      <w:pPr>
        <w:pStyle w:val="Body2"/>
      </w:pPr>
      <w:r w:rsidRPr="00D427D8">
        <w:t>To the extent that title to the Lease Collateral (</w:t>
      </w:r>
      <w:r w:rsidRPr="00D427D8">
        <w:rPr>
          <w:i/>
          <w:iCs/>
        </w:rPr>
        <w:t>Eigentum</w:t>
      </w:r>
      <w:r w:rsidRPr="00D427D8">
        <w:t xml:space="preserve">) </w:t>
      </w:r>
      <w:r w:rsidRPr="00D427D8">
        <w:rPr>
          <w:szCs w:val="19"/>
        </w:rPr>
        <w:t>for the respective Purchased Lease Receivable</w:t>
      </w:r>
      <w:r w:rsidRPr="00D427D8">
        <w:t xml:space="preserve"> cannot be transferred by mere agreement but requires further acts, the Seller and the Issuer agree that:</w:t>
      </w:r>
    </w:p>
    <w:p w14:paraId="593DFE45" w14:textId="159CCCD3" w:rsidR="009F6E91" w:rsidRPr="00D427D8" w:rsidRDefault="009F6E91" w:rsidP="00B950C2">
      <w:pPr>
        <w:pStyle w:val="SchNumber3"/>
      </w:pPr>
      <w:r w:rsidRPr="00D427D8">
        <w:t>any transfer of possession (</w:t>
      </w:r>
      <w:r w:rsidRPr="00D427D8">
        <w:rPr>
          <w:i/>
          <w:iCs/>
        </w:rPr>
        <w:t>Übergabe</w:t>
      </w:r>
      <w:r w:rsidRPr="00D427D8">
        <w:t>) necessary to transfer title to the Lease Collateral, in particular in relation to any form of security title (</w:t>
      </w:r>
      <w:r w:rsidRPr="00D427D8">
        <w:rPr>
          <w:i/>
          <w:iCs/>
        </w:rPr>
        <w:t>Sicherungseigentum</w:t>
      </w:r>
      <w:r w:rsidRPr="00D427D8">
        <w:t>), shall be replaced:</w:t>
      </w:r>
    </w:p>
    <w:p w14:paraId="3A50770E" w14:textId="3852394D" w:rsidR="009F6E91" w:rsidRPr="00D427D8" w:rsidRDefault="009F6E91" w:rsidP="00B950C2">
      <w:pPr>
        <w:pStyle w:val="SchNumber4"/>
      </w:pPr>
      <w:r w:rsidRPr="00D427D8">
        <w:t>by the Seller assigning hereby to the Issuer all of the Seller</w:t>
      </w:r>
      <w:r w:rsidR="00EF7333" w:rsidRPr="00D427D8">
        <w:t>'</w:t>
      </w:r>
      <w:r w:rsidRPr="00D427D8">
        <w:t>s present or future claims to request transfer of possession (</w:t>
      </w:r>
      <w:r w:rsidRPr="00D427D8">
        <w:rPr>
          <w:i/>
          <w:iCs/>
        </w:rPr>
        <w:t>Abtretung der Herausgabeansprüche</w:t>
      </w:r>
      <w:r w:rsidRPr="00D427D8">
        <w:t>) against any third party (including any Lessee) which is in direct possession (</w:t>
      </w:r>
      <w:r w:rsidRPr="00D427D8">
        <w:rPr>
          <w:i/>
          <w:iCs/>
        </w:rPr>
        <w:t>unmittelbarer Besitz</w:t>
      </w:r>
      <w:r w:rsidRPr="00D427D8">
        <w:t>) or indirect possession (</w:t>
      </w:r>
      <w:r w:rsidRPr="00D427D8">
        <w:rPr>
          <w:i/>
          <w:iCs/>
        </w:rPr>
        <w:t>mittelbarer Besitz</w:t>
      </w:r>
      <w:r w:rsidRPr="00D427D8">
        <w:t>) of such assets pertaining to the Lease Collateral; the Issuer hereby accepts such assignment; and/or</w:t>
      </w:r>
    </w:p>
    <w:p w14:paraId="3BF433B2" w14:textId="65070281" w:rsidR="009F6E91" w:rsidRPr="00D427D8" w:rsidRDefault="009F6E91" w:rsidP="00B950C2">
      <w:pPr>
        <w:pStyle w:val="SchNumber4"/>
      </w:pPr>
      <w:r w:rsidRPr="00D427D8">
        <w:t>in the event that the Seller is in direct possession (</w:t>
      </w:r>
      <w:r w:rsidRPr="00D427D8">
        <w:rPr>
          <w:i/>
          <w:iCs/>
        </w:rPr>
        <w:t>unmittelbarer Besitz</w:t>
      </w:r>
      <w:r w:rsidRPr="00D427D8">
        <w:t>) of the relevant assets over which the security has been created, by the Seller holding such assets on behalf of the Issuer and granting the Issuer indirect possession (</w:t>
      </w:r>
      <w:r w:rsidRPr="00D427D8">
        <w:rPr>
          <w:i/>
          <w:iCs/>
        </w:rPr>
        <w:t>mittelbarer Besitz</w:t>
      </w:r>
      <w:r w:rsidRPr="00D427D8">
        <w:t>) of such assets by keeping them with due care free of charge (</w:t>
      </w:r>
      <w:r w:rsidRPr="00D427D8">
        <w:rPr>
          <w:i/>
          <w:iCs/>
        </w:rPr>
        <w:t>als unentgeltlicher Verwahrer</w:t>
      </w:r>
      <w:r w:rsidRPr="00D427D8">
        <w:t>) for the Issuer until revoked, which the Issuer hereby accepts; and</w:t>
      </w:r>
    </w:p>
    <w:p w14:paraId="227004D0" w14:textId="3B6A7B9E" w:rsidR="009F6E91" w:rsidRPr="00D427D8" w:rsidRDefault="009F6E91" w:rsidP="00B950C2">
      <w:pPr>
        <w:pStyle w:val="SchNumber3"/>
      </w:pPr>
      <w:r w:rsidRPr="00D427D8">
        <w:t>any other action to be performed or done or registration to be perfected in connection with the transfer of title to any Lease Collateral shall be promptly performed, done and/or perfected by the Seller, as applicable, at its own costs, save where failure to do so shall not be materially prejudicial to the interests of the Noteholders and/or the other Secured Parties; and the Seller agrees that if it fails to perform such other action or fails to perfect such registration, the Issuer is hereby authorised to perform such action, or perform such registration on behalf of the Seller whereby, in each case, the Issuer shall be exempted from the restrictions pursuant to section 181 of the German Civil Code.</w:t>
      </w:r>
    </w:p>
    <w:p w14:paraId="3E756E8A" w14:textId="1AF5300E" w:rsidR="009F6E91" w:rsidRPr="00D427D8" w:rsidRDefault="009F6E91" w:rsidP="00B950C2">
      <w:pPr>
        <w:pStyle w:val="SchHeading2"/>
      </w:pPr>
      <w:r w:rsidRPr="00D427D8">
        <w:t>Existing security arrangements</w:t>
      </w:r>
    </w:p>
    <w:p w14:paraId="3A1E68D8" w14:textId="3A0FB8BC" w:rsidR="009F6E91" w:rsidRPr="00D427D8" w:rsidRDefault="00B950C2" w:rsidP="00B950C2">
      <w:pPr>
        <w:pStyle w:val="Body2"/>
      </w:pPr>
      <w:r w:rsidRPr="00D427D8">
        <w:t>The transfer of the Lease Collateral to the Issuer is subject to any security arrangement (</w:t>
      </w:r>
      <w:r w:rsidRPr="00D427D8">
        <w:rPr>
          <w:i/>
          <w:iCs/>
        </w:rPr>
        <w:t>Sicherungsabrede</w:t>
      </w:r>
      <w:r w:rsidRPr="00D427D8">
        <w:t>) between the Seller and the respective Lessee provided for under or in connection with the relevant Lease Agreement. The Issuer agrees to be bound by such underlying security arrangements and, in particular, recognises the obligations of the Seller to release the Lease Collateral in accordance with the provisions of the Lease Agreement.</w:t>
      </w:r>
    </w:p>
    <w:p w14:paraId="3BA8EF99" w14:textId="4B413F2F" w:rsidR="009F6E91" w:rsidRPr="00D427D8" w:rsidRDefault="009F6E91" w:rsidP="00B950C2">
      <w:pPr>
        <w:pStyle w:val="SchHeading2"/>
      </w:pPr>
      <w:r w:rsidRPr="00D427D8">
        <w:t>Further agreements</w:t>
      </w:r>
    </w:p>
    <w:p w14:paraId="5AFCA536" w14:textId="7F152261" w:rsidR="009F6E91" w:rsidRPr="00D427D8" w:rsidRDefault="009F6E91" w:rsidP="00B950C2">
      <w:pPr>
        <w:pStyle w:val="SchNumber3"/>
      </w:pPr>
      <w:r w:rsidRPr="00D427D8">
        <w:t xml:space="preserve">In the event that the Seller is in, or obtains, direct possession of an asset forming part of the Lease Collateral, it shall, prior to the occurrence of an Issuer Event of Default, hold such asset free of charge on behalf of the Servicer in accordance with the instructions of the Servicer (if different); following the occurrence of an Issuer Event of Default it shall hold such asset free of charge on behalf of the Collateral Agent in accordance with the instructions of the Collateral Agent </w:t>
      </w:r>
      <w:r w:rsidRPr="00D427D8">
        <w:rPr>
          <w:szCs w:val="18"/>
          <w:lang w:val="en-US"/>
        </w:rPr>
        <w:t>(acting upon respective instructions of the Secured Parties)</w:t>
      </w:r>
      <w:r w:rsidRPr="00D427D8">
        <w:t>. In the event of any such instruction, such asset shall without delay be delivered to, as applicable, the Servicer or such location in Germany as the Collateral Agent directs.</w:t>
      </w:r>
    </w:p>
    <w:p w14:paraId="295AE049" w14:textId="68D4D61A" w:rsidR="009F6E91" w:rsidRPr="00D427D8" w:rsidRDefault="009F6E91" w:rsidP="00B950C2">
      <w:pPr>
        <w:pStyle w:val="SchNumber3"/>
      </w:pPr>
      <w:r w:rsidRPr="00D427D8">
        <w:t>The Seller and the Issuer agree that the assignment and transfer (</w:t>
      </w:r>
      <w:r w:rsidRPr="00D427D8">
        <w:rPr>
          <w:i/>
          <w:iCs/>
        </w:rPr>
        <w:t>Übertragung</w:t>
      </w:r>
      <w:r w:rsidRPr="00D427D8">
        <w:t>) of the Lease Collateral will become effective upon full discharge by the Issuer of the payment obligation regarding the Initial Purchase Price.</w:t>
      </w:r>
    </w:p>
    <w:p w14:paraId="1E5B17EE" w14:textId="040A8480" w:rsidR="009F6E91" w:rsidRPr="00D427D8" w:rsidRDefault="009F6E91" w:rsidP="00B950C2">
      <w:pPr>
        <w:pStyle w:val="SchNumber3"/>
      </w:pPr>
      <w:r w:rsidRPr="00D427D8">
        <w:lastRenderedPageBreak/>
        <w:t>Nothing in this clause 4 shall limit the obligations to release the Security pursuant to clause 9 (</w:t>
      </w:r>
      <w:r w:rsidRPr="00D427D8">
        <w:rPr>
          <w:i/>
          <w:iCs/>
        </w:rPr>
        <w:t>Release of Security</w:t>
      </w:r>
      <w:r w:rsidRPr="00D427D8">
        <w:t>) and to retransfer Lease Collateral pursuant to clause 10 (</w:t>
      </w:r>
      <w:r w:rsidRPr="00D427D8">
        <w:rPr>
          <w:i/>
          <w:iCs/>
        </w:rPr>
        <w:t>Collateral Agent</w:t>
      </w:r>
      <w:r w:rsidR="00EF7333" w:rsidRPr="00D427D8">
        <w:rPr>
          <w:i/>
          <w:iCs/>
        </w:rPr>
        <w:t>'</w:t>
      </w:r>
      <w:r w:rsidRPr="00D427D8">
        <w:rPr>
          <w:i/>
          <w:iCs/>
        </w:rPr>
        <w:t>s Assignment of certain Receivables</w:t>
      </w:r>
      <w:r w:rsidRPr="00D427D8">
        <w:t>).</w:t>
      </w:r>
    </w:p>
    <w:p w14:paraId="27B1BCE9" w14:textId="6AF9027C" w:rsidR="009F6E91" w:rsidRPr="00D427D8" w:rsidRDefault="009F6E91" w:rsidP="00B950C2">
      <w:pPr>
        <w:pStyle w:val="SchHeading1"/>
      </w:pPr>
      <w:bookmarkStart w:id="235" w:name="_Ref141886158"/>
      <w:r w:rsidRPr="00D427D8">
        <w:t>Security</w:t>
      </w:r>
      <w:bookmarkEnd w:id="235"/>
    </w:p>
    <w:p w14:paraId="68A8FA01" w14:textId="2121CD76" w:rsidR="009F6E91" w:rsidRPr="00D427D8" w:rsidRDefault="009F6E91" w:rsidP="00B950C2">
      <w:pPr>
        <w:pStyle w:val="SchHeading2"/>
      </w:pPr>
      <w:r w:rsidRPr="00D427D8">
        <w:t>Transfer of Purchased Lease Receivables to the Collateral Agent</w:t>
      </w:r>
    </w:p>
    <w:p w14:paraId="358BDD84" w14:textId="0A41CCEF" w:rsidR="009F6E91" w:rsidRPr="00D427D8" w:rsidRDefault="009F6E91" w:rsidP="00B950C2">
      <w:pPr>
        <w:pStyle w:val="SchNumber3"/>
      </w:pPr>
      <w:bookmarkStart w:id="236" w:name="_Ref141885909"/>
      <w:r w:rsidRPr="00D427D8">
        <w:t>The Issuer hereby assigns and transfers to the Collateral Agent (as fiduciary (</w:t>
      </w:r>
      <w:r w:rsidRPr="00D427D8">
        <w:rPr>
          <w:i/>
          <w:iCs/>
        </w:rPr>
        <w:t>Treuhänder</w:t>
      </w:r>
      <w:r w:rsidRPr="00D427D8">
        <w:t>) as set out in clause 3) all rights and interests in all Purchased Lease Receivables acquired by the Purchaser pursuant to the Lease Receivables Purchase Agreement, as identified by reference to the vehicle identification numbers of the related Leased Vehicles, and title (</w:t>
      </w:r>
      <w:r w:rsidRPr="00D427D8">
        <w:rPr>
          <w:i/>
          <w:iCs/>
        </w:rPr>
        <w:t>Sicherungseigentum</w:t>
      </w:r>
      <w:r w:rsidRPr="00D427D8">
        <w:t>) to the related Leased Vehicles for the respective Purchased Lease Receivable and the Collateral Agent hereby accepts such assignment and transfer.</w:t>
      </w:r>
      <w:bookmarkEnd w:id="236"/>
    </w:p>
    <w:p w14:paraId="51BDF309" w14:textId="195F9A9C" w:rsidR="009F6E91" w:rsidRPr="00D427D8" w:rsidRDefault="009F6E91" w:rsidP="00B950C2">
      <w:pPr>
        <w:pStyle w:val="SchNumber3"/>
      </w:pPr>
      <w:r w:rsidRPr="00D427D8">
        <w:t>The Collateral Agent hereby accepts the assignments and transfers and, in particular, recognises the obligations of the Issuer to abide by the security arrangements (</w:t>
      </w:r>
      <w:r w:rsidRPr="00D427D8">
        <w:rPr>
          <w:i/>
          <w:iCs/>
        </w:rPr>
        <w:t>Sicherungsabreden</w:t>
      </w:r>
      <w:r w:rsidRPr="00D427D8">
        <w:t>) between the Seller and the Lessees provided for under the relevant Lease Agreement and to release the all Purchased Lease Receivables pursuant to the provisions of the Lease Receivables Purchase Agreement, the Servicing Agreement and the other Transaction Documents upon instruction of the Secured Parties.</w:t>
      </w:r>
    </w:p>
    <w:p w14:paraId="7F217130" w14:textId="03BB057A" w:rsidR="009F6E91" w:rsidRPr="00D427D8" w:rsidRDefault="009F6E91" w:rsidP="00B950C2">
      <w:pPr>
        <w:pStyle w:val="SchNumber3"/>
      </w:pPr>
      <w:r w:rsidRPr="00D427D8">
        <w:t>To the extent that a transfer of title under clause (a) above, in particular but not limited to security title (</w:t>
      </w:r>
      <w:r w:rsidRPr="00D427D8">
        <w:rPr>
          <w:i/>
          <w:iCs/>
        </w:rPr>
        <w:t>Sicherungseigentum</w:t>
      </w:r>
      <w:r w:rsidRPr="00D427D8">
        <w:t>) of the Leased Vehicles, cannot be accomplished by mere agreement between the Issuer and the Collateral Agent but requires further acts, the Issuer and the Collateral Agent agree that:</w:t>
      </w:r>
    </w:p>
    <w:p w14:paraId="4100453C" w14:textId="58F804E0" w:rsidR="009F6E91" w:rsidRPr="00D427D8" w:rsidRDefault="009F6E91" w:rsidP="00B950C2">
      <w:pPr>
        <w:pStyle w:val="SchNumber4"/>
      </w:pPr>
      <w:r w:rsidRPr="00D427D8">
        <w:t>any transfer of possession necessary to transfer title to the Purchased Lease Receivables acquired by the Issuer on the Closing Date and the Leased Vehicles shall be replaced:</w:t>
      </w:r>
    </w:p>
    <w:p w14:paraId="426CDFF2" w14:textId="6AB0D2EF" w:rsidR="009F6E91" w:rsidRPr="00D427D8" w:rsidRDefault="009F6E91" w:rsidP="00B950C2">
      <w:pPr>
        <w:pStyle w:val="SchNumber5"/>
      </w:pPr>
      <w:r w:rsidRPr="00D427D8">
        <w:t>by assigning hereby all of the Issuer</w:t>
      </w:r>
      <w:r w:rsidR="00EF7333" w:rsidRPr="00D427D8">
        <w:t>'</w:t>
      </w:r>
      <w:r w:rsidRPr="00D427D8">
        <w:t>s claims, present or future, actual or contingent to request transfer of possession (</w:t>
      </w:r>
      <w:r w:rsidRPr="00D427D8">
        <w:rPr>
          <w:i/>
          <w:iCs/>
        </w:rPr>
        <w:t>Abtretung der Herausgabeansprüche</w:t>
      </w:r>
      <w:r w:rsidRPr="00D427D8">
        <w:t>) against any third party (including any Lessee) which is in the direct possession (</w:t>
      </w:r>
      <w:r w:rsidRPr="00D427D8">
        <w:rPr>
          <w:i/>
          <w:iCs/>
        </w:rPr>
        <w:t>unmittelbarer Besitz</w:t>
      </w:r>
      <w:r w:rsidRPr="00D427D8">
        <w:t>) or indirect possession (</w:t>
      </w:r>
      <w:r w:rsidRPr="00D427D8">
        <w:rPr>
          <w:i/>
          <w:iCs/>
        </w:rPr>
        <w:t>mittelbarer Besitz</w:t>
      </w:r>
      <w:r w:rsidRPr="00D427D8">
        <w:t>) of such assets which assignment the Collateral Agent hereby accepts; and/or</w:t>
      </w:r>
    </w:p>
    <w:p w14:paraId="65D815E3" w14:textId="1C98FA10" w:rsidR="009F6E91" w:rsidRPr="00D427D8" w:rsidRDefault="009F6E91" w:rsidP="00B950C2">
      <w:pPr>
        <w:pStyle w:val="SchNumber5"/>
      </w:pPr>
      <w:r w:rsidRPr="00D427D8">
        <w:t>in the event that the Issuer has direct possession (unmittelbarer Besitz) of the relevant assets, by the Issuer holding such assets on behalf of the Collateral Agent and granting the Collateral Agent indirect possession (</w:t>
      </w:r>
      <w:r w:rsidRPr="00D427D8">
        <w:rPr>
          <w:i/>
          <w:iCs/>
        </w:rPr>
        <w:t>mittelbarer Besitz</w:t>
      </w:r>
      <w:r w:rsidRPr="00D427D8">
        <w:t>) of such assets by keeping it with due care free of charge (</w:t>
      </w:r>
      <w:r w:rsidRPr="00D427D8">
        <w:rPr>
          <w:i/>
          <w:iCs/>
        </w:rPr>
        <w:t>als unentgeltlicher Verwahrer</w:t>
      </w:r>
      <w:r w:rsidRPr="00D427D8">
        <w:t>) for the Collateral Agent until revoked, which the Collateral Agent hereby accepts; and</w:t>
      </w:r>
    </w:p>
    <w:p w14:paraId="2DCC908A" w14:textId="0FD1D69C" w:rsidR="009F6E91" w:rsidRPr="00D427D8" w:rsidRDefault="009F6E91" w:rsidP="00B950C2">
      <w:pPr>
        <w:pStyle w:val="SchNumber4"/>
      </w:pPr>
      <w:r w:rsidRPr="00D427D8">
        <w:t>any other action to be performed or done or registration to be perfected shall in connection with the transfer of title to any all Purchased Lease Receivables and the Leased Vehicles be promptly performed, done and/or perfected by the Issuer, as applicable, at its own costs, save where failure to do so shall not be materially prejudicial to the interests of the Secured Parties; and the Issuer agrees that if it fails to perform such other action or fails to perfect such registration, the Collateral Agent is hereby authorised to perform such action, or perform such registration on behalf of the Issuer and at the Issuer</w:t>
      </w:r>
      <w:r w:rsidR="00EF7333" w:rsidRPr="00D427D8">
        <w:t>'</w:t>
      </w:r>
      <w:r w:rsidRPr="00D427D8">
        <w:t>s costs, whereby, in each case, the Collateral Agent shall be exempted from the restrictions of section 181 of the German Civil Code.</w:t>
      </w:r>
    </w:p>
    <w:p w14:paraId="1BD1C744" w14:textId="38CDD2A4" w:rsidR="009F6E91" w:rsidRPr="00D427D8" w:rsidRDefault="009F6E91" w:rsidP="00B950C2">
      <w:pPr>
        <w:pStyle w:val="SchNumber3"/>
      </w:pPr>
      <w:r w:rsidRPr="00D427D8">
        <w:t xml:space="preserve">If an express or implied German-law-governed current account relationship exists or is later established between the Issuer and a third party, the Issuer hereby assigns to the Collateral Agent, without prejudice to the generality of the provisions in clause 5.1(a), the right to receive a periodic account statement, the right to payment of present or future balances and the right to demand the drawing of a balance (including a final net balance determined upon the institution of any insolvency proceedings regarding the estate of the Issuer), as well as </w:t>
      </w:r>
      <w:r w:rsidRPr="00D427D8">
        <w:lastRenderedPageBreak/>
        <w:t>the right to terminate the current account relationship and to the determination and payment of the closing net balance upon termination. The Issuer shall notify the Collateral Agent of any future current account relationship it enters into in accordance with the Transaction Documents without undue delay.</w:t>
      </w:r>
    </w:p>
    <w:p w14:paraId="59D639F8" w14:textId="4B16B5B2" w:rsidR="009F6E91" w:rsidRPr="00D427D8" w:rsidRDefault="009F6E91" w:rsidP="00B950C2">
      <w:pPr>
        <w:pStyle w:val="SchNumber3"/>
      </w:pPr>
      <w:r w:rsidRPr="00D427D8">
        <w:t>The transfer of title for security purposes to the Leased Vehicles is subject to the resolutory condition (</w:t>
      </w:r>
      <w:r w:rsidRPr="00D427D8">
        <w:rPr>
          <w:i/>
          <w:iCs/>
        </w:rPr>
        <w:t>auflösende Bedingung</w:t>
      </w:r>
      <w:r w:rsidRPr="00D427D8">
        <w:t xml:space="preserve">) of the </w:t>
      </w:r>
      <w:bookmarkStart w:id="237" w:name="_Hlk141203523"/>
      <w:r w:rsidRPr="00D427D8">
        <w:t>earlier of:</w:t>
      </w:r>
    </w:p>
    <w:p w14:paraId="0A7AB6C3" w14:textId="50FEAD17" w:rsidR="009F6E91" w:rsidRPr="00D427D8" w:rsidRDefault="009F6E91" w:rsidP="00B950C2">
      <w:pPr>
        <w:pStyle w:val="SchNumber4"/>
      </w:pPr>
      <w:r w:rsidRPr="00D427D8">
        <w:t>full and final satisfaction of the Secured Liabilities; or</w:t>
      </w:r>
    </w:p>
    <w:p w14:paraId="20C21E40" w14:textId="5543335B" w:rsidR="009F6E91" w:rsidRPr="00D427D8" w:rsidRDefault="009F6E91" w:rsidP="00B950C2">
      <w:pPr>
        <w:pStyle w:val="SchNumber4"/>
      </w:pPr>
      <w:r w:rsidRPr="00D427D8">
        <w:t>full and final payment of the relevant Purchased Lease Receivables; or</w:t>
      </w:r>
    </w:p>
    <w:p w14:paraId="520F34B2" w14:textId="0E160866" w:rsidR="009F6E91" w:rsidRPr="00D427D8" w:rsidRDefault="009F6E91" w:rsidP="00B950C2">
      <w:pPr>
        <w:pStyle w:val="SchNumber4"/>
      </w:pPr>
      <w:r w:rsidRPr="00D427D8">
        <w:t>the (early or regular) termination with payment in full of all amounts owing to it under, or as a result of the early termination of, the relevant Lease Agreement.</w:t>
      </w:r>
    </w:p>
    <w:bookmarkEnd w:id="237"/>
    <w:p w14:paraId="2C657A64" w14:textId="72403406" w:rsidR="009F6E91" w:rsidRPr="00D427D8" w:rsidRDefault="009F6E91" w:rsidP="00B950C2">
      <w:pPr>
        <w:pStyle w:val="SchNumber3"/>
      </w:pPr>
      <w:r w:rsidRPr="00D427D8">
        <w:t>If new parts are added to or replaced in any Leased Vehicle, the ownership of which has been transferred for security purposes, they shall, as a result of their incorporation, come into the ownership of the Collateral Agent for security purposes. The aforementioned rule shall apply to accessories, mutatis mutandis, except to assets owned by the respective Lessee. The Collateral Agent shall act in this respect in both the interests of Stellantis Bank and the interests of the Issuer. Accordingly, Stellantis Bank and the Issuer shall, in the event of payments in respect of the Leased Vehicles, participate in the enforcement or realisation proceeds and shall, to such extent, acquire direct and independent claims against the Collateral Agent. For the purposes of the enforcement or sale of the Leased Vehicles, the Servicer shall be authorised to dispose (</w:t>
      </w:r>
      <w:r w:rsidRPr="00D427D8">
        <w:rPr>
          <w:i/>
          <w:iCs/>
        </w:rPr>
        <w:t>verfügen</w:t>
      </w:r>
      <w:r w:rsidRPr="00D427D8">
        <w:t>) of the Leased Vehicles.</w:t>
      </w:r>
    </w:p>
    <w:p w14:paraId="4C150D1E" w14:textId="5551B18B" w:rsidR="009F6E91" w:rsidRPr="00D427D8" w:rsidRDefault="009F6E91" w:rsidP="00B950C2">
      <w:pPr>
        <w:pStyle w:val="SchNumber3"/>
      </w:pPr>
      <w:r w:rsidRPr="00D427D8">
        <w:t>Nothing in this clause 5 shall limit the obligations to release Security pursuant to clause 9 (</w:t>
      </w:r>
      <w:r w:rsidRPr="00D427D8">
        <w:rPr>
          <w:i/>
          <w:iCs/>
        </w:rPr>
        <w:t>Release of Security</w:t>
      </w:r>
      <w:r w:rsidRPr="00D427D8">
        <w:t xml:space="preserve">) and to retransfer any Purchased Lease Receivables and </w:t>
      </w:r>
      <w:r w:rsidRPr="00D427D8">
        <w:rPr>
          <w:szCs w:val="19"/>
        </w:rPr>
        <w:t>title (</w:t>
      </w:r>
      <w:r w:rsidRPr="00D427D8">
        <w:rPr>
          <w:i/>
          <w:iCs/>
          <w:szCs w:val="19"/>
        </w:rPr>
        <w:t>Sicherungseigentum</w:t>
      </w:r>
      <w:r w:rsidRPr="00D427D8">
        <w:rPr>
          <w:szCs w:val="19"/>
        </w:rPr>
        <w:t>) to the related Leased Vehicles for the respective Purchased Lease Receivable</w:t>
      </w:r>
      <w:r w:rsidRPr="00D427D8">
        <w:t xml:space="preserve"> and  pursuant to clause 10 (</w:t>
      </w:r>
      <w:r w:rsidRPr="00D427D8">
        <w:rPr>
          <w:i/>
          <w:iCs/>
        </w:rPr>
        <w:t>Collateral Agent</w:t>
      </w:r>
      <w:r w:rsidR="00EF7333" w:rsidRPr="00D427D8">
        <w:rPr>
          <w:i/>
          <w:iCs/>
        </w:rPr>
        <w:t>'</w:t>
      </w:r>
      <w:r w:rsidRPr="00D427D8">
        <w:rPr>
          <w:i/>
          <w:iCs/>
        </w:rPr>
        <w:t>s Assignment of certain Receivables</w:t>
      </w:r>
      <w:r w:rsidRPr="00D427D8">
        <w:t>).</w:t>
      </w:r>
    </w:p>
    <w:p w14:paraId="5EA519FA" w14:textId="64A05437" w:rsidR="009F6E91" w:rsidRPr="00D427D8" w:rsidRDefault="009F6E91" w:rsidP="00B950C2">
      <w:pPr>
        <w:pStyle w:val="SchNumber3"/>
      </w:pPr>
      <w:r w:rsidRPr="00D427D8">
        <w:t>The assignment and/or transfer of the security pursuant to this clause 5.1 will become effective at 11:30 am (Frankfurt time) on the Closing Date or the relevant Further Purchase Date, as applicable.</w:t>
      </w:r>
    </w:p>
    <w:p w14:paraId="7EE2831A" w14:textId="28D3E41C" w:rsidR="009F6E91" w:rsidRPr="00D427D8" w:rsidRDefault="009F6E91" w:rsidP="00B950C2">
      <w:pPr>
        <w:pStyle w:val="SchHeading2"/>
      </w:pPr>
      <w:bookmarkStart w:id="238" w:name="_Ref141887203"/>
      <w:r w:rsidRPr="00D427D8">
        <w:t>Pledge by the Seller</w:t>
      </w:r>
      <w:bookmarkEnd w:id="238"/>
    </w:p>
    <w:p w14:paraId="52CC833E" w14:textId="75CB9E24" w:rsidR="009F6E91" w:rsidRPr="00D427D8" w:rsidRDefault="009F6E91" w:rsidP="00B950C2">
      <w:pPr>
        <w:pStyle w:val="SchNumber3"/>
      </w:pPr>
      <w:r w:rsidRPr="00D427D8">
        <w:t>The Seller hereby pledges to the Collateral Agent all of its present and future, actual or contingent rights and claims (including any ancillary rights) against the Data Protection Trustee arising under the Data Protection Agreement and the Collateral Agent accepts such pledge.</w:t>
      </w:r>
    </w:p>
    <w:p w14:paraId="0AD3B2AD" w14:textId="1F7EB4F4" w:rsidR="009F6E91" w:rsidRPr="00D427D8" w:rsidRDefault="009F6E91" w:rsidP="00B950C2">
      <w:pPr>
        <w:pStyle w:val="SchNumber3"/>
      </w:pPr>
      <w:r w:rsidRPr="00D427D8">
        <w:t>The Seller hereby gives notice to the Collateral Agent and the Data Protection Trustee of the pledge granted under paragraph (a) and the Collateral Agent and the Data Protection Trustee confirm and acknowledge receipt of such notice.</w:t>
      </w:r>
    </w:p>
    <w:p w14:paraId="767A3F75" w14:textId="5AF0C171" w:rsidR="009F6E91" w:rsidRPr="00D427D8" w:rsidRDefault="009F6E91" w:rsidP="00B950C2">
      <w:pPr>
        <w:pStyle w:val="SchNumber3"/>
      </w:pPr>
      <w:r w:rsidRPr="00D427D8">
        <w:t>It is agreed that the Collateral Agent is entitled to enforce the pledge created by this clause if an Insolvency Event in respect of the Seller has occurred (</w:t>
      </w:r>
      <w:r w:rsidRPr="00D427D8">
        <w:rPr>
          <w:i/>
          <w:iCs/>
        </w:rPr>
        <w:t>Pfandreife liegt vor, sobald ein Insolvenzfall eintritt</w:t>
      </w:r>
      <w:r w:rsidRPr="00D427D8">
        <w:t>); notwithstanding section 1277 of the German Civil Code, the Collateral Agent may exercise its rights without obtaining a final judgment or other instrument (</w:t>
      </w:r>
      <w:r w:rsidRPr="00D427D8">
        <w:rPr>
          <w:i/>
          <w:iCs/>
        </w:rPr>
        <w:t>vollstreckbarer Titel</w:t>
      </w:r>
      <w:r w:rsidRPr="00D427D8">
        <w:t>).</w:t>
      </w:r>
    </w:p>
    <w:p w14:paraId="4AE15693" w14:textId="63E2E182" w:rsidR="009F6E91" w:rsidRPr="00D427D8" w:rsidRDefault="009F6E91" w:rsidP="00B950C2">
      <w:pPr>
        <w:pStyle w:val="SchHeading2"/>
      </w:pPr>
      <w:bookmarkStart w:id="239" w:name="_Ref141887208"/>
      <w:r w:rsidRPr="00D427D8">
        <w:t>Pledge by the Issuer</w:t>
      </w:r>
      <w:bookmarkEnd w:id="239"/>
    </w:p>
    <w:p w14:paraId="41C334F9" w14:textId="6139ECDB" w:rsidR="009F6E91" w:rsidRPr="00D427D8" w:rsidRDefault="009F6E91" w:rsidP="00B950C2">
      <w:pPr>
        <w:pStyle w:val="SchNumber3"/>
      </w:pPr>
      <w:bookmarkStart w:id="240" w:name="_Ref141886561"/>
      <w:r w:rsidRPr="00D427D8">
        <w:t>The Issuer hereby pledges to the Collateral Agent:</w:t>
      </w:r>
      <w:bookmarkEnd w:id="240"/>
    </w:p>
    <w:p w14:paraId="78D3F9B0" w14:textId="7E4CD877" w:rsidR="009F6E91" w:rsidRPr="00D427D8" w:rsidRDefault="009F6E91" w:rsidP="00B950C2">
      <w:pPr>
        <w:pStyle w:val="SchNumber4"/>
      </w:pPr>
      <w:r w:rsidRPr="00D427D8">
        <w:t>all of its present and future, actual or contingent rights and claims (including any ancillary rights) against the Collateral Agent arising under the Transaction Documents (except for those arising under the Security Assignment Deed); and</w:t>
      </w:r>
    </w:p>
    <w:p w14:paraId="771ECED8" w14:textId="65193BE6" w:rsidR="009F6E91" w:rsidRPr="00D427D8" w:rsidRDefault="009F6E91" w:rsidP="00B950C2">
      <w:pPr>
        <w:pStyle w:val="SchNumber4"/>
      </w:pPr>
      <w:bookmarkStart w:id="241" w:name="_Ref141887221"/>
      <w:r w:rsidRPr="00D427D8">
        <w:lastRenderedPageBreak/>
        <w:t>all of its present and future, actual and contingent claims and rights against the Account Bank under the Account Bank Agreement, without limitation, its rights to require that amounts are to be credited to the Issuer Accounts (</w:t>
      </w:r>
      <w:r w:rsidRPr="00D427D8">
        <w:rPr>
          <w:i/>
          <w:iCs/>
        </w:rPr>
        <w:t>Recht auf Kontogutschrift</w:t>
      </w:r>
      <w:r w:rsidRPr="00D427D8">
        <w:t>), the present and future credit balance of the Issuer Accounts (</w:t>
      </w:r>
      <w:r w:rsidRPr="00D427D8">
        <w:rPr>
          <w:i/>
          <w:iCs/>
        </w:rPr>
        <w:t>Recht aus Kontogutschrift</w:t>
      </w:r>
      <w:r w:rsidRPr="00D427D8">
        <w:t>) including all interest payable thereon and all ancillary rights and claims against the Account Bank associated with the Issuer Accounts, and the Collateral Agent accepts such pledge.</w:t>
      </w:r>
      <w:bookmarkEnd w:id="241"/>
    </w:p>
    <w:p w14:paraId="73F222AF" w14:textId="50BEC087" w:rsidR="009F6E91" w:rsidRPr="00D427D8" w:rsidRDefault="009F6E91" w:rsidP="00B950C2">
      <w:pPr>
        <w:pStyle w:val="SchNumber3"/>
      </w:pPr>
      <w:r w:rsidRPr="00D427D8">
        <w:t>The Issuer hereby gives notice to the Collateral Agent and the Account Bank of the pledge granted under clause 5.3(a) and the Collateral Agent and the Account Bank confirm and acknowledge receipt of such notice. The Account Bank hereby subordinates any pledge over the Issuer Accounts, including, but not limited to, the pledge arising under the Account Bank</w:t>
      </w:r>
      <w:r w:rsidR="00EF7333" w:rsidRPr="00D427D8">
        <w:t>'</w:t>
      </w:r>
      <w:r w:rsidRPr="00D427D8">
        <w:t>s standard terms and conditions (</w:t>
      </w:r>
      <w:r w:rsidRPr="00D427D8">
        <w:rPr>
          <w:i/>
          <w:iCs/>
        </w:rPr>
        <w:t>AGB Pfandrecht</w:t>
      </w:r>
      <w:r w:rsidRPr="00D427D8">
        <w:t>), to the pledges created under this Agreement.</w:t>
      </w:r>
    </w:p>
    <w:p w14:paraId="2B299B45" w14:textId="73B3D8B8" w:rsidR="009F6E91" w:rsidRPr="00D427D8" w:rsidRDefault="009F6E91" w:rsidP="00B950C2">
      <w:pPr>
        <w:pStyle w:val="SchNumber3"/>
      </w:pPr>
      <w:r w:rsidRPr="00D427D8">
        <w:t>The Issuer hereby waives all its rights of confidentiality against the Account Bank in relation to the Issuer Accounts and instructs and authorises the Account Bank to give to the Collateral Agent any information requested by it concerning the Issuer Accounts.</w:t>
      </w:r>
    </w:p>
    <w:p w14:paraId="76367E1B" w14:textId="558DFBE9" w:rsidR="009F6E91" w:rsidRPr="00D427D8" w:rsidRDefault="009F6E91" w:rsidP="00B950C2">
      <w:pPr>
        <w:pStyle w:val="SchNumber3"/>
      </w:pPr>
      <w:r w:rsidRPr="00D427D8">
        <w:t>It is agreed that the Collateral Agent is entitled to enforce the pledge created by this clause if an Issuer Event of Default has occurred (</w:t>
      </w:r>
      <w:r w:rsidRPr="00D427D8">
        <w:rPr>
          <w:i/>
          <w:iCs/>
        </w:rPr>
        <w:t>dass Pfandreife gegeben ist, sobald ein Issuer Event of Default eintritt</w:t>
      </w:r>
      <w:r w:rsidRPr="00D427D8">
        <w:t>); notwithstanding section 1277 of the German Civil Code, the Collateral Agent may exercise its rights without obtaining a final judgment or other instrument (</w:t>
      </w:r>
      <w:r w:rsidRPr="00D427D8">
        <w:rPr>
          <w:i/>
          <w:iCs/>
        </w:rPr>
        <w:t>vollstreckbarer Titel</w:t>
      </w:r>
      <w:r w:rsidRPr="00D427D8">
        <w:t>).</w:t>
      </w:r>
    </w:p>
    <w:p w14:paraId="2390BC0F" w14:textId="11F2222E" w:rsidR="009F6E91" w:rsidRPr="00D427D8" w:rsidRDefault="009F6E91" w:rsidP="00B950C2">
      <w:pPr>
        <w:pStyle w:val="SchHeading2"/>
      </w:pPr>
      <w:r w:rsidRPr="00D427D8">
        <w:t>Future Collateral</w:t>
      </w:r>
    </w:p>
    <w:p w14:paraId="028B54CF" w14:textId="3F9F98AE" w:rsidR="009F6E91" w:rsidRPr="00D427D8" w:rsidRDefault="00B950C2" w:rsidP="00B950C2">
      <w:pPr>
        <w:pStyle w:val="Body2"/>
      </w:pPr>
      <w:r w:rsidRPr="00D427D8">
        <w:t>The Issuer shall grant to the Collateral Agent a security interest satisfactory to the Collateral Agent with respect to any other future agreement concluded by the Issuer or assets acquired by the Issuer to the extent that such future agreements or assets relate to the securitisation transaction carried out under the Issuer's Compartment Lease 2025-1, if so requested by the Collateral Agent (following a notification from the Issuer informing the Collateral Agent of such agreement) in order to protect the interests of the Secured Parties. Any future collateral thus created shall form part of the Security. Any other action to be performed or done or registration to be perfected in connection with future collateral shall be promptly performed, done and/or perfected by the Issuer, as applicable, at its own costs.</w:t>
      </w:r>
    </w:p>
    <w:p w14:paraId="36413602" w14:textId="6DE14F66" w:rsidR="009F6E91" w:rsidRPr="00D427D8" w:rsidRDefault="009F6E91" w:rsidP="00B950C2">
      <w:pPr>
        <w:pStyle w:val="SchHeading1"/>
      </w:pPr>
      <w:r w:rsidRPr="00D427D8">
        <w:t>Security Purpose</w:t>
      </w:r>
    </w:p>
    <w:p w14:paraId="7EC1B607" w14:textId="4B846E93" w:rsidR="009F6E91" w:rsidRPr="00D427D8" w:rsidRDefault="00B950C2" w:rsidP="00B950C2">
      <w:pPr>
        <w:pStyle w:val="Body2"/>
      </w:pPr>
      <w:r w:rsidRPr="00D427D8">
        <w:t xml:space="preserve">The security transfers, assignment and pledges pursuant to clauses 4 and 5 serve to secure the Trustee Claim and the Secured Liabilities. However, the pledge over the CSA Account pursuant to 5.3(a)(ii) serves to secure the Trustee Claim and the Secured Liabilities only in respect of the present and future obligations of the Issuer under the Hedging Arrangement </w:t>
      </w:r>
      <w:r w:rsidRPr="00D427D8">
        <w:rPr>
          <w:i/>
          <w:iCs/>
        </w:rPr>
        <w:t>vis-à-vis</w:t>
      </w:r>
      <w:r w:rsidRPr="00D427D8">
        <w:t xml:space="preserve"> the Counterparty.</w:t>
      </w:r>
    </w:p>
    <w:p w14:paraId="68713070" w14:textId="77AFDBBC" w:rsidR="009F6E91" w:rsidRPr="00D427D8" w:rsidRDefault="009F6E91" w:rsidP="00B950C2">
      <w:pPr>
        <w:pStyle w:val="SchHeading1"/>
      </w:pPr>
      <w:r w:rsidRPr="00D427D8">
        <w:t>Authority to collect, assumption of obligations, further assignments</w:t>
      </w:r>
    </w:p>
    <w:p w14:paraId="595C294E" w14:textId="1115EC0C" w:rsidR="009F6E91" w:rsidRPr="00D427D8" w:rsidRDefault="009F6E91" w:rsidP="00B950C2">
      <w:pPr>
        <w:pStyle w:val="SchNumber2"/>
      </w:pPr>
      <w:bookmarkStart w:id="242" w:name="_Ref141887603"/>
      <w:r w:rsidRPr="00D427D8">
        <w:t>The Issuer shall be authorised to collect, to have collected, to realise and to have realised or otherwise to exercise or use, the Security in the ordinary course of business and in accordance with the Transaction Documents (except for the ER Collateral Agency Agreement). The Issuer is entitled to pass on such authorisation pursuant to the Transaction Documents.</w:t>
      </w:r>
      <w:bookmarkEnd w:id="242"/>
    </w:p>
    <w:p w14:paraId="3FA96F66" w14:textId="110D37B8" w:rsidR="009F6E91" w:rsidRPr="00D427D8" w:rsidRDefault="009F6E91" w:rsidP="00B950C2">
      <w:pPr>
        <w:pStyle w:val="SchNumber2"/>
      </w:pPr>
      <w:bookmarkStart w:id="243" w:name="_Ref174114074"/>
      <w:r w:rsidRPr="00D427D8">
        <w:t>The authority provided in clause 7.1 shall automatically terminate upon the occurrence of an Issuer Event of Default. The authority may be revoked by the Collateral Agent upon instruction by the Secured Parties.</w:t>
      </w:r>
      <w:bookmarkEnd w:id="243"/>
    </w:p>
    <w:p w14:paraId="622382A1" w14:textId="431F3987" w:rsidR="009F6E91" w:rsidRPr="00D427D8" w:rsidRDefault="009F6E91" w:rsidP="00B950C2">
      <w:pPr>
        <w:pStyle w:val="SchNumber2"/>
      </w:pPr>
      <w:bookmarkStart w:id="244" w:name="_Ref141888251"/>
      <w:r w:rsidRPr="00D427D8">
        <w:t>The Collateral Agent is obligated in its relationship to the Issuer and to the Seller to comply with the continuing duties of care of the Issuer arising under the Lease Receivables Purchase Agreement and the other Transaction Documents to which the Issuer is a party (i.e. the treatment of the assignment to the Issuer as silent assignment (</w:t>
      </w:r>
      <w:r w:rsidRPr="00D427D8">
        <w:rPr>
          <w:i/>
          <w:iCs/>
        </w:rPr>
        <w:t>stille Abtretung</w:t>
      </w:r>
      <w:r w:rsidRPr="00D427D8">
        <w:t>) and compliance with the security arrangements (</w:t>
      </w:r>
      <w:r w:rsidRPr="00D427D8">
        <w:rPr>
          <w:i/>
          <w:iCs/>
        </w:rPr>
        <w:t>Sicherungsabrede</w:t>
      </w:r>
      <w:r w:rsidRPr="00D427D8">
        <w:t>) entered into between the Seller and the Lessees in relation to the Lease Collateral). Such continuing duties shall not extend to any payment obligations of the Issuer, including, in particular, the payment obligations of the Issuer under the Lease Receivables Purchase Agreement or as compensation for damages to any party.</w:t>
      </w:r>
      <w:bookmarkEnd w:id="244"/>
    </w:p>
    <w:p w14:paraId="07574DE2" w14:textId="1FEEC5EA" w:rsidR="009F6E91" w:rsidRPr="00D427D8" w:rsidRDefault="009F6E91" w:rsidP="00B950C2">
      <w:pPr>
        <w:pStyle w:val="SchNumber2"/>
      </w:pPr>
      <w:bookmarkStart w:id="245" w:name="_Ref141888161"/>
      <w:r w:rsidRPr="00D427D8">
        <w:lastRenderedPageBreak/>
        <w:t>The Collateral Agent is authorised to assign or otherwise transfer the Security:</w:t>
      </w:r>
      <w:bookmarkEnd w:id="245"/>
    </w:p>
    <w:p w14:paraId="3B538017" w14:textId="4305F73B" w:rsidR="009F6E91" w:rsidRPr="00D427D8" w:rsidRDefault="009F6E91" w:rsidP="00B950C2">
      <w:pPr>
        <w:pStyle w:val="SchNumber3"/>
      </w:pPr>
      <w:bookmarkStart w:id="246" w:name="_Ref141888197"/>
      <w:r w:rsidRPr="00D427D8">
        <w:t>in the event the Collateral Agent is replaced and the Trustee Claim and all the Security is to be assigned and/or transferred to a New Collateral Agent in accordance with clause 23 (Replacement of the Collateral Agent); or</w:t>
      </w:r>
      <w:bookmarkEnd w:id="246"/>
    </w:p>
    <w:p w14:paraId="0D65B38C" w14:textId="56EA6740" w:rsidR="009F6E91" w:rsidRPr="00D427D8" w:rsidRDefault="009F6E91" w:rsidP="00B950C2">
      <w:pPr>
        <w:pStyle w:val="SchNumber3"/>
      </w:pPr>
      <w:bookmarkStart w:id="247" w:name="_Ref141888215"/>
      <w:r w:rsidRPr="00D427D8">
        <w:t>upon occurrence of an Issuer Event of Default pursuant to clause 14 (Foreclosure on the Security; Issuer Event of Default; Servicer Default) in accordance with the terms thereof; or</w:t>
      </w:r>
      <w:bookmarkEnd w:id="247"/>
    </w:p>
    <w:p w14:paraId="11A5B663" w14:textId="7987F3C3" w:rsidR="009F6E91" w:rsidRPr="00D427D8" w:rsidRDefault="009F6E91" w:rsidP="00B950C2">
      <w:pPr>
        <w:pStyle w:val="SchNumber3"/>
      </w:pPr>
      <w:r w:rsidRPr="00D427D8">
        <w:t>if an Issuer Event of Default threatens to occur because taxes are levied by the Federal Republic of Germany on payments in respect of the Security, or if such levy is to be introduced, and if the negative consequences thereof can be avoided in whole or in part through the transfer; or</w:t>
      </w:r>
    </w:p>
    <w:p w14:paraId="1D52B41B" w14:textId="6F9F8728" w:rsidR="009F6E91" w:rsidRPr="00D427D8" w:rsidRDefault="009F6E91" w:rsidP="00B950C2">
      <w:pPr>
        <w:pStyle w:val="SchNumber3"/>
      </w:pPr>
      <w:bookmarkStart w:id="248" w:name="_Ref147331890"/>
      <w:r w:rsidRPr="00D427D8">
        <w:t>if, as long as the Seller is the Servicer, the Seller has given its consent to such assignment and transfer or if it unreasonably withholds its consent; such a withholding of consent shall as a rule be considered unreasonable if (A) such assignment and transfer does not affect the interests of the Seller, the Lessees and the Issuer or (B) the interests of the Secured Parties would be substantially disadvantaged without such assignment and transfer.</w:t>
      </w:r>
      <w:bookmarkEnd w:id="248"/>
    </w:p>
    <w:p w14:paraId="08D435DF" w14:textId="262B5BA1" w:rsidR="009F6E91" w:rsidRPr="00D427D8" w:rsidRDefault="009F6E91" w:rsidP="00B950C2">
      <w:pPr>
        <w:pStyle w:val="SchNumber2"/>
      </w:pPr>
      <w:r w:rsidRPr="00D427D8">
        <w:t>In the case of an assignment or transfer pursuant to sub-clause 7.4 above, the Collateral Agent shall be obligated to agree with the respective transferee that the transferee:</w:t>
      </w:r>
    </w:p>
    <w:p w14:paraId="5023591E" w14:textId="56110B88" w:rsidR="009F6E91" w:rsidRPr="00D427D8" w:rsidRDefault="009F6E91" w:rsidP="009A4CAC">
      <w:pPr>
        <w:pStyle w:val="SchNumber3"/>
      </w:pPr>
      <w:r w:rsidRPr="00D427D8">
        <w:t>in the case of an assignment or transfer pursuant to sub-clause 7.4(a) above, shall assume the obligations of the Collateral Agent pursuant to clause 7.3 above with respect to such Security;</w:t>
      </w:r>
    </w:p>
    <w:p w14:paraId="771EBB12" w14:textId="66F43FF0" w:rsidR="009F6E91" w:rsidRPr="00D427D8" w:rsidRDefault="009F6E91" w:rsidP="009A4CAC">
      <w:pPr>
        <w:pStyle w:val="SchNumber3"/>
      </w:pPr>
      <w:r w:rsidRPr="00D427D8">
        <w:t>in the case of an assignment or transfer pursuant to sub-clause 7.4(b) above, shall recognise and comply with any underlying security arrangement (</w:t>
      </w:r>
      <w:r w:rsidRPr="00D427D8">
        <w:rPr>
          <w:i/>
          <w:iCs/>
        </w:rPr>
        <w:t>Sicherungsabrede</w:t>
      </w:r>
      <w:r w:rsidRPr="00D427D8">
        <w:t>) between the Seller and the Lessee with respect to such Security, as applicable; and</w:t>
      </w:r>
    </w:p>
    <w:p w14:paraId="70FBA64F" w14:textId="4345CABB" w:rsidR="009F6E91" w:rsidRPr="00D427D8" w:rsidRDefault="009F6E91" w:rsidP="009A4CAC">
      <w:pPr>
        <w:pStyle w:val="SchNumber3"/>
      </w:pPr>
      <w:r w:rsidRPr="00D427D8">
        <w:t>in all other cases under sub-clause 7.4(d) above with regard to the assigned or otherwise transferred Security, shall assume the rights and continuing obligations of the Collateral Agent under the Security.</w:t>
      </w:r>
    </w:p>
    <w:p w14:paraId="01281FD0" w14:textId="308DB9DA" w:rsidR="009F6E91" w:rsidRPr="00D427D8" w:rsidRDefault="009F6E91" w:rsidP="009A4CAC">
      <w:pPr>
        <w:pStyle w:val="SchHeading1"/>
      </w:pPr>
      <w:r w:rsidRPr="00D427D8">
        <w:t>Representations and warranties of the Issuer</w:t>
      </w:r>
    </w:p>
    <w:p w14:paraId="7B590C75" w14:textId="6866FD1D" w:rsidR="009F6E91" w:rsidRPr="00D427D8" w:rsidRDefault="009F6E91" w:rsidP="009A4CAC">
      <w:pPr>
        <w:pStyle w:val="SchHeading2"/>
      </w:pPr>
      <w:r w:rsidRPr="00D427D8">
        <w:t>Representations</w:t>
      </w:r>
    </w:p>
    <w:p w14:paraId="223FD08E" w14:textId="735D7377" w:rsidR="009F6E91" w:rsidRPr="00D427D8" w:rsidRDefault="009A4CAC" w:rsidP="009A4CAC">
      <w:pPr>
        <w:pStyle w:val="Body2"/>
      </w:pPr>
      <w:r w:rsidRPr="00D427D8">
        <w:t>The Issuer hereby represents and warrants to the Collateral Agent as of the Closing Date and as of the relevant Further Purchase Date, as applicable, with respect to the Security that:</w:t>
      </w:r>
    </w:p>
    <w:p w14:paraId="053093C2" w14:textId="128092C3" w:rsidR="009F6E91" w:rsidRPr="00D427D8" w:rsidRDefault="009F6E91" w:rsidP="009A4CAC">
      <w:pPr>
        <w:pStyle w:val="SchNumber3"/>
      </w:pPr>
      <w:r w:rsidRPr="00D427D8">
        <w:t>all steps have been taken to perfect the Issuer</w:t>
      </w:r>
      <w:r w:rsidR="00EF7333" w:rsidRPr="00D427D8">
        <w:t>'</w:t>
      </w:r>
      <w:r w:rsidRPr="00D427D8">
        <w:t>s title to the Purchased Lease Receivables or ownership to the Lease Collateral;</w:t>
      </w:r>
    </w:p>
    <w:p w14:paraId="33A1277C" w14:textId="1708663E" w:rsidR="009F6E91" w:rsidRPr="00D427D8" w:rsidRDefault="009F6E91" w:rsidP="009A4CAC">
      <w:pPr>
        <w:pStyle w:val="SchNumber3"/>
      </w:pPr>
      <w:r w:rsidRPr="00D427D8">
        <w:t>the transfer of such title as the Issuer may receive from the Seller pursuant to clause 4.2 above is legal, valid and binding and enforceable against it in accordance with their terms, except that the Issuer makes no representation or warranty, and shall not be liable in respect of, the continuing existence of any such title upon the on-assignment and on-transfer to the Collateral Agent pursuant to clause 5 above;</w:t>
      </w:r>
    </w:p>
    <w:p w14:paraId="487487C1" w14:textId="3847252D" w:rsidR="009F6E91" w:rsidRPr="00D427D8" w:rsidRDefault="009F6E91" w:rsidP="009A4CAC">
      <w:pPr>
        <w:pStyle w:val="SchNumber3"/>
      </w:pPr>
      <w:r w:rsidRPr="00D427D8">
        <w:t>the pledges granted by the Issuer to the Collateral Agent pursuant to this Agreement are valid, legal and binding and enforceable against it in accordance with their terms;</w:t>
      </w:r>
    </w:p>
    <w:p w14:paraId="3988CA6F" w14:textId="1C6A0239" w:rsidR="009F6E91" w:rsidRPr="00D427D8" w:rsidRDefault="009F6E91" w:rsidP="009A4CAC">
      <w:pPr>
        <w:pStyle w:val="SchNumber3"/>
      </w:pPr>
      <w:r w:rsidRPr="00D427D8">
        <w:t>the Issuer has not already transferred, assigned or pledged the Security to any third party, nor has the Issuer established any third-party rights on or in connection with the Security except as contemplated in the Transaction Documents; and</w:t>
      </w:r>
    </w:p>
    <w:p w14:paraId="4FCADD90" w14:textId="29E3F423" w:rsidR="009F6E91" w:rsidRPr="00D427D8" w:rsidRDefault="009F6E91" w:rsidP="009A4CAC">
      <w:pPr>
        <w:pStyle w:val="SchNumber3"/>
      </w:pPr>
      <w:r w:rsidRPr="00D427D8">
        <w:t>the Issuer has not and will not make any active solicitation or marketing steps on the French territory.</w:t>
      </w:r>
    </w:p>
    <w:p w14:paraId="34A2C3F7" w14:textId="52092244" w:rsidR="009F6E91" w:rsidRPr="00D427D8" w:rsidRDefault="009F6E91" w:rsidP="009A4CAC">
      <w:pPr>
        <w:pStyle w:val="SchHeading2"/>
      </w:pPr>
      <w:r w:rsidRPr="00D427D8">
        <w:lastRenderedPageBreak/>
        <w:t>Remedy</w:t>
      </w:r>
    </w:p>
    <w:p w14:paraId="6344AEB9" w14:textId="76C8F31E" w:rsidR="009F6E91" w:rsidRPr="00D427D8" w:rsidRDefault="009A4CAC" w:rsidP="009A4CAC">
      <w:pPr>
        <w:pStyle w:val="Body2"/>
      </w:pPr>
      <w:r w:rsidRPr="00D427D8">
        <w:t>The Issuer shall be liable to pay damages, if any of the Security, the value thereof or any of the Issuer's or the Collateral Agent's rights therein are impaired as a consequence of any action by the Issuer in breach of its representations and warranties.</w:t>
      </w:r>
    </w:p>
    <w:p w14:paraId="5CEFE0CC" w14:textId="481FB217" w:rsidR="009F6E91" w:rsidRPr="00D427D8" w:rsidRDefault="009F6E91" w:rsidP="009A4CAC">
      <w:pPr>
        <w:pStyle w:val="SchHeading1"/>
      </w:pPr>
      <w:bookmarkStart w:id="249" w:name="_Ref141891827"/>
      <w:r w:rsidRPr="00D427D8">
        <w:t>Release of Security</w:t>
      </w:r>
      <w:bookmarkEnd w:id="249"/>
    </w:p>
    <w:p w14:paraId="798FDA08" w14:textId="437477A6" w:rsidR="009F6E91" w:rsidRPr="00D427D8" w:rsidRDefault="009F6E91" w:rsidP="009A4CAC">
      <w:pPr>
        <w:pStyle w:val="SchNumber2"/>
      </w:pPr>
      <w:r w:rsidRPr="00D427D8">
        <w:t>As soon as the Issuer has fully discharged all Secured Liabilities and the Collateral Agent has been informed thereof and instructed by the Secured Parties, the Collateral Agent shall promptly retransfer or otherwise release the Security granted to it under this Agreement and that it still holds at such time to or to the order of the Issuer.</w:t>
      </w:r>
    </w:p>
    <w:p w14:paraId="1EAC62A3" w14:textId="661EF930" w:rsidR="009F6E91" w:rsidRPr="00D427D8" w:rsidRDefault="009F6E91" w:rsidP="009A4CAC">
      <w:pPr>
        <w:pStyle w:val="SchNumber2"/>
      </w:pPr>
      <w:r w:rsidRPr="00D427D8">
        <w:t>The Purchased Lease Receivables and the Lease Collateral shall be released, reassigned and retransferred in accordance with the Lease Agreements and the security arrangements with the Lessees, to the extent applicable.</w:t>
      </w:r>
    </w:p>
    <w:p w14:paraId="5650D943" w14:textId="4D4A9721" w:rsidR="009F6E91" w:rsidRPr="00D427D8" w:rsidRDefault="009F6E91" w:rsidP="009A4CAC">
      <w:pPr>
        <w:pStyle w:val="SchNumber2"/>
      </w:pPr>
      <w:bookmarkStart w:id="250" w:name="_Ref169603988"/>
      <w:r w:rsidRPr="00D427D8">
        <w:t>The Issuer and the Collateral Agent hereby authorise the Servicer and shall authorise the Back-up Servicer to release, reassign and retransfer directly to the Seller for on-transfer to such Lessee ownership or title to the respective Lease Collateral securing such Purchased Lease Receivable, to the extent applicable in accordance with the Servicing Agreement or the Back-up Servicing Agreement (as applicable). Clause 7.2 shall apply to this clause 9.3 mutatis mutandis.</w:t>
      </w:r>
      <w:bookmarkEnd w:id="250"/>
    </w:p>
    <w:p w14:paraId="76ABB534" w14:textId="288F7910" w:rsidR="009F6E91" w:rsidRPr="00D427D8" w:rsidRDefault="009F6E91" w:rsidP="009A4CAC">
      <w:pPr>
        <w:pStyle w:val="SchHeading1"/>
      </w:pPr>
      <w:bookmarkStart w:id="251" w:name="_Ref141891835"/>
      <w:r w:rsidRPr="00D427D8">
        <w:t>Collateral Agent</w:t>
      </w:r>
      <w:r w:rsidR="00EF7333" w:rsidRPr="00D427D8">
        <w:t>'</w:t>
      </w:r>
      <w:r w:rsidRPr="00D427D8">
        <w:t>s assignment of certain Purchased Lease Receivables</w:t>
      </w:r>
      <w:bookmarkEnd w:id="251"/>
    </w:p>
    <w:p w14:paraId="3453923D" w14:textId="770D5F2D" w:rsidR="009F6E91" w:rsidRPr="00D427D8" w:rsidRDefault="009F6E91" w:rsidP="009A4CAC">
      <w:pPr>
        <w:pStyle w:val="SchNumber2"/>
      </w:pPr>
      <w:r w:rsidRPr="00D427D8">
        <w:t>The Issuer shall sell, without recourse, representation or warranty, and transfer or cause the Collateral Agent, subject to instruction of the Secured Parties, to transfer to the Seller all of the Issuer</w:t>
      </w:r>
      <w:r w:rsidR="00EF7333" w:rsidRPr="00D427D8">
        <w:t>'</w:t>
      </w:r>
      <w:r w:rsidRPr="00D427D8">
        <w:t>s and the Collateral Agent</w:t>
      </w:r>
      <w:r w:rsidR="00EF7333" w:rsidRPr="00D427D8">
        <w:t>'</w:t>
      </w:r>
      <w:r w:rsidRPr="00D427D8">
        <w:t xml:space="preserve">s right, title and interest in and to any Purchased Lease Receivables, the related Lease Collateral and </w:t>
      </w:r>
      <w:r w:rsidRPr="00D427D8">
        <w:rPr>
          <w:szCs w:val="19"/>
        </w:rPr>
        <w:t>title (</w:t>
      </w:r>
      <w:r w:rsidRPr="00D427D8">
        <w:rPr>
          <w:i/>
          <w:iCs/>
          <w:szCs w:val="19"/>
        </w:rPr>
        <w:t>Sicherungseigentum</w:t>
      </w:r>
      <w:r w:rsidRPr="00D427D8">
        <w:rPr>
          <w:szCs w:val="19"/>
        </w:rPr>
        <w:t>) to the related Leased Vehicles for the respective Purchased Lease Receivable</w:t>
      </w:r>
      <w:r w:rsidRPr="00D427D8">
        <w:t xml:space="preserve"> that the Seller or the Servicer is obligated to repurchase or in respect of which the Seller has exercised a respective right or option to repurchase under the Transaction Documents.</w:t>
      </w:r>
    </w:p>
    <w:p w14:paraId="051DFBDD" w14:textId="18051CE8" w:rsidR="009F6E91" w:rsidRPr="00D427D8" w:rsidRDefault="009F6E91" w:rsidP="009A4CAC">
      <w:pPr>
        <w:pStyle w:val="SchNumber2"/>
      </w:pPr>
      <w:r w:rsidRPr="00D427D8">
        <w:t>If in any enforcement suit or legal proceeding it is held that the Servicer may not enforce a Purchased Lease Receivable on the ground that it is not a real party in interest or a holder entitled to enforce the Purchased Lease Receivable, the Collateral Agent, upon instruction of the Secured Parties, or the Issuer shall, as the case may be, at the Servicer</w:t>
      </w:r>
      <w:r w:rsidR="00EF7333" w:rsidRPr="00D427D8">
        <w:t>'</w:t>
      </w:r>
      <w:r w:rsidRPr="00D427D8">
        <w:t>s expense, take such steps as the Servicer deems necessary to enforce the Purchased Lease Receivable.</w:t>
      </w:r>
    </w:p>
    <w:p w14:paraId="6A540E9F" w14:textId="33A56A88" w:rsidR="009F6E91" w:rsidRPr="00D427D8" w:rsidRDefault="009F6E91" w:rsidP="009A4CAC">
      <w:pPr>
        <w:pStyle w:val="SchHeading1"/>
      </w:pPr>
      <w:bookmarkStart w:id="252" w:name="_Ref141891188"/>
      <w:r w:rsidRPr="00D427D8">
        <w:t>Documents</w:t>
      </w:r>
      <w:bookmarkEnd w:id="252"/>
    </w:p>
    <w:p w14:paraId="35C1D296" w14:textId="623DF405" w:rsidR="009F6E91" w:rsidRPr="00D427D8" w:rsidRDefault="009A4CAC" w:rsidP="009A4CAC">
      <w:pPr>
        <w:pStyle w:val="Body2"/>
      </w:pPr>
      <w:r w:rsidRPr="00D427D8">
        <w:t>The Collateral Agent shall accept the documents which are delivered to it in connection with the reporting of the Seller pursuant to the Lease Receivables Purchase Agreement, the reporting of the Servicer pursuant to the Servicing Agreement and the reporting of the Calculation Agent pursuant to the  Agency Agreement, and shall:</w:t>
      </w:r>
    </w:p>
    <w:p w14:paraId="67B8A2C0" w14:textId="0949C2D6" w:rsidR="009F6E91" w:rsidRPr="00D427D8" w:rsidRDefault="009F6E91" w:rsidP="009A4CAC">
      <w:pPr>
        <w:pStyle w:val="SchNumber2"/>
      </w:pPr>
      <w:r w:rsidRPr="00D427D8">
        <w:t>keep such documents for one year after the termination of this Agreement and deliver the same to the Seller; or</w:t>
      </w:r>
    </w:p>
    <w:p w14:paraId="31488CEC" w14:textId="6DC43147" w:rsidR="009F6E91" w:rsidRPr="00D427D8" w:rsidRDefault="009F6E91" w:rsidP="009A4CAC">
      <w:pPr>
        <w:pStyle w:val="SchNumber2"/>
      </w:pPr>
      <w:r w:rsidRPr="00D427D8">
        <w:t>forward the documents to the New Collateral Agent if the Collateral Agent is replaced in accordance with this Agreement.</w:t>
      </w:r>
    </w:p>
    <w:p w14:paraId="47530629" w14:textId="6BF4B048" w:rsidR="009F6E91" w:rsidRPr="00D427D8" w:rsidRDefault="009F6E91" w:rsidP="009A4CAC">
      <w:pPr>
        <w:pStyle w:val="SchHeading1"/>
      </w:pPr>
      <w:r w:rsidRPr="00D427D8">
        <w:t>Breach of obligations by the Issuer</w:t>
      </w:r>
    </w:p>
    <w:p w14:paraId="57203739" w14:textId="1AA37113" w:rsidR="009F6E91" w:rsidRPr="00D427D8" w:rsidRDefault="009F6E91" w:rsidP="009A4CAC">
      <w:pPr>
        <w:pStyle w:val="SchNumber2"/>
      </w:pPr>
      <w:r w:rsidRPr="00D427D8">
        <w:t>The Issuer shall deliver a notice to the Collateral Agent if the Issuer in the course of its activities becomes aware and the Collateral Agent may deliver a notice to the Issuer if the Collateral Agent has actual knowledge that:</w:t>
      </w:r>
    </w:p>
    <w:p w14:paraId="09F367DE" w14:textId="2919BBBB" w:rsidR="009F6E91" w:rsidRPr="00D427D8" w:rsidRDefault="009F6E91" w:rsidP="009A4CAC">
      <w:pPr>
        <w:pStyle w:val="SchNumber3"/>
      </w:pPr>
      <w:r w:rsidRPr="00D427D8">
        <w:t>any of the Security;</w:t>
      </w:r>
    </w:p>
    <w:p w14:paraId="59E4612D" w14:textId="5B43C6AE" w:rsidR="009F6E91" w:rsidRPr="00D427D8" w:rsidRDefault="009F6E91" w:rsidP="009A4CAC">
      <w:pPr>
        <w:pStyle w:val="SchNumber3"/>
      </w:pPr>
      <w:r w:rsidRPr="00D427D8">
        <w:t>the value thereof; or</w:t>
      </w:r>
    </w:p>
    <w:p w14:paraId="2970D7A9" w14:textId="5229E191" w:rsidR="009F6E91" w:rsidRPr="00D427D8" w:rsidRDefault="009F6E91" w:rsidP="009A4CAC">
      <w:pPr>
        <w:pStyle w:val="SchNumber3"/>
      </w:pPr>
      <w:r w:rsidRPr="00D427D8">
        <w:t>the rights of the Issuer and the Collateral Agent therein;</w:t>
      </w:r>
    </w:p>
    <w:p w14:paraId="690E3FD7" w14:textId="67A105CD" w:rsidR="009F6E91" w:rsidRPr="00D427D8" w:rsidRDefault="009A4CAC" w:rsidP="009A4CAC">
      <w:pPr>
        <w:pStyle w:val="Body2"/>
      </w:pPr>
      <w:r w:rsidRPr="00D427D8">
        <w:lastRenderedPageBreak/>
        <w:t>is at risk in any respect material to any Secured Party due to any failure of the Issuer to comply with its obligations under this Agreement. In no event shall the Collateral Agent be bound to enquire (x)</w:t>
      </w:r>
      <w:r w:rsidRPr="00D427D8">
        <w:tab/>
        <w:t>whether or not any default or any other event specified in any Transaction Document; (y) as to the performance, default or any breach by any Party of its obligations under any Transaction Document; or (z) the value of any Security.</w:t>
      </w:r>
    </w:p>
    <w:p w14:paraId="62B405F4" w14:textId="0B35982F" w:rsidR="009F6E91" w:rsidRPr="00D427D8" w:rsidRDefault="009F6E91" w:rsidP="009A4CAC">
      <w:pPr>
        <w:pStyle w:val="SchNumber2"/>
      </w:pPr>
      <w:r w:rsidRPr="00D427D8">
        <w:t>Such notice shall describe such failure in reasonable detail (with a copy to the Seller and the Servicer).</w:t>
      </w:r>
    </w:p>
    <w:p w14:paraId="2F553C3B" w14:textId="221BF1FB" w:rsidR="009F6E91" w:rsidRPr="00D427D8" w:rsidRDefault="009F6E91" w:rsidP="009A4CAC">
      <w:pPr>
        <w:pStyle w:val="SchNumber2"/>
      </w:pPr>
      <w:r w:rsidRPr="00D427D8">
        <w:t>The Collateral Agent shall upon instruction of the Secured Parties take or induce all actions which in the opinion of the Collateral Agent are warranted to avoid such threat if the Issuer does not remedy such failure within ninety (90) days after the delivery of such notice.</w:t>
      </w:r>
    </w:p>
    <w:p w14:paraId="73F46E0F" w14:textId="251EF8C9" w:rsidR="009F6E91" w:rsidRPr="00D427D8" w:rsidRDefault="009F6E91" w:rsidP="009A4CAC">
      <w:pPr>
        <w:pStyle w:val="SchNumber2"/>
      </w:pPr>
      <w:r w:rsidRPr="00D427D8">
        <w:t>To the extent that the Issuer does not comply with its obligations pursuant to clause 26 (</w:t>
      </w:r>
      <w:r w:rsidRPr="00D427D8">
        <w:rPr>
          <w:i/>
          <w:iCs/>
        </w:rPr>
        <w:t>Undertakings in respect of the Security</w:t>
      </w:r>
      <w:r w:rsidRPr="00D427D8">
        <w:t>) and does not remedy such failure within the ninety day period after the notice set forth above, the Collateral Agent is in particular authorised and obligated to exercise all rights arising under the Transaction Documents on behalf of the Issuer and upon instruction by the Secured Parties.</w:t>
      </w:r>
    </w:p>
    <w:p w14:paraId="032F325C" w14:textId="251BB8F0" w:rsidR="009F6E91" w:rsidRPr="00D427D8" w:rsidRDefault="009F6E91" w:rsidP="009A4CAC">
      <w:pPr>
        <w:pStyle w:val="SchHeading1"/>
      </w:pPr>
      <w:r w:rsidRPr="00D427D8">
        <w:t>Power of attorney</w:t>
      </w:r>
    </w:p>
    <w:p w14:paraId="44AB9F1B" w14:textId="303AFF40" w:rsidR="009F6E91" w:rsidRPr="00D427D8" w:rsidRDefault="009F6E91" w:rsidP="009A4CAC">
      <w:pPr>
        <w:pStyle w:val="SchNumber2"/>
      </w:pPr>
      <w:r w:rsidRPr="00D427D8">
        <w:t>The Issuer hereby grants by way of security (</w:t>
      </w:r>
      <w:r w:rsidRPr="00D427D8">
        <w:rPr>
          <w:i/>
          <w:iCs/>
        </w:rPr>
        <w:t>sicherungshalber</w:t>
      </w:r>
      <w:r w:rsidRPr="00D427D8">
        <w:t xml:space="preserve">) a power of attorney to the Collateral Agent, waiving the restrictions set forth in section 181 of the German Civil Code, and with the right to grant a substitute power of attorney, to act in the name of the Issuer with respect to all rights and duties of the Issuer arising under the Transaction Documents (except for the rights </w:t>
      </w:r>
      <w:r w:rsidRPr="00D427D8">
        <w:rPr>
          <w:i/>
          <w:iCs/>
        </w:rPr>
        <w:t>vis-à-vis</w:t>
      </w:r>
      <w:r w:rsidRPr="00D427D8">
        <w:t xml:space="preserve"> the Collateral Agent).</w:t>
      </w:r>
    </w:p>
    <w:p w14:paraId="0703A4AF" w14:textId="625F17FC" w:rsidR="009F6E91" w:rsidRPr="00D427D8" w:rsidRDefault="009F6E91" w:rsidP="009A4CAC">
      <w:pPr>
        <w:pStyle w:val="SchNumber2"/>
      </w:pPr>
      <w:r w:rsidRPr="00D427D8">
        <w:t>Such power of attorney is irrevocable.</w:t>
      </w:r>
    </w:p>
    <w:p w14:paraId="31D177D6" w14:textId="7528014D" w:rsidR="009F6E91" w:rsidRPr="00D427D8" w:rsidRDefault="009F6E91" w:rsidP="009A4CAC">
      <w:pPr>
        <w:pStyle w:val="SchNumber2"/>
      </w:pPr>
      <w:r w:rsidRPr="00D427D8">
        <w:t>Such power of attorney shall expire as soon as a New Collateral Agent has been appointed pursuant to this Agreement and the Issuer has issued a power of attorney to such New Collateral Agent having the same contents as the above power of attorney.</w:t>
      </w:r>
    </w:p>
    <w:p w14:paraId="4BEF114D" w14:textId="1AC6D040" w:rsidR="009F6E91" w:rsidRPr="00D427D8" w:rsidRDefault="009F6E91" w:rsidP="009A4CAC">
      <w:pPr>
        <w:pStyle w:val="SchNumber2"/>
      </w:pPr>
      <w:r w:rsidRPr="00D427D8">
        <w:t>The Collateral Agent shall only act under this power of attorney in the context of its rights and obligations pursuant to this Agreement and in accordance with the Transaction Documents.</w:t>
      </w:r>
    </w:p>
    <w:p w14:paraId="2D779888" w14:textId="33928F8D" w:rsidR="009F6E91" w:rsidRPr="00D427D8" w:rsidRDefault="009F6E91" w:rsidP="009A4CAC">
      <w:pPr>
        <w:pStyle w:val="SchHeading1"/>
      </w:pPr>
      <w:bookmarkStart w:id="253" w:name="_Ref141891900"/>
      <w:r w:rsidRPr="00D427D8">
        <w:t>Foreclosure of the Security, Issuer Event of Default, Servicer Default</w:t>
      </w:r>
      <w:bookmarkEnd w:id="253"/>
    </w:p>
    <w:p w14:paraId="60235FEA" w14:textId="582FE2AB" w:rsidR="009F6E91" w:rsidRPr="00D427D8" w:rsidRDefault="009F6E91" w:rsidP="009A4CAC">
      <w:pPr>
        <w:pStyle w:val="SchHeading2"/>
      </w:pPr>
      <w:r w:rsidRPr="00D427D8">
        <w:t>Servicer Default</w:t>
      </w:r>
    </w:p>
    <w:p w14:paraId="48236AED" w14:textId="2BBF6825" w:rsidR="009F6E91" w:rsidRPr="00D427D8" w:rsidRDefault="009F6E91" w:rsidP="009A4CAC">
      <w:pPr>
        <w:pStyle w:val="SchNumber3"/>
      </w:pPr>
      <w:r w:rsidRPr="00D427D8">
        <w:t>Upon the occurrence of a Servicer Default, the Issuer shall, or shall instruct the Collateral Agent on its behalf to, promptly give notice to the Back-up Servicer to act as the Back-up Servicer, to the extent such Back-up Servicer has been appointed in accordance with clause 6.3 of the Servicing Agreement.</w:t>
      </w:r>
    </w:p>
    <w:p w14:paraId="11C9D48D" w14:textId="690B1F91" w:rsidR="009F6E91" w:rsidRPr="00D427D8" w:rsidRDefault="009F6E91" w:rsidP="009A4CAC">
      <w:pPr>
        <w:pStyle w:val="SchNumber3"/>
      </w:pPr>
      <w:r w:rsidRPr="00D427D8">
        <w:t>If the Back-Up Servicer resigns from its duties in accordance with the Back-up Servicing Agreement, the Collateral Agent, without incurring any liability, shall use its reasonable endeavours to assist the Issuer in finding and appointing a successor to the Back-up Servicer.</w:t>
      </w:r>
    </w:p>
    <w:p w14:paraId="06EBDF85" w14:textId="40179589" w:rsidR="009F6E91" w:rsidRPr="00D427D8" w:rsidRDefault="009F6E91" w:rsidP="009A4CAC">
      <w:pPr>
        <w:pStyle w:val="SchHeading2"/>
      </w:pPr>
      <w:r w:rsidRPr="00D427D8">
        <w:t>Termination of the Servicing Agreement</w:t>
      </w:r>
    </w:p>
    <w:p w14:paraId="21EAB0EF" w14:textId="37DB2AE3" w:rsidR="009F6E91" w:rsidRPr="00D427D8" w:rsidRDefault="009A4CAC" w:rsidP="009A4CAC">
      <w:pPr>
        <w:pStyle w:val="Body2"/>
      </w:pPr>
      <w:r w:rsidRPr="00D427D8">
        <w:t xml:space="preserve">After the Issuer has notified the </w:t>
      </w:r>
      <w:bookmarkStart w:id="254" w:name="_Hlk168050325"/>
      <w:r w:rsidRPr="00D427D8">
        <w:t>Servicer of the termination of the Servicing Agreement, the Issuer shall promptly open collection accounts with a German branch of a credit institution for the collection of future Scheduled Payments from the Lessees as a replacement for the collection accounts held by the Servicer and pledge such accounts to the Collateral Agent in accordance with this Agreement</w:t>
      </w:r>
      <w:bookmarkEnd w:id="254"/>
      <w:r w:rsidRPr="00D427D8">
        <w:t>.</w:t>
      </w:r>
    </w:p>
    <w:p w14:paraId="43927C78" w14:textId="63D07352" w:rsidR="009F6E91" w:rsidRPr="00D427D8" w:rsidRDefault="009F6E91" w:rsidP="009A4CAC">
      <w:pPr>
        <w:pStyle w:val="SchHeading2"/>
      </w:pPr>
      <w:bookmarkStart w:id="255" w:name="_Ref141956455"/>
      <w:r w:rsidRPr="00D427D8">
        <w:t>Issuer Event of Default</w:t>
      </w:r>
      <w:bookmarkEnd w:id="255"/>
    </w:p>
    <w:p w14:paraId="65BDD18C" w14:textId="79E294E7" w:rsidR="009F6E91" w:rsidRPr="00D427D8" w:rsidRDefault="009A4CAC" w:rsidP="009A4CAC">
      <w:pPr>
        <w:pStyle w:val="Body2"/>
      </w:pPr>
      <w:r w:rsidRPr="00D427D8">
        <w:t>Upon the occurrence of an Issuer Event of Default:</w:t>
      </w:r>
    </w:p>
    <w:p w14:paraId="3E1CCC6A" w14:textId="6AC6EC7E" w:rsidR="009F6E91" w:rsidRPr="00D427D8" w:rsidRDefault="009F6E91" w:rsidP="009A4CAC">
      <w:pPr>
        <w:pStyle w:val="SchNumber3"/>
      </w:pPr>
      <w:bookmarkStart w:id="256" w:name="_Ref141956458"/>
      <w:r w:rsidRPr="00D427D8">
        <w:t>the Collateral Agent shall:</w:t>
      </w:r>
      <w:bookmarkEnd w:id="256"/>
    </w:p>
    <w:p w14:paraId="71DACF34" w14:textId="141BCB56" w:rsidR="009F6E91" w:rsidRPr="00D427D8" w:rsidRDefault="009F6E91" w:rsidP="009A4CAC">
      <w:pPr>
        <w:pStyle w:val="SchNumber4"/>
      </w:pPr>
      <w:r w:rsidRPr="00D427D8">
        <w:lastRenderedPageBreak/>
        <w:t>be entitled to instruct all Agents pursuant to the terms of the Master Agreement and in following or executing any such instructions, the Collateral Agent shall not incur any liability to any Agent for acting on such instructions;</w:t>
      </w:r>
    </w:p>
    <w:p w14:paraId="724BEFC7" w14:textId="31E75FF5" w:rsidR="009F6E91" w:rsidRPr="00D427D8" w:rsidRDefault="009F6E91" w:rsidP="009A4CAC">
      <w:pPr>
        <w:pStyle w:val="SchNumber4"/>
      </w:pPr>
      <w:bookmarkStart w:id="257" w:name="_Ref141956439"/>
      <w:r w:rsidRPr="00D427D8">
        <w:t xml:space="preserve">promptly notify the Noteholders, the Counterparty, the other Secured Parties (including, in particular, the Account Bank and the Servicer) and the Rating Agencies thereof (the </w:t>
      </w:r>
      <w:r w:rsidR="00EF7333" w:rsidRPr="00D427D8">
        <w:t>"</w:t>
      </w:r>
      <w:r w:rsidRPr="00D427D8">
        <w:rPr>
          <w:b/>
          <w:bCs/>
        </w:rPr>
        <w:t>Note Acceleration Notice</w:t>
      </w:r>
      <w:r w:rsidR="00EF7333" w:rsidRPr="00D427D8">
        <w:t>"</w:t>
      </w:r>
      <w:r w:rsidRPr="00D427D8">
        <w:t>);</w:t>
      </w:r>
      <w:bookmarkEnd w:id="257"/>
    </w:p>
    <w:p w14:paraId="663AA917" w14:textId="052C9137" w:rsidR="009F6E91" w:rsidRPr="00D427D8" w:rsidRDefault="009F6E91" w:rsidP="009A4CAC">
      <w:pPr>
        <w:pStyle w:val="SchNumber4"/>
      </w:pPr>
      <w:r w:rsidRPr="00D427D8">
        <w:t>upon receipt of written notice from the Secured Parties directing the Collateral Agent, enforce the Security in a manner set out in such written instruction;</w:t>
      </w:r>
    </w:p>
    <w:p w14:paraId="7375C4AC" w14:textId="19CBA32E" w:rsidR="009F6E91" w:rsidRPr="00D427D8" w:rsidRDefault="009F6E91" w:rsidP="009A4CAC">
      <w:pPr>
        <w:pStyle w:val="SchNumber4"/>
      </w:pPr>
      <w:r w:rsidRPr="00D427D8">
        <w:t>furnish the Servicer with a power of attorney in order to enable him to continue its services (materially in the form as attached to the Servicing Agreement); and</w:t>
      </w:r>
    </w:p>
    <w:p w14:paraId="0806FB37" w14:textId="343FD807" w:rsidR="009F6E91" w:rsidRPr="00D427D8" w:rsidRDefault="009F6E91" w:rsidP="009A4CAC">
      <w:pPr>
        <w:pStyle w:val="SchNumber4"/>
      </w:pPr>
      <w:r w:rsidRPr="00D427D8">
        <w:t>apply any enforcement proceeds in accordance with the Accelerated Priority of Payments.</w:t>
      </w:r>
    </w:p>
    <w:p w14:paraId="0EE022DB" w14:textId="6C6B9069" w:rsidR="009F6E91" w:rsidRPr="00D427D8" w:rsidRDefault="009F6E91" w:rsidP="009A4CAC">
      <w:pPr>
        <w:pStyle w:val="SchNumber3"/>
      </w:pPr>
      <w:r w:rsidRPr="00D427D8">
        <w:t>the Security may be claimed exclusively by the Collateral Agent and payments on such Security will have effect only if made to the Collateral Agent in accordance with applicable law.</w:t>
      </w:r>
    </w:p>
    <w:p w14:paraId="47A5F60A" w14:textId="7590090C" w:rsidR="009F6E91" w:rsidRPr="00D427D8" w:rsidRDefault="009F6E91" w:rsidP="009A4CAC">
      <w:pPr>
        <w:pStyle w:val="SchNumber3"/>
      </w:pPr>
      <w:r w:rsidRPr="00D427D8">
        <w:t>The Collateral Agent shall only be obliged to intervene in accordance with this clause 14.3 if, and to the extent that, it is satisfied that it will be fully indemnified and/or secured or pre-funded (either by reimbursement of costs, its ranking under the applicable Priority of Payments or in any other way it deems appropriate) against all costs and expenses resulting from its activities (including fees for retaining counsel, banks, auditors or other experts as well as the expenses of retaining third parties to perform certain duties) and against all liabilities (except for liabilities which arise from its own gross negligence (</w:t>
      </w:r>
      <w:r w:rsidRPr="00D427D8">
        <w:rPr>
          <w:i/>
          <w:iCs/>
        </w:rPr>
        <w:t>grobe</w:t>
      </w:r>
      <w:r w:rsidRPr="00D427D8">
        <w:t xml:space="preserve"> </w:t>
      </w:r>
      <w:r w:rsidRPr="00D427D8">
        <w:rPr>
          <w:i/>
          <w:iCs/>
        </w:rPr>
        <w:t>Fahrlässigkeit</w:t>
      </w:r>
      <w:r w:rsidRPr="00D427D8">
        <w:t>) or wilful misconduct (</w:t>
      </w:r>
      <w:r w:rsidRPr="00D427D8">
        <w:rPr>
          <w:i/>
          <w:iCs/>
        </w:rPr>
        <w:t>Vorsatz</w:t>
      </w:r>
      <w:r w:rsidRPr="00D427D8">
        <w:t>), obligations and attempts to bring any action in or outside court.</w:t>
      </w:r>
    </w:p>
    <w:p w14:paraId="44DCA63D" w14:textId="4EE506BA" w:rsidR="009F6E91" w:rsidRPr="00D427D8" w:rsidRDefault="009F6E91" w:rsidP="009A4CAC">
      <w:pPr>
        <w:pStyle w:val="SchHeading2"/>
      </w:pPr>
      <w:r w:rsidRPr="00D427D8">
        <w:t>Excess Amounts</w:t>
      </w:r>
    </w:p>
    <w:p w14:paraId="5FE24C5F" w14:textId="76380487" w:rsidR="009F6E91" w:rsidRPr="00D427D8" w:rsidRDefault="009A4CAC" w:rsidP="009A4CAC">
      <w:pPr>
        <w:pStyle w:val="Body2"/>
      </w:pPr>
      <w:r w:rsidRPr="00D427D8">
        <w:t>After the complete unconditional, irrevocable and full payment and discharge of all Secured Liabilities any remaining proceeds resulting from the foreclosure on the Security shall be transferred to the Seller at the Seller's cost and expense.</w:t>
      </w:r>
    </w:p>
    <w:p w14:paraId="0798CD07" w14:textId="1899EF30" w:rsidR="009F6E91" w:rsidRPr="00D427D8" w:rsidRDefault="009F6E91" w:rsidP="009A4CAC">
      <w:pPr>
        <w:pStyle w:val="SchHeading1"/>
      </w:pPr>
      <w:r w:rsidRPr="00D427D8">
        <w:t>Priority of Payments, claw-back</w:t>
      </w:r>
    </w:p>
    <w:p w14:paraId="0BFE4A55" w14:textId="433FE3AA" w:rsidR="009F6E91" w:rsidRPr="00D427D8" w:rsidRDefault="009F6E91" w:rsidP="009A4CAC">
      <w:pPr>
        <w:pStyle w:val="SchNumber2"/>
      </w:pPr>
      <w:r w:rsidRPr="00D427D8">
        <w:t>Each Party hereby agrees to the application of all money and property in accordance with the applicable Priority of Payments.</w:t>
      </w:r>
    </w:p>
    <w:p w14:paraId="3576489D" w14:textId="050DBF49" w:rsidR="009F6E91" w:rsidRPr="00D427D8" w:rsidRDefault="009F6E91" w:rsidP="009A4CAC">
      <w:pPr>
        <w:pStyle w:val="SchNumber2"/>
      </w:pPr>
      <w:r w:rsidRPr="00D427D8">
        <w:t>Claw-back of overpayments:</w:t>
      </w:r>
    </w:p>
    <w:p w14:paraId="15CC8F8C" w14:textId="31B809C5" w:rsidR="009F6E91" w:rsidRPr="00D427D8" w:rsidRDefault="009F6E91" w:rsidP="009A4CAC">
      <w:pPr>
        <w:pStyle w:val="SchNumber3"/>
      </w:pPr>
      <w:r w:rsidRPr="00D427D8">
        <w:t>Each Secured Party who is a Party shall repay to the Collateral Agent (with commercial effect on the relevant Distribution Date) any amount that such Secured Party has received in breach of the applicable Priority of Payments.</w:t>
      </w:r>
    </w:p>
    <w:p w14:paraId="63AB9F89" w14:textId="7C5BA081" w:rsidR="009F6E91" w:rsidRPr="00D427D8" w:rsidRDefault="009F6E91" w:rsidP="009A4CAC">
      <w:pPr>
        <w:pStyle w:val="SchNumber3"/>
      </w:pPr>
      <w:r w:rsidRPr="00D427D8">
        <w:t>The Collateral Agent shall, out of the moneys so received, pay (with commercial effect on the relevant Distribution Date) such amount in accordance with the applicable Priority of Payments.</w:t>
      </w:r>
    </w:p>
    <w:p w14:paraId="4A143504" w14:textId="7B7014C7" w:rsidR="009F6E91" w:rsidRPr="00D427D8" w:rsidRDefault="009F6E91" w:rsidP="009A4CAC">
      <w:pPr>
        <w:pStyle w:val="SchNumber2"/>
      </w:pPr>
      <w:r w:rsidRPr="00D427D8">
        <w:t>If such overpayment is not repaid by the Distribution Date following the overpayment or if the claim to repayment is not enforceable, the Collateral Agent is authorised and obliged to adapt the distribution provisions of the applicable Priority of Payments in such a way that any over or underpayments made in breach thereof are set off by correspondingly increased or decreased payments on such distribution date (and, to the extent necessary, on all subsequent distribution dates).</w:t>
      </w:r>
    </w:p>
    <w:p w14:paraId="0442CA06" w14:textId="6479CB8B" w:rsidR="009F6E91" w:rsidRPr="00D427D8" w:rsidRDefault="009F6E91" w:rsidP="009A4CAC">
      <w:pPr>
        <w:pStyle w:val="SchHeading1"/>
      </w:pPr>
      <w:r w:rsidRPr="00D427D8">
        <w:t>Accounts</w:t>
      </w:r>
    </w:p>
    <w:p w14:paraId="114D0D6B" w14:textId="15DA1E84" w:rsidR="009F6E91" w:rsidRPr="00D427D8" w:rsidRDefault="009F6E91" w:rsidP="009A4CAC">
      <w:pPr>
        <w:pStyle w:val="SchNumber2"/>
      </w:pPr>
      <w:r w:rsidRPr="00D427D8">
        <w:t>The Issuer Accounts shall be used for the receipt of amounts relating to the Transaction Documents and for the fulfilment of the payment obligations of the Issuer.</w:t>
      </w:r>
    </w:p>
    <w:p w14:paraId="54086F0D" w14:textId="6BD16A1E" w:rsidR="009F6E91" w:rsidRPr="00D427D8" w:rsidRDefault="009F6E91" w:rsidP="009A4CAC">
      <w:pPr>
        <w:pStyle w:val="SchNumber2"/>
      </w:pPr>
      <w:r w:rsidRPr="00D427D8">
        <w:lastRenderedPageBreak/>
        <w:t>The Issuer shall be entitled to exercise all rights and powers in respect of the Issuer Accounts in accordance with the Transaction Documents provided that if an Issuer Event of Default has occurred:</w:t>
      </w:r>
    </w:p>
    <w:p w14:paraId="629933DE" w14:textId="6229822D" w:rsidR="009F6E91" w:rsidRPr="00D427D8" w:rsidRDefault="009F6E91" w:rsidP="009A4CAC">
      <w:pPr>
        <w:pStyle w:val="SchNumber3"/>
      </w:pPr>
      <w:r w:rsidRPr="00D427D8">
        <w:t>such authority of the Issuer shall cease immediately and without any further notice; and</w:t>
      </w:r>
    </w:p>
    <w:p w14:paraId="2A67A5F0" w14:textId="6D73E85D" w:rsidR="009F6E91" w:rsidRPr="00D427D8" w:rsidRDefault="009F6E91" w:rsidP="009A4CAC">
      <w:pPr>
        <w:pStyle w:val="SchNumber3"/>
      </w:pPr>
      <w:r w:rsidRPr="00D427D8">
        <w:t>the Collateral Agent as pledgee shall solely be entitled to exercise all rights and powers in respect of the Issuer Accounts and give instructions to the Account Bank in accordance with the Transaction Documents.</w:t>
      </w:r>
    </w:p>
    <w:p w14:paraId="6555BD4E" w14:textId="5BE0FBA1" w:rsidR="009F6E91" w:rsidRPr="00D427D8" w:rsidRDefault="009F6E91" w:rsidP="009A4CAC">
      <w:pPr>
        <w:pStyle w:val="SchNumber2"/>
      </w:pPr>
      <w:r w:rsidRPr="00D427D8">
        <w:t>The Account Bank may only discharge any of its obligations under the Issuer Accounts, in particular its disbursement obligations, vis-à-vis the Collateral Agent as pledgee upon receipt of a notification of the Issuer Event of Default by the Collateral Agent.</w:t>
      </w:r>
    </w:p>
    <w:p w14:paraId="254C405D" w14:textId="2F827BCC" w:rsidR="009F6E91" w:rsidRPr="00D427D8" w:rsidRDefault="009F6E91" w:rsidP="009A4CAC">
      <w:pPr>
        <w:pStyle w:val="SchHeading1"/>
      </w:pPr>
      <w:bookmarkStart w:id="258" w:name="_Ref141890239"/>
      <w:r w:rsidRPr="00D427D8">
        <w:t>Retaining third parties, attorneys-in-fact</w:t>
      </w:r>
      <w:bookmarkEnd w:id="258"/>
    </w:p>
    <w:p w14:paraId="794E0041" w14:textId="61223DB5" w:rsidR="009F6E91" w:rsidRPr="00D427D8" w:rsidRDefault="009F6E91" w:rsidP="009A4CAC">
      <w:pPr>
        <w:pStyle w:val="SchNumber2"/>
      </w:pPr>
      <w:bookmarkStart w:id="259" w:name="_Ref141890063"/>
      <w:r w:rsidRPr="00D427D8">
        <w:t>The Collateral Agent may, at its sole discretion, retain the services of a suitable law firm, credit institution or any other expert or counsel to assist it in performing the duties assigned to it under this Agreement, by delegating the entire or partial performance of its duties hereunder (as it considers appropriate).</w:t>
      </w:r>
      <w:bookmarkEnd w:id="259"/>
    </w:p>
    <w:p w14:paraId="406CC0F6" w14:textId="79A62A02" w:rsidR="009F6E91" w:rsidRPr="00D427D8" w:rsidRDefault="009F6E91" w:rsidP="009A4CAC">
      <w:pPr>
        <w:pStyle w:val="SchNumber2"/>
      </w:pPr>
      <w:bookmarkStart w:id="260" w:name="_Ref141890073"/>
      <w:r w:rsidRPr="00D427D8">
        <w:t>The Collateral Agent may appoint as custodian a suitable law firm, credit institution or other entity whose business includes the safe custody of documents and may deposit this Agreement and any other documents with such custodian and pay all sums due in respect thereof.</w:t>
      </w:r>
      <w:bookmarkEnd w:id="260"/>
    </w:p>
    <w:p w14:paraId="2733873E" w14:textId="76A68616" w:rsidR="009F6E91" w:rsidRPr="00D427D8" w:rsidRDefault="009F6E91" w:rsidP="009A4CAC">
      <w:pPr>
        <w:pStyle w:val="SchNumber2"/>
      </w:pPr>
      <w:r w:rsidRPr="00D427D8">
        <w:t>Whenever the Collateral Agent considers it necessary or appropriate in the interests of the Secured Parties, it shall be entitled to grant a power of attorney to any third party on any terms, to act in the name of the Collateral Agent with respect to all rights and obligations of the Collateral Agent arising under this Agreement, and to release any such third parties from the restrictions set forth in section 181 of the German Civil Code and to grant such third parties the power of sub-delegation. The Collateral Agent may not appoint a substitute attorney who is resident in Germany for tax purposes or acting through a German permanent establishment or permanent agent.</w:t>
      </w:r>
    </w:p>
    <w:p w14:paraId="7ED8223F" w14:textId="6D72E177" w:rsidR="009F6E91" w:rsidRPr="00D427D8" w:rsidRDefault="009F6E91" w:rsidP="009A4CAC">
      <w:pPr>
        <w:pStyle w:val="SchNumber2"/>
      </w:pPr>
      <w:r w:rsidRPr="00D427D8">
        <w:t>The Collateral Agent shall promptly notify the Rating Agencies (with a copy to the Seller) of each appointment made by it pursuant to clause 17.1 above or 17.2 above.</w:t>
      </w:r>
    </w:p>
    <w:p w14:paraId="44A6CB17" w14:textId="3BD414F4" w:rsidR="009F6E91" w:rsidRPr="00D427D8" w:rsidRDefault="009F6E91" w:rsidP="009A4CAC">
      <w:pPr>
        <w:pStyle w:val="SchHeading1"/>
      </w:pPr>
      <w:bookmarkStart w:id="261" w:name="_Ref141890249"/>
      <w:r w:rsidRPr="00D427D8">
        <w:t>Advisors</w:t>
      </w:r>
      <w:bookmarkEnd w:id="261"/>
    </w:p>
    <w:p w14:paraId="4DCA031A" w14:textId="6B408C96" w:rsidR="009F6E91" w:rsidRPr="00D427D8" w:rsidRDefault="009F6E91" w:rsidP="009A4CAC">
      <w:pPr>
        <w:pStyle w:val="SchNumber2"/>
      </w:pPr>
      <w:r w:rsidRPr="00D427D8">
        <w:t>The Collateral Agent is authorised, in connection with the performance of its duties under the Transaction Documents, at its own discretion, to seek information and advice from legal counsel, financial consultants, banks, and other experts (and irrespective of whether such persons are already retained by the Collateral Agent, the Issuer, a Secured Party, or any other person involved in the transactions contemplated by the Transaction Documents) in compliance with any applicable conflict of interest rules.</w:t>
      </w:r>
    </w:p>
    <w:p w14:paraId="59E5DCCD" w14:textId="265E4829" w:rsidR="009F6E91" w:rsidRPr="00D427D8" w:rsidRDefault="009F6E91" w:rsidP="009A4CAC">
      <w:pPr>
        <w:pStyle w:val="SchNumber2"/>
      </w:pPr>
      <w:r w:rsidRPr="00D427D8">
        <w:t>The Collateral Agent may consult with external legal or other professional advisors whose advice may to it seem necessary in connection with the performance of its obligations hereunder and the Collateral Agent may rely on any advice so obtained for the performance of its obligations hereunder and shall not be responsible for any loss occasioned by so acting unless such action is due to fraud, gross negligence or wilful default by the Collateral Agent.</w:t>
      </w:r>
    </w:p>
    <w:p w14:paraId="625494F0" w14:textId="5234B84B" w:rsidR="009F6E91" w:rsidRPr="00D427D8" w:rsidRDefault="009F6E91" w:rsidP="009A4CAC">
      <w:pPr>
        <w:pStyle w:val="SchHeading1"/>
      </w:pPr>
      <w:r w:rsidRPr="00D427D8">
        <w:t>Fees and expenses</w:t>
      </w:r>
    </w:p>
    <w:p w14:paraId="61E2ADAD" w14:textId="0A031581" w:rsidR="009F6E91" w:rsidRPr="00D427D8" w:rsidRDefault="009F6E91" w:rsidP="009A4CAC">
      <w:pPr>
        <w:pStyle w:val="SchHeading2"/>
      </w:pPr>
      <w:r w:rsidRPr="00D427D8">
        <w:t>Fees</w:t>
      </w:r>
    </w:p>
    <w:p w14:paraId="502DB4AA" w14:textId="2A7526B7" w:rsidR="009F6E91" w:rsidRPr="00D427D8" w:rsidRDefault="009A4CAC" w:rsidP="009A4CAC">
      <w:pPr>
        <w:pStyle w:val="Body2"/>
      </w:pPr>
      <w:r w:rsidRPr="00D427D8">
        <w:t>The Issuer shall pay to the Collateral Agent those fees, and shall reimburse the Collateral Agent for those expenses, as are set forth in the fee letter dated on or about the date hereof between the Issuer and the Collateral Agent, and such fees shall be paid in accordance with the applicable Priority of Payments.</w:t>
      </w:r>
    </w:p>
    <w:p w14:paraId="0478D067" w14:textId="335CA9B7" w:rsidR="009F6E91" w:rsidRPr="00D427D8" w:rsidRDefault="009F6E91" w:rsidP="009A4CAC">
      <w:pPr>
        <w:pStyle w:val="SchHeading2"/>
      </w:pPr>
      <w:r w:rsidRPr="00D427D8">
        <w:t>Reimbursement of expenses</w:t>
      </w:r>
    </w:p>
    <w:p w14:paraId="29DFAF73" w14:textId="24632A6E" w:rsidR="009F6E91" w:rsidRPr="00D427D8" w:rsidRDefault="009A4CAC" w:rsidP="009A4CAC">
      <w:pPr>
        <w:pStyle w:val="Body2"/>
      </w:pPr>
      <w:r w:rsidRPr="00D427D8">
        <w:t xml:space="preserve">The Issuer shall bear all fees, costs, charges and disbursements (including, but not limited to, costs for legal advice, costs for other experts and costs for retaining other third parties and advisors </w:t>
      </w:r>
      <w:r w:rsidRPr="00D427D8">
        <w:lastRenderedPageBreak/>
        <w:t>pursuant to clauses 17 and 18 and including any taxes) incurred by the Collateral Agent in connection with the performance of its duties under this Agreement, including the costs and disbursements in connection with the creation and/or perfection of security over, the holding of, and the foreclosure of the Security.</w:t>
      </w:r>
    </w:p>
    <w:p w14:paraId="055A92D1" w14:textId="4B8F056A" w:rsidR="009F6E91" w:rsidRPr="00D427D8" w:rsidRDefault="009F6E91" w:rsidP="009E1ED2">
      <w:pPr>
        <w:pStyle w:val="SchHeading1"/>
      </w:pPr>
      <w:r w:rsidRPr="00D427D8">
        <w:t>Right to indemnification</w:t>
      </w:r>
    </w:p>
    <w:p w14:paraId="7EBF0CB3" w14:textId="1475FA0B" w:rsidR="009F6E91" w:rsidRPr="00D427D8" w:rsidRDefault="009E1ED2" w:rsidP="009E1ED2">
      <w:pPr>
        <w:pStyle w:val="Body2"/>
      </w:pPr>
      <w:r w:rsidRPr="00D427D8">
        <w:t>The Issuer shall indemnify and upon its reasonable request, prefund the Collateral Agent and its officers, directors and employees against all losses, liabilities, obligations (including any taxes), actions in and out of court, and costs and disbursements incurred by the Collateral Agent in connection with this Agreement, unless such costs and expenses are incurred by the Collateral Agent due to a breach of its standard of care pursuant to clause 25.1. Clause 18 (</w:t>
      </w:r>
      <w:r w:rsidRPr="00D427D8">
        <w:rPr>
          <w:i/>
          <w:iCs/>
        </w:rPr>
        <w:t>Reimbursement of expenses)</w:t>
      </w:r>
      <w:r w:rsidRPr="00D427D8">
        <w:t xml:space="preserve"> and this clause 19 shall survive the termination of this Agreement and the termination of the appointment of any party to the Transaction.</w:t>
      </w:r>
    </w:p>
    <w:p w14:paraId="025738C0" w14:textId="48CF8A20" w:rsidR="009F6E91" w:rsidRPr="00D427D8" w:rsidRDefault="009F6E91" w:rsidP="009E1ED2">
      <w:pPr>
        <w:pStyle w:val="SchHeading1"/>
      </w:pPr>
      <w:r w:rsidRPr="00D427D8">
        <w:t>Right not to act</w:t>
      </w:r>
    </w:p>
    <w:p w14:paraId="6728CBD4" w14:textId="04E79FA2" w:rsidR="009F6E91" w:rsidRPr="00D427D8" w:rsidRDefault="009F6E91" w:rsidP="009E1ED2">
      <w:pPr>
        <w:pStyle w:val="SchNumber2"/>
      </w:pPr>
      <w:r w:rsidRPr="00D427D8">
        <w:t>The Collateral Agent shall not be obliged to take any action under this Agreement which may involve it incurring any liability or expense save to the extent that it is indemnified and/or secured and/or pre-funded to its satisfaction, at its discretion in any way it deems appropriate, against:</w:t>
      </w:r>
    </w:p>
    <w:p w14:paraId="2320790F" w14:textId="12A626D5" w:rsidR="009F6E91" w:rsidRPr="00D427D8" w:rsidRDefault="009F6E91" w:rsidP="009E1ED2">
      <w:pPr>
        <w:pStyle w:val="SchNumber3"/>
      </w:pPr>
      <w:r w:rsidRPr="00D427D8">
        <w:t>all costs and expenses resulting from its activities (including fees for retaining external counsel, banks, auditors, or other experts as well as the expenses for retaining third parties to perform certain duties); and</w:t>
      </w:r>
    </w:p>
    <w:p w14:paraId="2FD0F44A" w14:textId="0B2C745A" w:rsidR="009F6E91" w:rsidRPr="00D427D8" w:rsidRDefault="009F6E91" w:rsidP="009E1ED2">
      <w:pPr>
        <w:pStyle w:val="SchNumber3"/>
      </w:pPr>
      <w:r w:rsidRPr="00D427D8">
        <w:t>all liability, obligations, and attempts to bring any action in or out of court.</w:t>
      </w:r>
    </w:p>
    <w:p w14:paraId="7E388B6D" w14:textId="44E3CEA3" w:rsidR="009F6E91" w:rsidRPr="00D427D8" w:rsidRDefault="009F6E91" w:rsidP="009E1ED2">
      <w:pPr>
        <w:pStyle w:val="SchNumber2"/>
      </w:pPr>
      <w:r w:rsidRPr="00D427D8">
        <w:t>Clause 25.1 shall not be affected hereby.</w:t>
      </w:r>
    </w:p>
    <w:p w14:paraId="5A49DEEA" w14:textId="727B134F" w:rsidR="009F6E91" w:rsidRPr="00D427D8" w:rsidRDefault="009F6E91" w:rsidP="009E1ED2">
      <w:pPr>
        <w:pStyle w:val="SchNumber2"/>
      </w:pPr>
      <w:r w:rsidRPr="00D427D8">
        <w:t>If amounts to be paid to the Collateral Agent in respect of any indemnification and/or security and/or pre-funding to be provided pursuant to this clause are to be distributed to it pursuant to the applicable Priority of Payments, the Secured Parties acknowledge that:</w:t>
      </w:r>
    </w:p>
    <w:p w14:paraId="5EF99CD5" w14:textId="4378524C" w:rsidR="009F6E91" w:rsidRPr="00D427D8" w:rsidRDefault="009F6E91" w:rsidP="009E1ED2">
      <w:pPr>
        <w:pStyle w:val="SchNumber3"/>
      </w:pPr>
      <w:r w:rsidRPr="00D427D8">
        <w:t>such amounts are currently (and may at the time be) distributable pursuant to the applicable Priority of Payments to the Collateral Agent only on a pro rata and pari passu basis with statutory taxes and certain payments due to other Secured Parties; and</w:t>
      </w:r>
    </w:p>
    <w:p w14:paraId="290291D0" w14:textId="5695E543" w:rsidR="009F6E91" w:rsidRPr="00D427D8" w:rsidRDefault="009F6E91" w:rsidP="009E1ED2">
      <w:pPr>
        <w:pStyle w:val="SchNumber3"/>
      </w:pPr>
      <w:r w:rsidRPr="00D427D8">
        <w:t>the Collateral Agent</w:t>
      </w:r>
      <w:r w:rsidR="00EF7333" w:rsidRPr="00D427D8">
        <w:t>'</w:t>
      </w:r>
      <w:r w:rsidRPr="00D427D8">
        <w:t>s satisfaction with any indemnification and/or security and/or prefunding to be provided pursuant to this clause may be affected by such relative priority.</w:t>
      </w:r>
    </w:p>
    <w:p w14:paraId="62A0AAC2" w14:textId="5CF2C690" w:rsidR="009F6E91" w:rsidRPr="00D427D8" w:rsidRDefault="009F6E91" w:rsidP="009E1ED2">
      <w:pPr>
        <w:pStyle w:val="SchHeading1"/>
      </w:pPr>
      <w:r w:rsidRPr="00D427D8">
        <w:t>Taxes</w:t>
      </w:r>
    </w:p>
    <w:p w14:paraId="48C3B848" w14:textId="76A0C491" w:rsidR="009F6E91" w:rsidRPr="00D427D8" w:rsidRDefault="009F6E91" w:rsidP="009E1ED2">
      <w:pPr>
        <w:pStyle w:val="SchNumber2"/>
      </w:pPr>
      <w:r w:rsidRPr="00D427D8">
        <w:t>The Issuer shall in relation to the Collateral Agent bear all Taxes which are imposed in the Grand Duchy of Luxembourg or in the Federal Republic of Germany on or in connection with:</w:t>
      </w:r>
    </w:p>
    <w:p w14:paraId="178179E6" w14:textId="0966C828" w:rsidR="009F6E91" w:rsidRPr="00D427D8" w:rsidRDefault="009F6E91" w:rsidP="009E1ED2">
      <w:pPr>
        <w:pStyle w:val="SchNumber3"/>
      </w:pPr>
      <w:r w:rsidRPr="00D427D8">
        <w:t>the creation and/or perfection of the Security, the holding of the Security, and the foreclosure on the Security;</w:t>
      </w:r>
    </w:p>
    <w:p w14:paraId="5D2E3AEE" w14:textId="47196B64" w:rsidR="009F6E91" w:rsidRPr="00D427D8" w:rsidRDefault="009F6E91" w:rsidP="009E1ED2">
      <w:pPr>
        <w:pStyle w:val="SchNumber3"/>
      </w:pPr>
      <w:r w:rsidRPr="00D427D8">
        <w:t>any measure taken by the Collateral Agent pursuant to the terms and conditions of the Transaction Documents; and</w:t>
      </w:r>
    </w:p>
    <w:p w14:paraId="51979626" w14:textId="3539B265" w:rsidR="009F6E91" w:rsidRPr="00D427D8" w:rsidRDefault="009F6E91" w:rsidP="009E1ED2">
      <w:pPr>
        <w:pStyle w:val="SchNumber3"/>
      </w:pPr>
      <w:r w:rsidRPr="00D427D8">
        <w:t>the issuance of the Notes or the execution of the Transaction Documents.</w:t>
      </w:r>
    </w:p>
    <w:p w14:paraId="3F6819E7" w14:textId="5D6244D1" w:rsidR="009F6E91" w:rsidRPr="00D427D8" w:rsidRDefault="009F6E91" w:rsidP="009E1ED2">
      <w:pPr>
        <w:pStyle w:val="SchNumber2"/>
      </w:pPr>
      <w:r w:rsidRPr="00D427D8">
        <w:t>All payments of reimbursements of reasonable expenses to the Collateral Agent shall include any Tax (including any Tax on the Collateral Agent</w:t>
      </w:r>
      <w:r w:rsidR="00EF7333" w:rsidRPr="00D427D8">
        <w:t>'</w:t>
      </w:r>
      <w:r w:rsidRPr="00D427D8">
        <w:t>s overall income or gains) which are imposed in respect of such reimbursements.</w:t>
      </w:r>
    </w:p>
    <w:p w14:paraId="17B6948D" w14:textId="68B87374" w:rsidR="009F6E91" w:rsidRPr="00D427D8" w:rsidRDefault="009F6E91" w:rsidP="009E1ED2">
      <w:pPr>
        <w:pStyle w:val="SchHeading1"/>
      </w:pPr>
      <w:bookmarkStart w:id="262" w:name="_Ref141891886"/>
      <w:r w:rsidRPr="00D427D8">
        <w:t>Replacement of the Collateral Agent</w:t>
      </w:r>
      <w:bookmarkEnd w:id="262"/>
    </w:p>
    <w:p w14:paraId="526DB2B3" w14:textId="2F110297" w:rsidR="009F6E91" w:rsidRPr="00D427D8" w:rsidRDefault="009F6E91" w:rsidP="009E1ED2">
      <w:pPr>
        <w:pStyle w:val="SchHeading2"/>
      </w:pPr>
      <w:r w:rsidRPr="00D427D8">
        <w:t>Termination by the Collateral Agent</w:t>
      </w:r>
    </w:p>
    <w:p w14:paraId="556D4FD2" w14:textId="17DE7670" w:rsidR="009F6E91" w:rsidRPr="00D427D8" w:rsidRDefault="009F6E91" w:rsidP="009E1ED2">
      <w:pPr>
        <w:pStyle w:val="SchNumber3"/>
      </w:pPr>
      <w:bookmarkStart w:id="263" w:name="_Ref141890711"/>
      <w:r w:rsidRPr="00D427D8">
        <w:t>The Collateral Agent may resign from its position as Collateral Agent (i) for good cause (</w:t>
      </w:r>
      <w:r w:rsidRPr="00D427D8">
        <w:rPr>
          <w:i/>
          <w:iCs/>
        </w:rPr>
        <w:t>aus wichtigem Grund</w:t>
      </w:r>
      <w:r w:rsidRPr="00D427D8">
        <w:t xml:space="preserve">) at any time or (ii) provided that upon giving 30 days prior notice in either </w:t>
      </w:r>
      <w:r w:rsidRPr="00D427D8">
        <w:lastRenderedPageBreak/>
        <w:t xml:space="preserve">case prior to its resignation, the Issuer has appointed as a successor a reputable trust corporation, bank, auditing company and/or fiduciary or trust company experienced in the business of trust services in the Federal Republic of Germany and otherwise in relation to international securitisation transactions (the </w:t>
      </w:r>
      <w:r w:rsidR="00EF7333" w:rsidRPr="00D427D8">
        <w:t>"</w:t>
      </w:r>
      <w:r w:rsidRPr="00D427D8">
        <w:rPr>
          <w:b/>
          <w:bCs/>
        </w:rPr>
        <w:t>New Collateral Agent</w:t>
      </w:r>
      <w:r w:rsidR="00EF7333" w:rsidRPr="00D427D8">
        <w:t>"</w:t>
      </w:r>
      <w:r w:rsidRPr="00D427D8">
        <w:t>) and such successor assumes all rights and obligations arising from this Agreement and has been furnished with all authorities and powers that have been granted to the Collateral Agent.</w:t>
      </w:r>
      <w:bookmarkEnd w:id="263"/>
    </w:p>
    <w:p w14:paraId="5D9C207A" w14:textId="6E6230A1" w:rsidR="009F6E91" w:rsidRPr="00D427D8" w:rsidRDefault="009F6E91" w:rsidP="009E1ED2">
      <w:pPr>
        <w:pStyle w:val="SchNumber3"/>
      </w:pPr>
      <w:r w:rsidRPr="00D427D8">
        <w:t>The appointment of the New Collateral Agent pursuant to clause 23.1(a)</w:t>
      </w:r>
      <w:r w:rsidR="00EF1FA8" w:rsidRPr="00D427D8">
        <w:t xml:space="preserve"> (ii)</w:t>
      </w:r>
      <w:r w:rsidRPr="00D427D8">
        <w:t xml:space="preserve"> shall only take effect if the Seller does not object to the appointment of the proposed New Collateral Agent within twenty Business Days after having been notified by the Issuer of the appointment of the proposed New Collateral Agent.</w:t>
      </w:r>
    </w:p>
    <w:p w14:paraId="4996C575" w14:textId="5240C5F0" w:rsidR="009F6E91" w:rsidRPr="00D427D8" w:rsidRDefault="009F6E91" w:rsidP="009E1ED2">
      <w:pPr>
        <w:pStyle w:val="SchNumber3"/>
      </w:pPr>
      <w:r w:rsidRPr="00D427D8">
        <w:t>Notwithstanding a termination pursuant to clause 23.1(a), the rights and obligations of the Collateral Agent shall continue until the appointment of the New Collateral Agent has become effective and the rights pursuant to clause 24 have been assigned to it.</w:t>
      </w:r>
    </w:p>
    <w:p w14:paraId="3821EAE0" w14:textId="3A9D2B08" w:rsidR="009F6E91" w:rsidRPr="00D427D8" w:rsidRDefault="009F6E91" w:rsidP="009E1ED2">
      <w:pPr>
        <w:pStyle w:val="SchHeading2"/>
      </w:pPr>
      <w:r w:rsidRPr="00D427D8">
        <w:t>Replacement by the Issuer</w:t>
      </w:r>
    </w:p>
    <w:p w14:paraId="083C7742" w14:textId="3A19C574" w:rsidR="009F6E91" w:rsidRPr="00D427D8" w:rsidRDefault="009E1ED2" w:rsidP="009E1ED2">
      <w:pPr>
        <w:pStyle w:val="Body2"/>
      </w:pPr>
      <w:r w:rsidRPr="00D427D8">
        <w:t>If the Issuer is instructed by the Seller to replace the Collateral Agent for good cause (</w:t>
      </w:r>
      <w:r w:rsidRPr="00D427D8">
        <w:rPr>
          <w:i/>
          <w:iCs/>
        </w:rPr>
        <w:t>aus wichtigem Grund</w:t>
      </w:r>
      <w:r w:rsidRPr="00D427D8">
        <w:t>), it shall</w:t>
      </w:r>
    </w:p>
    <w:p w14:paraId="12B7D753" w14:textId="19F66E9E" w:rsidR="009F6E91" w:rsidRPr="00D427D8" w:rsidRDefault="009F6E91" w:rsidP="009E1ED2">
      <w:pPr>
        <w:pStyle w:val="SchNumber3"/>
      </w:pPr>
      <w:r w:rsidRPr="00D427D8">
        <w:t>notify the Collateral Agent without undue delay upon receipt of such request; and</w:t>
      </w:r>
    </w:p>
    <w:p w14:paraId="31CC5568" w14:textId="22DF14C8" w:rsidR="009F6E91" w:rsidRPr="00D427D8" w:rsidRDefault="009F6E91" w:rsidP="009E1ED2">
      <w:pPr>
        <w:pStyle w:val="SchNumber3"/>
      </w:pPr>
      <w:r w:rsidRPr="00D427D8">
        <w:t>be authorised and obligated to replace the Collateral Agent upon 30 days</w:t>
      </w:r>
      <w:r w:rsidR="00EF7333" w:rsidRPr="00D427D8">
        <w:t>'</w:t>
      </w:r>
      <w:r w:rsidRPr="00D427D8">
        <w:t xml:space="preserve"> prior notice with a reputable trust corporation, bank, auditing company and/or fiduciary or trust company</w:t>
      </w:r>
    </w:p>
    <w:p w14:paraId="06F550D9" w14:textId="104F66DA" w:rsidR="009F6E91" w:rsidRPr="00D427D8" w:rsidRDefault="009F6E91" w:rsidP="009E1ED2">
      <w:pPr>
        <w:pStyle w:val="SchNumber4"/>
      </w:pPr>
      <w:r w:rsidRPr="00D427D8">
        <w:t>which is experienced in the collateral agency business in Germany; and</w:t>
      </w:r>
    </w:p>
    <w:p w14:paraId="0C2B550D" w14:textId="512978A9" w:rsidR="009F6E91" w:rsidRPr="00D427D8" w:rsidRDefault="009F6E91" w:rsidP="009E1ED2">
      <w:pPr>
        <w:pStyle w:val="SchNumber4"/>
      </w:pPr>
      <w:r w:rsidRPr="00D427D8">
        <w:t>otherwise in relation to international securitisation transactions, which is neither a resident of Germany for tax purposes nor is acting through a German permanent establishment or a German permanent agent.</w:t>
      </w:r>
    </w:p>
    <w:p w14:paraId="756A7A62" w14:textId="07320DA0" w:rsidR="009F6E91" w:rsidRPr="00D427D8" w:rsidRDefault="009F6E91" w:rsidP="009E1ED2">
      <w:pPr>
        <w:pStyle w:val="SchHeading1"/>
      </w:pPr>
      <w:bookmarkStart w:id="264" w:name="_Ref141891974"/>
      <w:r w:rsidRPr="00D427D8">
        <w:t>Transfer of Security, costs, publication</w:t>
      </w:r>
      <w:bookmarkEnd w:id="264"/>
    </w:p>
    <w:p w14:paraId="10E5F751" w14:textId="52468902" w:rsidR="009F6E91" w:rsidRPr="00D427D8" w:rsidRDefault="009F6E91" w:rsidP="009E1ED2">
      <w:pPr>
        <w:pStyle w:val="SchNumber2"/>
      </w:pPr>
      <w:r w:rsidRPr="00D427D8">
        <w:t>In the case of a replacement of the Collateral Agent, the Collateral Agent shall forthwith transfer the Security as well as its Trustee Claim to the New Collateral Agent. The New Collateral Agent shall assume the Collateral Agent</w:t>
      </w:r>
      <w:r w:rsidR="00EF7333" w:rsidRPr="00D427D8">
        <w:t>'</w:t>
      </w:r>
      <w:r w:rsidRPr="00D427D8">
        <w:t>s obligations under each Transaction Document to which the Collateral Agent is a party. Without prejudice to this obligation, the Issuer is hereby irrevocably authorised to effect any such transfer on behalf of the Collateral Agent. If an Insolvency Event in respect of the Collateral Agent has occurred, the Collateral Agent shall transfer the Security without undue delay to the Issuer or any nominee of the Issuer. The Issuer shall without undue delay replace the Collateral Agent with a New Collateral Agent and transfer the Security to this New Collateral Agent.</w:t>
      </w:r>
    </w:p>
    <w:p w14:paraId="614D9FB0" w14:textId="247CFABD" w:rsidR="009F6E91" w:rsidRPr="00D427D8" w:rsidRDefault="009F6E91" w:rsidP="009E1ED2">
      <w:pPr>
        <w:pStyle w:val="SchNumber2"/>
      </w:pPr>
      <w:r w:rsidRPr="00D427D8">
        <w:t>The costs incurred in connection with replacing the Collateral Agent shall be borne by the Issuer, unless such costs and expenses are incurred by the Collateral Agent due to a breach of its standard of care pursuant to clause 25.1.</w:t>
      </w:r>
    </w:p>
    <w:p w14:paraId="79F404CA" w14:textId="69ABE8EB" w:rsidR="009F6E91" w:rsidRPr="00D427D8" w:rsidRDefault="009F6E91" w:rsidP="009E1ED2">
      <w:pPr>
        <w:pStyle w:val="SchNumber2"/>
      </w:pPr>
      <w:r w:rsidRPr="00D427D8">
        <w:t>The Collateral Agent shall provide the New Collateral Agent with a report regarding its activities within the framework of this Agreement.</w:t>
      </w:r>
    </w:p>
    <w:p w14:paraId="2168C221" w14:textId="2641567E" w:rsidR="009F6E91" w:rsidRPr="00D427D8" w:rsidRDefault="009F6E91" w:rsidP="009E1ED2">
      <w:pPr>
        <w:pStyle w:val="SchHeading1"/>
      </w:pPr>
      <w:r w:rsidRPr="00D427D8">
        <w:t>Liability of the Collateral Agent</w:t>
      </w:r>
    </w:p>
    <w:p w14:paraId="4AEC327F" w14:textId="03136B6C" w:rsidR="009F6E91" w:rsidRPr="00D427D8" w:rsidRDefault="009F6E91" w:rsidP="009E1ED2">
      <w:pPr>
        <w:pStyle w:val="SchHeading2"/>
      </w:pPr>
      <w:bookmarkStart w:id="265" w:name="_Ref141891950"/>
      <w:r w:rsidRPr="00D427D8">
        <w:t>Standard of Care</w:t>
      </w:r>
      <w:bookmarkEnd w:id="265"/>
    </w:p>
    <w:p w14:paraId="625A090D" w14:textId="43152D00" w:rsidR="009F6E91" w:rsidRPr="00D427D8" w:rsidRDefault="009F6E91" w:rsidP="009E1ED2">
      <w:pPr>
        <w:pStyle w:val="SchNumber3"/>
      </w:pPr>
      <w:r w:rsidRPr="00D427D8">
        <w:t>The Collateral Agent shall have absolute and uncontrolled discretion as to the exercise of its functions under this Agreement and shall be liable for breach of its obligations under this Agreement only if and to the extent that such breach is due to fraud, gross negligence (</w:t>
      </w:r>
      <w:r w:rsidRPr="00D427D8">
        <w:rPr>
          <w:i/>
          <w:iCs/>
        </w:rPr>
        <w:t>grobe Fahrlässigkeit</w:t>
      </w:r>
      <w:r w:rsidRPr="00D427D8">
        <w:t>) or wilful default (</w:t>
      </w:r>
      <w:r w:rsidRPr="00D427D8">
        <w:rPr>
          <w:i/>
          <w:iCs/>
        </w:rPr>
        <w:t>Vorsatz</w:t>
      </w:r>
      <w:r w:rsidRPr="00D427D8">
        <w:t>). The Collateral Agent shall not be liable for breach of its obligations under this Agreement if such failure by the Collateral Agent to meet this standard of care arises as a result of the Collateral Agent relying on the advice provided by an advisor appointed pursuant to clause 18 (</w:t>
      </w:r>
      <w:r w:rsidRPr="00D427D8">
        <w:rPr>
          <w:i/>
          <w:iCs/>
        </w:rPr>
        <w:t>Advisors</w:t>
      </w:r>
      <w:r w:rsidRPr="00D427D8">
        <w:t>) and/or as a result of the Collateral Agent acting or refraining from acting based on instructions of any of the Secured Parties.</w:t>
      </w:r>
    </w:p>
    <w:p w14:paraId="331A2C89" w14:textId="1E6C3FCE" w:rsidR="009F6E91" w:rsidRPr="00D427D8" w:rsidRDefault="009F6E91" w:rsidP="009E1ED2">
      <w:pPr>
        <w:pStyle w:val="SchNumber3"/>
      </w:pPr>
      <w:r w:rsidRPr="00D427D8">
        <w:lastRenderedPageBreak/>
        <w:t>Until the Collateral Agent has actual knowledge or express notice to the contrary, it may assume that no Issuer Event of Default or any other default has occurred and that each of the other parties is performing all its obligations under this Agreement and the other Transaction Documents.</w:t>
      </w:r>
    </w:p>
    <w:p w14:paraId="0E2B646E" w14:textId="39D87D68" w:rsidR="009F6E91" w:rsidRPr="00D427D8" w:rsidRDefault="009F6E91" w:rsidP="009E1ED2">
      <w:pPr>
        <w:pStyle w:val="SchNumber3"/>
      </w:pPr>
      <w:r w:rsidRPr="00D427D8">
        <w:t>If the Collateral Agent, in the exercise of its functions, requires information as to any fact, it may call for and accept as sufficient evidence of that fact a certificate signed by any director of the Issuer as to that fact and the Collateral Agent does not need to call for further evidence and shall not be responsible for any loss occasioned by acting on such a certificate.</w:t>
      </w:r>
    </w:p>
    <w:p w14:paraId="31B88F94" w14:textId="414FC1C4" w:rsidR="009F6E91" w:rsidRPr="00D427D8" w:rsidRDefault="009F6E91" w:rsidP="009E1ED2">
      <w:pPr>
        <w:pStyle w:val="SchNumber3"/>
      </w:pPr>
      <w:r w:rsidRPr="00D427D8">
        <w:t>When acting in compliance with the provisions set forth in this Agreement, the Collateral Agent shall be deemed to have met the standard of care pursuant to clause 25.1 for the purposes of this Agreement and the other Transaction Documents.</w:t>
      </w:r>
    </w:p>
    <w:p w14:paraId="1068DC69" w14:textId="2BC964E1" w:rsidR="009F6E91" w:rsidRPr="00D427D8" w:rsidRDefault="009F6E91" w:rsidP="009E1ED2">
      <w:pPr>
        <w:pStyle w:val="SchNumber3"/>
      </w:pPr>
      <w:r w:rsidRPr="00D427D8">
        <w:t>Unless the Collateral Agent has failed to comply with the due care (</w:t>
      </w:r>
      <w:r w:rsidRPr="00D427D8">
        <w:rPr>
          <w:i/>
          <w:iCs/>
        </w:rPr>
        <w:t>im Verkehr erforderliche Sorgfalt</w:t>
      </w:r>
      <w:r w:rsidRPr="00D427D8">
        <w:t>) in selecting a third party, the Collateral Agent shall not in any circumstance accept responsibility or be liable for any act or omission of or be obliged to supervise such third party so retained by the Collateral Agent.</w:t>
      </w:r>
    </w:p>
    <w:p w14:paraId="21DC721A" w14:textId="682FDC0F" w:rsidR="009F6E91" w:rsidRPr="00D427D8" w:rsidRDefault="009F6E91" w:rsidP="009E1ED2">
      <w:pPr>
        <w:pStyle w:val="SchNumber3"/>
      </w:pPr>
      <w:r w:rsidRPr="00D427D8">
        <w:t>Notwithstanding any other provisions in this Agreement, the Collateral Agent</w:t>
      </w:r>
    </w:p>
    <w:p w14:paraId="21120DA3" w14:textId="3F06BF77" w:rsidR="009F6E91" w:rsidRPr="00D427D8" w:rsidRDefault="009F6E91" w:rsidP="009E1ED2">
      <w:pPr>
        <w:pStyle w:val="SchNumber4"/>
      </w:pPr>
      <w:r w:rsidRPr="00D427D8">
        <w:t>shall be entitled to request instructions, or clarification of any instruction, from the Secured Parties as to whether, and in what manner, it should exercise or refrain from exercising any right, power, authority or discretion and the Collateral Agent may refrain from acting unless and until it receives any such instructions or clarification that it has requested;</w:t>
      </w:r>
    </w:p>
    <w:p w14:paraId="4CA1F6EA" w14:textId="00EC0A6E" w:rsidR="009F6E91" w:rsidRPr="00D427D8" w:rsidRDefault="009F6E91" w:rsidP="009E1ED2">
      <w:pPr>
        <w:pStyle w:val="SchNumber4"/>
      </w:pPr>
      <w:r w:rsidRPr="00D427D8">
        <w:t>makes no warranty or representation to any Secured Party and shall not be responsible to any Secured Party for any statements, warranties or representations (whether written or oral) made by a party other than the Collateral Agent in or in connection with the Transaction Documents or any other document executed or delivered in connection herewith or therewith;</w:t>
      </w:r>
    </w:p>
    <w:p w14:paraId="7C8A3A88" w14:textId="7A58DB66" w:rsidR="009F6E91" w:rsidRPr="00D427D8" w:rsidRDefault="009F6E91" w:rsidP="009E1ED2">
      <w:pPr>
        <w:pStyle w:val="SchNumber4"/>
      </w:pPr>
      <w:r w:rsidRPr="00D427D8">
        <w:t>shall not have any duty to ascertain or to inquire as to the performance or observance on the part of the Issuer of any of the terms, covenants or conditions of the Transaction Document or any other agreement or document executed or delivered in connection herewith or therewith or to inspect the property (including the books and records) of the Issuer;</w:t>
      </w:r>
    </w:p>
    <w:p w14:paraId="5DF47734" w14:textId="3DE5D629" w:rsidR="009F6E91" w:rsidRPr="00D427D8" w:rsidRDefault="009F6E91" w:rsidP="009E1ED2">
      <w:pPr>
        <w:pStyle w:val="SchNumber4"/>
      </w:pPr>
      <w:r w:rsidRPr="00D427D8">
        <w:t>shall not be responsible to any Secured Party for the due execution, legality, validity, enforceability, genuineness, sufficiency or value of the Security, the Transaction Documents or any other instrument or document furnished pursuant thereto;</w:t>
      </w:r>
    </w:p>
    <w:p w14:paraId="068DF337" w14:textId="3555BCE2" w:rsidR="009F6E91" w:rsidRPr="00D427D8" w:rsidRDefault="009F6E91" w:rsidP="009E1ED2">
      <w:pPr>
        <w:pStyle w:val="SchNumber4"/>
      </w:pPr>
      <w:r w:rsidRPr="00D427D8">
        <w:t>shall not be responsible for insuring the Security or for the payment of taxes, charges, assessments, or liens upon any Security, and shall not be under any obligation to insure any of the Purchased Lease Receivables or any deeds or documents of title or other evidence in respect thereof or to require any other person to maintain any such insurance and the Collateral Agent shall not be responsible for any loss, expense, theft, reduction in value or liability which may be suffered as a result of the lack of or inadequacy of any such insurance;</w:t>
      </w:r>
    </w:p>
    <w:p w14:paraId="0EB838FC" w14:textId="353C09B6" w:rsidR="009F6E91" w:rsidRPr="00D427D8" w:rsidRDefault="009F6E91" w:rsidP="009E1ED2">
      <w:pPr>
        <w:pStyle w:val="SchNumber4"/>
      </w:pPr>
      <w:r w:rsidRPr="00D427D8">
        <w:t>shall be under no obligation to monitor or supervise the functions of any Transaction Parties, delegates or any other Person under or pursuant to any of the Transaction Documents;</w:t>
      </w:r>
    </w:p>
    <w:p w14:paraId="4C6ED145" w14:textId="5B4D5C43" w:rsidR="009F6E91" w:rsidRPr="00D427D8" w:rsidRDefault="009F6E91" w:rsidP="009E1ED2">
      <w:pPr>
        <w:pStyle w:val="SchNumber4"/>
      </w:pPr>
      <w:r w:rsidRPr="00D427D8">
        <w:t>shall not be required to examine or enquire into the title of the Issuer to the Purchased Lease Receivables, Lease Collateral or any other part of the undertaking, property, assets and Security granted by this Agreement or any other Transaction Document, or the right of the Issuer to exercise the powers and discretions described in this Agreement or any other Transaction Document;</w:t>
      </w:r>
    </w:p>
    <w:p w14:paraId="525F26F9" w14:textId="41D96BAE" w:rsidR="009F6E91" w:rsidRPr="00D427D8" w:rsidRDefault="009F6E91" w:rsidP="009E1ED2">
      <w:pPr>
        <w:pStyle w:val="SchNumber4"/>
      </w:pPr>
      <w:r w:rsidRPr="00D427D8">
        <w:lastRenderedPageBreak/>
        <w:t>shall not be bound to give notice to any person of the execution of this Agreement nor shall it be liable for any failure, omission or defect in protecting or perfecting the Security;</w:t>
      </w:r>
    </w:p>
    <w:p w14:paraId="2766EF4E" w14:textId="47A9391D" w:rsidR="009F6E91" w:rsidRPr="00D427D8" w:rsidRDefault="009F6E91" w:rsidP="009E1ED2">
      <w:pPr>
        <w:pStyle w:val="SchNumber4"/>
      </w:pPr>
      <w:r w:rsidRPr="00D427D8">
        <w:t>shall not be responsible to any person for failing to request, require or receive any legal opinion relating to any Transaction Document or any search, report, certificate, advice, valuation, investigation or information relating to any Transaction Document, the Security granted to the Collateral Agent under this Agreement, any transaction contemplated by any Transaction Document, any party to any Transaction Document or any of such party</w:t>
      </w:r>
      <w:r w:rsidR="00EF7333" w:rsidRPr="00D427D8">
        <w:t>'</w:t>
      </w:r>
      <w:r w:rsidRPr="00D427D8">
        <w:t>s assets or liabilities or for checking or commenting upon the content of any such legal opinion, search, report, certificate, advice, valuation, investigation or information or for ensuring disclosure to the Secured Parties of such content or any part of it or for determining the acceptability of such content or any part of it to any Secured Parties and shall not be responsible for any liability incurred thereby;</w:t>
      </w:r>
    </w:p>
    <w:p w14:paraId="32F75CCD" w14:textId="48EA44DD" w:rsidR="009F6E91" w:rsidRPr="00D427D8" w:rsidRDefault="009F6E91" w:rsidP="009E1ED2">
      <w:pPr>
        <w:pStyle w:val="SchNumber4"/>
      </w:pPr>
      <w:r w:rsidRPr="00D427D8">
        <w:t>shall not be bound to give notice to any person of the execution of any documents comprised or referred to in this Agreement or any other Transaction Document or to take any steps to ascertain whether any event, condition or act, the happening of which causes or may cause a right or remedy on the part of the Collateral Agent under or in relation to any Transaction Document to become exercisable has happened or to monitor compliance or supervise the observance and performance by the Issuer or any other party of their respective obligations under the Transaction Documents and, until it shall have actual knowledge or express notice pursuant to this Agreement to the contrary, the Collateral Agent shall be entitled to assume that no such event has happened and that the Issuer and each of the other parties are observing and performing all their respective obligations under this Agreement and the other Transaction Documents; and</w:t>
      </w:r>
    </w:p>
    <w:p w14:paraId="56AFF9AA" w14:textId="5E60B6EA" w:rsidR="009F6E91" w:rsidRPr="00D427D8" w:rsidRDefault="009F6E91" w:rsidP="009E1ED2">
      <w:pPr>
        <w:pStyle w:val="SchNumber4"/>
      </w:pPr>
      <w:r w:rsidRPr="00D427D8">
        <w:t>shall not (unless and to the extent ordered so to do by a court of competent jurisdiction) be required to disclose to any Secured Party any information (including, without limitation, information of a confidential, financial or price sensitive nature) made available to the Collateral Agent by the Issuer or any other person in connection with this Agreement and the other Transaction Documents and no Secured Party shall be entitled to take any action to obtain from the Collateral Agent any such information.</w:t>
      </w:r>
    </w:p>
    <w:p w14:paraId="3809DCC1" w14:textId="1B0CBEDE" w:rsidR="009F6E91" w:rsidRPr="00D427D8" w:rsidRDefault="009F6E91" w:rsidP="009E1ED2">
      <w:pPr>
        <w:pStyle w:val="SchHeading2"/>
      </w:pPr>
      <w:r w:rsidRPr="00D427D8">
        <w:t>Exclusion of Liability</w:t>
      </w:r>
    </w:p>
    <w:p w14:paraId="6D66A476" w14:textId="43717E6F" w:rsidR="009F6E91" w:rsidRPr="00D427D8" w:rsidRDefault="009E1ED2" w:rsidP="009E1ED2">
      <w:pPr>
        <w:pStyle w:val="Body2"/>
      </w:pPr>
      <w:r w:rsidRPr="00D427D8">
        <w:t>The Collateral Agent:</w:t>
      </w:r>
    </w:p>
    <w:p w14:paraId="15C04698" w14:textId="0F1A20DD" w:rsidR="009F6E91" w:rsidRPr="00D427D8" w:rsidRDefault="009F6E91" w:rsidP="009E1ED2">
      <w:pPr>
        <w:pStyle w:val="SchNumber3"/>
      </w:pPr>
      <w:r w:rsidRPr="00D427D8">
        <w:t>shall not be liable for any action or failure to act of the Issuer or of other parties to the Transaction Documents;</w:t>
      </w:r>
    </w:p>
    <w:p w14:paraId="0C60F549" w14:textId="786B89F6" w:rsidR="009F6E91" w:rsidRPr="00D427D8" w:rsidRDefault="009F6E91" w:rsidP="009E1ED2">
      <w:pPr>
        <w:pStyle w:val="SchNumber3"/>
      </w:pPr>
      <w:r w:rsidRPr="00D427D8">
        <w:t>shall not be liable for the Notes, the Security or the Transaction Documents failing to be legal, valid, binding, or enforceable or the fairness of the provisions set forth in the Notes or in the Transaction Documents;</w:t>
      </w:r>
    </w:p>
    <w:p w14:paraId="7EAEB09B" w14:textId="50988DBD" w:rsidR="009F6E91" w:rsidRPr="00D427D8" w:rsidRDefault="009F6E91" w:rsidP="009E1ED2">
      <w:pPr>
        <w:pStyle w:val="SchNumber3"/>
      </w:pPr>
      <w:r w:rsidRPr="00D427D8">
        <w:t>shall not be liable for a loss of documents related to the Security not attributable to the negligence of the Collateral Agent;</w:t>
      </w:r>
    </w:p>
    <w:p w14:paraId="0EBA2844" w14:textId="078270BE" w:rsidR="009F6E91" w:rsidRPr="00D427D8" w:rsidRDefault="009F6E91" w:rsidP="009E1ED2">
      <w:pPr>
        <w:pStyle w:val="SchNumber3"/>
      </w:pPr>
      <w:r w:rsidRPr="00D427D8">
        <w:t>shall not be liable for the invalidity, insufficiency or unenforceability of the security created by this Agreement;</w:t>
      </w:r>
    </w:p>
    <w:p w14:paraId="16A77938" w14:textId="322BDDC6" w:rsidR="009F6E91" w:rsidRPr="00D427D8" w:rsidRDefault="009F6E91" w:rsidP="009E1ED2">
      <w:pPr>
        <w:pStyle w:val="SchNumber3"/>
      </w:pPr>
      <w:r w:rsidRPr="00D427D8">
        <w:t>shall not be liable for special, indirect, punitive or consequential losses or damages of any kind whatsoever (including, but not limited to, loss of profit (section 252 of the German Civil Code)) irrespective of whether the Collateral Agent has been advised of the likelihood of such loss or damage and regardless of the form of action;</w:t>
      </w:r>
    </w:p>
    <w:p w14:paraId="31E21BE2" w14:textId="57E7C9F9" w:rsidR="009F6E91" w:rsidRPr="00D427D8" w:rsidRDefault="009F6E91" w:rsidP="009E1ED2">
      <w:pPr>
        <w:pStyle w:val="SchNumber3"/>
      </w:pPr>
      <w:r w:rsidRPr="00D427D8">
        <w:t>shall not be liable to any person by reason of having acted or having refrained from acting, each in accordance with any resolution purporting to have been passed by the Secured Parties;</w:t>
      </w:r>
    </w:p>
    <w:p w14:paraId="4A546BF7" w14:textId="36D329E5" w:rsidR="009F6E91" w:rsidRPr="00D427D8" w:rsidRDefault="009F6E91" w:rsidP="009E1ED2">
      <w:pPr>
        <w:pStyle w:val="SchNumber3"/>
      </w:pPr>
      <w:r w:rsidRPr="00D427D8">
        <w:lastRenderedPageBreak/>
        <w:t>shall not be liable for without prejudice to the provisions of clause 11 (</w:t>
      </w:r>
      <w:r w:rsidRPr="00D427D8">
        <w:rPr>
          <w:i/>
          <w:iCs/>
        </w:rPr>
        <w:t>Documents</w:t>
      </w:r>
      <w:r w:rsidRPr="00D427D8">
        <w:t>), the Seller</w:t>
      </w:r>
      <w:r w:rsidR="00EF7333" w:rsidRPr="00D427D8">
        <w:t>'</w:t>
      </w:r>
      <w:r w:rsidRPr="00D427D8">
        <w:t>s failure to meet all or part of its contractual obligations to submit documents to the Collateral Agent;</w:t>
      </w:r>
    </w:p>
    <w:p w14:paraId="23BECBC8" w14:textId="0ADDDD8D" w:rsidR="009F6E91" w:rsidRPr="00D427D8" w:rsidRDefault="009F6E91" w:rsidP="009E1ED2">
      <w:pPr>
        <w:pStyle w:val="SchNumber3"/>
      </w:pPr>
      <w:r w:rsidRPr="00D427D8">
        <w:t>is not obliged to do or omit to do anything if it would, or might, in its reasonable opinion constitute a breach of any law or regulation or a breach of a fiduciary duty or duty of confidentiality;</w:t>
      </w:r>
    </w:p>
    <w:p w14:paraId="699C8475" w14:textId="7C89208B" w:rsidR="009F6E91" w:rsidRPr="00D427D8" w:rsidRDefault="009F6E91" w:rsidP="009E1ED2">
      <w:pPr>
        <w:pStyle w:val="SchNumber3"/>
      </w:pPr>
      <w:r w:rsidRPr="00D427D8">
        <w:t>is not obliged to expend or risk its own funds or otherwise incur any financial liability in the performance of its duties, obligations or responsibilities or the exercise of any right, power, authority or discretion, if it has grounds for believing the repayment of such funds or adequate indemnity against, or security for, such risk or liability is not assured to it; and</w:t>
      </w:r>
    </w:p>
    <w:p w14:paraId="34925D50" w14:textId="33B268C9" w:rsidR="009F6E91" w:rsidRPr="00D427D8" w:rsidRDefault="009F6E91" w:rsidP="009E1ED2">
      <w:pPr>
        <w:pStyle w:val="SchNumber3"/>
      </w:pPr>
      <w:r w:rsidRPr="00D427D8">
        <w:t>shall not be bound to account to any other Secured Party for any sum or the profit element of any sum received by it for its own account.</w:t>
      </w:r>
    </w:p>
    <w:p w14:paraId="6E12939C" w14:textId="339FEF6C" w:rsidR="009F6E91" w:rsidRPr="00D427D8" w:rsidRDefault="009F6E91" w:rsidP="009E1ED2">
      <w:pPr>
        <w:pStyle w:val="SchHeading1"/>
      </w:pPr>
      <w:bookmarkStart w:id="266" w:name="_Ref141891916"/>
      <w:r w:rsidRPr="00D427D8">
        <w:t>Undertakings of the Issuer</w:t>
      </w:r>
      <w:bookmarkEnd w:id="266"/>
    </w:p>
    <w:p w14:paraId="59B5C7CC" w14:textId="5302F9B4" w:rsidR="009F6E91" w:rsidRPr="00D427D8" w:rsidRDefault="009F6E91" w:rsidP="009E1ED2">
      <w:pPr>
        <w:pStyle w:val="SchHeading2"/>
      </w:pPr>
      <w:r w:rsidRPr="00D427D8">
        <w:t>Undertakings in respect of the Security</w:t>
      </w:r>
    </w:p>
    <w:p w14:paraId="2DBECE54" w14:textId="6542FE0A" w:rsidR="009F6E91" w:rsidRPr="00D427D8" w:rsidRDefault="009E1ED2" w:rsidP="009E1ED2">
      <w:pPr>
        <w:pStyle w:val="Body2"/>
      </w:pPr>
      <w:r w:rsidRPr="00D427D8">
        <w:t>The Issuer undertakes vis-à-vis the Collateral Agent:</w:t>
      </w:r>
    </w:p>
    <w:p w14:paraId="0BFE319A" w14:textId="5E6ABD43" w:rsidR="009F6E91" w:rsidRPr="00D427D8" w:rsidRDefault="009F6E91" w:rsidP="009E1ED2">
      <w:pPr>
        <w:pStyle w:val="SchNumber3"/>
      </w:pPr>
      <w:bookmarkStart w:id="267" w:name="_Ref158827748"/>
      <w:r w:rsidRPr="00D427D8">
        <w:t>except as contemplated by the Transaction Documents, not to sell the Security and to refrain from all actions and failure to act (excluding the collection and enforcement of the Security in the ordinary course of business) which may result in a significant (</w:t>
      </w:r>
      <w:r w:rsidRPr="00D427D8">
        <w:rPr>
          <w:i/>
          <w:iCs/>
        </w:rPr>
        <w:t>wesentliche</w:t>
      </w:r>
      <w:r w:rsidRPr="00D427D8">
        <w:t>) decrease in the aggregate value or in a loss of the Security; if the Issuer receives notice that a Secured Party is not properly fulfilling its obligations under a Transaction Document, the Issuer will in particular exercise the due care of a prudent merchant (</w:t>
      </w:r>
      <w:r w:rsidRPr="00D427D8">
        <w:rPr>
          <w:i/>
          <w:iCs/>
        </w:rPr>
        <w:t>die Sorgfalt eines ordentlichen Kaufmanns</w:t>
      </w:r>
      <w:r w:rsidRPr="00D427D8">
        <w:t>) to take all necessary action to prevent the Security or its value from being jeopardised;</w:t>
      </w:r>
      <w:bookmarkEnd w:id="267"/>
    </w:p>
    <w:p w14:paraId="31C1A68E" w14:textId="3FEB8FCD" w:rsidR="009F6E91" w:rsidRPr="00D427D8" w:rsidRDefault="009F6E91" w:rsidP="009E1ED2">
      <w:pPr>
        <w:pStyle w:val="SchNumber3"/>
      </w:pPr>
      <w:r w:rsidRPr="00D427D8">
        <w:t>upon request of the Collateral Agent to mark in its accounting records the transfer for security purposes and the pledge to the Collateral Agent and upon request of the Collateral Agent to disclose to third parties having a legal interest in becoming aware of the transfer for security purposes and the pledge that the transfer for security purposes and the pledge have taken place;</w:t>
      </w:r>
    </w:p>
    <w:p w14:paraId="6D1F659B" w14:textId="4AF88ADB" w:rsidR="009F6E91" w:rsidRPr="00D427D8" w:rsidRDefault="009F6E91" w:rsidP="009E1ED2">
      <w:pPr>
        <w:pStyle w:val="SchNumber3"/>
      </w:pPr>
      <w:r w:rsidRPr="00D427D8">
        <w:t>promptly to notify the Collateral Agent (with a copy to the Seller) upon receipt of notice that the rights of the Collateral Agent in the Security are impaired or jeopardised by way of an attachment or other actions of third parties, by sending to the Collateral Agent a copy of the attachment or transfer order or of any other document on which the enforcement of the third party is based, as well as all further documents which are required or useful to enable the Collateral Agent to file proceedings and take other action in defence of its rights. In addition, the Issuer shall promptly inform the attachment creditor and other third parties of the rights of the Collateral Agent in the Security; and</w:t>
      </w:r>
    </w:p>
    <w:p w14:paraId="6889EB36" w14:textId="3BF3D62A" w:rsidR="009F6E91" w:rsidRPr="00D427D8" w:rsidRDefault="009F6E91" w:rsidP="009E1ED2">
      <w:pPr>
        <w:pStyle w:val="SchNumber3"/>
      </w:pPr>
      <w:r w:rsidRPr="00D427D8">
        <w:t>to permit the Collateral Agent or its representatives to inspect its books and records at any time during usual business hours for purposes of verifying and enforcing the Security, to give any information necessary for such purpose, and to make the relevant records available for inspection.</w:t>
      </w:r>
    </w:p>
    <w:p w14:paraId="0E1152DB" w14:textId="343261EE" w:rsidR="009F6E91" w:rsidRPr="00D427D8" w:rsidRDefault="009F6E91" w:rsidP="009E1ED2">
      <w:pPr>
        <w:pStyle w:val="SchHeading2"/>
      </w:pPr>
      <w:r w:rsidRPr="00D427D8">
        <w:t>Other undertakings of the Issuer</w:t>
      </w:r>
    </w:p>
    <w:p w14:paraId="49A46609" w14:textId="33BE8719" w:rsidR="009F6E91" w:rsidRPr="00D427D8" w:rsidRDefault="009E1ED2" w:rsidP="009E1ED2">
      <w:pPr>
        <w:pStyle w:val="Body2"/>
      </w:pPr>
      <w:r w:rsidRPr="00D427D8">
        <w:t>The Issuer undertakes to:</w:t>
      </w:r>
    </w:p>
    <w:p w14:paraId="42EB563D" w14:textId="146BE499" w:rsidR="009F6E91" w:rsidRPr="00D427D8" w:rsidRDefault="009F6E91" w:rsidP="009E1ED2">
      <w:pPr>
        <w:pStyle w:val="SchNumber3"/>
      </w:pPr>
      <w:r w:rsidRPr="00D427D8">
        <w:t>notify the Collateral Agent and each Agent (with a copy to the Seller) promptly if circumstances occur which constitute an Issuer Event of Default;</w:t>
      </w:r>
    </w:p>
    <w:p w14:paraId="59583C5F" w14:textId="0A2D852C" w:rsidR="009F6E91" w:rsidRPr="00D427D8" w:rsidRDefault="009F6E91" w:rsidP="009E1ED2">
      <w:pPr>
        <w:pStyle w:val="SchNumber3"/>
      </w:pPr>
      <w:r w:rsidRPr="00D427D8">
        <w:t xml:space="preserve">submit to the Collateral Agent at least once a year and in any event not later than one hundred and twenty days after the end of its fiscal year and at any time upon demand within five Business Days a certificate signed by a director of the Issuer in which such director, in good faith and to the best of his/her knowledge based on the information available represents </w:t>
      </w:r>
      <w:r w:rsidRPr="00D427D8">
        <w:lastRenderedPageBreak/>
        <w:t>that during the period between the date the preceding certificate was submitted (or, in the case of the first certificate, the date of this Agreement) and the date on which the relevant certificate is submitted, the Issuer has fulfilled its obligations under the Notes and the other Transaction Documents or (if this is not the case) specifies the details of any breach and stating that no Issuer Event of Default has occurred;</w:t>
      </w:r>
    </w:p>
    <w:p w14:paraId="2910FD07" w14:textId="0F5A9652" w:rsidR="009F6E91" w:rsidRPr="00D427D8" w:rsidRDefault="009F6E91" w:rsidP="009E1ED2">
      <w:pPr>
        <w:pStyle w:val="SchNumber3"/>
      </w:pPr>
      <w:r w:rsidRPr="00D427D8">
        <w:t>give the Collateral Agent at any time such other information it may reasonably demand for the purpose of performing its duties under this Agreement;</w:t>
      </w:r>
    </w:p>
    <w:p w14:paraId="0BC7BA55" w14:textId="21457725" w:rsidR="009F6E91" w:rsidRPr="00D427D8" w:rsidRDefault="009F6E91" w:rsidP="009E1ED2">
      <w:pPr>
        <w:pStyle w:val="SchNumber3"/>
      </w:pPr>
      <w:r w:rsidRPr="00D427D8">
        <w:t>send to the Collateral Agent one copy in the German and the English language of any balance sheet, any profit and loss accounts, any schedule on the origin and the allocation of funds, any report or notice, or any other memorandum sent out by the Issuer to its shareholders either at the time of the mailing of those documents to the shareholders or as soon as possible thereafter;</w:t>
      </w:r>
    </w:p>
    <w:p w14:paraId="0843F89E" w14:textId="00F8987E" w:rsidR="009F6E91" w:rsidRPr="00D427D8" w:rsidRDefault="009F6E91" w:rsidP="009E1ED2">
      <w:pPr>
        <w:pStyle w:val="SchNumber3"/>
      </w:pPr>
      <w:r w:rsidRPr="00D427D8">
        <w:t>send or have sent to the Collateral Agent a copy of any notice given in accordance with the terms and conditions of the Notes immediately, or at the latest within three Business Days after the publication of such notice;</w:t>
      </w:r>
    </w:p>
    <w:p w14:paraId="32A57F8B" w14:textId="5BFEC947" w:rsidR="009F6E91" w:rsidRPr="00D427D8" w:rsidRDefault="009F6E91" w:rsidP="009E1ED2">
      <w:pPr>
        <w:pStyle w:val="SchNumber3"/>
      </w:pPr>
      <w:r w:rsidRPr="00D427D8">
        <w:t>shall give or procure to be given to the Collateral Agent such opinions, certificates, information and evidence as it shall require and in such form as it shall require for the purpose of the discharge or exercise of the duties, trusts, powers, authorities and discretions vested in it under this Agreement or any other Transaction Document or by operation of law; and</w:t>
      </w:r>
    </w:p>
    <w:p w14:paraId="121ACF8A" w14:textId="587C88C7" w:rsidR="009F6E91" w:rsidRPr="00D427D8" w:rsidRDefault="009F6E91" w:rsidP="009E1ED2">
      <w:pPr>
        <w:pStyle w:val="SchNumber3"/>
      </w:pPr>
      <w:r w:rsidRPr="00D427D8">
        <w:t>ensure that the Paying Agent notifies the Collateral Agent immediately if it does not receive the moneys needed to discharge in full any obligation to repay the full or partial principal amount due to the Noteholders on any Distribution Date</w:t>
      </w:r>
      <w:bookmarkEnd w:id="227"/>
      <w:r w:rsidRPr="00D427D8">
        <w:t>.</w:t>
      </w:r>
    </w:p>
    <w:p w14:paraId="2998A505" w14:textId="77777777" w:rsidR="009F6E91" w:rsidRPr="00D427D8" w:rsidRDefault="009F6E91" w:rsidP="00EF7333">
      <w:pPr>
        <w:pStyle w:val="Body1"/>
      </w:pPr>
      <w:r w:rsidRPr="00D427D8">
        <w:br w:type="page"/>
      </w:r>
    </w:p>
    <w:p w14:paraId="5FFF7A05" w14:textId="77777777" w:rsidR="009F6E91" w:rsidRPr="00D427D8" w:rsidRDefault="009F6E91" w:rsidP="00926C3A">
      <w:pPr>
        <w:pStyle w:val="CentredHeading"/>
      </w:pPr>
      <w:bookmarkStart w:id="268" w:name="_Toc194046511"/>
      <w:bookmarkStart w:id="269" w:name="_Toc198539669"/>
      <w:r w:rsidRPr="00D427D8">
        <w:lastRenderedPageBreak/>
        <w:t>ANNEX D</w:t>
      </w:r>
      <w:r w:rsidRPr="00D427D8">
        <w:br/>
        <w:t>ER COLLATERAL AGENCY AGREEMENT</w:t>
      </w:r>
      <w:bookmarkEnd w:id="268"/>
      <w:bookmarkEnd w:id="269"/>
    </w:p>
    <w:p w14:paraId="66F8FD69" w14:textId="11273BF5" w:rsidR="009F6E91" w:rsidRPr="00D427D8" w:rsidRDefault="009F6E91" w:rsidP="009F6E91">
      <w:pPr>
        <w:pStyle w:val="Body1"/>
      </w:pPr>
      <w:r w:rsidRPr="00D427D8">
        <w:t>The following is the text of the material terms of the ER Collateral Agency Agreement between the Issuer, the Collateral Agent, the ER Collateral Agent, the Lead Manager, the Arranger, the Subordinated Lender, the Lender, the Data Protection Trustee, the Corporate Services Provider, the Back-up Servicer Facilitator, the Paying Agent, the Reporting Agent, the Calculation Agent, the Counterparty, the Account Bank, the Servicer and the Seller. The text is attached to the Conditions and constitutes an integral part of the Conditions – In case of any overlap or inconsistency in the definition of a term or expression in the Collateral Agency Agreement and elsewhere in this Prospectus, the definition contained in the ER Collateral Agency Agreement will prevail.</w:t>
      </w:r>
    </w:p>
    <w:p w14:paraId="791E9F0D" w14:textId="19B0DF4C" w:rsidR="009F6E91" w:rsidRPr="00D427D8" w:rsidRDefault="009F6E91" w:rsidP="00C8283A">
      <w:pPr>
        <w:pStyle w:val="SchNumber1"/>
        <w:numPr>
          <w:ilvl w:val="2"/>
          <w:numId w:val="53"/>
        </w:numPr>
        <w:rPr>
          <w:rStyle w:val="Heading1Text"/>
        </w:rPr>
      </w:pPr>
      <w:bookmarkStart w:id="270" w:name="_Hlk200124140"/>
      <w:r w:rsidRPr="00D427D8">
        <w:rPr>
          <w:rStyle w:val="Heading1Text"/>
        </w:rPr>
        <w:t>Definitions and Interpretation</w:t>
      </w:r>
    </w:p>
    <w:p w14:paraId="26C8A3DE" w14:textId="0BE3C4C0" w:rsidR="009F6E91" w:rsidRPr="00D427D8" w:rsidRDefault="009F6E91" w:rsidP="009E1ED2">
      <w:pPr>
        <w:pStyle w:val="SchHeading2"/>
      </w:pPr>
      <w:r w:rsidRPr="00D427D8">
        <w:t>Incorporation of definitions</w:t>
      </w:r>
    </w:p>
    <w:p w14:paraId="7A435615" w14:textId="09F8E1A2" w:rsidR="009F6E91" w:rsidRPr="00D427D8" w:rsidRDefault="009F6E91" w:rsidP="009F6E91">
      <w:pPr>
        <w:pStyle w:val="Body2"/>
      </w:pPr>
      <w:r w:rsidRPr="00D427D8">
        <w:t xml:space="preserve">In this Agreement (including the recitals), except insofar as the context otherwise requires, capitalised words and expressions shall have the same meanings as set out in the master agreement of even date (as amended and/or restated from time to time thereafter) entered into, </w:t>
      </w:r>
      <w:r w:rsidRPr="00D427D8">
        <w:rPr>
          <w:i/>
        </w:rPr>
        <w:t>inter</w:t>
      </w:r>
      <w:r w:rsidRPr="00D427D8">
        <w:t xml:space="preserve"> </w:t>
      </w:r>
      <w:r w:rsidRPr="00D427D8">
        <w:rPr>
          <w:i/>
        </w:rPr>
        <w:t>alia</w:t>
      </w:r>
      <w:r w:rsidRPr="00D427D8">
        <w:t>, by the Parties (the </w:t>
      </w:r>
      <w:r w:rsidR="00EF7333" w:rsidRPr="00D427D8">
        <w:t>"</w:t>
      </w:r>
      <w:r w:rsidRPr="00D427D8">
        <w:rPr>
          <w:b/>
        </w:rPr>
        <w:t>Master Agreement</w:t>
      </w:r>
      <w:r w:rsidR="00EF7333" w:rsidRPr="00D427D8">
        <w:t>"</w:t>
      </w:r>
      <w:r w:rsidRPr="00D427D8">
        <w:t>).</w:t>
      </w:r>
    </w:p>
    <w:p w14:paraId="044A6D0D" w14:textId="3BFFB2B2" w:rsidR="009F6E91" w:rsidRPr="00D427D8" w:rsidRDefault="009F6E91" w:rsidP="009E1ED2">
      <w:pPr>
        <w:pStyle w:val="SchHeading2"/>
        <w:rPr>
          <w:lang w:val="en-US"/>
        </w:rPr>
      </w:pPr>
      <w:r w:rsidRPr="00D427D8">
        <w:rPr>
          <w:lang w:val="en-US"/>
        </w:rPr>
        <w:t>Principles of construction</w:t>
      </w:r>
    </w:p>
    <w:p w14:paraId="3646444B" w14:textId="77777777" w:rsidR="009F6E91" w:rsidRPr="00D427D8" w:rsidRDefault="009F6E91" w:rsidP="009F6E91">
      <w:pPr>
        <w:pStyle w:val="Body2"/>
      </w:pPr>
      <w:r w:rsidRPr="00D427D8">
        <w:t>This Agreement incorporates the principles of construction set out in clause 2 (</w:t>
      </w:r>
      <w:r w:rsidRPr="00D427D8">
        <w:rPr>
          <w:i/>
        </w:rPr>
        <w:t>Interpretation and Construction</w:t>
      </w:r>
      <w:r w:rsidRPr="00D427D8">
        <w:t>) of the Master Agreement as though the same were set out in full in this Agreement. For purposes of such incorporation into this Agreement, such principles of construction shall be interpreted and construed in accordance with the plain meaning of their language under the stated governing law of this Agreement. In the event of any conflict between the provisions of this Agreement and the principles of construction set out in the Master Agreement, the provisions of this Agreement shall prevail.</w:t>
      </w:r>
    </w:p>
    <w:p w14:paraId="40B6D068" w14:textId="5B77324D" w:rsidR="009F6E91" w:rsidRPr="00D427D8" w:rsidRDefault="009F6E91" w:rsidP="009E1ED2">
      <w:pPr>
        <w:pStyle w:val="SchHeading2"/>
      </w:pPr>
      <w:r w:rsidRPr="00D427D8">
        <w:t>Common terms</w:t>
      </w:r>
    </w:p>
    <w:p w14:paraId="4065F37B" w14:textId="3918C5F4" w:rsidR="009F6E91" w:rsidRPr="00D427D8" w:rsidRDefault="009E1ED2" w:rsidP="009E1ED2">
      <w:pPr>
        <w:pStyle w:val="Body2"/>
      </w:pPr>
      <w:r w:rsidRPr="00D427D8">
        <w:t>This Agreement incorporates the common terms set out in clauses 3 (Communications) to 17.10 (</w:t>
      </w:r>
      <w:r w:rsidRPr="00D427D8">
        <w:rPr>
          <w:i/>
        </w:rPr>
        <w:t>Jurisdiction</w:t>
      </w:r>
      <w:r w:rsidRPr="00D427D8">
        <w:t>) of the Master Agreement as though the same were set out in full in this Agreement. For purposes of such incorporation into this Agreement, such common terms shall be interpreted and construed in accordance with the stated governing law of this Agreement. In the event of any conflict between the provisions of this Agreement and the common terms set out in the Master Agreement, the provisions of this Agreement shall prevail.</w:t>
      </w:r>
    </w:p>
    <w:p w14:paraId="223A9D63" w14:textId="06D1936F" w:rsidR="009F6E91" w:rsidRPr="00D427D8" w:rsidRDefault="009F6E91" w:rsidP="009E1ED2">
      <w:pPr>
        <w:pStyle w:val="SchHeading2"/>
      </w:pPr>
      <w:r w:rsidRPr="00D427D8">
        <w:t>Appointment of the ER Collateral Agent</w:t>
      </w:r>
    </w:p>
    <w:p w14:paraId="3DB4A16D" w14:textId="34FFB287" w:rsidR="009F6E91" w:rsidRPr="00D427D8" w:rsidRDefault="009E1ED2" w:rsidP="009E1ED2">
      <w:pPr>
        <w:pStyle w:val="Body2"/>
      </w:pPr>
      <w:r w:rsidRPr="00D427D8">
        <w:t>The Issuer hereby appoints CSC Trustees Limited as ER collateral agent (together with any successors or any other person appointed as ER Collateral Agent in accordance with this Agreement, the "</w:t>
      </w:r>
      <w:r w:rsidRPr="00D427D8">
        <w:rPr>
          <w:rStyle w:val="BoldText"/>
        </w:rPr>
        <w:t>ER</w:t>
      </w:r>
      <w:r w:rsidRPr="00D427D8">
        <w:t xml:space="preserve"> </w:t>
      </w:r>
      <w:r w:rsidRPr="00D427D8">
        <w:rPr>
          <w:rStyle w:val="BoldText"/>
        </w:rPr>
        <w:t>Collateral Agent</w:t>
      </w:r>
      <w:r w:rsidRPr="00D427D8">
        <w:t>"). CSC Trustees Limited hereby accepts such appointment.</w:t>
      </w:r>
    </w:p>
    <w:p w14:paraId="55A1B0DB" w14:textId="31733104" w:rsidR="009F6E91" w:rsidRPr="00D427D8" w:rsidRDefault="009F6E91" w:rsidP="009E1ED2">
      <w:pPr>
        <w:pStyle w:val="SchHeading1"/>
      </w:pPr>
      <w:r w:rsidRPr="00D427D8">
        <w:t>Duties of the ER Collateral Agent</w:t>
      </w:r>
    </w:p>
    <w:p w14:paraId="370AAEBB" w14:textId="05DB3C66" w:rsidR="009F6E91" w:rsidRPr="00D427D8" w:rsidRDefault="009E1ED2" w:rsidP="009E1ED2">
      <w:pPr>
        <w:pStyle w:val="Body2"/>
      </w:pPr>
      <w:r w:rsidRPr="00D427D8">
        <w:t>This Agreement, inter alia, establishes the rights and obligations of the ER Collateral Agent to perform the duties of the ER Collateral Agent set forth in this Agreement or otherwise delegated to the ER Collateral Agent. Except as set forth in this Agreement, the ER Collateral Agent is not obligated to supervise the discharge of the payment and other obligations of the Issuer under or otherwise arising in connection with the Transaction Documents or to carry out duties which are the responsibility of the management of the Issuer.</w:t>
      </w:r>
    </w:p>
    <w:p w14:paraId="2FDE085D" w14:textId="434905E8" w:rsidR="009F6E91" w:rsidRPr="00D427D8" w:rsidRDefault="009E1ED2" w:rsidP="009E1ED2">
      <w:pPr>
        <w:pStyle w:val="Body2"/>
      </w:pPr>
      <w:r w:rsidRPr="00D427D8">
        <w:t xml:space="preserve">The ER Collateral Agent shall not be required to exercise any discretion or take any action, but shall be required to act or to refrain from acting (and shall be fully protected in so acting or refraining from acting) upon written instructions from the Secured Parties (except as otherwise contemplated in this Agreement); provided, however, that the ER Collateral Agent shall not be required to take any action which would expose the ER Collateral Agent to any liability or which would cause the ER Collateral Agent to incur out-of-pocket expenses (unless it shall have first received reasonably satisfactory </w:t>
      </w:r>
      <w:r w:rsidRPr="00D427D8">
        <w:lastRenderedPageBreak/>
        <w:t>indemnification and, upon its request, prefunding therefor) or which is contrary to this Agreement or applicable law.</w:t>
      </w:r>
    </w:p>
    <w:p w14:paraId="73F395BF" w14:textId="2B2C2818" w:rsidR="009F6E91" w:rsidRPr="00D427D8" w:rsidRDefault="009F6E91" w:rsidP="009E1ED2">
      <w:pPr>
        <w:pStyle w:val="SchHeading1"/>
      </w:pPr>
      <w:r w:rsidRPr="00D427D8">
        <w:t>Position of the ER Collateral Agent</w:t>
      </w:r>
    </w:p>
    <w:p w14:paraId="62C4C8E7" w14:textId="3111CC89" w:rsidR="009F6E91" w:rsidRPr="00D427D8" w:rsidRDefault="009F6E91" w:rsidP="009E1ED2">
      <w:pPr>
        <w:pStyle w:val="SchHeading2"/>
      </w:pPr>
      <w:r w:rsidRPr="00D427D8">
        <w:t>Position of the ER Collateral Agent in relation to the Secured Parties</w:t>
      </w:r>
    </w:p>
    <w:p w14:paraId="325C4453" w14:textId="3C981362" w:rsidR="009F6E91" w:rsidRPr="00D427D8" w:rsidRDefault="009F6E91" w:rsidP="009E1ED2">
      <w:pPr>
        <w:pStyle w:val="SchNumber3"/>
      </w:pPr>
      <w:r w:rsidRPr="00D427D8">
        <w:t>The ER Collateral Agent shall hold the ER Security and shall act, and shall perform the duties and other obligations of the ER Collateral Agent set forth in this Agreement, in each case as a fiduciary (</w:t>
      </w:r>
      <w:r w:rsidRPr="00D427D8">
        <w:rPr>
          <w:i/>
          <w:iCs/>
        </w:rPr>
        <w:t>Treuhänder</w:t>
      </w:r>
      <w:r w:rsidRPr="00D427D8">
        <w:t>) of the Issuer and the Secured Parties.</w:t>
      </w:r>
    </w:p>
    <w:p w14:paraId="18B5E80A" w14:textId="312C6F51" w:rsidR="009F6E91" w:rsidRPr="00D427D8" w:rsidRDefault="009F6E91" w:rsidP="009E1ED2">
      <w:pPr>
        <w:pStyle w:val="SchNumber3"/>
      </w:pPr>
      <w:r w:rsidRPr="00D427D8">
        <w:t>In each case subject to the provisions of this Agreement, in particular clauses 17 to 20 and 23 below, the ER Collateral Agent shall carry out its duties and shall perform the tasks and exercise the functions hereunder and under the other Transaction Documents with particular regard to the interests of the Secured Parties, giving priority to the interests of the Noteholders according to the ranking under the applicable Priority of Payments as long as any Notes are outstanding and, following the full repayment of the Notes, giving priority to the interest of each Secured Party according to the ranking under the applicable Priority of Payments.</w:t>
      </w:r>
    </w:p>
    <w:p w14:paraId="159390D7" w14:textId="10B752AA" w:rsidR="009F6E91" w:rsidRPr="00D427D8" w:rsidRDefault="009F6E91" w:rsidP="009E1ED2">
      <w:pPr>
        <w:pStyle w:val="SchNumber3"/>
      </w:pPr>
      <w:r w:rsidRPr="00D427D8">
        <w:t>This Agreement grants all Secured Parties the right to demand that the ER Collateral Agent performs its duties hereunder pursuant to, and in accordance with the terms of, this Agreement, and, to the extent Secured Parties are not a party to this Agreement (in particular the Noteholders), these rights are granted pursuant to a contract for the benefit of a third party pursuant to section 328 of the German Civil Code (</w:t>
      </w:r>
      <w:r w:rsidRPr="00D427D8">
        <w:rPr>
          <w:i/>
          <w:iCs/>
        </w:rPr>
        <w:t>echter Vertrag zugunsten Dritter</w:t>
      </w:r>
      <w:r w:rsidRPr="00D427D8">
        <w:t>). The obligations of the ER Collateral Agent under this Agreement are owed exclusively to the Secured Parties, unless otherwise specified or the context otherwise requires.</w:t>
      </w:r>
    </w:p>
    <w:p w14:paraId="59284D57" w14:textId="12E07AFD" w:rsidR="009F6E91" w:rsidRPr="00D427D8" w:rsidRDefault="009F6E91" w:rsidP="007F5198">
      <w:pPr>
        <w:pStyle w:val="SchHeading2"/>
      </w:pPr>
      <w:r w:rsidRPr="00D427D8">
        <w:t>Position of the ER Collateral Agent in relation to the Issuer</w:t>
      </w:r>
    </w:p>
    <w:p w14:paraId="7A2BD626" w14:textId="63EB0E3C" w:rsidR="009F6E91" w:rsidRPr="00D427D8" w:rsidRDefault="009F6E91" w:rsidP="007F5198">
      <w:pPr>
        <w:pStyle w:val="SchNumber3"/>
      </w:pPr>
      <w:r w:rsidRPr="00D427D8">
        <w:t>The ER Collateral Agent shall be obligated to keep the ER Security and any collections thereon separate and apart from its own property and assets.</w:t>
      </w:r>
    </w:p>
    <w:p w14:paraId="7EC35DF2" w14:textId="641E6B4D" w:rsidR="009F6E91" w:rsidRPr="00D427D8" w:rsidRDefault="009F6E91" w:rsidP="007F5198">
      <w:pPr>
        <w:pStyle w:val="SchNumber3"/>
        <w:rPr>
          <w:lang w:val="en-US"/>
        </w:rPr>
      </w:pPr>
      <w:r w:rsidRPr="00D427D8">
        <w:t xml:space="preserve">The Issuer hereby grants the ER Collateral Agent its own separate claim (the </w:t>
      </w:r>
      <w:r w:rsidR="00EF7333" w:rsidRPr="00D427D8">
        <w:t>"</w:t>
      </w:r>
      <w:r w:rsidRPr="00D427D8">
        <w:rPr>
          <w:b/>
          <w:bCs/>
        </w:rPr>
        <w:t>ER</w:t>
      </w:r>
      <w:r w:rsidRPr="00D427D8">
        <w:t xml:space="preserve"> </w:t>
      </w:r>
      <w:r w:rsidRPr="00D427D8">
        <w:rPr>
          <w:b/>
          <w:bCs/>
        </w:rPr>
        <w:t>Trustee Claim</w:t>
      </w:r>
      <w:r w:rsidR="00EF7333" w:rsidRPr="00D427D8">
        <w:t>"</w:t>
      </w:r>
      <w:r w:rsidRPr="00D427D8">
        <w:t xml:space="preserve">), </w:t>
      </w:r>
      <w:r w:rsidRPr="00D427D8">
        <w:rPr>
          <w:lang w:val="en-US"/>
        </w:rPr>
        <w:t xml:space="preserve">entitling the </w:t>
      </w:r>
      <w:r w:rsidRPr="00D427D8">
        <w:t xml:space="preserve">ER </w:t>
      </w:r>
      <w:r w:rsidRPr="00D427D8">
        <w:rPr>
          <w:lang w:val="en-US"/>
        </w:rPr>
        <w:t>Collateral Agent to demand from the Issuer by way of an abstract acknowledgement of debt (</w:t>
      </w:r>
      <w:r w:rsidRPr="00D427D8">
        <w:rPr>
          <w:i/>
          <w:iCs/>
          <w:lang w:val="en-US"/>
        </w:rPr>
        <w:t>abstraktes Schuldanerkenntnis</w:t>
      </w:r>
      <w:r w:rsidRPr="00D427D8">
        <w:rPr>
          <w:lang w:val="en-US"/>
        </w:rPr>
        <w:t>):</w:t>
      </w:r>
    </w:p>
    <w:p w14:paraId="27F80DB8" w14:textId="3F5606AD" w:rsidR="009F6E91" w:rsidRPr="00D427D8" w:rsidRDefault="009F6E91" w:rsidP="007F5198">
      <w:pPr>
        <w:pStyle w:val="SchNumber4"/>
      </w:pPr>
      <w:r w:rsidRPr="00D427D8">
        <w:t>that the ER Secured Liabilities be fulfilled; and</w:t>
      </w:r>
    </w:p>
    <w:p w14:paraId="7233089C" w14:textId="013BB042" w:rsidR="009F6E91" w:rsidRPr="00D427D8" w:rsidRDefault="009F6E91" w:rsidP="007F5198">
      <w:pPr>
        <w:pStyle w:val="SchNumber4"/>
      </w:pPr>
      <w:bookmarkStart w:id="271" w:name="_Ref192867243"/>
      <w:r w:rsidRPr="00D427D8">
        <w:t>if the Issuer is in default on any ER Secured Liabilities, that any payment owed by the Issuer under the respective ER Secured Liabilities be made to, and held in, a trust bank account (</w:t>
      </w:r>
      <w:r w:rsidRPr="00D427D8">
        <w:rPr>
          <w:i/>
          <w:iCs/>
        </w:rPr>
        <w:t>Treuhandbankkonto</w:t>
      </w:r>
      <w:r w:rsidRPr="00D427D8">
        <w:t>) of the ER Collateral Agent for payment to the Secured Parties and discharge of the Issuer</w:t>
      </w:r>
      <w:r w:rsidR="00EF7333" w:rsidRPr="00D427D8">
        <w:t>'</w:t>
      </w:r>
      <w:r w:rsidRPr="00D427D8">
        <w:t>s obligation accordingly. For avoidance of doubt, such funds in the trust bank account are not held for the purposes of generating income and if such funds are held with an affiliate bank or financial institution of the ER Collateral Agent, it is obligated to account only for an interest amount equivalent to the standard interest rate it offers to an unaffiliated depositor.</w:t>
      </w:r>
      <w:bookmarkEnd w:id="271"/>
    </w:p>
    <w:p w14:paraId="2ADE2E6D" w14:textId="4BE40F23" w:rsidR="009F6E91" w:rsidRPr="00D427D8" w:rsidRDefault="009F6E91" w:rsidP="007F5198">
      <w:pPr>
        <w:pStyle w:val="SchNumber3"/>
      </w:pPr>
      <w:r w:rsidRPr="00D427D8">
        <w:t xml:space="preserve">The ER </w:t>
      </w:r>
      <w:r w:rsidRPr="00D427D8">
        <w:rPr>
          <w:szCs w:val="19"/>
          <w:lang w:val="en-US"/>
        </w:rPr>
        <w:t>Trustee</w:t>
      </w:r>
      <w:r w:rsidRPr="00D427D8">
        <w:t xml:space="preserve"> Claim in whole or in part may be enforced separately from the relevant Secured Party</w:t>
      </w:r>
      <w:r w:rsidR="00EF7333" w:rsidRPr="00D427D8">
        <w:t>'</w:t>
      </w:r>
      <w:r w:rsidRPr="00D427D8">
        <w:t>s claim related thereto, provided that the Issuer shall be obligated to effect performance only once.</w:t>
      </w:r>
    </w:p>
    <w:p w14:paraId="28A7D8DA" w14:textId="65E31E05" w:rsidR="009F6E91" w:rsidRPr="00D427D8" w:rsidRDefault="009F6E91" w:rsidP="007F5198">
      <w:pPr>
        <w:pStyle w:val="SchNumber3"/>
      </w:pPr>
      <w:r w:rsidRPr="00D427D8">
        <w:t>The obligation of the Issuer to make payments to the respective Secured Party shall remain unaffected.</w:t>
      </w:r>
    </w:p>
    <w:p w14:paraId="4A36E116" w14:textId="550390F7" w:rsidR="009F6E91" w:rsidRPr="00D427D8" w:rsidRDefault="009F6E91" w:rsidP="007F5198">
      <w:pPr>
        <w:pStyle w:val="SchNumber3"/>
      </w:pPr>
      <w:r w:rsidRPr="00D427D8">
        <w:t>In the case of a payment pursuant to clause 3.2(b)(ii), the Issuer shall have a claim against the ER Collateral Agent for on-payment to the respective Secured Parties subject to the provisions of this Agreement.</w:t>
      </w:r>
    </w:p>
    <w:p w14:paraId="3665E42E" w14:textId="580AD8B0" w:rsidR="009F6E91" w:rsidRPr="00D427D8" w:rsidRDefault="009F6E91" w:rsidP="007F5198">
      <w:pPr>
        <w:pStyle w:val="SchHeading1"/>
      </w:pPr>
      <w:r w:rsidRPr="00D427D8">
        <w:lastRenderedPageBreak/>
        <w:t>ER Security</w:t>
      </w:r>
    </w:p>
    <w:p w14:paraId="7DEF94B8" w14:textId="48DAFFDF" w:rsidR="009F6E91" w:rsidRPr="00D427D8" w:rsidRDefault="009F6E91" w:rsidP="007F5198">
      <w:pPr>
        <w:pStyle w:val="SchNumber2"/>
      </w:pPr>
      <w:r w:rsidRPr="00D427D8">
        <w:t>The Issuer hereby assigns and transfers to the ER Collateral Agent (as fiduciary (</w:t>
      </w:r>
      <w:r w:rsidRPr="00D427D8">
        <w:rPr>
          <w:i/>
          <w:iCs/>
        </w:rPr>
        <w:t>Treuhänder</w:t>
      </w:r>
      <w:r w:rsidRPr="00D427D8">
        <w:t>) as set out in clause 3) all rights and interests in all Purchased Expectancy Rights and Leased Vehicle Put Options acquired by the Purchaser pursuant to the ER Purchase Agreement</w:t>
      </w:r>
      <w:r w:rsidRPr="00D427D8">
        <w:rPr>
          <w:szCs w:val="19"/>
        </w:rPr>
        <w:t>,</w:t>
      </w:r>
      <w:r w:rsidRPr="00D427D8">
        <w:t xml:space="preserve"> and the ER Collateral Agent hereby accepts such assignment and transfer.</w:t>
      </w:r>
    </w:p>
    <w:p w14:paraId="6B295924" w14:textId="1496DE30" w:rsidR="009F6E91" w:rsidRPr="00D427D8" w:rsidRDefault="009F6E91" w:rsidP="007F5198">
      <w:pPr>
        <w:pStyle w:val="SchNumber2"/>
      </w:pPr>
      <w:r w:rsidRPr="00D427D8">
        <w:t>The ER Collateral Agent hereby accepts the assignments and transfers and, in particular, to release the Purchased Expectancy Rights and Leased Vehicle Put Options pursuant to the provisions of the ER Purchase Agreement, the Servicing Agreement and the other Transaction Documents upon instruction of the Secured Parties.</w:t>
      </w:r>
    </w:p>
    <w:p w14:paraId="2C4DB57D" w14:textId="7AD6988C" w:rsidR="009F6E91" w:rsidRPr="00D427D8" w:rsidRDefault="009F6E91" w:rsidP="007F5198">
      <w:pPr>
        <w:pStyle w:val="SchNumber2"/>
      </w:pPr>
      <w:r w:rsidRPr="00D427D8">
        <w:t>To the extent that a transfer of title under clause 4.1</w:t>
      </w:r>
      <w:r w:rsidRPr="00D427D8">
        <w:rPr>
          <w:szCs w:val="19"/>
        </w:rPr>
        <w:t xml:space="preserve"> </w:t>
      </w:r>
      <w:r w:rsidRPr="00D427D8">
        <w:t>cannot be accomplished by mere agreement between the Issuer and the ER Collateral Agent but requires further acts, the Issuer and the ER Collateral Agent agree that:</w:t>
      </w:r>
    </w:p>
    <w:p w14:paraId="3C38362E" w14:textId="04DD23D5" w:rsidR="009F6E91" w:rsidRPr="00D427D8" w:rsidRDefault="009F6E91" w:rsidP="007F5198">
      <w:pPr>
        <w:pStyle w:val="SchNumber3"/>
      </w:pPr>
      <w:r w:rsidRPr="00D427D8">
        <w:t>any transfer of possession necessary to transfer title to the Purchased Expectancy Rights (in particular in relation to any form of security title in relation to chattels (</w:t>
      </w:r>
      <w:r w:rsidRPr="00D427D8">
        <w:rPr>
          <w:i/>
          <w:iCs/>
        </w:rPr>
        <w:t>bewegliche Sachen</w:t>
      </w:r>
      <w:r w:rsidRPr="00D427D8">
        <w:t>) acquired by the Issuer on the Closing Date) shall be replaced:</w:t>
      </w:r>
    </w:p>
    <w:p w14:paraId="53835E46" w14:textId="496FB557" w:rsidR="009F6E91" w:rsidRPr="00D427D8" w:rsidRDefault="009F6E91" w:rsidP="007F5198">
      <w:pPr>
        <w:pStyle w:val="SchNumber4"/>
      </w:pPr>
      <w:r w:rsidRPr="00D427D8">
        <w:t>by assigning hereby all of the Issuer</w:t>
      </w:r>
      <w:r w:rsidR="00EF7333" w:rsidRPr="00D427D8">
        <w:t>'</w:t>
      </w:r>
      <w:r w:rsidRPr="00D427D8">
        <w:t>s claims, present or future, actual or contingent to request transfer of possession (</w:t>
      </w:r>
      <w:r w:rsidRPr="00D427D8">
        <w:rPr>
          <w:i/>
          <w:iCs/>
        </w:rPr>
        <w:t>Abtretung der Herausgabeansprüche</w:t>
      </w:r>
      <w:r w:rsidRPr="00D427D8">
        <w:t>) against any third party (including any Lessee) which is in the direct possession (</w:t>
      </w:r>
      <w:r w:rsidRPr="00D427D8">
        <w:rPr>
          <w:i/>
          <w:iCs/>
        </w:rPr>
        <w:t>unmittelbarer Besitz</w:t>
      </w:r>
      <w:r w:rsidRPr="00D427D8">
        <w:t>) or indirect possession (</w:t>
      </w:r>
      <w:r w:rsidRPr="00D427D8">
        <w:rPr>
          <w:i/>
          <w:iCs/>
        </w:rPr>
        <w:t>mittelbarer Besitz</w:t>
      </w:r>
      <w:r w:rsidRPr="00D427D8">
        <w:t>) of such assets which assignment the ER Collateral Agent hereby accepts; and/or</w:t>
      </w:r>
    </w:p>
    <w:p w14:paraId="71C47BEB" w14:textId="60FAD9F5" w:rsidR="009F6E91" w:rsidRPr="00D427D8" w:rsidRDefault="009F6E91" w:rsidP="007F5198">
      <w:pPr>
        <w:pStyle w:val="SchNumber4"/>
      </w:pPr>
      <w:r w:rsidRPr="00D427D8">
        <w:t>in the event that the Issuer has direct possession (unmittelbarer Besitz) of the relevant assets, by the Issuer holding such assets on behalf of the ER Collateral Agent and granting the ER Collateral Agent indirect possession (</w:t>
      </w:r>
      <w:r w:rsidRPr="00D427D8">
        <w:rPr>
          <w:i/>
          <w:iCs/>
        </w:rPr>
        <w:t>mittelbarer Besitz</w:t>
      </w:r>
      <w:r w:rsidRPr="00D427D8">
        <w:t>) of such assets by keeping it with due care free of charge (</w:t>
      </w:r>
      <w:r w:rsidRPr="00D427D8">
        <w:rPr>
          <w:i/>
          <w:iCs/>
        </w:rPr>
        <w:t>als unentgeltlicher Verwahrer</w:t>
      </w:r>
      <w:r w:rsidRPr="00D427D8">
        <w:t>) for the ER Collateral Agent until revoked, which the ER Collateral Agent hereby accepts; and</w:t>
      </w:r>
    </w:p>
    <w:p w14:paraId="19D2D412" w14:textId="77767C1E" w:rsidR="009F6E91" w:rsidRPr="00D427D8" w:rsidRDefault="009F6E91" w:rsidP="007F5198">
      <w:pPr>
        <w:pStyle w:val="SchNumber3"/>
      </w:pPr>
      <w:r w:rsidRPr="00D427D8">
        <w:t>any other action to be performed or done or registration to be perfected shall in connection with the transfer of title to any Purchased Expectancy Rights be promptly performed, done and/or perfected by the Issuer, as applicable, at its own costs, save where failure to do so shall not be materially prejudicial to the interests of the Secured Parties; and the Issuer agrees that if it fails to perform such other action or fails to perfect such registration, the ER Collateral Agent is hereby authorised to perform such action, or perform such registration on behalf of the Issuer and at the Issuer</w:t>
      </w:r>
      <w:r w:rsidR="00EF7333" w:rsidRPr="00D427D8">
        <w:t>'</w:t>
      </w:r>
      <w:r w:rsidRPr="00D427D8">
        <w:t>s costs, whereby, in each case, the ER Collateral Agent shall be exempted from the restrictions of section 181 of the German Civil Code.</w:t>
      </w:r>
    </w:p>
    <w:p w14:paraId="481E6704" w14:textId="15A72D25" w:rsidR="009F6E91" w:rsidRPr="00D427D8" w:rsidRDefault="009F6E91" w:rsidP="007F5198">
      <w:pPr>
        <w:pStyle w:val="SchNumber2"/>
      </w:pPr>
      <w:r w:rsidRPr="00D427D8">
        <w:t>If an express or implied German-law-governed current account relationship exists or is later established between the Issuer and a third party, the Issuer hereby assigns to the ER Collateral Agent, without prejudice to the generality of the provisions in 4.1, the right to receive a periodic account statement, the right to payment of present or future balances and the right to demand the drawing of a balance (including a final net balance determined upon the institution of any insolvency proceedings regarding the estate of the Issuer), as well as the right to terminate the current account relationship and to the determination and payment of the closing net balance upon termination. The Issuer shall notify the ER Collateral Agent of any future current account relationship it enters into in accordance with the Transaction Documents without undue delay.</w:t>
      </w:r>
    </w:p>
    <w:p w14:paraId="5162F24C" w14:textId="51F90047" w:rsidR="009F6E91" w:rsidRPr="00D427D8" w:rsidRDefault="009F6E91" w:rsidP="007F5198">
      <w:pPr>
        <w:pStyle w:val="SchNumber2"/>
      </w:pPr>
      <w:r w:rsidRPr="00D427D8">
        <w:t>Nothing in this clause 4 shall limit the obligations to release Security pursuant to clause 7 (</w:t>
      </w:r>
      <w:r w:rsidRPr="00D427D8">
        <w:rPr>
          <w:i/>
          <w:iCs/>
        </w:rPr>
        <w:t>Release of ER Security</w:t>
      </w:r>
      <w:r w:rsidRPr="00D427D8">
        <w:t>) and to retransfer any Purchased Expectancy Rights and ER Collateral</w:t>
      </w:r>
      <w:r w:rsidRPr="00D427D8">
        <w:rPr>
          <w:szCs w:val="19"/>
        </w:rPr>
        <w:t xml:space="preserve"> </w:t>
      </w:r>
      <w:r w:rsidRPr="00D427D8">
        <w:t>pursuant to clause 8 (</w:t>
      </w:r>
      <w:r w:rsidRPr="00D427D8">
        <w:rPr>
          <w:i/>
          <w:iCs/>
        </w:rPr>
        <w:t>ER</w:t>
      </w:r>
      <w:r w:rsidRPr="00D427D8">
        <w:t xml:space="preserve"> </w:t>
      </w:r>
      <w:r w:rsidRPr="00D427D8">
        <w:rPr>
          <w:i/>
          <w:iCs/>
        </w:rPr>
        <w:t>Collateral Agent</w:t>
      </w:r>
      <w:r w:rsidR="00EF7333" w:rsidRPr="00D427D8">
        <w:rPr>
          <w:i/>
          <w:iCs/>
        </w:rPr>
        <w:t>'</w:t>
      </w:r>
      <w:r w:rsidRPr="00D427D8">
        <w:rPr>
          <w:i/>
          <w:iCs/>
        </w:rPr>
        <w:t>s Assignment of certain Expectancy Rights</w:t>
      </w:r>
      <w:r w:rsidRPr="00D427D8">
        <w:t xml:space="preserve">) </w:t>
      </w:r>
      <w:r w:rsidRPr="00D427D8">
        <w:rPr>
          <w:szCs w:val="19"/>
        </w:rPr>
        <w:t>t</w:t>
      </w:r>
      <w:r w:rsidRPr="00D427D8">
        <w:t>.</w:t>
      </w:r>
    </w:p>
    <w:p w14:paraId="5BF63263" w14:textId="2803C713" w:rsidR="009F6E91" w:rsidRPr="00D427D8" w:rsidRDefault="009F6E91" w:rsidP="007F5198">
      <w:pPr>
        <w:pStyle w:val="SchNumber2"/>
      </w:pPr>
      <w:r w:rsidRPr="00D427D8">
        <w:t>The assignment and/or transfer of the security pursuant to this clause 4 will become effective at 12:30 am (Frankfurt time) on the Closing Date or the relevant Further Purchase Date, as applicable.</w:t>
      </w:r>
    </w:p>
    <w:p w14:paraId="0EF7E592" w14:textId="3327CC14" w:rsidR="009F6E91" w:rsidRPr="00D427D8" w:rsidRDefault="009F6E91" w:rsidP="007F5198">
      <w:pPr>
        <w:pStyle w:val="SchHeading1"/>
      </w:pPr>
      <w:r w:rsidRPr="00D427D8">
        <w:lastRenderedPageBreak/>
        <w:t>Authority to collect, assumption of obligations, further assignments</w:t>
      </w:r>
    </w:p>
    <w:p w14:paraId="572ED134" w14:textId="33F8FAE5" w:rsidR="009F6E91" w:rsidRPr="00D427D8" w:rsidRDefault="009F6E91" w:rsidP="007F5198">
      <w:pPr>
        <w:pStyle w:val="SchNumber2"/>
      </w:pPr>
      <w:bookmarkStart w:id="272" w:name="_Ref192867323"/>
      <w:r w:rsidRPr="00D427D8">
        <w:t>The Issuer shall be authorised to collect, to have collected, to realise and to have realised or otherwise to exercise or use, the ER Security in the ordinary course of business and in accordance with the Transaction Documents (except for the Collateral Agency Agreement). The Issuer is entitled to pass on such authorisation pursuant to the Transaction Documents.</w:t>
      </w:r>
      <w:bookmarkEnd w:id="272"/>
    </w:p>
    <w:p w14:paraId="3A1C9673" w14:textId="71BDF89B" w:rsidR="009F6E91" w:rsidRPr="00D427D8" w:rsidRDefault="009F6E91" w:rsidP="007F5198">
      <w:pPr>
        <w:pStyle w:val="SchNumber2"/>
      </w:pPr>
      <w:r w:rsidRPr="00D427D8">
        <w:t>The authority provided in clause 5.1 shall automatically terminate upon the occurrence of an Issuer Event of Default. The authority may be revoked by the ER Collateral Agent upon instruction by the Secured Parties.</w:t>
      </w:r>
    </w:p>
    <w:p w14:paraId="75C49C74" w14:textId="1FF75536" w:rsidR="009F6E91" w:rsidRPr="00D427D8" w:rsidRDefault="009F6E91" w:rsidP="007F5198">
      <w:pPr>
        <w:pStyle w:val="SchNumber2"/>
      </w:pPr>
      <w:bookmarkStart w:id="273" w:name="_Ref192867130"/>
      <w:r w:rsidRPr="00D427D8">
        <w:t xml:space="preserve">The </w:t>
      </w:r>
      <w:bookmarkStart w:id="274" w:name="_Hlk173867810"/>
      <w:r w:rsidRPr="00D427D8">
        <w:t xml:space="preserve">ER </w:t>
      </w:r>
      <w:bookmarkEnd w:id="274"/>
      <w:r w:rsidRPr="00D427D8">
        <w:t>Collateral Agent is obligated in its relationship to the Issuer and to the Seller to comply with the continuing duties of care of the Issuer arising under the ER Purchase Agreement and the other Transaction Documents to which the Issuer is a party. Such continuing duties shall not extend to any payment obligations of the Issuer, including, in particular, the payment obligations of the Issuer under the ER Purchase Agreement or as compensation for damages to any party.</w:t>
      </w:r>
      <w:bookmarkEnd w:id="273"/>
    </w:p>
    <w:p w14:paraId="12B316D0" w14:textId="6E8CB8AE" w:rsidR="009F6E91" w:rsidRPr="00D427D8" w:rsidRDefault="009F6E91" w:rsidP="007F5198">
      <w:pPr>
        <w:pStyle w:val="SchNumber2"/>
      </w:pPr>
      <w:bookmarkStart w:id="275" w:name="_Ref192867033"/>
      <w:r w:rsidRPr="00D427D8">
        <w:t>The ER Collateral Agent is authorised to assign or otherwise transfer the ER Security:</w:t>
      </w:r>
      <w:bookmarkEnd w:id="275"/>
    </w:p>
    <w:p w14:paraId="7B7EE906" w14:textId="4C4E58B8" w:rsidR="009F6E91" w:rsidRPr="00D427D8" w:rsidRDefault="009F6E91" w:rsidP="007F5198">
      <w:pPr>
        <w:pStyle w:val="SchNumber3"/>
      </w:pPr>
      <w:bookmarkStart w:id="276" w:name="_Ref192867093"/>
      <w:r w:rsidRPr="00D427D8">
        <w:t>in the event the ER Collateral Agent is replaced and the ER Trustee Claim and all the ER Security is to be assigned and/or transferred to a New ER Collateral Agent in accordance with clause 19 (</w:t>
      </w:r>
      <w:r w:rsidRPr="00D427D8">
        <w:rPr>
          <w:i/>
          <w:iCs/>
        </w:rPr>
        <w:t>Replacement of the ER Collateral Agent</w:t>
      </w:r>
      <w:r w:rsidRPr="00D427D8">
        <w:t>); or</w:t>
      </w:r>
      <w:bookmarkEnd w:id="276"/>
    </w:p>
    <w:p w14:paraId="4EBE859D" w14:textId="74AE7517" w:rsidR="009F6E91" w:rsidRPr="00D427D8" w:rsidRDefault="009F6E91" w:rsidP="007F5198">
      <w:pPr>
        <w:pStyle w:val="SchNumber3"/>
      </w:pPr>
      <w:r w:rsidRPr="00D427D8">
        <w:t>upon occurrence of an Issuer Event of Default pursuant to clause 12 (</w:t>
      </w:r>
      <w:r w:rsidRPr="00D427D8">
        <w:rPr>
          <w:i/>
          <w:iCs/>
        </w:rPr>
        <w:t>Foreclosure on the ER Security; Issuer Event of Default; Servicer Default</w:t>
      </w:r>
      <w:r w:rsidRPr="00D427D8">
        <w:t>) in accordance with the terms thereof; or</w:t>
      </w:r>
    </w:p>
    <w:p w14:paraId="7E18AA61" w14:textId="63CEE2EC" w:rsidR="009F6E91" w:rsidRPr="00D427D8" w:rsidRDefault="009F6E91" w:rsidP="007F5198">
      <w:pPr>
        <w:pStyle w:val="SchNumber3"/>
      </w:pPr>
      <w:r w:rsidRPr="00D427D8">
        <w:t>if an Issuer Event of Default threatens to occur because taxes are levied by the Federal Republic of Germany on payments in respect of the ER Security, or if such levy is to be introduced, and if the negative consequences thereof can be avoided in whole or in part through the transfer; or</w:t>
      </w:r>
    </w:p>
    <w:p w14:paraId="134D3CFC" w14:textId="12E46369" w:rsidR="009F6E91" w:rsidRPr="00D427D8" w:rsidRDefault="009F6E91" w:rsidP="007F5198">
      <w:pPr>
        <w:pStyle w:val="SchNumber3"/>
      </w:pPr>
      <w:bookmarkStart w:id="277" w:name="_Ref192867147"/>
      <w:r w:rsidRPr="00D427D8">
        <w:t>if, as long as the Seller is the Servicer, the Seller has given its consent to such assignment and transfer or if it unreasonably withholds its consent; such a withholding of consent shall as a rule be considered unreasonable if (A) such assignment and transfer does not affect the interests of the Seller and the Issuer or (B) the interests of the Secured Parties would be substantially disadvantaged without such assignment and transfer.</w:t>
      </w:r>
      <w:bookmarkEnd w:id="277"/>
    </w:p>
    <w:p w14:paraId="152938D6" w14:textId="2795D0AA" w:rsidR="009F6E91" w:rsidRPr="00D427D8" w:rsidRDefault="009F6E91" w:rsidP="007F5198">
      <w:pPr>
        <w:pStyle w:val="SchNumber2"/>
      </w:pPr>
      <w:r w:rsidRPr="00D427D8">
        <w:t>In the case of an assignment or transfer pursuant to sub-clause 5.4 above, the ER Collateral Agent shall be obligated to agree with the respective transferee that the transferee:</w:t>
      </w:r>
    </w:p>
    <w:p w14:paraId="69762070" w14:textId="5EC6674B" w:rsidR="009F6E91" w:rsidRPr="00D427D8" w:rsidRDefault="009F6E91" w:rsidP="007F5198">
      <w:pPr>
        <w:pStyle w:val="SchNumber3"/>
      </w:pPr>
      <w:r w:rsidRPr="00D427D8">
        <w:t>in the case of an assignment or transfer pursuant to sub-clause 5.4(a) above, shall assume the obligations of the ER Collateral Agent pursuant to clause 5.3 above with respect to such ER Security; an</w:t>
      </w:r>
    </w:p>
    <w:p w14:paraId="73C75974" w14:textId="7C759244" w:rsidR="009F6E91" w:rsidRPr="00D427D8" w:rsidRDefault="009F6E91" w:rsidP="007F5198">
      <w:pPr>
        <w:pStyle w:val="SchNumber3"/>
      </w:pPr>
      <w:r w:rsidRPr="00D427D8">
        <w:t>in all other cases under sub-clause 5.4(d) above with regard to the assigned or otherwise transferred ER Security, shall assume the rights and continuing obligations of the ER Collateral Agent under the ER Security.</w:t>
      </w:r>
    </w:p>
    <w:p w14:paraId="41BF9F24" w14:textId="18CCE393" w:rsidR="009F6E91" w:rsidRPr="00D427D8" w:rsidRDefault="009F6E91" w:rsidP="007F5198">
      <w:pPr>
        <w:pStyle w:val="SchHeading1"/>
      </w:pPr>
      <w:r w:rsidRPr="00D427D8">
        <w:t>Representations and warranties of the Issuer</w:t>
      </w:r>
    </w:p>
    <w:p w14:paraId="6F490669" w14:textId="3972E180" w:rsidR="009F6E91" w:rsidRPr="00D427D8" w:rsidRDefault="009F6E91" w:rsidP="007F5198">
      <w:pPr>
        <w:pStyle w:val="SchHeading2"/>
      </w:pPr>
      <w:r w:rsidRPr="00D427D8">
        <w:t>Representations</w:t>
      </w:r>
    </w:p>
    <w:p w14:paraId="5F87DE48" w14:textId="40368866" w:rsidR="009F6E91" w:rsidRPr="00D427D8" w:rsidRDefault="007F5198" w:rsidP="007F5198">
      <w:pPr>
        <w:pStyle w:val="Body2"/>
      </w:pPr>
      <w:r w:rsidRPr="00D427D8">
        <w:t>The Issuer hereby represents and warrants to the ER Collateral Agent as of the Closing Date and as of the relevant Further Purchase Date, as applicable, with respect to the ER Security that:</w:t>
      </w:r>
    </w:p>
    <w:p w14:paraId="7A675EF9" w14:textId="23E43D2F" w:rsidR="009F6E91" w:rsidRPr="00D427D8" w:rsidRDefault="009F6E91" w:rsidP="007F5198">
      <w:pPr>
        <w:pStyle w:val="SchNumber3"/>
      </w:pPr>
      <w:r w:rsidRPr="00D427D8">
        <w:t>all steps have been taken to perfect the Issuer</w:t>
      </w:r>
      <w:r w:rsidR="00EF7333" w:rsidRPr="00D427D8">
        <w:t>'</w:t>
      </w:r>
      <w:r w:rsidRPr="00D427D8">
        <w:t>s title to the Purchased Expectancy Rights or ownership to the Leased Vehicle Put Options;</w:t>
      </w:r>
    </w:p>
    <w:p w14:paraId="6AB36918" w14:textId="56F546AE" w:rsidR="009F6E91" w:rsidRPr="00D427D8" w:rsidRDefault="009F6E91" w:rsidP="007F5198">
      <w:pPr>
        <w:pStyle w:val="SchNumber3"/>
      </w:pPr>
      <w:r w:rsidRPr="00D427D8">
        <w:t>the transfer of title as the Issuer may receive from the Seller pursuant to clause 5.1 of the Collateral Agency Agreement is legal, valid and binding and enforceable against it in accordance with their terms, except that the Issuer makes no representation or warranty, and shall not be liable in respect of, the continuing existence of any such title upon the on-assignment and on-transfer to the ER Collateral Agent pursuant to clause 4 above;</w:t>
      </w:r>
    </w:p>
    <w:p w14:paraId="7FD3BA9F" w14:textId="1AA56192" w:rsidR="009F6E91" w:rsidRPr="00D427D8" w:rsidRDefault="009F6E91" w:rsidP="007F5198">
      <w:pPr>
        <w:pStyle w:val="SchNumber3"/>
      </w:pPr>
      <w:r w:rsidRPr="00D427D8">
        <w:lastRenderedPageBreak/>
        <w:t>the Issuer has not already transferred, assigned or pledged the ER Security to any third party, nor has the Issuer established any third-party rights on or in connection with the Security except as contemplated in the Transaction Documents; and</w:t>
      </w:r>
    </w:p>
    <w:p w14:paraId="78AB5E18" w14:textId="559CE824" w:rsidR="009F6E91" w:rsidRPr="00D427D8" w:rsidRDefault="009F6E91" w:rsidP="007F5198">
      <w:pPr>
        <w:pStyle w:val="SchNumber3"/>
      </w:pPr>
      <w:r w:rsidRPr="00D427D8">
        <w:t>the Issuer has not and will not make any active solicitation or marketing steps on the French territory.</w:t>
      </w:r>
    </w:p>
    <w:p w14:paraId="6145B421" w14:textId="0741B9E1" w:rsidR="009F6E91" w:rsidRPr="00D427D8" w:rsidRDefault="009F6E91" w:rsidP="007F5198">
      <w:pPr>
        <w:pStyle w:val="SchHeading2"/>
      </w:pPr>
      <w:r w:rsidRPr="00D427D8">
        <w:t>Remedy</w:t>
      </w:r>
    </w:p>
    <w:p w14:paraId="4A1C481B" w14:textId="7D0237B0" w:rsidR="009F6E91" w:rsidRPr="00D427D8" w:rsidRDefault="007F5198" w:rsidP="007F5198">
      <w:pPr>
        <w:pStyle w:val="Body2"/>
      </w:pPr>
      <w:r w:rsidRPr="00D427D8">
        <w:t>The Issuer shall be liable to pay damages, if any of the ER Security, the value thereof or any of the Issuer's or the ER Collateral Agent's rights therein are impaired as a consequence of any action by the Issuer in breach of its representations and warranties.</w:t>
      </w:r>
    </w:p>
    <w:p w14:paraId="3A06FFC9" w14:textId="07433CBF" w:rsidR="009F6E91" w:rsidRPr="00D427D8" w:rsidRDefault="009F6E91" w:rsidP="007F5198">
      <w:pPr>
        <w:pStyle w:val="SchHeading1"/>
      </w:pPr>
      <w:r w:rsidRPr="00D427D8">
        <w:t>Release of ER Security</w:t>
      </w:r>
    </w:p>
    <w:p w14:paraId="398FA2E7" w14:textId="43C3C458" w:rsidR="009F6E91" w:rsidRPr="00D427D8" w:rsidRDefault="007F5198" w:rsidP="007F5198">
      <w:pPr>
        <w:pStyle w:val="Body2"/>
      </w:pPr>
      <w:r w:rsidRPr="00D427D8">
        <w:t>As soon as the Issuer has fully discharged all Secured Liabilities and the ER Collateral Agent has been informed thereof and instructed by the Secured Parties, the ER Collateral Agent shall promptly retransfer or otherwise release the ER Security granted to it under this Agreement and that it still holds at such time to or to the order of the Issuer.</w:t>
      </w:r>
    </w:p>
    <w:p w14:paraId="56694C70" w14:textId="1F7328F6" w:rsidR="009F6E91" w:rsidRPr="00D427D8" w:rsidRDefault="009F6E91" w:rsidP="007F5198">
      <w:pPr>
        <w:pStyle w:val="SchHeading1"/>
      </w:pPr>
      <w:r w:rsidRPr="00D427D8">
        <w:t>ER Collateral Agent</w:t>
      </w:r>
      <w:r w:rsidR="00EF7333" w:rsidRPr="00D427D8">
        <w:t>'</w:t>
      </w:r>
      <w:r w:rsidRPr="00D427D8">
        <w:t>s assignment of certain Purchased Expectancy Rights</w:t>
      </w:r>
    </w:p>
    <w:p w14:paraId="20A63A55" w14:textId="07512548" w:rsidR="009F6E91" w:rsidRPr="00D427D8" w:rsidRDefault="009F6E91" w:rsidP="007F5198">
      <w:pPr>
        <w:pStyle w:val="SchNumber2"/>
      </w:pPr>
      <w:r w:rsidRPr="00D427D8">
        <w:t>The Issuer shall sell, without recourse, representation or warranty, and transfer or cause the ER Collateral Agent, subject to instruction of the Secured Parties, to transfer to the Seller all of the Issuer</w:t>
      </w:r>
      <w:r w:rsidR="00EF7333" w:rsidRPr="00D427D8">
        <w:t>'</w:t>
      </w:r>
      <w:r w:rsidRPr="00D427D8">
        <w:t>s and the ER Collateral Agent</w:t>
      </w:r>
      <w:r w:rsidR="00EF7333" w:rsidRPr="00D427D8">
        <w:t>'</w:t>
      </w:r>
      <w:r w:rsidRPr="00D427D8">
        <w:t>s right, title and interest in and to any Purchased Expectancy Rights and the Leased Vehicle Put Options that the Seller or the Servicer is obligated to repurchase or in respect of which the Seller has exercised a respective right or option to repurchase under the Transaction Documents.</w:t>
      </w:r>
    </w:p>
    <w:p w14:paraId="241899F6" w14:textId="2EC46B3C" w:rsidR="009F6E91" w:rsidRPr="00D427D8" w:rsidRDefault="009F6E91" w:rsidP="007F5198">
      <w:pPr>
        <w:pStyle w:val="SchNumber2"/>
      </w:pPr>
      <w:r w:rsidRPr="00D427D8">
        <w:t>If in any enforcement suit or legal proceeding it is held that the Servicer may not enforce a Purchased Expectancy Right on the ground that it is not a real party in interest or a holder entitled to enforce the Purchased Expectancy Right, the ER Collateral Agent, upon instruction of the Secured Parties, or the Issuer shall, as the case may be, at the Servicer</w:t>
      </w:r>
      <w:r w:rsidR="00EF7333" w:rsidRPr="00D427D8">
        <w:t>'</w:t>
      </w:r>
      <w:r w:rsidRPr="00D427D8">
        <w:t>s expense, take such steps as the Servicer deems necessary to enforce the Purchased Expectancy Right.</w:t>
      </w:r>
    </w:p>
    <w:p w14:paraId="5ED725FE" w14:textId="372ACDAE" w:rsidR="009F6E91" w:rsidRPr="00D427D8" w:rsidRDefault="009F6E91" w:rsidP="007F5198">
      <w:pPr>
        <w:pStyle w:val="SchHeading1"/>
      </w:pPr>
      <w:bookmarkStart w:id="278" w:name="_Ref192867781"/>
      <w:r w:rsidRPr="00D427D8">
        <w:t>Documents</w:t>
      </w:r>
      <w:bookmarkEnd w:id="278"/>
    </w:p>
    <w:p w14:paraId="7ED960E1" w14:textId="4DA3EE7A" w:rsidR="009F6E91" w:rsidRPr="00D427D8" w:rsidRDefault="007F5198" w:rsidP="007F5198">
      <w:pPr>
        <w:pStyle w:val="Body2"/>
      </w:pPr>
      <w:r w:rsidRPr="00D427D8">
        <w:t>The ER Collateral Agent shall accept the documents which are delivered to it in connection with the reporting of the Seller pursuant to the ER Purchase Agreement, the reporting of the Servicer pursuant to the Servicing Agreement and the reporting of the Calculation Agent pursuant to the  Agency Agreement, and shall:</w:t>
      </w:r>
    </w:p>
    <w:p w14:paraId="74668F3F" w14:textId="1EBB1F47" w:rsidR="009F6E91" w:rsidRPr="00D427D8" w:rsidRDefault="009F6E91" w:rsidP="007F5198">
      <w:pPr>
        <w:pStyle w:val="SchNumber2"/>
      </w:pPr>
      <w:bookmarkStart w:id="279" w:name="_Ref192868055"/>
      <w:r w:rsidRPr="00D427D8">
        <w:t>keep such documents for one year after the termination of this Agreement and deliver the same to the Seller; or</w:t>
      </w:r>
      <w:bookmarkEnd w:id="279"/>
    </w:p>
    <w:p w14:paraId="1D92594D" w14:textId="0BABB446" w:rsidR="009F6E91" w:rsidRPr="00D427D8" w:rsidRDefault="009F6E91" w:rsidP="007F5198">
      <w:pPr>
        <w:pStyle w:val="SchNumber2"/>
      </w:pPr>
      <w:r w:rsidRPr="00D427D8">
        <w:t>forward the documents to the New ER Collateral Agent if the ER Collateral Agent is replaced in accordance with this Agreement.</w:t>
      </w:r>
    </w:p>
    <w:p w14:paraId="1278AABA" w14:textId="00216A66" w:rsidR="009F6E91" w:rsidRPr="00D427D8" w:rsidRDefault="009F6E91" w:rsidP="007F5198">
      <w:pPr>
        <w:pStyle w:val="SchHeading1"/>
      </w:pPr>
      <w:r w:rsidRPr="00D427D8">
        <w:t>Breach of obligations by the Issuer</w:t>
      </w:r>
    </w:p>
    <w:p w14:paraId="3A3A6D8C" w14:textId="552F8DDC" w:rsidR="009F6E91" w:rsidRPr="00D427D8" w:rsidRDefault="009F6E91" w:rsidP="007F5198">
      <w:pPr>
        <w:pStyle w:val="SchNumber2"/>
      </w:pPr>
      <w:r w:rsidRPr="00D427D8">
        <w:t>The Issuer shall deliver a notice to the ER Collateral Agent if the Issuer in the course of its activities becomes aware and the ER Collateral Agent may deliver a notice to the Issuer if the ER Collateral Agent has actual knowledge that:</w:t>
      </w:r>
    </w:p>
    <w:p w14:paraId="6E8974BD" w14:textId="7F829F91" w:rsidR="009F6E91" w:rsidRPr="00D427D8" w:rsidRDefault="009F6E91" w:rsidP="007F5198">
      <w:pPr>
        <w:pStyle w:val="SchNumber3"/>
      </w:pPr>
      <w:r w:rsidRPr="00D427D8">
        <w:t>any of the ER Security;</w:t>
      </w:r>
    </w:p>
    <w:p w14:paraId="2A50718B" w14:textId="51306C7E" w:rsidR="009F6E91" w:rsidRPr="00D427D8" w:rsidRDefault="009F6E91" w:rsidP="007F5198">
      <w:pPr>
        <w:pStyle w:val="SchNumber3"/>
      </w:pPr>
      <w:r w:rsidRPr="00D427D8">
        <w:t>the value thereof; or</w:t>
      </w:r>
    </w:p>
    <w:p w14:paraId="6B20B723" w14:textId="49BF107D" w:rsidR="009F6E91" w:rsidRPr="00D427D8" w:rsidRDefault="009F6E91" w:rsidP="007F5198">
      <w:pPr>
        <w:pStyle w:val="SchNumber3"/>
      </w:pPr>
      <w:r w:rsidRPr="00D427D8">
        <w:t>the rights of the Issuer and the ER Collateral Agent therein;</w:t>
      </w:r>
    </w:p>
    <w:p w14:paraId="611EAB28" w14:textId="02B5B4C5" w:rsidR="009F6E91" w:rsidRPr="00D427D8" w:rsidRDefault="007F5198" w:rsidP="007F5198">
      <w:pPr>
        <w:pStyle w:val="Body2"/>
      </w:pPr>
      <w:r w:rsidRPr="00D427D8">
        <w:t xml:space="preserve">is at risk in any respect material to any Secured Party due to any failure of the Issuer to comply with its obligations under this Agreement. In no event shall the ER Collateral Agent be bound to enquire (x) whether or not any default or any other event specified in any Transaction Document; (y) as to </w:t>
      </w:r>
      <w:r w:rsidRPr="00D427D8">
        <w:lastRenderedPageBreak/>
        <w:t>the performance, default or any breach by any Party of its obligations under any Transaction Document; or (z) the value of any ER Security.</w:t>
      </w:r>
    </w:p>
    <w:p w14:paraId="7098F7AB" w14:textId="1C62261D" w:rsidR="009F6E91" w:rsidRPr="00D427D8" w:rsidRDefault="009F6E91" w:rsidP="007F5198">
      <w:pPr>
        <w:pStyle w:val="SchNumber2"/>
      </w:pPr>
      <w:r w:rsidRPr="00D427D8">
        <w:t>Such notice shall describe such failure in reasonable detail (with a copy to the Seller and the Servicer).</w:t>
      </w:r>
    </w:p>
    <w:p w14:paraId="376248AB" w14:textId="7C5CDD4E" w:rsidR="009F6E91" w:rsidRPr="00D427D8" w:rsidRDefault="009F6E91" w:rsidP="007F5198">
      <w:pPr>
        <w:pStyle w:val="SchNumber2"/>
      </w:pPr>
      <w:r w:rsidRPr="00D427D8">
        <w:t>The ER Collateral Agent shall upon instruction of the Secured Parties take or induce all actions which in the opinion of the ER Collateral Agent are warranted to avoid such threat if the Issuer does not remedy such failure within 90 days after the delivery of such notice.</w:t>
      </w:r>
    </w:p>
    <w:p w14:paraId="508A912D" w14:textId="11A2F113" w:rsidR="009F6E91" w:rsidRPr="00D427D8" w:rsidRDefault="009F6E91" w:rsidP="007F5198">
      <w:pPr>
        <w:pStyle w:val="SchNumber2"/>
      </w:pPr>
      <w:r w:rsidRPr="00D427D8">
        <w:t>To the extent that the Issuer does not comply with its obligations pursuant to clause 20 (</w:t>
      </w:r>
      <w:r w:rsidRPr="00D427D8">
        <w:rPr>
          <w:i/>
          <w:iCs/>
        </w:rPr>
        <w:t>Undertakings in respect of the ER Security</w:t>
      </w:r>
      <w:r w:rsidRPr="00D427D8">
        <w:t>) and does not remedy such failure within the ninety day period after the notice set forth above, the ER Collateral Agent is in particular authorised and obligated to exercise all rights arising under the Transaction Documents on behalf of the Issuer and upon instruction by the Secured Parties.</w:t>
      </w:r>
    </w:p>
    <w:p w14:paraId="6EF04901" w14:textId="1CFB8AE5" w:rsidR="009F6E91" w:rsidRPr="00D427D8" w:rsidRDefault="009F6E91" w:rsidP="007F5198">
      <w:pPr>
        <w:pStyle w:val="SchHeading1"/>
      </w:pPr>
      <w:r w:rsidRPr="00D427D8">
        <w:t>Power of attorney</w:t>
      </w:r>
    </w:p>
    <w:p w14:paraId="132DAD84" w14:textId="33072392" w:rsidR="009F6E91" w:rsidRPr="00D427D8" w:rsidRDefault="009F6E91" w:rsidP="007F5198">
      <w:pPr>
        <w:pStyle w:val="SchNumber2"/>
      </w:pPr>
      <w:r w:rsidRPr="00D427D8">
        <w:t>The Issuer hereby grants by way of security (</w:t>
      </w:r>
      <w:r w:rsidRPr="00D427D8">
        <w:rPr>
          <w:i/>
          <w:iCs/>
        </w:rPr>
        <w:t>sicherungshalber</w:t>
      </w:r>
      <w:r w:rsidRPr="00D427D8">
        <w:t xml:space="preserve">) a power of attorney to the ER Collateral Agent, waiving the restrictions set forth in section 181 of the German Civil Code, and with the right to grant a substitute power of attorney, to act in the name of the Issuer with respect to all rights and duties of the Issuer arising under the Transaction Documents (except for the rights </w:t>
      </w:r>
      <w:r w:rsidRPr="00D427D8">
        <w:rPr>
          <w:i/>
          <w:iCs/>
        </w:rPr>
        <w:t>vis-à-vis</w:t>
      </w:r>
      <w:r w:rsidRPr="00D427D8">
        <w:t xml:space="preserve"> the ER Collateral Agent).</w:t>
      </w:r>
    </w:p>
    <w:p w14:paraId="5A66680F" w14:textId="33EC5E53" w:rsidR="009F6E91" w:rsidRPr="00D427D8" w:rsidRDefault="009F6E91" w:rsidP="007F5198">
      <w:pPr>
        <w:pStyle w:val="SchNumber2"/>
      </w:pPr>
      <w:r w:rsidRPr="00D427D8">
        <w:t>Such power of attorney is irrevocable.</w:t>
      </w:r>
    </w:p>
    <w:p w14:paraId="25B2EFC0" w14:textId="0DEB582B" w:rsidR="009F6E91" w:rsidRPr="00D427D8" w:rsidRDefault="009F6E91" w:rsidP="007F5198">
      <w:pPr>
        <w:pStyle w:val="SchNumber2"/>
      </w:pPr>
      <w:r w:rsidRPr="00D427D8">
        <w:t>Such power of attorney shall expire as soon as a new ER Collateral Agent has been appointed pursuant to this Agreement and the Issuer has issued a power of attorney to such New ER Collateral Agent having the same contents as the above power of attorney.</w:t>
      </w:r>
    </w:p>
    <w:p w14:paraId="5CA46C98" w14:textId="18A21E13" w:rsidR="009F6E91" w:rsidRPr="00D427D8" w:rsidRDefault="009F6E91" w:rsidP="007F5198">
      <w:pPr>
        <w:pStyle w:val="SchNumber2"/>
      </w:pPr>
      <w:r w:rsidRPr="00D427D8">
        <w:t>The ER Collateral Agent shall only act under this power of attorney in the context of its rights and obligations pursuant to this Agreement and in accordance with the Transaction Documents.</w:t>
      </w:r>
    </w:p>
    <w:p w14:paraId="2AE6E6E0" w14:textId="790C43BD" w:rsidR="009F6E91" w:rsidRPr="00D427D8" w:rsidRDefault="009F6E91" w:rsidP="007F5198">
      <w:pPr>
        <w:pStyle w:val="SchHeading1"/>
      </w:pPr>
      <w:r w:rsidRPr="00D427D8">
        <w:t>Foreclosure of the ER Security, Issuer Event of Default</w:t>
      </w:r>
    </w:p>
    <w:p w14:paraId="7733E92D" w14:textId="1E687813" w:rsidR="009F6E91" w:rsidRPr="00D427D8" w:rsidRDefault="009F6E91" w:rsidP="007F5198">
      <w:pPr>
        <w:pStyle w:val="SchHeading2"/>
      </w:pPr>
      <w:r w:rsidRPr="00D427D8">
        <w:t>Issuer Event of Default</w:t>
      </w:r>
    </w:p>
    <w:p w14:paraId="1D856055" w14:textId="677BBB63" w:rsidR="009F6E91" w:rsidRPr="00D427D8" w:rsidRDefault="007F5198" w:rsidP="007F5198">
      <w:pPr>
        <w:pStyle w:val="Body2"/>
      </w:pPr>
      <w:r w:rsidRPr="00D427D8">
        <w:t>Upon the occurrence of an Issuer Event of Default:</w:t>
      </w:r>
    </w:p>
    <w:p w14:paraId="20CD4F75" w14:textId="41E868C5" w:rsidR="009F6E91" w:rsidRPr="00D427D8" w:rsidRDefault="009F6E91" w:rsidP="007F5198">
      <w:pPr>
        <w:pStyle w:val="SchNumber3"/>
      </w:pPr>
      <w:r w:rsidRPr="00D427D8">
        <w:t>the ER Collateral Agent shall:</w:t>
      </w:r>
    </w:p>
    <w:p w14:paraId="7F6E0647" w14:textId="1288713C" w:rsidR="009F6E91" w:rsidRPr="00D427D8" w:rsidRDefault="009F6E91" w:rsidP="007F5198">
      <w:pPr>
        <w:pStyle w:val="SchNumber4"/>
      </w:pPr>
      <w:r w:rsidRPr="00D427D8">
        <w:t>upon receipt of written notice from the Secured Parties directing the ER Collateral Agent, enforce the ER Security in a manner set out in such written instruction;</w:t>
      </w:r>
    </w:p>
    <w:p w14:paraId="3AF3DCA3" w14:textId="176CCD7C" w:rsidR="009F6E91" w:rsidRPr="00D427D8" w:rsidRDefault="009F6E91" w:rsidP="007F5198">
      <w:pPr>
        <w:pStyle w:val="SchNumber4"/>
      </w:pPr>
      <w:r w:rsidRPr="00D427D8">
        <w:t>furnish the Servicer  with a power of attorney in order to enable him to continue its services (materially in the form as attached to the Servicing Agreement).</w:t>
      </w:r>
    </w:p>
    <w:p w14:paraId="38642305" w14:textId="0C0833D9" w:rsidR="009F6E91" w:rsidRPr="00D427D8" w:rsidRDefault="009F6E91" w:rsidP="007F5198">
      <w:pPr>
        <w:pStyle w:val="SchNumber3"/>
      </w:pPr>
      <w:r w:rsidRPr="00D427D8">
        <w:t>the ER Security may be claimed exclusively by the ER Collateral Agent and payments on such ER Security will have effect only if made to the ER Collateral Agent in accordance with applicable law.</w:t>
      </w:r>
    </w:p>
    <w:p w14:paraId="74A04D6E" w14:textId="31B9BCFC" w:rsidR="009F6E91" w:rsidRPr="00D427D8" w:rsidRDefault="009F6E91" w:rsidP="007F5198">
      <w:pPr>
        <w:pStyle w:val="SchNumber3"/>
      </w:pPr>
      <w:r w:rsidRPr="00D427D8">
        <w:t>The ER Collateral Agent shall only be obliged to intervene in accordance with this clause 12.1 (c) if, and to the extent that, it is satisfied that it will be fully indemnified and/or secured or pre-funded (either by reimbursement of costs, its ranking under the applicable Priority of Payments or in any other way it deems appropriate) against all costs and expenses resulting from its activities (including fees for retaining counsel, banks, auditors or other experts as well as the expenses of retaining third parties to perform certain duties) and against all liabilities (except for liabilities which arise from its own gross negligence (</w:t>
      </w:r>
      <w:r w:rsidRPr="00D427D8">
        <w:rPr>
          <w:i/>
          <w:iCs/>
        </w:rPr>
        <w:t>grobe</w:t>
      </w:r>
      <w:r w:rsidRPr="00D427D8">
        <w:t xml:space="preserve"> </w:t>
      </w:r>
      <w:r w:rsidRPr="00D427D8">
        <w:rPr>
          <w:i/>
          <w:iCs/>
        </w:rPr>
        <w:t>Fahrlässigkeit</w:t>
      </w:r>
      <w:r w:rsidRPr="00D427D8">
        <w:t>) or wilful misconduct (</w:t>
      </w:r>
      <w:r w:rsidRPr="00D427D8">
        <w:rPr>
          <w:i/>
          <w:iCs/>
        </w:rPr>
        <w:t>Vorsatz</w:t>
      </w:r>
      <w:r w:rsidRPr="00D427D8">
        <w:t>), obligations and attempts to bring any action in or outside court.</w:t>
      </w:r>
    </w:p>
    <w:p w14:paraId="44C77444" w14:textId="28D33B15" w:rsidR="009F6E91" w:rsidRPr="00D427D8" w:rsidRDefault="009F6E91" w:rsidP="007F5198">
      <w:pPr>
        <w:pStyle w:val="SchHeading2"/>
      </w:pPr>
      <w:r w:rsidRPr="00D427D8">
        <w:lastRenderedPageBreak/>
        <w:t>Excess Amounts</w:t>
      </w:r>
    </w:p>
    <w:p w14:paraId="32C41F8F" w14:textId="3A027DD6" w:rsidR="009F6E91" w:rsidRPr="00D427D8" w:rsidRDefault="007F5198" w:rsidP="007F5198">
      <w:pPr>
        <w:pStyle w:val="Body2"/>
      </w:pPr>
      <w:r w:rsidRPr="00D427D8">
        <w:t>After the complete unconditional, irrevocable and full payment and discharge of all Secured Liabilities any remaining proceeds resulting from the foreclosure on the ER Security shall be transferred to the Seller at the Seller's cost and expense.</w:t>
      </w:r>
    </w:p>
    <w:p w14:paraId="28FB7609" w14:textId="668F9C00" w:rsidR="009F6E91" w:rsidRPr="00D427D8" w:rsidRDefault="009F6E91" w:rsidP="007F5198">
      <w:pPr>
        <w:pStyle w:val="SchHeading1"/>
      </w:pPr>
      <w:r w:rsidRPr="00D427D8">
        <w:t>Retaining third parties, attorneys-in-fact</w:t>
      </w:r>
    </w:p>
    <w:p w14:paraId="51EBFCE1" w14:textId="4A8E67B9" w:rsidR="009F6E91" w:rsidRPr="00D427D8" w:rsidRDefault="009F6E91" w:rsidP="007F5198">
      <w:pPr>
        <w:pStyle w:val="SchNumber2"/>
      </w:pPr>
      <w:bookmarkStart w:id="280" w:name="_Ref192867444"/>
      <w:r w:rsidRPr="00D427D8">
        <w:t>The ER Collateral Agent may, at its sole discretion, retain the services of a suitable law firm, credit institution or any other expert or counsel to assist it in performing the duties assigned to it under this Agreement, by delegating the entire or partial performance of its duties hereunder (as it considers appropriate).</w:t>
      </w:r>
      <w:bookmarkEnd w:id="280"/>
    </w:p>
    <w:p w14:paraId="655113C2" w14:textId="542E0EE7" w:rsidR="009F6E91" w:rsidRPr="00D427D8" w:rsidRDefault="009F6E91" w:rsidP="007F5198">
      <w:pPr>
        <w:pStyle w:val="SchNumber2"/>
      </w:pPr>
      <w:bookmarkStart w:id="281" w:name="_Ref192867468"/>
      <w:r w:rsidRPr="00D427D8">
        <w:t>The ER Collateral Agent may appoint as custodian a suitable law firm, credit institution or other entity whose business includes the safe custody of documents and may deposit this Agreement and any other documents with such custodian and pay all sums due in respect thereof.</w:t>
      </w:r>
      <w:bookmarkEnd w:id="281"/>
    </w:p>
    <w:p w14:paraId="726FF960" w14:textId="05FEA6F0" w:rsidR="009F6E91" w:rsidRPr="00D427D8" w:rsidRDefault="009F6E91" w:rsidP="007F5198">
      <w:pPr>
        <w:pStyle w:val="SchNumber2"/>
      </w:pPr>
      <w:r w:rsidRPr="00D427D8">
        <w:t>Whenever the ER Collateral Agent considers it necessary or appropriate in the interests of the Secured Parties, it shall be entitled to grant a power of attorney to any third party on any terms, to act in the name of the ER Collateral Agent with respect to all rights and obligations of the ER Collateral Agent arising under this Agreement, and to release any such third parties from the restrictions set forth in section 181 of the German Civil Code and to grant such third parties the power of sub-delegation. The ER Collateral Agent may not appoint a substitute attorney who is resident in Germany for tax purposes or acting through a German permanent establishment or permanent agent.</w:t>
      </w:r>
    </w:p>
    <w:p w14:paraId="4CBEDA66" w14:textId="1556F1B3" w:rsidR="009F6E91" w:rsidRPr="00D427D8" w:rsidRDefault="009F6E91" w:rsidP="007F5198">
      <w:pPr>
        <w:pStyle w:val="SchNumber2"/>
      </w:pPr>
      <w:r w:rsidRPr="00D427D8">
        <w:t>The ER Collateral Agent shall promptly notify the Rating Agencies (with a copy to the Seller) of each appointment made by it pursuant to clause 13.1 above or 13.2 above.</w:t>
      </w:r>
    </w:p>
    <w:p w14:paraId="50CD6514" w14:textId="2E608D09" w:rsidR="009F6E91" w:rsidRPr="00D427D8" w:rsidRDefault="009F6E91" w:rsidP="007F5198">
      <w:pPr>
        <w:pStyle w:val="SchHeading1"/>
      </w:pPr>
      <w:r w:rsidRPr="00D427D8">
        <w:t>Advisors</w:t>
      </w:r>
    </w:p>
    <w:p w14:paraId="72AB8AED" w14:textId="43830F75" w:rsidR="009F6E91" w:rsidRPr="00D427D8" w:rsidRDefault="009F6E91" w:rsidP="007F5198">
      <w:pPr>
        <w:pStyle w:val="SchNumber2"/>
      </w:pPr>
      <w:r w:rsidRPr="00D427D8">
        <w:t>The ER Collateral Agent is authorised, in connection with the performance of its duties under the Transaction Documents, at its own discretion, to seek information and advice from legal counsel, financial consultants, banks, and other experts (and irrespective of whether such persons are already retained by the ER Collateral Agent, the Issuer, a Secured Party, or any other person involved in the transactions contemplated by the Transaction Documents) in compliance with any applicable conflict of interest rules.</w:t>
      </w:r>
    </w:p>
    <w:p w14:paraId="39FD9E0F" w14:textId="15F4D486" w:rsidR="009F6E91" w:rsidRPr="00D427D8" w:rsidRDefault="009F6E91" w:rsidP="007F5198">
      <w:pPr>
        <w:pStyle w:val="SchNumber2"/>
      </w:pPr>
      <w:r w:rsidRPr="00D427D8">
        <w:t>The ER Collateral Agent may consult with external legal or other professional advisors whose advice may to it seem necessary in connection with the performance of its obligations hereunder and the ER Collateral Agent may rely on any advice so obtained for the performance of its obligations hereunder and shall not be responsible for any loss occasioned by so acting unless such action is due to fraud, gross negligence or wilful default by the ER Collateral Agent.</w:t>
      </w:r>
    </w:p>
    <w:p w14:paraId="51A577F2" w14:textId="490F4E5D" w:rsidR="009F6E91" w:rsidRPr="00D427D8" w:rsidRDefault="009F6E91" w:rsidP="007F5198">
      <w:pPr>
        <w:pStyle w:val="SchHeading1"/>
      </w:pPr>
      <w:r w:rsidRPr="00D427D8">
        <w:t>Fees and expenses</w:t>
      </w:r>
    </w:p>
    <w:p w14:paraId="53F7583A" w14:textId="6C89C410" w:rsidR="009F6E91" w:rsidRPr="00D427D8" w:rsidRDefault="009F6E91" w:rsidP="007F5198">
      <w:pPr>
        <w:pStyle w:val="SchHeading2"/>
      </w:pPr>
      <w:r w:rsidRPr="00D427D8">
        <w:t>Fees</w:t>
      </w:r>
    </w:p>
    <w:p w14:paraId="530096B1" w14:textId="12B717FA" w:rsidR="009F6E91" w:rsidRPr="00D427D8" w:rsidRDefault="007F5198" w:rsidP="007F5198">
      <w:pPr>
        <w:pStyle w:val="Body2"/>
      </w:pPr>
      <w:r w:rsidRPr="00D427D8">
        <w:t>The Issuer shall pay to the ER Collateral Agent those fees, and shall reimburse the ER Collateral Agent for those expenses, as are set forth in the fee letter dated on or about the date hereof between the Issuer and the ER Collateral Agent, and such fees shall be paid in accordance with the applicable Priority of Payments.</w:t>
      </w:r>
    </w:p>
    <w:p w14:paraId="58A1D42C" w14:textId="7C337A2B" w:rsidR="009F6E91" w:rsidRPr="00D427D8" w:rsidRDefault="009F6E91" w:rsidP="007F5198">
      <w:pPr>
        <w:pStyle w:val="SchHeading2"/>
      </w:pPr>
      <w:r w:rsidRPr="00D427D8">
        <w:t>Reimbursement of expenses</w:t>
      </w:r>
    </w:p>
    <w:p w14:paraId="53558DF3" w14:textId="059D4A40" w:rsidR="009F6E91" w:rsidRPr="00D427D8" w:rsidRDefault="007F5198" w:rsidP="007F5198">
      <w:pPr>
        <w:pStyle w:val="Body2"/>
      </w:pPr>
      <w:r w:rsidRPr="00D427D8">
        <w:t>The Issuer shall bear all fees, costs, charges and disbursements (including costs for legal advice, costs for other experts and costs for retaining other third parties and advisors pursuant to clauses 13 and 14 and including any taxes) incurred by the ER Collateral Agent in connection with the performance of its duties under this Agreement, including the costs and disbursements in connection with the creation and/or perfection of security over, the holding of, and the foreclosure of the ER Security.</w:t>
      </w:r>
    </w:p>
    <w:p w14:paraId="143387AF" w14:textId="6B3E132F" w:rsidR="009F6E91" w:rsidRPr="00D427D8" w:rsidRDefault="009F6E91" w:rsidP="007F5198">
      <w:pPr>
        <w:pStyle w:val="SchHeading1"/>
      </w:pPr>
      <w:r w:rsidRPr="00D427D8">
        <w:lastRenderedPageBreak/>
        <w:t>Right to indemnification</w:t>
      </w:r>
    </w:p>
    <w:p w14:paraId="17E90757" w14:textId="7E11B2CC" w:rsidR="009F6E91" w:rsidRPr="00D427D8" w:rsidRDefault="007F5198" w:rsidP="007F5198">
      <w:pPr>
        <w:pStyle w:val="Body2"/>
      </w:pPr>
      <w:r w:rsidRPr="00D427D8">
        <w:t>The Issuer shall indemnify and upon its reasonable request, prefund the ER Collateral Agent and its officers, directors and employees against all losses, liabilities, obligations (including any taxes), actions in and out of court, and costs and disbursements incurred by the ER Collateral Agent in connection with this Agreement, unless such costs and expenses are incurred by the ER Collateral Agent due to a breach of its standard of care pursuant to clause 21.1. Clause 16 and this clause 17 shall survive the termination of this Agreement and the termination of the appointment of any party to the Transaction.</w:t>
      </w:r>
    </w:p>
    <w:p w14:paraId="61CB4203" w14:textId="4772E444" w:rsidR="009F6E91" w:rsidRPr="00D427D8" w:rsidRDefault="009F6E91" w:rsidP="007F5198">
      <w:pPr>
        <w:pStyle w:val="SchHeading1"/>
      </w:pPr>
      <w:r w:rsidRPr="00D427D8">
        <w:t>Right not to act</w:t>
      </w:r>
    </w:p>
    <w:p w14:paraId="4DB049C7" w14:textId="5DE2B43D" w:rsidR="009F6E91" w:rsidRPr="00D427D8" w:rsidRDefault="009F6E91" w:rsidP="007F5198">
      <w:pPr>
        <w:pStyle w:val="SchNumber2"/>
      </w:pPr>
      <w:r w:rsidRPr="00D427D8">
        <w:t>The ER Collateral Agent shall not be obliged to take any action under this Agreement which may involve it incurring any liability or expense save to the extent that it is indemnified and/or secured and/or pre-funded to its satisfaction, at its discretion in any way it deems appropriate, against:</w:t>
      </w:r>
    </w:p>
    <w:p w14:paraId="7F0B2537" w14:textId="3D93EF61" w:rsidR="009F6E91" w:rsidRPr="00D427D8" w:rsidRDefault="009F6E91" w:rsidP="007F5198">
      <w:pPr>
        <w:pStyle w:val="SchNumber3"/>
      </w:pPr>
      <w:r w:rsidRPr="00D427D8">
        <w:t>all costs and expenses resulting from its activities (including fees for retaining external counsel, banks, auditors, or other experts as well as the expenses for retaining third parties to perform certain duties); and</w:t>
      </w:r>
    </w:p>
    <w:p w14:paraId="699FAB96" w14:textId="6F53424A" w:rsidR="009F6E91" w:rsidRPr="00D427D8" w:rsidRDefault="009F6E91" w:rsidP="007F5198">
      <w:pPr>
        <w:pStyle w:val="SchNumber3"/>
      </w:pPr>
      <w:r w:rsidRPr="00D427D8">
        <w:t>all liability, obligations, and attempts to bring any action in or out of court.</w:t>
      </w:r>
    </w:p>
    <w:p w14:paraId="2D867608" w14:textId="5D29624C" w:rsidR="009F6E91" w:rsidRPr="00D427D8" w:rsidRDefault="009F6E91" w:rsidP="007F5198">
      <w:pPr>
        <w:pStyle w:val="SchNumber2"/>
      </w:pPr>
      <w:r w:rsidRPr="00D427D8">
        <w:t>Clause 21.1 shall not be affected hereby.</w:t>
      </w:r>
    </w:p>
    <w:p w14:paraId="1A6AD0E6" w14:textId="17ACEB28" w:rsidR="009F6E91" w:rsidRPr="00D427D8" w:rsidRDefault="009F6E91" w:rsidP="007F5198">
      <w:pPr>
        <w:pStyle w:val="SchNumber2"/>
      </w:pPr>
      <w:r w:rsidRPr="00D427D8">
        <w:t>If amounts to be paid to the ER Collateral Agent in respect of any indemnification and/or security and/or pre-funding to be provided pursuant to this clause are to be distributed to it pursuant to the applicable Priority of Payments, the Secured Parties acknowledge that:</w:t>
      </w:r>
    </w:p>
    <w:p w14:paraId="0EDCBFAE" w14:textId="6822F9DB" w:rsidR="009F6E91" w:rsidRPr="00D427D8" w:rsidRDefault="009F6E91" w:rsidP="007F5198">
      <w:pPr>
        <w:pStyle w:val="SchNumber3"/>
      </w:pPr>
      <w:r w:rsidRPr="00D427D8">
        <w:t>such amounts are currently (and may at the time be) distributable pursuant to the applicable Priority of Payments to the ER Collateral Agent only on a pro rata and pari passu basis with statutory taxes and certain payments due to other Secured Parties; and</w:t>
      </w:r>
    </w:p>
    <w:p w14:paraId="45B22B8F" w14:textId="4DC8D3C0" w:rsidR="009F6E91" w:rsidRPr="00D427D8" w:rsidRDefault="009F6E91" w:rsidP="007F5198">
      <w:pPr>
        <w:pStyle w:val="SchNumber3"/>
      </w:pPr>
      <w:r w:rsidRPr="00D427D8">
        <w:t>the ER Collateral Agent</w:t>
      </w:r>
      <w:r w:rsidR="00EF7333" w:rsidRPr="00D427D8">
        <w:t>'</w:t>
      </w:r>
      <w:r w:rsidRPr="00D427D8">
        <w:t>s satisfaction with any indemnification and/or security and/or prefunding to be provided pursuant to this clause may be affected by such relative priority.</w:t>
      </w:r>
    </w:p>
    <w:p w14:paraId="5F3DF360" w14:textId="1DABD7A7" w:rsidR="009F6E91" w:rsidRPr="00D427D8" w:rsidRDefault="009F6E91" w:rsidP="007F5198">
      <w:pPr>
        <w:pStyle w:val="SchHeading1"/>
      </w:pPr>
      <w:r w:rsidRPr="00D427D8">
        <w:t>Taxes</w:t>
      </w:r>
    </w:p>
    <w:p w14:paraId="66AE8F53" w14:textId="5FC6266F" w:rsidR="009F6E91" w:rsidRPr="00D427D8" w:rsidRDefault="009F6E91" w:rsidP="007F5198">
      <w:pPr>
        <w:pStyle w:val="SchNumber2"/>
      </w:pPr>
      <w:r w:rsidRPr="00D427D8">
        <w:t>The Issuer shall in relation to the ER Collateral Agent bear all Taxes which are imposed in the Grand Duchy of Luxembourg or in the Federal Republic of Germany on or in connection with:</w:t>
      </w:r>
    </w:p>
    <w:p w14:paraId="51BD611B" w14:textId="2122DAEA" w:rsidR="009F6E91" w:rsidRPr="00D427D8" w:rsidRDefault="009F6E91" w:rsidP="007F5198">
      <w:pPr>
        <w:pStyle w:val="SchNumber3"/>
      </w:pPr>
      <w:r w:rsidRPr="00D427D8">
        <w:t>the creation and/or perfection of the ER Security, the holding of the ER Security, and the foreclosure on the ER Security;</w:t>
      </w:r>
    </w:p>
    <w:p w14:paraId="69432F9C" w14:textId="51350C10" w:rsidR="009F6E91" w:rsidRPr="00D427D8" w:rsidRDefault="009F6E91" w:rsidP="007F5198">
      <w:pPr>
        <w:pStyle w:val="SchNumber3"/>
      </w:pPr>
      <w:r w:rsidRPr="00D427D8">
        <w:t>any measure taken by the ER Collateral Agent pursuant to the terms and conditions of the Transaction Document; and</w:t>
      </w:r>
    </w:p>
    <w:p w14:paraId="5186559A" w14:textId="7B1C9F78" w:rsidR="009F6E91" w:rsidRPr="00D427D8" w:rsidRDefault="009F6E91" w:rsidP="007F5198">
      <w:pPr>
        <w:pStyle w:val="SchNumber3"/>
      </w:pPr>
      <w:r w:rsidRPr="00D427D8">
        <w:t>the execution of the Transaction Documents.</w:t>
      </w:r>
    </w:p>
    <w:p w14:paraId="298EDE4C" w14:textId="6C4AC9C3" w:rsidR="009F6E91" w:rsidRPr="00D427D8" w:rsidRDefault="009F6E91" w:rsidP="007F5198">
      <w:pPr>
        <w:pStyle w:val="SchNumber2"/>
      </w:pPr>
      <w:r w:rsidRPr="00D427D8">
        <w:t>All payments of reimbursements of reasonable expenses to the ER Collateral Agent shall include any Tax (including any Tax on the ER Collateral Agent</w:t>
      </w:r>
      <w:r w:rsidR="00EF7333" w:rsidRPr="00D427D8">
        <w:t>'</w:t>
      </w:r>
      <w:r w:rsidRPr="00D427D8">
        <w:t>s overall income or gains) which are imposed in respect of such reimbursements.</w:t>
      </w:r>
    </w:p>
    <w:p w14:paraId="68F2CBEB" w14:textId="647CD810" w:rsidR="009F6E91" w:rsidRPr="00D427D8" w:rsidRDefault="009F6E91" w:rsidP="007F5198">
      <w:pPr>
        <w:pStyle w:val="SchHeading1"/>
      </w:pPr>
      <w:r w:rsidRPr="00D427D8">
        <w:t>Replacement of the ER Collateral Agent</w:t>
      </w:r>
    </w:p>
    <w:p w14:paraId="4585ED0F" w14:textId="300EAE2D" w:rsidR="009F6E91" w:rsidRPr="00D427D8" w:rsidRDefault="009F6E91" w:rsidP="007F5198">
      <w:pPr>
        <w:pStyle w:val="SchHeading2"/>
      </w:pPr>
      <w:r w:rsidRPr="00D427D8">
        <w:t>Termination by the ER Collateral Agent</w:t>
      </w:r>
    </w:p>
    <w:p w14:paraId="3DE42780" w14:textId="53B0A18D" w:rsidR="009F6E91" w:rsidRPr="00D427D8" w:rsidRDefault="009F6E91" w:rsidP="007F5198">
      <w:pPr>
        <w:pStyle w:val="SchNumber3"/>
      </w:pPr>
      <w:r w:rsidRPr="00D427D8">
        <w:t>The ER Collateral Agent may resign from its position as ER Collateral Agent (i) for good cause (</w:t>
      </w:r>
      <w:r w:rsidRPr="00D427D8">
        <w:rPr>
          <w:i/>
          <w:iCs/>
        </w:rPr>
        <w:t>aus wichtigem Grund</w:t>
      </w:r>
      <w:r w:rsidRPr="00D427D8">
        <w:t xml:space="preserve">) at any time or (ii) provided that upon giving 30 days prior notice in either case prior to its resignation, the Issuer has appointed as a successor a reputable trust corporation, bank, auditing company and/or fiduciary or trust company experienced in the business of trust services in the Federal Republic of Germany and otherwise in relation to international securitisation transactions (the </w:t>
      </w:r>
      <w:r w:rsidR="00EF7333" w:rsidRPr="00D427D8">
        <w:t>"</w:t>
      </w:r>
      <w:r w:rsidRPr="00D427D8">
        <w:rPr>
          <w:b/>
          <w:bCs/>
        </w:rPr>
        <w:t>New ER Collateral Agent</w:t>
      </w:r>
      <w:r w:rsidR="00EF7333" w:rsidRPr="00D427D8">
        <w:t>"</w:t>
      </w:r>
      <w:r w:rsidRPr="00D427D8">
        <w:t xml:space="preserve">) and such </w:t>
      </w:r>
      <w:r w:rsidRPr="00D427D8">
        <w:lastRenderedPageBreak/>
        <w:t>successor assumes all rights and obligations arising from this Agreement and has been furnished with all authorities and powers that have been granted to the ER Collateral Agent.</w:t>
      </w:r>
    </w:p>
    <w:p w14:paraId="74CC252D" w14:textId="1AAC4C23" w:rsidR="009F6E91" w:rsidRPr="00D427D8" w:rsidRDefault="009F6E91" w:rsidP="007F5198">
      <w:pPr>
        <w:pStyle w:val="SchNumber3"/>
      </w:pPr>
      <w:r w:rsidRPr="00D427D8">
        <w:t xml:space="preserve">The appointment of the New ER Collateral Agent pursuant to clause 19.1 (a) </w:t>
      </w:r>
      <w:r w:rsidR="00EF1FA8" w:rsidRPr="00D427D8">
        <w:t xml:space="preserve">(ii) </w:t>
      </w:r>
      <w:r w:rsidRPr="00D427D8">
        <w:t>shall only take effect if the Seller does not object to the appointment of the proposed New ER Collateral Agent within twenty Business Days after having been notified by the Issuer of the appointment of the proposed New ER Collateral Agent.</w:t>
      </w:r>
    </w:p>
    <w:p w14:paraId="56BB1AB8" w14:textId="5E329812" w:rsidR="009F6E91" w:rsidRPr="00D427D8" w:rsidRDefault="009F6E91" w:rsidP="007F5198">
      <w:pPr>
        <w:pStyle w:val="SchNumber3"/>
      </w:pPr>
      <w:r w:rsidRPr="00D427D8">
        <w:t>Notwithstanding a termination pursuant to clause 19.1 (a), the rights and obligations of the ER Collateral Agent shall continue until the appointment of the New ER Collateral Agent has become effective and the rights pursuant to clause 22 have been assigned to it.</w:t>
      </w:r>
    </w:p>
    <w:p w14:paraId="62FCE9EC" w14:textId="3E3CBAA1" w:rsidR="009F6E91" w:rsidRPr="00D427D8" w:rsidRDefault="009F6E91" w:rsidP="007F5198">
      <w:pPr>
        <w:pStyle w:val="SchHeading2"/>
      </w:pPr>
      <w:r w:rsidRPr="00D427D8">
        <w:t>Replacement by the Issuer</w:t>
      </w:r>
    </w:p>
    <w:p w14:paraId="1BA6DDDA" w14:textId="051ACB46" w:rsidR="009F6E91" w:rsidRPr="00D427D8" w:rsidRDefault="007F5198" w:rsidP="007F5198">
      <w:pPr>
        <w:pStyle w:val="Body2"/>
      </w:pPr>
      <w:r w:rsidRPr="00D427D8">
        <w:t>If the Issuer is instructed by the Seller to replace the ER Collateral Agent for good cause (</w:t>
      </w:r>
      <w:r w:rsidRPr="00D427D8">
        <w:rPr>
          <w:i/>
          <w:iCs/>
        </w:rPr>
        <w:t>aus wichtigem Grund</w:t>
      </w:r>
      <w:r w:rsidRPr="00D427D8">
        <w:t>), it shall</w:t>
      </w:r>
    </w:p>
    <w:p w14:paraId="6B99A2E0" w14:textId="5600E4BF" w:rsidR="009F6E91" w:rsidRPr="00D427D8" w:rsidRDefault="009F6E91" w:rsidP="007A77EF">
      <w:pPr>
        <w:pStyle w:val="SchNumber3"/>
      </w:pPr>
      <w:r w:rsidRPr="00D427D8">
        <w:t>notify the ER Collateral Agent without undue delay upon receipt of such request; and</w:t>
      </w:r>
    </w:p>
    <w:p w14:paraId="000A4B70" w14:textId="7270B84F" w:rsidR="009F6E91" w:rsidRPr="00D427D8" w:rsidRDefault="009F6E91" w:rsidP="007A77EF">
      <w:pPr>
        <w:pStyle w:val="SchNumber3"/>
      </w:pPr>
      <w:r w:rsidRPr="00D427D8">
        <w:t>be authorised and obligated to replace the ER Collateral Agent upon 30 days</w:t>
      </w:r>
      <w:r w:rsidR="00EF7333" w:rsidRPr="00D427D8">
        <w:t>'</w:t>
      </w:r>
      <w:r w:rsidRPr="00D427D8">
        <w:t xml:space="preserve"> notice with a reputable trust corporation, bank, auditing company and/or fiduciary or trust company</w:t>
      </w:r>
    </w:p>
    <w:p w14:paraId="25FCB612" w14:textId="4413DAD9" w:rsidR="009F6E91" w:rsidRPr="00D427D8" w:rsidRDefault="009F6E91" w:rsidP="007A77EF">
      <w:pPr>
        <w:pStyle w:val="SchNumber4"/>
      </w:pPr>
      <w:r w:rsidRPr="00D427D8">
        <w:t>which is experienced in the collateral agency business in Germany; and</w:t>
      </w:r>
    </w:p>
    <w:p w14:paraId="6AE194B9" w14:textId="48BF97A4" w:rsidR="009F6E91" w:rsidRPr="00D427D8" w:rsidRDefault="009F6E91" w:rsidP="007A77EF">
      <w:pPr>
        <w:pStyle w:val="SchNumber4"/>
      </w:pPr>
      <w:r w:rsidRPr="00D427D8">
        <w:t>otherwise in relation to international securitisation transactions, which is neither a resident of Germany for tax purposes nor is acting through a German permanent establishment or a German permanent agent.</w:t>
      </w:r>
    </w:p>
    <w:p w14:paraId="6B136FEC" w14:textId="2479D912" w:rsidR="009F6E91" w:rsidRPr="00D427D8" w:rsidRDefault="009F6E91" w:rsidP="007A77EF">
      <w:pPr>
        <w:pStyle w:val="SchHeading1"/>
      </w:pPr>
      <w:r w:rsidRPr="00D427D8">
        <w:t>Transfer of ER Security, costs, publication</w:t>
      </w:r>
    </w:p>
    <w:p w14:paraId="63B98E2B" w14:textId="7B5A9C38" w:rsidR="009F6E91" w:rsidRPr="00D427D8" w:rsidRDefault="009F6E91" w:rsidP="007A77EF">
      <w:pPr>
        <w:pStyle w:val="SchNumber2"/>
      </w:pPr>
      <w:r w:rsidRPr="00D427D8">
        <w:t>In the case of a replacement of the ER Collateral Agent, the ER Collateral Agent shall forthwith transfer the ER Security as well as its ER Trustee Claim to the New ER Collateral Agent. The New ER Collateral Agent shall assume the ER Collateral Agent</w:t>
      </w:r>
      <w:r w:rsidR="00EF7333" w:rsidRPr="00D427D8">
        <w:t>'</w:t>
      </w:r>
      <w:r w:rsidRPr="00D427D8">
        <w:t>s obligations under each Transaction Document to which the ER Collateral Agent is a party. Without prejudice to this obligation, the Issuer is hereby irrevocably authorised to effect any such transfer on behalf of the ER Collateral Agent. If an Insolvency Event in respect of the ER Collateral Agent has occurred, the ER Collateral Agent shall transfer the ER Security without undue delay to the Issuer or any nominee of the Issuer. The Issuer shall without undue delay replace the ER Collateral Agent with a New ER Collateral Agent and transfer the ER Security to this New ER Collateral Agent.</w:t>
      </w:r>
    </w:p>
    <w:p w14:paraId="608FF4F1" w14:textId="6FD1EB18" w:rsidR="009F6E91" w:rsidRPr="00D427D8" w:rsidRDefault="009F6E91" w:rsidP="007A77EF">
      <w:pPr>
        <w:pStyle w:val="SchNumber2"/>
      </w:pPr>
      <w:r w:rsidRPr="00D427D8">
        <w:t>The costs incurred in connection with replacing the ER Collateral Agent shall be borne by the Issuer, unless such costs and expenses are incurred by the ER Collateral Agent due to a breach of its standard of care pursuant to clause 21.1.</w:t>
      </w:r>
    </w:p>
    <w:p w14:paraId="0DB49BEB" w14:textId="6334FD9D" w:rsidR="009F6E91" w:rsidRPr="00D427D8" w:rsidRDefault="009F6E91" w:rsidP="007A77EF">
      <w:pPr>
        <w:pStyle w:val="SchNumber2"/>
      </w:pPr>
      <w:r w:rsidRPr="00D427D8">
        <w:t>The ER Collateral Agent shall provide the New ER Collateral Agent with a report regarding its activities within the framework of this Agreement.</w:t>
      </w:r>
    </w:p>
    <w:p w14:paraId="64CE3C18" w14:textId="718959A8" w:rsidR="009F6E91" w:rsidRPr="00D427D8" w:rsidRDefault="009F6E91" w:rsidP="007A77EF">
      <w:pPr>
        <w:pStyle w:val="SchHeading1"/>
      </w:pPr>
      <w:r w:rsidRPr="00D427D8">
        <w:t>Liability of the ER Collateral Agent</w:t>
      </w:r>
    </w:p>
    <w:p w14:paraId="56E4479F" w14:textId="02F260A8" w:rsidR="009F6E91" w:rsidRPr="00D427D8" w:rsidRDefault="009F6E91" w:rsidP="007A77EF">
      <w:pPr>
        <w:pStyle w:val="SchHeading2"/>
      </w:pPr>
      <w:bookmarkStart w:id="282" w:name="_Ref192867577"/>
      <w:r w:rsidRPr="00D427D8">
        <w:t>Standard of Care</w:t>
      </w:r>
      <w:bookmarkEnd w:id="282"/>
    </w:p>
    <w:p w14:paraId="0E9C95FA" w14:textId="6D9C0ACC" w:rsidR="009F6E91" w:rsidRPr="00D427D8" w:rsidRDefault="009F6E91" w:rsidP="007A77EF">
      <w:pPr>
        <w:pStyle w:val="SchNumber3"/>
      </w:pPr>
      <w:r w:rsidRPr="00D427D8">
        <w:t>The ER Collateral Agent shall have absolute and uncontrolled discretion as to the exercise of its functions under this Agreement and shall be liable for breach of its obligations under this Agreement only if and to the extent that such breach is due to fraud, gross negligence (</w:t>
      </w:r>
      <w:r w:rsidRPr="00D427D8">
        <w:rPr>
          <w:i/>
          <w:iCs/>
        </w:rPr>
        <w:t>grobe Fahrlässigkeit</w:t>
      </w:r>
      <w:r w:rsidRPr="00D427D8">
        <w:t>) or wilful default (</w:t>
      </w:r>
      <w:r w:rsidRPr="00D427D8">
        <w:rPr>
          <w:i/>
          <w:iCs/>
        </w:rPr>
        <w:t>Vorsatz</w:t>
      </w:r>
      <w:r w:rsidRPr="00D427D8">
        <w:t>). The ER Collateral Agent shall not be liable for breach of its obligations under this Agreement if such failure by the ER Collateral Agent to meet this standard of care arises as a result of the ER Collateral Agent relying on the advice provided by an advisor appointed pursuant to clause 16 (</w:t>
      </w:r>
      <w:r w:rsidRPr="00D427D8">
        <w:rPr>
          <w:i/>
          <w:iCs/>
        </w:rPr>
        <w:t>Advisors</w:t>
      </w:r>
      <w:r w:rsidRPr="00D427D8">
        <w:t>).</w:t>
      </w:r>
    </w:p>
    <w:p w14:paraId="28324AEC" w14:textId="1657312B" w:rsidR="009F6E91" w:rsidRPr="00D427D8" w:rsidRDefault="009F6E91" w:rsidP="007A77EF">
      <w:pPr>
        <w:pStyle w:val="SchNumber3"/>
      </w:pPr>
      <w:r w:rsidRPr="00D427D8">
        <w:t>Until the ER Collateral Agent has actual knowledge or express notice to the contrary, it may assume that no Issuer Event of Default or any other default has occurred and that each of the other parties is performing all its obligations under this Agreement and the other Transaction Documents.</w:t>
      </w:r>
    </w:p>
    <w:p w14:paraId="2C7114EE" w14:textId="2A05F83E" w:rsidR="009F6E91" w:rsidRPr="00D427D8" w:rsidRDefault="009F6E91" w:rsidP="007A77EF">
      <w:pPr>
        <w:pStyle w:val="SchNumber3"/>
      </w:pPr>
      <w:r w:rsidRPr="00D427D8">
        <w:lastRenderedPageBreak/>
        <w:t>If the ER Collateral Agent, in the exercise of its functions, requires information as to any fact, it may call for and accept as sufficient evidence of that fact a certificate signed by any director of the Issuer as to that fact and the ER Collateral Agent does not need to call for further evidence and shall not be responsible for any loss occasioned by acting on such a certificate.</w:t>
      </w:r>
    </w:p>
    <w:p w14:paraId="093CB619" w14:textId="42113026" w:rsidR="009F6E91" w:rsidRPr="00D427D8" w:rsidRDefault="009F6E91" w:rsidP="007A77EF">
      <w:pPr>
        <w:pStyle w:val="SchNumber3"/>
      </w:pPr>
      <w:r w:rsidRPr="00D427D8">
        <w:t>When acting in compliance with the provisions set forth in this Agreement the ER Collateral Agent shall be deemed to have met the standard of care pursuant to clause 21.1 for the purposes of this Agreement and the other Transaction Documents.</w:t>
      </w:r>
    </w:p>
    <w:p w14:paraId="79228311" w14:textId="2871028A" w:rsidR="009F6E91" w:rsidRPr="00D427D8" w:rsidRDefault="009F6E91" w:rsidP="007A77EF">
      <w:pPr>
        <w:pStyle w:val="SchNumber3"/>
      </w:pPr>
      <w:r w:rsidRPr="00D427D8">
        <w:t>Unless the ER Collateral Agent has failed to comply with the due care (</w:t>
      </w:r>
      <w:r w:rsidRPr="00D427D8">
        <w:rPr>
          <w:i/>
          <w:iCs/>
        </w:rPr>
        <w:t>im Verkehr erforderliche Sorgfalt</w:t>
      </w:r>
      <w:r w:rsidRPr="00D427D8">
        <w:t>) in selecting a third party the ER Collateral Agent shall not in any circumstance accept responsibility or be liable for any act or omission of or be obliged to supervise such third party so retained by the ER Collateral Agent.</w:t>
      </w:r>
    </w:p>
    <w:p w14:paraId="3C0B26E6" w14:textId="127B2EB8" w:rsidR="009F6E91" w:rsidRPr="00D427D8" w:rsidRDefault="009F6E91" w:rsidP="007A77EF">
      <w:pPr>
        <w:pStyle w:val="SchNumber3"/>
      </w:pPr>
      <w:r w:rsidRPr="00D427D8">
        <w:t>Notwithstanding any other provisions in this Agreement, the ER Collateral Agent</w:t>
      </w:r>
    </w:p>
    <w:p w14:paraId="12E02BFC" w14:textId="79293C20" w:rsidR="009F6E91" w:rsidRPr="00D427D8" w:rsidRDefault="009F6E91" w:rsidP="007A77EF">
      <w:pPr>
        <w:pStyle w:val="SchNumber4"/>
      </w:pPr>
      <w:r w:rsidRPr="00D427D8">
        <w:rPr>
          <w:szCs w:val="19"/>
        </w:rPr>
        <w:t>shall be entitled to request instructions, or clarification</w:t>
      </w:r>
      <w:r w:rsidRPr="00D427D8">
        <w:t xml:space="preserve"> of any instruction, from the Secured Parties as to whether, and in what manner, it should exercise or refrain from exercising any right, power, authority or discretion and the </w:t>
      </w:r>
      <w:r w:rsidRPr="00D427D8">
        <w:rPr>
          <w:szCs w:val="19"/>
        </w:rPr>
        <w:t xml:space="preserve">ER </w:t>
      </w:r>
      <w:r w:rsidRPr="00D427D8">
        <w:t>Collateral Agent may refrain from acting unless and until it receives any such instructions or clarification that it has requested;</w:t>
      </w:r>
    </w:p>
    <w:p w14:paraId="3D0421A3" w14:textId="3DF497C1" w:rsidR="009F6E91" w:rsidRPr="00D427D8" w:rsidRDefault="009F6E91" w:rsidP="007A77EF">
      <w:pPr>
        <w:pStyle w:val="SchNumber4"/>
      </w:pPr>
      <w:r w:rsidRPr="00D427D8">
        <w:t xml:space="preserve">makes no warranty or representation to any Secured Party and shall not be responsible to any Secured Party for any statements, warranties or representations (whether written or oral) made by a party other than the </w:t>
      </w:r>
      <w:r w:rsidRPr="00D427D8">
        <w:rPr>
          <w:szCs w:val="19"/>
        </w:rPr>
        <w:t xml:space="preserve">ER </w:t>
      </w:r>
      <w:r w:rsidRPr="00D427D8">
        <w:t>Collateral Agent in or in connection with the Transaction Documents or any other document executed or delivered in connection herewith or therewith;</w:t>
      </w:r>
    </w:p>
    <w:p w14:paraId="628B41CE" w14:textId="6B6E91F7" w:rsidR="009F6E91" w:rsidRPr="00D427D8" w:rsidRDefault="009F6E91" w:rsidP="007A77EF">
      <w:pPr>
        <w:pStyle w:val="SchNumber4"/>
      </w:pPr>
      <w:r w:rsidRPr="00D427D8">
        <w:t>shall not have any duty to ascertain or to inquire as to the performance or observance on the part of the Issuer of any of the terms, covenants or conditions of the Transaction Document or any other agreement or document executed or delivered in connection herewith or therewith or to inspect the property (including the books and records) of the Issuer;</w:t>
      </w:r>
    </w:p>
    <w:p w14:paraId="136862A4" w14:textId="0BE29C2E" w:rsidR="009F6E91" w:rsidRPr="00D427D8" w:rsidRDefault="009F6E91" w:rsidP="007A77EF">
      <w:pPr>
        <w:pStyle w:val="SchNumber4"/>
      </w:pPr>
      <w:r w:rsidRPr="00D427D8">
        <w:t xml:space="preserve">shall not be responsible to any Secured Party for the due execution, legality, validity, enforceability, genuineness, sufficiency or value of the </w:t>
      </w:r>
      <w:r w:rsidRPr="00D427D8">
        <w:rPr>
          <w:szCs w:val="19"/>
        </w:rPr>
        <w:t xml:space="preserve">ER </w:t>
      </w:r>
      <w:r w:rsidRPr="00D427D8">
        <w:t>Security, the Transaction Documents or any other instrument or document furnished pursuant thereto;</w:t>
      </w:r>
    </w:p>
    <w:p w14:paraId="269CE926" w14:textId="0F8E5679" w:rsidR="009F6E91" w:rsidRPr="00D427D8" w:rsidRDefault="009F6E91" w:rsidP="007A77EF">
      <w:pPr>
        <w:pStyle w:val="SchNumber4"/>
      </w:pPr>
      <w:r w:rsidRPr="00D427D8">
        <w:t xml:space="preserve">shall not be responsible for insuring the </w:t>
      </w:r>
      <w:r w:rsidRPr="00D427D8">
        <w:rPr>
          <w:szCs w:val="19"/>
        </w:rPr>
        <w:t xml:space="preserve">ER </w:t>
      </w:r>
      <w:r w:rsidRPr="00D427D8">
        <w:t xml:space="preserve">Security or for the payment of taxes, charges, assessments, or liens upon any Security, and shall not be under any obligation to insure any of the Purchased Lease Receivables or any deeds or documents of title or other evidence in respect thereof or to require any other person to maintain any such insurance and the </w:t>
      </w:r>
      <w:r w:rsidRPr="00D427D8">
        <w:rPr>
          <w:szCs w:val="19"/>
        </w:rPr>
        <w:t xml:space="preserve">ER </w:t>
      </w:r>
      <w:r w:rsidRPr="00D427D8">
        <w:t>Collateral Agent shall not be responsible for any loss, expense, theft, reduction in value or liability which may be suffered as a result of the lack of or inadequacy of any such insurance;</w:t>
      </w:r>
    </w:p>
    <w:p w14:paraId="6CA919CA" w14:textId="6298178D" w:rsidR="009F6E91" w:rsidRPr="00D427D8" w:rsidRDefault="009F6E91" w:rsidP="007A77EF">
      <w:pPr>
        <w:pStyle w:val="SchNumber4"/>
      </w:pPr>
      <w:r w:rsidRPr="00D427D8">
        <w:t>shall be under no obligation to monitor or supervise the functions of any Transaction Parties, delegates or any other Person under or pursuant to any of the Transaction Documents;</w:t>
      </w:r>
    </w:p>
    <w:p w14:paraId="2E4F430F" w14:textId="7FCC73E1" w:rsidR="009F6E91" w:rsidRPr="00D427D8" w:rsidRDefault="009F6E91" w:rsidP="007A77EF">
      <w:pPr>
        <w:pStyle w:val="SchNumber4"/>
      </w:pPr>
      <w:r w:rsidRPr="00D427D8">
        <w:t xml:space="preserve">shall not be required to examine or enquire into the title of the Issuer to the Purchased Expectancy Rights, </w:t>
      </w:r>
      <w:r w:rsidRPr="00D427D8">
        <w:rPr>
          <w:szCs w:val="19"/>
        </w:rPr>
        <w:t xml:space="preserve">ER </w:t>
      </w:r>
      <w:r w:rsidRPr="00D427D8">
        <w:t xml:space="preserve">Collateral or any other part of the undertaking, property, assets and </w:t>
      </w:r>
      <w:r w:rsidRPr="00D427D8">
        <w:rPr>
          <w:szCs w:val="19"/>
        </w:rPr>
        <w:t xml:space="preserve">ER </w:t>
      </w:r>
      <w:r w:rsidRPr="00D427D8">
        <w:t>Security granted by this Agreement or any other Transaction Document, or the right of the Issuer to exercise the powers and discretions described in this Agreement or any other Transaction Document;</w:t>
      </w:r>
    </w:p>
    <w:p w14:paraId="31CC66D9" w14:textId="61868203" w:rsidR="009F6E91" w:rsidRPr="00D427D8" w:rsidRDefault="009F6E91" w:rsidP="007A77EF">
      <w:pPr>
        <w:pStyle w:val="SchNumber4"/>
      </w:pPr>
      <w:r w:rsidRPr="00D427D8">
        <w:t xml:space="preserve">shall not be bound to give notice to any person of the execution of this Agreement nor shall it be liable for any failure, omission or defect in protecting or perfecting the </w:t>
      </w:r>
      <w:r w:rsidRPr="00D427D8">
        <w:rPr>
          <w:szCs w:val="19"/>
        </w:rPr>
        <w:t xml:space="preserve">ER </w:t>
      </w:r>
      <w:r w:rsidRPr="00D427D8">
        <w:t>Security;</w:t>
      </w:r>
    </w:p>
    <w:p w14:paraId="099268DA" w14:textId="40D64AC7" w:rsidR="009F6E91" w:rsidRPr="00D427D8" w:rsidRDefault="009F6E91" w:rsidP="007A77EF">
      <w:pPr>
        <w:pStyle w:val="SchNumber4"/>
      </w:pPr>
      <w:r w:rsidRPr="00D427D8">
        <w:t xml:space="preserve">shall not be responsible to any person for failing to request, require or receive any legal opinion relating to any Transaction Document or any search, report, certificate, </w:t>
      </w:r>
      <w:r w:rsidRPr="00D427D8">
        <w:lastRenderedPageBreak/>
        <w:t xml:space="preserve">advice, valuation, investigation or information relating to any Transaction Document, the </w:t>
      </w:r>
      <w:r w:rsidRPr="00D427D8">
        <w:rPr>
          <w:szCs w:val="19"/>
        </w:rPr>
        <w:t xml:space="preserve">ER </w:t>
      </w:r>
      <w:r w:rsidRPr="00D427D8">
        <w:t xml:space="preserve">Security granted to the </w:t>
      </w:r>
      <w:r w:rsidRPr="00D427D8">
        <w:rPr>
          <w:szCs w:val="19"/>
        </w:rPr>
        <w:t xml:space="preserve">ER </w:t>
      </w:r>
      <w:r w:rsidRPr="00D427D8">
        <w:t>Collateral Agent under this Agreement, any transaction contemplated by any Transaction Document, any party to any Transaction Document or any of such party</w:t>
      </w:r>
      <w:r w:rsidR="00EF7333" w:rsidRPr="00D427D8">
        <w:t>'</w:t>
      </w:r>
      <w:r w:rsidRPr="00D427D8">
        <w:t>s assets or liabilities or for checking or commenting upon the content of any such legal opinion, search, report, certificate, advice, valuation, investigation or information or for ensuring disclosure to the Secured Parties of such content or any part of it or for determining the acceptability of such content or any part of it to any Secured Parties and shall not be responsible for any liability incurred thereby;</w:t>
      </w:r>
    </w:p>
    <w:p w14:paraId="50CD3AC0" w14:textId="483C1A9D" w:rsidR="009F6E91" w:rsidRPr="00D427D8" w:rsidRDefault="009F6E91" w:rsidP="007A77EF">
      <w:pPr>
        <w:pStyle w:val="SchNumber4"/>
      </w:pPr>
      <w:r w:rsidRPr="00D427D8">
        <w:t xml:space="preserve">shall not be bound to give notice to any person of the execution of any documents comprised or referred to in this Agreement or any other Transaction Document or to take any steps to ascertain whether any event, condition or act, the happening of which causes or may cause a right or remedy on the part of the </w:t>
      </w:r>
      <w:r w:rsidRPr="00D427D8">
        <w:rPr>
          <w:szCs w:val="19"/>
        </w:rPr>
        <w:t xml:space="preserve">ER </w:t>
      </w:r>
      <w:r w:rsidRPr="00D427D8">
        <w:t xml:space="preserve">Collateral Agent under or in relation to any Transaction Document to become exercisable has happened or to monitor compliance or supervise the observance and performance by the Issuer or any other party of their respective obligations under the Transaction Documents and, until it shall have actual knowledge or express notice pursuant to this Agreement to the contrary, the </w:t>
      </w:r>
      <w:r w:rsidRPr="00D427D8">
        <w:rPr>
          <w:szCs w:val="19"/>
        </w:rPr>
        <w:t xml:space="preserve">ER </w:t>
      </w:r>
      <w:r w:rsidRPr="00D427D8">
        <w:t>Collateral Agent shall be entitled to assume that no such event has happened and that the Issuer and each of the other parties are observing and performing all their respective obligations under this Agreement and the other Transaction Documents; and</w:t>
      </w:r>
    </w:p>
    <w:p w14:paraId="6C53C37F" w14:textId="44D5D69F" w:rsidR="009F6E91" w:rsidRPr="00D427D8" w:rsidRDefault="009F6E91" w:rsidP="007A77EF">
      <w:pPr>
        <w:pStyle w:val="SchNumber4"/>
      </w:pPr>
      <w:r w:rsidRPr="00D427D8">
        <w:t xml:space="preserve">shall not (unless and to the extent ordered so to do by a court of competent jurisdiction) be required to disclose to any Secured Party any information (including, without limitation, information of a confidential, financial or price sensitive nature) made available to the </w:t>
      </w:r>
      <w:r w:rsidRPr="00D427D8">
        <w:rPr>
          <w:szCs w:val="19"/>
        </w:rPr>
        <w:t xml:space="preserve">ER </w:t>
      </w:r>
      <w:r w:rsidRPr="00D427D8">
        <w:t xml:space="preserve">Collateral Agent by the Issuer or any other person in connection with this Agreement and the other Transaction Documents and no Secured Party shall be entitled to take any action to obtain from the </w:t>
      </w:r>
      <w:r w:rsidRPr="00D427D8">
        <w:rPr>
          <w:szCs w:val="19"/>
        </w:rPr>
        <w:t xml:space="preserve">ER </w:t>
      </w:r>
      <w:r w:rsidRPr="00D427D8">
        <w:t>Collateral Agent any such information.</w:t>
      </w:r>
    </w:p>
    <w:p w14:paraId="647FC09E" w14:textId="2772C0BC" w:rsidR="009F6E91" w:rsidRPr="00D427D8" w:rsidRDefault="009F6E91" w:rsidP="007A77EF">
      <w:pPr>
        <w:pStyle w:val="SchHeading2"/>
      </w:pPr>
      <w:r w:rsidRPr="00D427D8">
        <w:t>Exclusion of Liability</w:t>
      </w:r>
    </w:p>
    <w:p w14:paraId="140D5361" w14:textId="4DEA0673" w:rsidR="009F6E91" w:rsidRPr="00D427D8" w:rsidRDefault="007A77EF" w:rsidP="007A77EF">
      <w:pPr>
        <w:pStyle w:val="Body2"/>
      </w:pPr>
      <w:r w:rsidRPr="00D427D8">
        <w:t xml:space="preserve">The </w:t>
      </w:r>
      <w:r w:rsidRPr="00D427D8">
        <w:rPr>
          <w:szCs w:val="19"/>
        </w:rPr>
        <w:t xml:space="preserve">ER </w:t>
      </w:r>
      <w:r w:rsidRPr="00D427D8">
        <w:t>Collateral Agent:</w:t>
      </w:r>
    </w:p>
    <w:p w14:paraId="5E446BE1" w14:textId="1ABC005E" w:rsidR="009F6E91" w:rsidRPr="00D427D8" w:rsidRDefault="009F6E91" w:rsidP="007A77EF">
      <w:pPr>
        <w:pStyle w:val="SchNumber3"/>
      </w:pPr>
      <w:r w:rsidRPr="00D427D8">
        <w:t>shall not be liable for any action or failure to act of the Issuer or of other parties to the Transaction Documents;</w:t>
      </w:r>
    </w:p>
    <w:p w14:paraId="01EB870F" w14:textId="3966E07A" w:rsidR="009F6E91" w:rsidRPr="00D427D8" w:rsidRDefault="009F6E91" w:rsidP="007A77EF">
      <w:pPr>
        <w:pStyle w:val="SchNumber3"/>
      </w:pPr>
      <w:r w:rsidRPr="00D427D8">
        <w:t xml:space="preserve">shall not be liable for the </w:t>
      </w:r>
      <w:r w:rsidRPr="00D427D8">
        <w:rPr>
          <w:szCs w:val="19"/>
        </w:rPr>
        <w:t xml:space="preserve">ER </w:t>
      </w:r>
      <w:r w:rsidRPr="00D427D8">
        <w:t>Security or the Transaction Documents failing to be legal, valid, binding, or enforceable or the fairness of the provisions set forth in the Transaction Documents;</w:t>
      </w:r>
    </w:p>
    <w:p w14:paraId="43A908A4" w14:textId="3ABE895A" w:rsidR="009F6E91" w:rsidRPr="00D427D8" w:rsidRDefault="009F6E91" w:rsidP="007A77EF">
      <w:pPr>
        <w:pStyle w:val="SchNumber3"/>
      </w:pPr>
      <w:r w:rsidRPr="00D427D8">
        <w:t>shall not be liable for a loss of documents related to the</w:t>
      </w:r>
      <w:r w:rsidRPr="00D427D8">
        <w:rPr>
          <w:szCs w:val="19"/>
        </w:rPr>
        <w:t xml:space="preserve"> ER</w:t>
      </w:r>
      <w:r w:rsidRPr="00D427D8">
        <w:t xml:space="preserve"> Security not attributable to the negligence of the </w:t>
      </w:r>
      <w:r w:rsidRPr="00D427D8">
        <w:rPr>
          <w:szCs w:val="19"/>
        </w:rPr>
        <w:t xml:space="preserve">ER </w:t>
      </w:r>
      <w:r w:rsidRPr="00D427D8">
        <w:t>Collateral Agent;</w:t>
      </w:r>
    </w:p>
    <w:p w14:paraId="46BD4C47" w14:textId="3AA82427" w:rsidR="009F6E91" w:rsidRPr="00D427D8" w:rsidRDefault="009F6E91" w:rsidP="007A77EF">
      <w:pPr>
        <w:pStyle w:val="SchNumber3"/>
      </w:pPr>
      <w:r w:rsidRPr="00D427D8">
        <w:t>shall not be liable for the invalidity, insufficiency or unenforceability of the security created by this Agreement;</w:t>
      </w:r>
    </w:p>
    <w:p w14:paraId="67242252" w14:textId="5F7FB991" w:rsidR="009F6E91" w:rsidRPr="00D427D8" w:rsidRDefault="009F6E91" w:rsidP="007A77EF">
      <w:pPr>
        <w:pStyle w:val="SchNumber3"/>
      </w:pPr>
      <w:r w:rsidRPr="00D427D8">
        <w:t xml:space="preserve">shall not be liable for special, indirect, punitive or consequential losses or damages of any kind whatsoever (including, but not limited to, loss of profit (section 252 of the German Civil Code)) irrespective of whether the </w:t>
      </w:r>
      <w:r w:rsidRPr="00D427D8">
        <w:rPr>
          <w:szCs w:val="19"/>
        </w:rPr>
        <w:t xml:space="preserve">ER </w:t>
      </w:r>
      <w:r w:rsidRPr="00D427D8">
        <w:t>Collateral Agent has been advised of the likelihood of such loss or damage and regardless of the form of action;</w:t>
      </w:r>
    </w:p>
    <w:p w14:paraId="70459E85" w14:textId="41FEE1DE" w:rsidR="009F6E91" w:rsidRPr="00D427D8" w:rsidRDefault="009F6E91" w:rsidP="007A77EF">
      <w:pPr>
        <w:pStyle w:val="SchNumber3"/>
      </w:pPr>
      <w:r w:rsidRPr="00D427D8">
        <w:t>shall not be liable to any person by reason of having acted or having refrained from acting, each in accordance with any resolution purporting to have been passed by the Secured Parties;</w:t>
      </w:r>
    </w:p>
    <w:p w14:paraId="39DF4263" w14:textId="22559C04" w:rsidR="009F6E91" w:rsidRPr="00D427D8" w:rsidRDefault="009F6E91" w:rsidP="007A77EF">
      <w:pPr>
        <w:pStyle w:val="SchNumber3"/>
      </w:pPr>
      <w:r w:rsidRPr="00D427D8">
        <w:t>shall not be liable for without prejudice to the provisions of clause 9 (</w:t>
      </w:r>
      <w:r w:rsidRPr="00D427D8">
        <w:rPr>
          <w:i/>
          <w:iCs/>
        </w:rPr>
        <w:t>Documents</w:t>
      </w:r>
      <w:r w:rsidRPr="00D427D8">
        <w:t>), the Seller</w:t>
      </w:r>
      <w:r w:rsidR="00EF7333" w:rsidRPr="00D427D8">
        <w:t>'</w:t>
      </w:r>
      <w:r w:rsidRPr="00D427D8">
        <w:t xml:space="preserve">s failure to meet all or part of its contractual obligations to submit documents to the </w:t>
      </w:r>
      <w:r w:rsidRPr="00D427D8">
        <w:rPr>
          <w:szCs w:val="19"/>
        </w:rPr>
        <w:t xml:space="preserve">ER </w:t>
      </w:r>
      <w:r w:rsidRPr="00D427D8">
        <w:t>Collateral Agent;</w:t>
      </w:r>
    </w:p>
    <w:p w14:paraId="4502A35C" w14:textId="2E87A7FB" w:rsidR="009F6E91" w:rsidRPr="00D427D8" w:rsidRDefault="009F6E91" w:rsidP="007A77EF">
      <w:pPr>
        <w:pStyle w:val="SchNumber3"/>
      </w:pPr>
      <w:r w:rsidRPr="00D427D8">
        <w:lastRenderedPageBreak/>
        <w:t>is not obliged to do or omit to do anything if it would, or might, in its reasonable opinion constitute a breach of any law or regulation or a breach of a fiduciary duty or duty of confidentiality;</w:t>
      </w:r>
    </w:p>
    <w:p w14:paraId="1141E0A2" w14:textId="25441D14" w:rsidR="009F6E91" w:rsidRPr="00D427D8" w:rsidRDefault="009F6E91" w:rsidP="007A77EF">
      <w:pPr>
        <w:pStyle w:val="SchNumber3"/>
      </w:pPr>
      <w:r w:rsidRPr="00D427D8">
        <w:t>is not obliged to expend or risk its own funds or otherwise incur any financial liability in the performance of its duties, obligations or responsibilities or the exercise of any right, power, authority or discretion, if it has grounds for believing the repayment of such funds or adequate indemnity against, or security for, such risk or liability is not assured to it; and</w:t>
      </w:r>
    </w:p>
    <w:p w14:paraId="27536305" w14:textId="411C5A63" w:rsidR="009F6E91" w:rsidRPr="00D427D8" w:rsidRDefault="009F6E91" w:rsidP="007A77EF">
      <w:pPr>
        <w:pStyle w:val="SchNumber3"/>
      </w:pPr>
      <w:r w:rsidRPr="00D427D8">
        <w:t>shall not be bound to account to any other Secured Party for any sum or the profit element of any sum received by it for its own account.</w:t>
      </w:r>
    </w:p>
    <w:p w14:paraId="450A8B30" w14:textId="3D41853B" w:rsidR="009F6E91" w:rsidRPr="00D427D8" w:rsidRDefault="009F6E91" w:rsidP="007A77EF">
      <w:pPr>
        <w:pStyle w:val="SchHeading1"/>
      </w:pPr>
      <w:r w:rsidRPr="00D427D8">
        <w:t>Undertakings of the Issuer</w:t>
      </w:r>
    </w:p>
    <w:p w14:paraId="408A7825" w14:textId="7858AC82" w:rsidR="009F6E91" w:rsidRPr="00D427D8" w:rsidRDefault="009F6E91" w:rsidP="007A77EF">
      <w:pPr>
        <w:pStyle w:val="SchHeading2"/>
      </w:pPr>
      <w:r w:rsidRPr="00D427D8">
        <w:t>Undertakings in respect of the ER Security</w:t>
      </w:r>
    </w:p>
    <w:p w14:paraId="1B2FF6C4" w14:textId="16259345" w:rsidR="009F6E91" w:rsidRPr="00D427D8" w:rsidRDefault="007A77EF" w:rsidP="007A77EF">
      <w:pPr>
        <w:pStyle w:val="Body2"/>
      </w:pPr>
      <w:r w:rsidRPr="00D427D8">
        <w:t>The Issuer undertakes vis-à-vis the ER Collateral Agent:</w:t>
      </w:r>
    </w:p>
    <w:p w14:paraId="1A1A7015" w14:textId="77C464CC" w:rsidR="009F6E91" w:rsidRPr="00D427D8" w:rsidRDefault="009F6E91" w:rsidP="007A77EF">
      <w:pPr>
        <w:pStyle w:val="SchNumber3"/>
      </w:pPr>
      <w:r w:rsidRPr="00D427D8">
        <w:t xml:space="preserve">except as contemplated by the Transaction Documents, not to sell the </w:t>
      </w:r>
      <w:r w:rsidRPr="00D427D8">
        <w:rPr>
          <w:szCs w:val="19"/>
        </w:rPr>
        <w:t xml:space="preserve">ER </w:t>
      </w:r>
      <w:r w:rsidRPr="00D427D8">
        <w:t xml:space="preserve">Security and to refrain from all actions and failure to act (excluding the collection and enforcement of the </w:t>
      </w:r>
      <w:r w:rsidRPr="00D427D8">
        <w:rPr>
          <w:szCs w:val="19"/>
        </w:rPr>
        <w:t xml:space="preserve">ER </w:t>
      </w:r>
      <w:r w:rsidRPr="00D427D8">
        <w:t>Security in the ordinary course of business) which may result in a significant (</w:t>
      </w:r>
      <w:r w:rsidRPr="00D427D8">
        <w:rPr>
          <w:i/>
          <w:iCs/>
        </w:rPr>
        <w:t>wesentliche</w:t>
      </w:r>
      <w:r w:rsidRPr="00D427D8">
        <w:t xml:space="preserve">) decrease in the aggregate value or in a loss of the </w:t>
      </w:r>
      <w:r w:rsidRPr="00D427D8">
        <w:rPr>
          <w:szCs w:val="19"/>
        </w:rPr>
        <w:t xml:space="preserve">ER </w:t>
      </w:r>
      <w:r w:rsidRPr="00D427D8">
        <w:t>Security; if the Issuer receives notice that a Secured Party is not properly fulfilling its obligations under a Transaction Document, the Issuer will in particular exercise the due care of a prudent merchant (</w:t>
      </w:r>
      <w:r w:rsidRPr="00D427D8">
        <w:rPr>
          <w:i/>
          <w:iCs/>
        </w:rPr>
        <w:t>die Sorgfalt eines ordentlichen Kaufmanns</w:t>
      </w:r>
      <w:r w:rsidRPr="00D427D8">
        <w:t xml:space="preserve">) to take all necessary action to prevent the </w:t>
      </w:r>
      <w:r w:rsidRPr="00D427D8">
        <w:rPr>
          <w:szCs w:val="19"/>
        </w:rPr>
        <w:t xml:space="preserve">ER </w:t>
      </w:r>
      <w:r w:rsidRPr="00D427D8">
        <w:t>Security or its value from being jeopardised;</w:t>
      </w:r>
    </w:p>
    <w:p w14:paraId="034A95EC" w14:textId="445BE856" w:rsidR="009F6E91" w:rsidRPr="00D427D8" w:rsidRDefault="009F6E91" w:rsidP="007A77EF">
      <w:pPr>
        <w:pStyle w:val="SchNumber3"/>
      </w:pPr>
      <w:r w:rsidRPr="00D427D8">
        <w:t xml:space="preserve">upon request of the </w:t>
      </w:r>
      <w:r w:rsidRPr="00D427D8">
        <w:rPr>
          <w:szCs w:val="19"/>
        </w:rPr>
        <w:t xml:space="preserve">ER </w:t>
      </w:r>
      <w:r w:rsidRPr="00D427D8">
        <w:t xml:space="preserve">Collateral Agent to mark in its accounting records the transfer for security purposes and the pledge to the </w:t>
      </w:r>
      <w:r w:rsidRPr="00D427D8">
        <w:rPr>
          <w:szCs w:val="19"/>
        </w:rPr>
        <w:t xml:space="preserve">ER </w:t>
      </w:r>
      <w:r w:rsidRPr="00D427D8">
        <w:t xml:space="preserve">Collateral Agent and upon request of the </w:t>
      </w:r>
      <w:r w:rsidRPr="00D427D8">
        <w:rPr>
          <w:szCs w:val="19"/>
        </w:rPr>
        <w:t xml:space="preserve">ER </w:t>
      </w:r>
      <w:r w:rsidRPr="00D427D8">
        <w:t>Collateral Agent to disclose to third parties having a legal interest in becoming aware of the transfer for security purposes and the pledge that the transfer for security purposes and the pledge have taken place;</w:t>
      </w:r>
    </w:p>
    <w:p w14:paraId="5F662C5D" w14:textId="14ECF965" w:rsidR="009F6E91" w:rsidRPr="00D427D8" w:rsidRDefault="009F6E91" w:rsidP="007A77EF">
      <w:pPr>
        <w:pStyle w:val="SchNumber3"/>
      </w:pPr>
      <w:r w:rsidRPr="00D427D8">
        <w:t xml:space="preserve">promptly to notify the </w:t>
      </w:r>
      <w:r w:rsidRPr="00D427D8">
        <w:rPr>
          <w:szCs w:val="19"/>
        </w:rPr>
        <w:t xml:space="preserve">ER </w:t>
      </w:r>
      <w:r w:rsidRPr="00D427D8">
        <w:t xml:space="preserve">Collateral Agent (with a copy to the Seller) upon receipt of notice that the rights of the </w:t>
      </w:r>
      <w:r w:rsidRPr="00D427D8">
        <w:rPr>
          <w:szCs w:val="19"/>
        </w:rPr>
        <w:t xml:space="preserve">ER </w:t>
      </w:r>
      <w:r w:rsidRPr="00D427D8">
        <w:t xml:space="preserve">Collateral Agent in the </w:t>
      </w:r>
      <w:r w:rsidRPr="00D427D8">
        <w:rPr>
          <w:szCs w:val="19"/>
        </w:rPr>
        <w:t xml:space="preserve">ER </w:t>
      </w:r>
      <w:r w:rsidRPr="00D427D8">
        <w:t xml:space="preserve">Security are impaired or jeopardised by way of an attachment or other actions of third parties, by sending to the </w:t>
      </w:r>
      <w:r w:rsidRPr="00D427D8">
        <w:rPr>
          <w:szCs w:val="19"/>
        </w:rPr>
        <w:t xml:space="preserve">ER </w:t>
      </w:r>
      <w:r w:rsidRPr="00D427D8">
        <w:t xml:space="preserve">Collateral Agent a copy of the attachment or transfer order or of any other document on which the enforcement of the third party is based, as well as all further documents which are required or useful to enable the </w:t>
      </w:r>
      <w:r w:rsidRPr="00D427D8">
        <w:rPr>
          <w:szCs w:val="19"/>
        </w:rPr>
        <w:t xml:space="preserve">ER </w:t>
      </w:r>
      <w:r w:rsidRPr="00D427D8">
        <w:t xml:space="preserve">Collateral Agent to file proceedings and take other action in defence of its rights. In addition, the Issuer shall promptly inform the attachment creditor and other third parties of the rights of the </w:t>
      </w:r>
      <w:r w:rsidRPr="00D427D8">
        <w:rPr>
          <w:szCs w:val="19"/>
        </w:rPr>
        <w:t xml:space="preserve">ER </w:t>
      </w:r>
      <w:r w:rsidRPr="00D427D8">
        <w:t xml:space="preserve">Collateral Agent in the </w:t>
      </w:r>
      <w:r w:rsidRPr="00D427D8">
        <w:rPr>
          <w:szCs w:val="19"/>
        </w:rPr>
        <w:t xml:space="preserve">ER </w:t>
      </w:r>
      <w:r w:rsidRPr="00D427D8">
        <w:t>Security; and</w:t>
      </w:r>
    </w:p>
    <w:p w14:paraId="6DC0DD60" w14:textId="62285C79" w:rsidR="009F6E91" w:rsidRPr="00D427D8" w:rsidRDefault="009F6E91" w:rsidP="007A77EF">
      <w:pPr>
        <w:pStyle w:val="SchNumber3"/>
      </w:pPr>
      <w:r w:rsidRPr="00D427D8">
        <w:t xml:space="preserve">to permit the </w:t>
      </w:r>
      <w:r w:rsidRPr="00D427D8">
        <w:rPr>
          <w:szCs w:val="19"/>
        </w:rPr>
        <w:t xml:space="preserve">ER </w:t>
      </w:r>
      <w:r w:rsidRPr="00D427D8">
        <w:t xml:space="preserve">Collateral Agent or its representatives to inspect its books and records at any time during usual business hours for purposes of verifying and enforcing the </w:t>
      </w:r>
      <w:r w:rsidRPr="00D427D8">
        <w:rPr>
          <w:szCs w:val="19"/>
        </w:rPr>
        <w:t xml:space="preserve">ER </w:t>
      </w:r>
      <w:r w:rsidRPr="00D427D8">
        <w:t>Security, to give any information necessary for such purpose, and to make the relevant records available for inspection.</w:t>
      </w:r>
    </w:p>
    <w:p w14:paraId="1AF9AACE" w14:textId="7CDF019E" w:rsidR="009F6E91" w:rsidRPr="00D427D8" w:rsidRDefault="009F6E91" w:rsidP="007A77EF">
      <w:pPr>
        <w:pStyle w:val="SchHeading2"/>
      </w:pPr>
      <w:r w:rsidRPr="00D427D8">
        <w:t>Other undertakings of the Issuer</w:t>
      </w:r>
    </w:p>
    <w:p w14:paraId="771A6F48" w14:textId="36FF85F4" w:rsidR="009F6E91" w:rsidRPr="00D427D8" w:rsidRDefault="007A77EF" w:rsidP="007A77EF">
      <w:pPr>
        <w:pStyle w:val="Body2"/>
      </w:pPr>
      <w:r w:rsidRPr="00D427D8">
        <w:t>The Issuer undertakes to:</w:t>
      </w:r>
    </w:p>
    <w:p w14:paraId="4C2C242D" w14:textId="4170846B" w:rsidR="009F6E91" w:rsidRPr="00D427D8" w:rsidRDefault="009F6E91" w:rsidP="007A77EF">
      <w:pPr>
        <w:pStyle w:val="SchNumber3"/>
      </w:pPr>
      <w:r w:rsidRPr="00D427D8">
        <w:t xml:space="preserve">notify the </w:t>
      </w:r>
      <w:r w:rsidRPr="00D427D8">
        <w:rPr>
          <w:szCs w:val="19"/>
        </w:rPr>
        <w:t xml:space="preserve">ER </w:t>
      </w:r>
      <w:r w:rsidRPr="00D427D8">
        <w:t>Collateral Agent promptly if circumstances occur which constitute an Issuer Event of Default;</w:t>
      </w:r>
    </w:p>
    <w:p w14:paraId="5474B879" w14:textId="1494DD62" w:rsidR="009F6E91" w:rsidRPr="00D427D8" w:rsidRDefault="009F6E91" w:rsidP="007A77EF">
      <w:pPr>
        <w:pStyle w:val="SchNumber3"/>
      </w:pPr>
      <w:r w:rsidRPr="00D427D8">
        <w:t xml:space="preserve">submit to the </w:t>
      </w:r>
      <w:r w:rsidRPr="00D427D8">
        <w:rPr>
          <w:szCs w:val="19"/>
        </w:rPr>
        <w:t xml:space="preserve">ER </w:t>
      </w:r>
      <w:r w:rsidRPr="00D427D8">
        <w:t xml:space="preserve">Collateral Agent at least once a year and in any event not later than one hundred and twenty days after the end of its fiscal year and at any time upon demand within five Business Days a certificate signed by a director of the Issuer in which such director, in good faith and to the best of his/her knowledge based on the information available represents that during the period between the date the preceding certificate was submitted (or, in the case of the first certificate, the date of this Agreement) and the date on which the relevant certificate is submitted, the Issuer has fulfilled its obligations under the Notes and the other </w:t>
      </w:r>
      <w:r w:rsidRPr="00D427D8">
        <w:lastRenderedPageBreak/>
        <w:t>Transaction Documents or (if this is not the case) specifies the details of any breach and stating that no Issuer Event of Default has occurred;</w:t>
      </w:r>
    </w:p>
    <w:p w14:paraId="1CD5E9E7" w14:textId="2DFDAA48" w:rsidR="009F6E91" w:rsidRPr="00D427D8" w:rsidRDefault="009F6E91" w:rsidP="007A77EF">
      <w:pPr>
        <w:pStyle w:val="SchNumber3"/>
      </w:pPr>
      <w:r w:rsidRPr="00D427D8">
        <w:t xml:space="preserve">give the </w:t>
      </w:r>
      <w:r w:rsidRPr="00D427D8">
        <w:rPr>
          <w:szCs w:val="19"/>
        </w:rPr>
        <w:t xml:space="preserve">ER </w:t>
      </w:r>
      <w:r w:rsidRPr="00D427D8">
        <w:t>Collateral Agent at any time such other information it may reasonably demand for the purpose of performing its duties under this Agreement;</w:t>
      </w:r>
    </w:p>
    <w:p w14:paraId="557B04A1" w14:textId="777A500A" w:rsidR="009F6E91" w:rsidRPr="00D427D8" w:rsidRDefault="009F6E91" w:rsidP="007A77EF">
      <w:pPr>
        <w:pStyle w:val="SchNumber3"/>
      </w:pPr>
      <w:r w:rsidRPr="00D427D8">
        <w:t xml:space="preserve">send to the </w:t>
      </w:r>
      <w:r w:rsidRPr="00D427D8">
        <w:rPr>
          <w:szCs w:val="19"/>
        </w:rPr>
        <w:t xml:space="preserve">ER </w:t>
      </w:r>
      <w:r w:rsidRPr="00D427D8">
        <w:t>Collateral Agent one copy in the English language of any balance sheet, any profit and loss accounts, any schedule on the origin and the allocation of funds, any report or notice, or any other memorandum sent out by the Issuer to its shareholders either at the time of the mailing of those documents to the shareholders or as soon as possible thereafter;</w:t>
      </w:r>
    </w:p>
    <w:p w14:paraId="6B6D79CA" w14:textId="2A5D7F34" w:rsidR="009F6E91" w:rsidRPr="00D427D8" w:rsidRDefault="009F6E91" w:rsidP="007A77EF">
      <w:pPr>
        <w:pStyle w:val="SchNumber3"/>
      </w:pPr>
      <w:r w:rsidRPr="00D427D8">
        <w:t xml:space="preserve">send or have sent to the </w:t>
      </w:r>
      <w:r w:rsidRPr="00D427D8">
        <w:rPr>
          <w:szCs w:val="19"/>
        </w:rPr>
        <w:t xml:space="preserve">ER </w:t>
      </w:r>
      <w:r w:rsidRPr="00D427D8">
        <w:t>Collateral Agent a copy of any notice given in accordance with the terms and conditions of the Notes immediately, or at the latest within three Business Days after the publication of such notice; and</w:t>
      </w:r>
    </w:p>
    <w:p w14:paraId="61E62A66" w14:textId="19BDF720" w:rsidR="007A77EF" w:rsidRPr="00D427D8" w:rsidRDefault="009F6E91" w:rsidP="007A77EF">
      <w:pPr>
        <w:pStyle w:val="SchNumber3"/>
      </w:pPr>
      <w:r w:rsidRPr="00D427D8">
        <w:t xml:space="preserve">shall give or procure to be given to the </w:t>
      </w:r>
      <w:r w:rsidRPr="00D427D8">
        <w:rPr>
          <w:szCs w:val="19"/>
        </w:rPr>
        <w:t xml:space="preserve">ER </w:t>
      </w:r>
      <w:r w:rsidRPr="00D427D8">
        <w:t>Collateral Agent such opinions, certificates, information and evidence as it shall require and in such form as it shall require for the purpose of the discharge or exercise of the duties, trusts, powers, authorities and discretions vested in it under this Agreement or any other Transaction Document or by operation of law.</w:t>
      </w:r>
    </w:p>
    <w:bookmarkEnd w:id="270"/>
    <w:p w14:paraId="27BE50C5" w14:textId="77777777" w:rsidR="007A77EF" w:rsidRPr="00D427D8" w:rsidRDefault="007A77EF">
      <w:r w:rsidRPr="00D427D8">
        <w:br w:type="page"/>
      </w:r>
    </w:p>
    <w:p w14:paraId="55F57A2C" w14:textId="77777777" w:rsidR="009F6E91" w:rsidRPr="00D427D8" w:rsidRDefault="009F6E91" w:rsidP="00926C3A">
      <w:pPr>
        <w:pStyle w:val="CentredHeading"/>
      </w:pPr>
      <w:bookmarkStart w:id="283" w:name="_Toc194046512"/>
      <w:bookmarkStart w:id="284" w:name="_Toc198539670"/>
      <w:r w:rsidRPr="00D427D8">
        <w:lastRenderedPageBreak/>
        <w:t>DESCRIPTION OF CERTAIN TRANSACTION DOCUMENTS</w:t>
      </w:r>
      <w:bookmarkEnd w:id="283"/>
      <w:bookmarkEnd w:id="284"/>
    </w:p>
    <w:p w14:paraId="455CD222" w14:textId="77777777" w:rsidR="009F6E91" w:rsidRPr="00D427D8" w:rsidRDefault="009F6E91" w:rsidP="009F6E91">
      <w:pPr>
        <w:pStyle w:val="Body1"/>
        <w:rPr>
          <w:rStyle w:val="ItalicText"/>
        </w:rPr>
      </w:pPr>
      <w:r w:rsidRPr="00D427D8">
        <w:rPr>
          <w:rStyle w:val="ItalicText"/>
        </w:rPr>
        <w:t>The following is a description of some of the terms of certain Transaction Documents, the Security Assignment Deed and the Hedging Arrangement and is qualified in its entirety by the actual terms of such documents. It does not purport to be complete and investors should read the full terms of such documents for a better understanding of their contents. The Master Agreement Definitions Schedule and the Priority of Payments Schedule are annexes to the terms and conditions of the Notes.</w:t>
      </w:r>
    </w:p>
    <w:p w14:paraId="14F64EA0" w14:textId="77777777" w:rsidR="009F6E91" w:rsidRPr="00D427D8" w:rsidRDefault="009F6E91" w:rsidP="00EF7333">
      <w:pPr>
        <w:pStyle w:val="Body1"/>
        <w:rPr>
          <w:rStyle w:val="Heading1Text"/>
        </w:rPr>
      </w:pPr>
      <w:r w:rsidRPr="00D427D8">
        <w:rPr>
          <w:rStyle w:val="Heading1Text"/>
        </w:rPr>
        <w:t>Master Agreement</w:t>
      </w:r>
    </w:p>
    <w:p w14:paraId="483315A9" w14:textId="77777777" w:rsidR="009F6E91" w:rsidRPr="00D427D8" w:rsidRDefault="009F6E91" w:rsidP="009F6E91">
      <w:pPr>
        <w:pStyle w:val="Body1"/>
      </w:pPr>
      <w:r w:rsidRPr="00D427D8">
        <w:t>The Master Agreement which will be signed by all Transaction Parties includes the Master Agreement Definitions Schedule as well as the general terms of the Securitisation, in particular method, place, due date and Priority of Payments.</w:t>
      </w:r>
    </w:p>
    <w:p w14:paraId="6AD2BD73" w14:textId="77777777" w:rsidR="009F6E91" w:rsidRPr="00D427D8" w:rsidRDefault="009F6E91" w:rsidP="009F6E91">
      <w:pPr>
        <w:pStyle w:val="Body1"/>
      </w:pPr>
      <w:r w:rsidRPr="00D427D8">
        <w:t>Furthermore under the Master Agreement, the Seller undertakes that it will retain, on an on-going basis, a material net economic interest in the Securitisation of at least 5% of the nominal value of the securitised exposures</w:t>
      </w:r>
      <w:r w:rsidRPr="00D427D8">
        <w:rPr>
          <w:lang w:val="en-US"/>
        </w:rPr>
        <w:t xml:space="preserve">, be comprised of </w:t>
      </w:r>
      <w:r w:rsidRPr="00D427D8">
        <w:t xml:space="preserve">a vertical tranche which has a </w:t>
      </w:r>
      <w:r w:rsidRPr="00D427D8">
        <w:rPr>
          <w:i/>
        </w:rPr>
        <w:t xml:space="preserve">pro rata </w:t>
      </w:r>
      <w:r w:rsidRPr="00D427D8">
        <w:t>basis of not less than 5% of the total nominal value of each Class of Notes sold or transferred to investors, in accordance with Article 6(3)(a) of the EU Securitisation Regulation, which will not be subject to any credit-risk mitigation and/or hedging.</w:t>
      </w:r>
    </w:p>
    <w:p w14:paraId="31BAC270" w14:textId="77777777" w:rsidR="009F6E91" w:rsidRPr="00D427D8" w:rsidRDefault="009F6E91" w:rsidP="009F6E91">
      <w:pPr>
        <w:pStyle w:val="Body1"/>
      </w:pPr>
      <w:r w:rsidRPr="00D427D8">
        <w:t xml:space="preserve">Pursuant to the Master Agreement the Seller will have the option to repurchase all (but not less than all) of the outstanding Receivables if the </w:t>
      </w:r>
      <w:r w:rsidRPr="00D427D8">
        <w:rPr>
          <w:color w:val="000000"/>
          <w:lang w:val="en-US" w:eastAsia="de-DE"/>
        </w:rPr>
        <w:t>Aggregate Discounted Asset Balance</w:t>
      </w:r>
      <w:r w:rsidRPr="00D427D8">
        <w:t xml:space="preserve"> declines to less than 10% of the initial </w:t>
      </w:r>
      <w:r w:rsidRPr="00D427D8">
        <w:rPr>
          <w:color w:val="000000"/>
          <w:lang w:val="en-US" w:eastAsia="de-DE"/>
        </w:rPr>
        <w:t>Aggregate Discounted Asset Balance</w:t>
      </w:r>
      <w:r w:rsidRPr="00D427D8">
        <w:t xml:space="preserve"> on the Closing Date, provided that all payment obligations under the Notes will thereby be fulfilled.</w:t>
      </w:r>
    </w:p>
    <w:p w14:paraId="64C21E9F" w14:textId="77777777" w:rsidR="009F6E91" w:rsidRPr="00D427D8" w:rsidRDefault="009F6E91" w:rsidP="009F6E91">
      <w:pPr>
        <w:pStyle w:val="Body1"/>
      </w:pPr>
      <w:r w:rsidRPr="00D427D8">
        <w:t>The Master Agreement also provides for the governing law and jurisdiction of the Transaction Documents and the requirements for amendments to such.</w:t>
      </w:r>
    </w:p>
    <w:p w14:paraId="061DB519" w14:textId="77777777" w:rsidR="009F6E91" w:rsidRPr="00D427D8" w:rsidRDefault="009F6E91" w:rsidP="00EF7333">
      <w:pPr>
        <w:pStyle w:val="Body1"/>
        <w:rPr>
          <w:rStyle w:val="Heading1Text"/>
        </w:rPr>
      </w:pPr>
      <w:r w:rsidRPr="00D427D8">
        <w:rPr>
          <w:rStyle w:val="Heading1Text"/>
        </w:rPr>
        <w:t>Lease Receivables Purchase Agreement</w:t>
      </w:r>
    </w:p>
    <w:p w14:paraId="3CB932CF" w14:textId="77777777" w:rsidR="009F6E91" w:rsidRPr="00D427D8" w:rsidRDefault="009F6E91" w:rsidP="00EF7333">
      <w:pPr>
        <w:pStyle w:val="Body1"/>
        <w:rPr>
          <w:rStyle w:val="BoldItalicText"/>
        </w:rPr>
      </w:pPr>
      <w:r w:rsidRPr="00D427D8">
        <w:rPr>
          <w:rStyle w:val="BoldItalicText"/>
        </w:rPr>
        <w:t>Sale and Purchase.</w:t>
      </w:r>
    </w:p>
    <w:p w14:paraId="27DF07EB" w14:textId="77777777" w:rsidR="009F6E91" w:rsidRPr="00D427D8" w:rsidRDefault="009F6E91" w:rsidP="009F6E91">
      <w:pPr>
        <w:pStyle w:val="Body1"/>
      </w:pPr>
      <w:r w:rsidRPr="00D427D8">
        <w:t>On the Closing Date, the Seller, the Issuer and the Servicer will enter into the Lease Receivables Purchase Agreement.</w:t>
      </w:r>
    </w:p>
    <w:p w14:paraId="323F783F" w14:textId="77777777" w:rsidR="009F6E91" w:rsidRPr="00D427D8" w:rsidRDefault="009F6E91" w:rsidP="009F6E91">
      <w:pPr>
        <w:pStyle w:val="Body1"/>
      </w:pPr>
      <w:r w:rsidRPr="00D427D8">
        <w:t>Pursuant to the Lease Receivables Purchase Agreement, the Issuer will purchase from the Seller the Initial Lease Receivables and the Lease Collateral relating to such Initial Lease Receivables on the Closing Date, which the Seller has warranted satisfy the Eligibility Criteria, for payment of the Initial Lease Receivables Purchase Price for such Initial Lease Receivables.</w:t>
      </w:r>
    </w:p>
    <w:p w14:paraId="47F4D35E" w14:textId="797C286B" w:rsidR="009F6E91" w:rsidRPr="00D427D8" w:rsidRDefault="009F6E91" w:rsidP="009F6E91">
      <w:pPr>
        <w:pStyle w:val="Body1"/>
      </w:pPr>
      <w:r w:rsidRPr="00D427D8">
        <w:t>On any Further Purchase Date falling in the Revolving Period, the Seller may sell and assign Further Lease Receivables and the Lease Collateral relating to such Further Lease Receivables to the Issuer on such date (such date being the Further Purchase Date) against payment by the Issuer of the Further Lease Receivables Purchase Price for such Further Lease Receivables. The Further Lease Receivables will be specified in an Offer furnished to the Issuer and will be paid for by the Issuer with amounts allocated for that purpose under the Principal Priority of Payments. The Further Lease Receivables sold to the Issuer on a Further Purchase Date will be randomly selected from the Seller</w:t>
      </w:r>
      <w:r w:rsidR="00EF7333" w:rsidRPr="00D427D8">
        <w:t>'</w:t>
      </w:r>
      <w:r w:rsidRPr="00D427D8">
        <w:t>s portfolio of Lease Receivables which the Seller determines comply with the Eligibility Criteria.</w:t>
      </w:r>
    </w:p>
    <w:p w14:paraId="165D85C2" w14:textId="77777777" w:rsidR="009F6E91" w:rsidRPr="00D427D8" w:rsidRDefault="009F6E91" w:rsidP="009F6E91">
      <w:pPr>
        <w:pStyle w:val="Body1"/>
      </w:pPr>
      <w:r w:rsidRPr="00D427D8">
        <w:t>The Issuer will also be liable to pay any Excess Spread in respect of the Lease Receivables on each Distribution Date where there is a sufficient Available Distribution Amount in accordance with the applicable Priority of Payments.</w:t>
      </w:r>
    </w:p>
    <w:p w14:paraId="1CE11754" w14:textId="26DB9161" w:rsidR="009F6E91" w:rsidRPr="00D427D8" w:rsidRDefault="009F6E91" w:rsidP="009F6E91">
      <w:pPr>
        <w:pStyle w:val="Body1"/>
      </w:pPr>
      <w:r w:rsidRPr="00D427D8">
        <w:t xml:space="preserve">For further information on the Seller and the Receivables please refer to </w:t>
      </w:r>
      <w:r w:rsidR="00EF7333" w:rsidRPr="00D427D8">
        <w:t>"</w:t>
      </w:r>
      <w:r w:rsidR="00B12D53" w:rsidRPr="00D427D8">
        <w:rPr>
          <w:i/>
          <w:szCs w:val="19"/>
        </w:rPr>
        <w:t>The Seller and  the Servicer</w:t>
      </w:r>
      <w:r w:rsidR="00EF7333" w:rsidRPr="00D427D8">
        <w:t>"</w:t>
      </w:r>
      <w:r w:rsidRPr="00D427D8">
        <w:t xml:space="preserve"> and </w:t>
      </w:r>
      <w:r w:rsidR="00EF7333" w:rsidRPr="00D427D8">
        <w:t>"</w:t>
      </w:r>
      <w:r w:rsidRPr="00D427D8">
        <w:rPr>
          <w:i/>
        </w:rPr>
        <w:t>Eligibility Criteria</w:t>
      </w:r>
      <w:r w:rsidR="00EF7333" w:rsidRPr="00D427D8">
        <w:t>"</w:t>
      </w:r>
      <w:r w:rsidRPr="00D427D8">
        <w:t>.</w:t>
      </w:r>
    </w:p>
    <w:p w14:paraId="0248BFAC" w14:textId="77777777" w:rsidR="009F6E91" w:rsidRPr="00D427D8" w:rsidRDefault="009F6E91" w:rsidP="009F6E91">
      <w:pPr>
        <w:pStyle w:val="Body1"/>
      </w:pPr>
      <w:r w:rsidRPr="00D427D8">
        <w:t>As security for the existence and the performance of the Purchased Property, the Seller transfers to the Issuer the  Lease Collateral and security title (</w:t>
      </w:r>
      <w:r w:rsidRPr="00D427D8">
        <w:rPr>
          <w:i/>
          <w:iCs/>
        </w:rPr>
        <w:t>Sicherungseigentum</w:t>
      </w:r>
      <w:r w:rsidRPr="00D427D8">
        <w:t>) to the Leased Vehicles under a resolutory condition.</w:t>
      </w:r>
    </w:p>
    <w:p w14:paraId="3BEDC7E8" w14:textId="77777777" w:rsidR="009F6E91" w:rsidRPr="00D427D8" w:rsidRDefault="009F6E91" w:rsidP="009F6E91">
      <w:pPr>
        <w:pStyle w:val="Body1"/>
      </w:pPr>
      <w:r w:rsidRPr="00D427D8">
        <w:rPr>
          <w:rStyle w:val="BoldItalicText"/>
        </w:rPr>
        <w:t>Lease Collateral</w:t>
      </w:r>
      <w:r w:rsidRPr="00D427D8">
        <w:t xml:space="preserve"> consists of:</w:t>
      </w:r>
    </w:p>
    <w:p w14:paraId="2C1ADF62" w14:textId="5DC0C4D7" w:rsidR="009F6E91" w:rsidRPr="00D427D8" w:rsidRDefault="009F6E91" w:rsidP="00C8283A">
      <w:pPr>
        <w:pStyle w:val="Body1"/>
        <w:numPr>
          <w:ilvl w:val="0"/>
          <w:numId w:val="33"/>
        </w:numPr>
      </w:pPr>
      <w:r w:rsidRPr="00D427D8">
        <w:lastRenderedPageBreak/>
        <w:t>all present and future claims to determine the legal relationship (</w:t>
      </w:r>
      <w:r w:rsidRPr="00D427D8">
        <w:rPr>
          <w:i/>
          <w:iCs/>
        </w:rPr>
        <w:t>Gestaltungsrechte</w:t>
      </w:r>
      <w:r w:rsidRPr="00D427D8">
        <w:t>) under the Lease Agreements entered into between the Seller and the relevant Lessees and relating to the respective Purchased Lease Receivables;</w:t>
      </w:r>
    </w:p>
    <w:p w14:paraId="1DF883C0" w14:textId="474C6544" w:rsidR="009F6E91" w:rsidRPr="00D427D8" w:rsidRDefault="009F6E91" w:rsidP="00C8283A">
      <w:pPr>
        <w:pStyle w:val="Body1"/>
        <w:numPr>
          <w:ilvl w:val="0"/>
          <w:numId w:val="33"/>
        </w:numPr>
      </w:pPr>
      <w:r w:rsidRPr="00D427D8">
        <w:t>Insurance Proceeds and all further claims under all insurance agreements to the extent they pertain to the respective Leased Vehicles, including property insurance (</w:t>
      </w:r>
      <w:r w:rsidRPr="00D427D8">
        <w:rPr>
          <w:i/>
          <w:iCs/>
        </w:rPr>
        <w:t>Kaskoversicherung</w:t>
      </w:r>
      <w:r w:rsidRPr="00D427D8">
        <w:t>) claims. At any time after a Servicer Default has occurred, the Seller, upon request of the Purchaser or, following delivery of an Enforcement Notice, the Collateral Agent, will inform any relevant insurance company of the assignment of any insurance claims and shall use its best efforts to procure the issuance of a security certificate (</w:t>
      </w:r>
      <w:r w:rsidRPr="00D427D8">
        <w:rPr>
          <w:i/>
          <w:iCs/>
        </w:rPr>
        <w:t>Sicherungsschein</w:t>
      </w:r>
      <w:r w:rsidRPr="00D427D8">
        <w:t>) in the Issuer</w:t>
      </w:r>
      <w:r w:rsidR="00EF7333" w:rsidRPr="00D427D8">
        <w:t>'</w:t>
      </w:r>
      <w:r w:rsidRPr="00D427D8">
        <w:t>s name. In any such event, the Issuer is authorised to notify the relevant insurance company of the assignment on behalf of the Seller;</w:t>
      </w:r>
    </w:p>
    <w:p w14:paraId="61E32BB9" w14:textId="58D5B087" w:rsidR="009F6E91" w:rsidRPr="00D427D8" w:rsidRDefault="009F6E91" w:rsidP="00C8283A">
      <w:pPr>
        <w:pStyle w:val="Body1"/>
        <w:numPr>
          <w:ilvl w:val="0"/>
          <w:numId w:val="33"/>
        </w:numPr>
      </w:pPr>
      <w:r w:rsidRPr="00D427D8">
        <w:t>all claims of the Seller to indemnification amounts, damages, and restitution claims related to Purchased Lease Receivables; and</w:t>
      </w:r>
    </w:p>
    <w:p w14:paraId="63114347" w14:textId="18E2082E" w:rsidR="009F6E91" w:rsidRPr="00D427D8" w:rsidRDefault="009F6E91" w:rsidP="00C8283A">
      <w:pPr>
        <w:pStyle w:val="Body1"/>
        <w:numPr>
          <w:ilvl w:val="0"/>
          <w:numId w:val="33"/>
        </w:numPr>
      </w:pPr>
      <w:r w:rsidRPr="00D427D8">
        <w:t>all other collateral (e.g. sureties (</w:t>
      </w:r>
      <w:r w:rsidRPr="00D427D8">
        <w:rPr>
          <w:i/>
          <w:iCs/>
        </w:rPr>
        <w:t>Bürgschaften</w:t>
      </w:r>
      <w:r w:rsidRPr="00D427D8">
        <w:t>) and bank guarantees (</w:t>
      </w:r>
      <w:r w:rsidRPr="00D427D8">
        <w:rPr>
          <w:i/>
          <w:iCs/>
        </w:rPr>
        <w:t>Bankbürgschaften</w:t>
      </w:r>
      <w:r w:rsidRPr="00D427D8">
        <w:t>)) related to the respective Purchased Lease Receivable.</w:t>
      </w:r>
    </w:p>
    <w:p w14:paraId="284EEA4A" w14:textId="76E4DA8E" w:rsidR="009F6E91" w:rsidRPr="00D427D8" w:rsidRDefault="009F6E91" w:rsidP="009F6E91">
      <w:pPr>
        <w:pStyle w:val="Body1"/>
      </w:pPr>
      <w:r w:rsidRPr="00D427D8">
        <w:t>Furthermore, the Seller transfers security title (</w:t>
      </w:r>
      <w:r w:rsidRPr="00D427D8">
        <w:rPr>
          <w:i/>
          <w:iCs/>
        </w:rPr>
        <w:t>Sicherungseigentum</w:t>
      </w:r>
      <w:r w:rsidRPr="00D427D8">
        <w:t>) to the Leased Vehicles to the Issuer under the Lease Receivables Purchase Agreement. The transfer of title to the Leased Vehicles for security purposes pursuant to the Lease Receivables Purchase Agreement and the assignment of any claims for surrender thereof (</w:t>
      </w:r>
      <w:r w:rsidRPr="00D427D8">
        <w:rPr>
          <w:i/>
          <w:iCs/>
        </w:rPr>
        <w:t>Herausgabeanspruch</w:t>
      </w:r>
      <w:r w:rsidRPr="00D427D8">
        <w:t>) is subject to the resolutory condition (</w:t>
      </w:r>
      <w:r w:rsidRPr="00D427D8">
        <w:rPr>
          <w:i/>
          <w:iCs/>
        </w:rPr>
        <w:t>auflösende Bedingung</w:t>
      </w:r>
      <w:r w:rsidRPr="00D427D8">
        <w:t xml:space="preserve">) of the earlier of the (i) full and final satisfaction of the obligations secured pursuant to clause 5 of the Lease Receivables Purchase Agreement, (ii) full and final payment of the relevant Purchased Lease Receivables, or (iii) the (early or regular) termination with payment in full of all amounts owing to it under, or as a result of the early termination of, the relevant Lease Agreement (the </w:t>
      </w:r>
      <w:r w:rsidR="00EF7333" w:rsidRPr="00D427D8">
        <w:t>"</w:t>
      </w:r>
      <w:r w:rsidRPr="00D427D8">
        <w:rPr>
          <w:rStyle w:val="BoldText"/>
        </w:rPr>
        <w:t>Release Condition</w:t>
      </w:r>
      <w:r w:rsidR="00EF7333" w:rsidRPr="00D427D8">
        <w:t>"</w:t>
      </w:r>
      <w:r w:rsidRPr="00D427D8">
        <w:t>).</w:t>
      </w:r>
    </w:p>
    <w:p w14:paraId="767ED725" w14:textId="77777777" w:rsidR="009F6E91" w:rsidRPr="00D427D8" w:rsidRDefault="009F6E91" w:rsidP="009F6E91">
      <w:pPr>
        <w:pStyle w:val="Body1"/>
      </w:pPr>
      <w:r w:rsidRPr="00D427D8">
        <w:rPr>
          <w:b/>
          <w:i/>
        </w:rPr>
        <w:t>Representations of the Seller.</w:t>
      </w:r>
      <w:r w:rsidRPr="00D427D8">
        <w:t xml:space="preserve"> The Seller will make the Basic Representations under the Master Agreement and representations regarding the Lease Receivables under the Lease Receivables Purchase Agreement.</w:t>
      </w:r>
    </w:p>
    <w:p w14:paraId="7B10A478" w14:textId="77777777" w:rsidR="009F6E91" w:rsidRPr="00D427D8" w:rsidRDefault="009F6E91" w:rsidP="009F6E91">
      <w:pPr>
        <w:pStyle w:val="Body1"/>
      </w:pPr>
      <w:r w:rsidRPr="00D427D8">
        <w:t>The Seller will, in particular, represent with regard to the Lease Receivables that as of the Cut-off Date and each Further Purchase Cut-off Date:</w:t>
      </w:r>
    </w:p>
    <w:p w14:paraId="48827D83" w14:textId="304FE2D0" w:rsidR="009F6E91" w:rsidRPr="00D427D8" w:rsidRDefault="009F6E91" w:rsidP="00C8283A">
      <w:pPr>
        <w:pStyle w:val="Body1"/>
        <w:numPr>
          <w:ilvl w:val="0"/>
          <w:numId w:val="34"/>
        </w:numPr>
      </w:pPr>
      <w:r w:rsidRPr="00D427D8">
        <w:t>Each Lease Receivable complies with the Eligibility Criteria.</w:t>
      </w:r>
    </w:p>
    <w:p w14:paraId="5115F669" w14:textId="03BD1F08" w:rsidR="009F6E91" w:rsidRPr="00D427D8" w:rsidRDefault="009F6E91" w:rsidP="00C8283A">
      <w:pPr>
        <w:pStyle w:val="Body1"/>
        <w:numPr>
          <w:ilvl w:val="0"/>
          <w:numId w:val="34"/>
        </w:numPr>
      </w:pPr>
      <w:r w:rsidRPr="00D427D8">
        <w:t>Each Lease Receivable: (i) is validly existing and freely assignable and (ii) contains enforceable provisions such as to render the rights and remedies of the holder thereof adequate for the realisation of the Lease Collateral and (iii) is free from any Security Interest.</w:t>
      </w:r>
    </w:p>
    <w:p w14:paraId="529B0298" w14:textId="095C24BD" w:rsidR="009F6E91" w:rsidRPr="00D427D8" w:rsidRDefault="009F6E91" w:rsidP="00C8283A">
      <w:pPr>
        <w:pStyle w:val="Body1"/>
        <w:numPr>
          <w:ilvl w:val="0"/>
          <w:numId w:val="34"/>
        </w:numPr>
      </w:pPr>
      <w:r w:rsidRPr="00D427D8">
        <w:t>The information set forth in the Schedule of Receivables is true and correct in all material respects</w:t>
      </w:r>
    </w:p>
    <w:p w14:paraId="1FBF6301" w14:textId="2EFA2E4B" w:rsidR="009F6E91" w:rsidRPr="00D427D8" w:rsidRDefault="009F6E91" w:rsidP="00C8283A">
      <w:pPr>
        <w:pStyle w:val="Body1"/>
        <w:numPr>
          <w:ilvl w:val="0"/>
          <w:numId w:val="34"/>
        </w:numPr>
      </w:pPr>
      <w:r w:rsidRPr="00D427D8">
        <w:t>No selection procedures believed to be adverse to the Issuer were utilised in selecting the Lease Receivables from those receivables of the Seller which meet the selection criteria set forth in the Lease Receivables Purchase Agreement.</w:t>
      </w:r>
    </w:p>
    <w:p w14:paraId="0C45D26A" w14:textId="4ECEBF99" w:rsidR="009F6E91" w:rsidRPr="00D427D8" w:rsidRDefault="009F6E91" w:rsidP="00C8283A">
      <w:pPr>
        <w:pStyle w:val="Body1"/>
        <w:numPr>
          <w:ilvl w:val="0"/>
          <w:numId w:val="34"/>
        </w:numPr>
      </w:pPr>
      <w:r w:rsidRPr="00D427D8">
        <w:t>All requirements of applicable laws and regulations in respect of any of the Lease Receivables, have been complied with in all material respects, and each Lease Receivable complied at the time it was originated or made and now complies in all material respects with all legal requirements of the jurisdiction in which it was originated or made, except that (i) the revocation instruction (</w:t>
      </w:r>
      <w:r w:rsidRPr="00D427D8">
        <w:rPr>
          <w:i/>
          <w:iCs/>
        </w:rPr>
        <w:t>Widerrufsinfomationen</w:t>
      </w:r>
      <w:r w:rsidRPr="00D427D8">
        <w:t>) may not comply with the template wording provided by the German legislator or otherwise with applicable law or (ii) the Lease Agreement may not contain all mandatory information (</w:t>
      </w:r>
      <w:r w:rsidRPr="00D427D8">
        <w:rPr>
          <w:i/>
          <w:iCs/>
        </w:rPr>
        <w:t>Pflichtangaben</w:t>
      </w:r>
      <w:r w:rsidRPr="00D427D8">
        <w:t>) as required by applicable law.</w:t>
      </w:r>
    </w:p>
    <w:p w14:paraId="6DA5F70F" w14:textId="6C992DF1" w:rsidR="009F6E91" w:rsidRPr="00D427D8" w:rsidRDefault="009F6E91" w:rsidP="00C8283A">
      <w:pPr>
        <w:pStyle w:val="Body1"/>
        <w:numPr>
          <w:ilvl w:val="0"/>
          <w:numId w:val="34"/>
        </w:numPr>
      </w:pPr>
      <w:r w:rsidRPr="00D427D8">
        <w:t>Each Lease Receivable represents the genuine, legal, valid and binding payment obligation of the Lessee thereon, with full recourse to such Lessee and enforceable by the holder thereof in accordance with its terms, except as enforceability may be limited by bankruptcy, insolvency, reorganisation or similar laws affecting the enforcement of creditors</w:t>
      </w:r>
      <w:r w:rsidR="00EF7333" w:rsidRPr="00D427D8">
        <w:t>'</w:t>
      </w:r>
      <w:r w:rsidRPr="00D427D8">
        <w:t xml:space="preserve"> rights in general.</w:t>
      </w:r>
    </w:p>
    <w:p w14:paraId="1303F064" w14:textId="0EC5E85B" w:rsidR="009F6E91" w:rsidRPr="00D427D8" w:rsidRDefault="009F6E91" w:rsidP="00C8283A">
      <w:pPr>
        <w:pStyle w:val="Body1"/>
        <w:numPr>
          <w:ilvl w:val="0"/>
          <w:numId w:val="35"/>
        </w:numPr>
      </w:pPr>
      <w:r w:rsidRPr="00D427D8">
        <w:t>Immediately prior to the sale, transfer and assignment of the Receivables pursuant to the Lease Receivables Purchase Agreement, the Seller held unrestricted legal title to and the beneficial interest in each Lease Receivable.</w:t>
      </w:r>
    </w:p>
    <w:p w14:paraId="1929DC36" w14:textId="596F9C6F" w:rsidR="009F6E91" w:rsidRPr="00D427D8" w:rsidRDefault="009F6E91" w:rsidP="00C8283A">
      <w:pPr>
        <w:pStyle w:val="Body1"/>
        <w:numPr>
          <w:ilvl w:val="0"/>
          <w:numId w:val="35"/>
        </w:numPr>
      </w:pPr>
      <w:r w:rsidRPr="00D427D8">
        <w:lastRenderedPageBreak/>
        <w:t>No Lease Receivable has been satisfied, subordinated or rescinded.</w:t>
      </w:r>
    </w:p>
    <w:p w14:paraId="75F1B9B6" w14:textId="29D14310" w:rsidR="009F6E91" w:rsidRPr="00D427D8" w:rsidRDefault="009F6E91" w:rsidP="00C8283A">
      <w:pPr>
        <w:pStyle w:val="Body1"/>
        <w:numPr>
          <w:ilvl w:val="0"/>
          <w:numId w:val="35"/>
        </w:numPr>
      </w:pPr>
      <w:bookmarkStart w:id="285" w:name="_Hlk84591593"/>
      <w:r w:rsidRPr="00D427D8">
        <w:t>No provision of a Lease Receivable has been waived or altered in any respect.</w:t>
      </w:r>
      <w:bookmarkEnd w:id="285"/>
    </w:p>
    <w:p w14:paraId="556E80DD" w14:textId="41464D37" w:rsidR="009F6E91" w:rsidRPr="00D427D8" w:rsidRDefault="009F6E91" w:rsidP="00C8283A">
      <w:pPr>
        <w:pStyle w:val="Body1"/>
        <w:numPr>
          <w:ilvl w:val="0"/>
          <w:numId w:val="35"/>
        </w:numPr>
      </w:pPr>
      <w:r w:rsidRPr="00D427D8">
        <w:t>The Seller is entitled to transfer title to the Purchased Lease Receivables and the Lease Collateral (</w:t>
      </w:r>
      <w:r w:rsidRPr="00D427D8">
        <w:rPr>
          <w:i/>
        </w:rPr>
        <w:t>Verfügungsbefugnis</w:t>
      </w:r>
      <w:r w:rsidRPr="00D427D8">
        <w:t>); and, upon execution and delivery of the Lease Receivables Purchase Agreement by the Seller, the Issuer shall have all of the right and interest (</w:t>
      </w:r>
      <w:r w:rsidRPr="00D427D8">
        <w:rPr>
          <w:i/>
        </w:rPr>
        <w:t>Forderungsinhaberschaft</w:t>
      </w:r>
      <w:r w:rsidRPr="00D427D8">
        <w:t>) of the Seller in and to the Purchased Lease Receivables and the Lease Collateral free of any lien other than statutory liens or liens attaching by operation of law.</w:t>
      </w:r>
    </w:p>
    <w:p w14:paraId="0B5280F8" w14:textId="410D0475" w:rsidR="009F6E91" w:rsidRPr="00D427D8" w:rsidRDefault="009F6E91" w:rsidP="00C8283A">
      <w:pPr>
        <w:pStyle w:val="Body1"/>
        <w:numPr>
          <w:ilvl w:val="0"/>
          <w:numId w:val="35"/>
        </w:numPr>
      </w:pPr>
      <w:r w:rsidRPr="00D427D8">
        <w:t>No Lease Receivable was originated in, or is subject to the laws of, any jurisdiction the laws of which would make unlawful the sale, transfer and assignment of such Receivable under the Lease Receivables Purchase Agreement.</w:t>
      </w:r>
    </w:p>
    <w:p w14:paraId="772A6609" w14:textId="2B70CF4D" w:rsidR="009F6E91" w:rsidRPr="00D427D8" w:rsidRDefault="009F6E91" w:rsidP="00C8283A">
      <w:pPr>
        <w:pStyle w:val="Body1"/>
        <w:numPr>
          <w:ilvl w:val="0"/>
          <w:numId w:val="35"/>
        </w:numPr>
      </w:pPr>
      <w:r w:rsidRPr="00D427D8">
        <w:t>Each Lease Receivable and the relevant Lease Collateral (including any amendments thereto) was originated in accordance with the Seller</w:t>
      </w:r>
      <w:r w:rsidR="00EF7333" w:rsidRPr="00D427D8">
        <w:t>'</w:t>
      </w:r>
      <w:r w:rsidRPr="00D427D8">
        <w:t>s Credit and Collection Policy in effect at the time of the origination, which also applies to leases which will not be securitised.</w:t>
      </w:r>
    </w:p>
    <w:p w14:paraId="30994D19" w14:textId="21CD8BCD" w:rsidR="009F6E91" w:rsidRPr="00D427D8" w:rsidRDefault="009F6E91" w:rsidP="00C8283A">
      <w:pPr>
        <w:pStyle w:val="Body1"/>
        <w:numPr>
          <w:ilvl w:val="0"/>
          <w:numId w:val="35"/>
        </w:numPr>
      </w:pPr>
      <w:r w:rsidRPr="00D427D8">
        <w:t>The Seller has in place (i) effective systems to apply its standard loan criteria for granting the Purchased Lease Receivables and (ii) processes for approving and, where relevant, amending, renewing and re-financing the Purchased Lease Receivables, in order to ensure that granting of the Purchased Lease Receivables is based on a thorough assessment of each Lessee</w:t>
      </w:r>
      <w:r w:rsidR="00EF7333" w:rsidRPr="00D427D8">
        <w:t>'</w:t>
      </w:r>
      <w:r w:rsidRPr="00D427D8">
        <w:t>s creditworthiness.</w:t>
      </w:r>
    </w:p>
    <w:p w14:paraId="042F8C3B" w14:textId="6578EE3E" w:rsidR="009F6E91" w:rsidRPr="00D427D8" w:rsidRDefault="009F6E91" w:rsidP="00C8283A">
      <w:pPr>
        <w:pStyle w:val="Body1"/>
        <w:numPr>
          <w:ilvl w:val="0"/>
          <w:numId w:val="35"/>
        </w:numPr>
      </w:pPr>
      <w:r w:rsidRPr="00D427D8">
        <w:t>The assessment of each Lessee</w:t>
      </w:r>
      <w:r w:rsidR="00EF7333" w:rsidRPr="00D427D8">
        <w:t>'</w:t>
      </w:r>
      <w:r w:rsidRPr="00D427D8">
        <w:t>s creditworthiness (i) will be performed on the basis of sufficient information, where appropriate obtained from the Lessee and, where necessary, on the basis of a consultation of the relevant database, (ii) will be repeated before any significant increase in the total amount is granted after the conclusion of the loan, in combination with an update of the Lessee</w:t>
      </w:r>
      <w:r w:rsidR="00EF7333" w:rsidRPr="00D427D8">
        <w:t>'</w:t>
      </w:r>
      <w:r w:rsidRPr="00D427D8">
        <w:t>s financial information, and (iii) meets the requirements set out in Article 8 of Directive 2008/48/EC or paragraphs 1 to 4, point (a) of paragraph 5, and paragraph 6 of Article 18 of Directive 2014/17/EU.</w:t>
      </w:r>
    </w:p>
    <w:p w14:paraId="2F23663D" w14:textId="6B58B842" w:rsidR="009F6E91" w:rsidRPr="00D427D8" w:rsidRDefault="009F6E91" w:rsidP="00C8283A">
      <w:pPr>
        <w:pStyle w:val="Body1"/>
        <w:numPr>
          <w:ilvl w:val="0"/>
          <w:numId w:val="35"/>
        </w:numPr>
      </w:pPr>
      <w:bookmarkStart w:id="286" w:name="_Hlk84587650"/>
      <w:bookmarkStart w:id="287" w:name="_Hlk84586905"/>
      <w:r w:rsidRPr="00D427D8">
        <w:rPr>
          <w:szCs w:val="19"/>
        </w:rPr>
        <w:t>N</w:t>
      </w:r>
      <w:r w:rsidRPr="00D427D8">
        <w:t xml:space="preserve">o Lease Receivable has been amended or otherwise modified in a way which would qualify as a Non-Permitted Variation. For the avoidance of doubt any amendment made in accordance with the </w:t>
      </w:r>
      <w:r w:rsidRPr="00D427D8">
        <w:rPr>
          <w:szCs w:val="19"/>
        </w:rPr>
        <w:t>Seller</w:t>
      </w:r>
      <w:r w:rsidR="00EF7333" w:rsidRPr="00D427D8">
        <w:rPr>
          <w:szCs w:val="19"/>
        </w:rPr>
        <w:t>'</w:t>
      </w:r>
      <w:r w:rsidRPr="00D427D8">
        <w:rPr>
          <w:szCs w:val="19"/>
        </w:rPr>
        <w:t>s</w:t>
      </w:r>
      <w:r w:rsidRPr="00D427D8">
        <w:t xml:space="preserve"> Credit and Collection Policy shall not extend the maturity date of the respective Lease Agreement past the Final Legal Maturity Date</w:t>
      </w:r>
      <w:bookmarkEnd w:id="286"/>
      <w:r w:rsidRPr="00D427D8">
        <w:t>.</w:t>
      </w:r>
      <w:bookmarkEnd w:id="287"/>
    </w:p>
    <w:p w14:paraId="7C15EB7A" w14:textId="621BC830" w:rsidR="009F6E91" w:rsidRPr="00D427D8" w:rsidRDefault="009F6E91" w:rsidP="00C8283A">
      <w:pPr>
        <w:pStyle w:val="Body1"/>
        <w:numPr>
          <w:ilvl w:val="0"/>
          <w:numId w:val="35"/>
        </w:numPr>
      </w:pPr>
      <w:r w:rsidRPr="00D427D8">
        <w:t>To the Seller</w:t>
      </w:r>
      <w:r w:rsidR="00EF7333" w:rsidRPr="00D427D8">
        <w:t>'</w:t>
      </w:r>
      <w:r w:rsidRPr="00D427D8">
        <w:t xml:space="preserve">s knowledge or to what the Seller ought to have known (acting as diligent merchant / </w:t>
      </w:r>
      <w:r w:rsidRPr="00D427D8">
        <w:rPr>
          <w:i/>
        </w:rPr>
        <w:t>ordentlicher Kaufmann</w:t>
      </w:r>
      <w:r w:rsidRPr="00D427D8">
        <w:t>) (</w:t>
      </w:r>
      <w:r w:rsidRPr="00D427D8">
        <w:rPr>
          <w:i/>
        </w:rPr>
        <w:t>Kenntnis oder kennen müssen</w:t>
      </w:r>
      <w:r w:rsidRPr="00D427D8">
        <w:t>),</w:t>
      </w:r>
    </w:p>
    <w:p w14:paraId="6FF7A5CC" w14:textId="592C5142" w:rsidR="009F6E91" w:rsidRPr="00D427D8" w:rsidRDefault="007A77EF" w:rsidP="007A77EF">
      <w:pPr>
        <w:pStyle w:val="Body2"/>
        <w:ind w:left="1440" w:hanging="731"/>
      </w:pPr>
      <w:r w:rsidRPr="00D427D8">
        <w:rPr>
          <w:rFonts w:ascii="Times New Roman" w:hAnsi="Times New Roman"/>
        </w:rPr>
        <w:t>-</w:t>
      </w:r>
      <w:r w:rsidRPr="00D427D8">
        <w:rPr>
          <w:rFonts w:ascii="Times New Roman" w:hAnsi="Times New Roman"/>
        </w:rPr>
        <w:tab/>
      </w:r>
      <w:r w:rsidRPr="00D427D8">
        <w:t>no right of rescission, termination, set-off, counterclaim, defence (</w:t>
      </w:r>
      <w:r w:rsidRPr="00D427D8">
        <w:rPr>
          <w:i/>
        </w:rPr>
        <w:t>Einwendungen und Einreden</w:t>
      </w:r>
      <w:r w:rsidRPr="00D427D8">
        <w:t>) or warranty claim of the Lessee has been asserted or threatened with respect to any Lease Receivable and none of the Lessees has exercised its right of revocation within the term of revocation.</w:t>
      </w:r>
    </w:p>
    <w:p w14:paraId="0AA07454" w14:textId="50F383EF" w:rsidR="009F6E91" w:rsidRPr="00D427D8" w:rsidRDefault="007A77EF" w:rsidP="007A77EF">
      <w:pPr>
        <w:pStyle w:val="Body2"/>
        <w:ind w:left="1440" w:hanging="731"/>
      </w:pPr>
      <w:r w:rsidRPr="00D427D8">
        <w:rPr>
          <w:rFonts w:ascii="Times New Roman" w:hAnsi="Times New Roman"/>
        </w:rPr>
        <w:t>-</w:t>
      </w:r>
      <w:r w:rsidRPr="00D427D8">
        <w:rPr>
          <w:rFonts w:ascii="Times New Roman" w:hAnsi="Times New Roman"/>
        </w:rPr>
        <w:tab/>
      </w:r>
      <w:r w:rsidRPr="00D427D8">
        <w:t>no tax lien or claim has been made or asserted with respect to any Receivable.</w:t>
      </w:r>
    </w:p>
    <w:p w14:paraId="489B7FAD" w14:textId="1E7586ED" w:rsidR="009F6E91" w:rsidRPr="00D427D8" w:rsidRDefault="007A77EF" w:rsidP="007A77EF">
      <w:pPr>
        <w:pStyle w:val="Body2"/>
        <w:ind w:left="1440" w:hanging="731"/>
      </w:pPr>
      <w:r w:rsidRPr="00D427D8">
        <w:rPr>
          <w:rFonts w:ascii="Times New Roman" w:hAnsi="Times New Roman"/>
        </w:rPr>
        <w:t>-</w:t>
      </w:r>
      <w:r w:rsidRPr="00D427D8">
        <w:rPr>
          <w:rFonts w:ascii="Times New Roman" w:hAnsi="Times New Roman"/>
        </w:rPr>
        <w:tab/>
      </w:r>
      <w:r w:rsidRPr="00D427D8">
        <w:t>no insolvency proceedings have been initiated against any of the Lessees during the term of the Lease Agreements up to the Cut-off Date or Further Purchase Cut-off Date, as applicable, and none of the Lease Receivables have been rescheduled or subject to a moratorium up to the Cut-off Date or Further Purchase Cut-off Date, as applicable.</w:t>
      </w:r>
    </w:p>
    <w:p w14:paraId="107DDC6D" w14:textId="735F50CE" w:rsidR="009F6E91" w:rsidRPr="00D427D8" w:rsidRDefault="009F6E91" w:rsidP="00C8283A">
      <w:pPr>
        <w:pStyle w:val="Body1"/>
        <w:numPr>
          <w:ilvl w:val="0"/>
          <w:numId w:val="36"/>
        </w:numPr>
      </w:pPr>
      <w:r w:rsidRPr="00D427D8">
        <w:t>Following the sale of the Purchased Lease Receivables to the Issuer on the Closing Date or the relevant Further Purchase Date, all of the Purchased Lease Receivables (excluding Defaulted Receivables) held by the Issuer taken together will not exceed the Concentration Limits during the Revolving Period.</w:t>
      </w:r>
    </w:p>
    <w:p w14:paraId="477E0D80" w14:textId="2AABE021" w:rsidR="009F6E91" w:rsidRPr="00D427D8" w:rsidRDefault="009F6E91" w:rsidP="00C8283A">
      <w:pPr>
        <w:pStyle w:val="Body1"/>
        <w:numPr>
          <w:ilvl w:val="0"/>
          <w:numId w:val="36"/>
        </w:numPr>
      </w:pPr>
      <w:r w:rsidRPr="00D427D8">
        <w:t>No Purchased Lease Receivable constitutes a derivative contract.</w:t>
      </w:r>
    </w:p>
    <w:p w14:paraId="49D8C16A" w14:textId="1EC21E0B" w:rsidR="009F6E91" w:rsidRPr="00D427D8" w:rsidRDefault="009F6E91" w:rsidP="00C8283A">
      <w:pPr>
        <w:pStyle w:val="Body1"/>
        <w:numPr>
          <w:ilvl w:val="0"/>
          <w:numId w:val="36"/>
        </w:numPr>
      </w:pPr>
      <w:r w:rsidRPr="00D427D8">
        <w:t>No Purchased Lease Receivable constitutes a securitisation position as defined in the EU Securitisation Regulation.</w:t>
      </w:r>
    </w:p>
    <w:p w14:paraId="1B80D827" w14:textId="18074D7C" w:rsidR="009F6E91" w:rsidRPr="00D427D8" w:rsidRDefault="009F6E91" w:rsidP="00C8283A">
      <w:pPr>
        <w:pStyle w:val="Body1"/>
        <w:numPr>
          <w:ilvl w:val="0"/>
          <w:numId w:val="36"/>
        </w:numPr>
      </w:pPr>
      <w:r w:rsidRPr="00D427D8">
        <w:lastRenderedPageBreak/>
        <w:t>No Purchased Lease Receivable constitutes a transferable security as defined in Article 4(1) point 44 of MiFID II.</w:t>
      </w:r>
    </w:p>
    <w:p w14:paraId="38F0FF13" w14:textId="6B345E71" w:rsidR="009F6E91" w:rsidRPr="00D427D8" w:rsidRDefault="009F6E91" w:rsidP="00C8283A">
      <w:pPr>
        <w:pStyle w:val="Body1"/>
        <w:numPr>
          <w:ilvl w:val="0"/>
          <w:numId w:val="36"/>
        </w:numPr>
      </w:pPr>
      <w:r w:rsidRPr="00D427D8">
        <w:t>As at the Closing Date (in the case of the Initial Lease Receivables), or as at the relevant Further Purchase Date (in the case of Further Lease Receivables), each Lease Receivable has a standardised risk weight equal to or smaller than 75 per cent. On an exposure value-weighted average basis for the Seller</w:t>
      </w:r>
      <w:r w:rsidR="00EF7333" w:rsidRPr="00D427D8">
        <w:t>'</w:t>
      </w:r>
      <w:r w:rsidRPr="00D427D8">
        <w:t>s portfolio of Receivables, as such terms are described in Article 243 of the CRR.</w:t>
      </w:r>
    </w:p>
    <w:p w14:paraId="10764A81" w14:textId="6633FC0C" w:rsidR="009F6E91" w:rsidRPr="00D427D8" w:rsidRDefault="009F6E91" w:rsidP="009F6E91">
      <w:pPr>
        <w:pStyle w:val="Body1"/>
      </w:pPr>
      <w:r w:rsidRPr="00D427D8">
        <w:rPr>
          <w:b/>
          <w:i/>
        </w:rPr>
        <w:t>Obligation to Repurchase Lease Receivables.</w:t>
      </w:r>
      <w:r w:rsidRPr="00D427D8">
        <w:t xml:space="preserve"> </w:t>
      </w:r>
      <w:bookmarkStart w:id="288" w:name="_Hlk196815724"/>
      <w:r w:rsidRPr="00D427D8">
        <w:t>Under the Lease Receivables Purchase Agreement, if the Seller becomes aware of (i) any breach of any of the Seller</w:t>
      </w:r>
      <w:r w:rsidR="00EF7333" w:rsidRPr="00D427D8">
        <w:t>'</w:t>
      </w:r>
      <w:r w:rsidRPr="00D427D8">
        <w:t>s Receivables related representations and warranties, to the extent that such breach materially and adversely affects the collectability of the Lease Receivables or the interests of the Issuer or the Noteholder; or (ii) any breach of any of the undertaking contained in clauses 8.2(b) and 8.4 of the Lease Receivables Purchase Agreement unless otherwise permitted under the Transaction Documents; or (iii) a Lessee asserting a right of set-off; or (iv) a Lessee revoking a Lease Agreement, the Seller will be entitled within the period beginning on the day on which the Seller becomes aware of such breach and ending on the next Distribution Date after the end of the Monthly Period in which the day falls on which the Seller became aware of such breach to cure or remedy such breach. If such breach should not be capable of remedy, the Seller may replace the relevant Lease Receivable or decides not to replace the relevant Lease Receivable, is obliged to repurchase the relevant Lease Receivable. The Issuer</w:t>
      </w:r>
      <w:r w:rsidR="00EF7333" w:rsidRPr="00D427D8">
        <w:t>'</w:t>
      </w:r>
      <w:r w:rsidRPr="00D427D8">
        <w:t>s sole remedy will be to require the Seller to take one of the following remedial actions:</w:t>
      </w:r>
    </w:p>
    <w:p w14:paraId="2514FF19" w14:textId="0A18860B" w:rsidR="009F6E91" w:rsidRPr="00D427D8" w:rsidRDefault="009F6E91" w:rsidP="00C8283A">
      <w:pPr>
        <w:pStyle w:val="Level3"/>
        <w:numPr>
          <w:ilvl w:val="2"/>
          <w:numId w:val="37"/>
        </w:numPr>
      </w:pPr>
      <w:r w:rsidRPr="00D427D8">
        <w:t>remedy the matter giving rise to such breach if such matter is capable of remedy within the period beginning on the day on which the Seller becomes aware of such breach and ending on the next Distribution Date after the end of the Monthly Period in which the day falls on which the Seller became aware of such breach; or</w:t>
      </w:r>
    </w:p>
    <w:p w14:paraId="318B1975" w14:textId="6E995BAD" w:rsidR="009F6E91" w:rsidRPr="00D427D8" w:rsidRDefault="009F6E91" w:rsidP="00141A76">
      <w:pPr>
        <w:pStyle w:val="Level3"/>
      </w:pPr>
      <w:r w:rsidRPr="00D427D8">
        <w:t xml:space="preserve">replace the relevant Lease Receivable with one or more Lease Receivable(s), the </w:t>
      </w:r>
      <w:r w:rsidR="00C36CDE" w:rsidRPr="00D427D8">
        <w:t xml:space="preserve">Net </w:t>
      </w:r>
      <w:r w:rsidRPr="00D427D8">
        <w:t xml:space="preserve">Present Value of which, or the sum of the </w:t>
      </w:r>
      <w:r w:rsidR="00C36CDE" w:rsidRPr="00D427D8">
        <w:t>Net</w:t>
      </w:r>
      <w:r w:rsidRPr="00D427D8">
        <w:t xml:space="preserve"> Present Values of which, in case of several Lease Receivables, on the respective Distribution Date shall not be below the  </w:t>
      </w:r>
      <w:r w:rsidR="00C36CDE" w:rsidRPr="00D427D8">
        <w:t xml:space="preserve">Net </w:t>
      </w:r>
      <w:r w:rsidRPr="00D427D8">
        <w:t>Present Value of such replaced Lease Receivable; or</w:t>
      </w:r>
    </w:p>
    <w:p w14:paraId="405C59E5" w14:textId="0DA550D6" w:rsidR="009F6E91" w:rsidRPr="00D427D8" w:rsidRDefault="009F6E91" w:rsidP="00141A76">
      <w:pPr>
        <w:pStyle w:val="Level3"/>
      </w:pPr>
      <w:r w:rsidRPr="00D427D8">
        <w:t>repurchase the relevant Lease Receivable at a price equal to the</w:t>
      </w:r>
      <w:r w:rsidR="00297A82" w:rsidRPr="00D427D8">
        <w:t xml:space="preserve"> </w:t>
      </w:r>
      <w:r w:rsidR="00C36CDE" w:rsidRPr="00D427D8">
        <w:t>Net</w:t>
      </w:r>
      <w:r w:rsidRPr="00D427D8">
        <w:t xml:space="preserve"> Present Value</w:t>
      </w:r>
    </w:p>
    <w:p w14:paraId="31F18F78" w14:textId="40BF3680" w:rsidR="009F6E91" w:rsidRPr="00D427D8" w:rsidRDefault="009F6E91" w:rsidP="00EF7333">
      <w:pPr>
        <w:pStyle w:val="Level4"/>
      </w:pPr>
      <w:r w:rsidRPr="00D427D8">
        <w:t>in respect of any breach of any of the Seller</w:t>
      </w:r>
      <w:r w:rsidR="00EF7333" w:rsidRPr="00D427D8">
        <w:t>'</w:t>
      </w:r>
      <w:r w:rsidRPr="00D427D8">
        <w:t>s Receivables related representations and warranties, to the extent that such breach materially and adversely affects the collectability of the Receivables or the interests of the Issuer or the Noteholder or any breach of any of the undertaking contained in clauses 9.2(b) and 9.4 of the Lease Receivables Purchase Agreement unless otherwise permitted under the Transaction Documents, on the Distribution Date immediately following the Monthly Period in which the remediation period pursuant has expired or which has not been replaced; or</w:t>
      </w:r>
    </w:p>
    <w:p w14:paraId="1B19A9F1" w14:textId="7F6F1473" w:rsidR="009F6E91" w:rsidRPr="00D427D8" w:rsidRDefault="009F6E91" w:rsidP="00EF7333">
      <w:pPr>
        <w:pStyle w:val="Level4"/>
      </w:pPr>
      <w:r w:rsidRPr="00D427D8">
        <w:t>when a Lessee asserted a right of set-off, on the Distribution Date immediately following the Monthly Period in which the right of set-off was asserted if the set-off asserted was above 1% of the initial balance of such Lease Receivable; or</w:t>
      </w:r>
    </w:p>
    <w:p w14:paraId="429930A2" w14:textId="018A6DAE" w:rsidR="009F6E91" w:rsidRPr="00D427D8" w:rsidRDefault="009F6E91" w:rsidP="00EF7333">
      <w:pPr>
        <w:pStyle w:val="Level4"/>
      </w:pPr>
      <w:r w:rsidRPr="00D427D8">
        <w:t>when a Lessee revoked a Lease Agreement, on the Distribution Date immediately following the Monthly Period in which  the Receivable</w:t>
      </w:r>
      <w:r w:rsidR="00EF7333" w:rsidRPr="00D427D8">
        <w:t>'</w:t>
      </w:r>
      <w:r w:rsidRPr="00D427D8">
        <w:t>s underlying Lease Agreement was revoked;</w:t>
      </w:r>
    </w:p>
    <w:p w14:paraId="09EB8588" w14:textId="77777777" w:rsidR="009F6E91" w:rsidRPr="00D427D8" w:rsidRDefault="009F6E91" w:rsidP="009F6E91">
      <w:pPr>
        <w:pStyle w:val="Body2"/>
      </w:pPr>
      <w:r w:rsidRPr="00D427D8">
        <w:t>to be paid into the Distribution Account.</w:t>
      </w:r>
    </w:p>
    <w:p w14:paraId="2B6E5B3E" w14:textId="77777777" w:rsidR="009F6E91" w:rsidRPr="00D427D8" w:rsidRDefault="009F6E91" w:rsidP="009F6E91">
      <w:pPr>
        <w:pStyle w:val="Body1"/>
      </w:pPr>
      <w:r w:rsidRPr="00D427D8">
        <w:t>Furthermore, the Seller has the right but no obligation, to repurchase a Purchased Lease Receivable owed by a Deposit Lessee in order to decrease the Deposit Exposure Amount</w:t>
      </w:r>
      <w:bookmarkEnd w:id="288"/>
    </w:p>
    <w:p w14:paraId="43AF3323" w14:textId="77777777" w:rsidR="009F6E91" w:rsidRPr="00D427D8" w:rsidRDefault="009F6E91" w:rsidP="009F6E91">
      <w:pPr>
        <w:pStyle w:val="Body1"/>
      </w:pPr>
      <w:r w:rsidRPr="00D427D8">
        <w:rPr>
          <w:b/>
          <w:i/>
        </w:rPr>
        <w:t>Obligation to post collateral.</w:t>
      </w:r>
      <w:r w:rsidRPr="00D427D8">
        <w:rPr>
          <w:i/>
        </w:rPr>
        <w:t xml:space="preserve"> </w:t>
      </w:r>
      <w:r w:rsidRPr="00D427D8">
        <w:t>Under the Lease Receivables Purchase Agreement, the Seller shall ensure that an amount equal to the Deposit Reserve Amount is standing to the credit of the Reserve Account at any time if the Deposit Reserve Condition is met.</w:t>
      </w:r>
    </w:p>
    <w:p w14:paraId="3349A8D9" w14:textId="77777777" w:rsidR="009F6E91" w:rsidRPr="00D427D8" w:rsidRDefault="009F6E91" w:rsidP="009F6E91">
      <w:pPr>
        <w:pStyle w:val="Body1"/>
      </w:pPr>
      <w:r w:rsidRPr="00D427D8">
        <w:t>On the Final Legal Maturity Date, after application of the applicable Priority of Payments, the Seller shall be entitled to claim back any amounts standing to the credit of the Reserve Account on account of the Deposit Reserve Amount.</w:t>
      </w:r>
    </w:p>
    <w:p w14:paraId="2BDF4C39" w14:textId="77777777" w:rsidR="009F6E91" w:rsidRPr="00D427D8" w:rsidRDefault="009F6E91" w:rsidP="009F6E91">
      <w:pPr>
        <w:pStyle w:val="Body1"/>
      </w:pPr>
      <w:r w:rsidRPr="00D427D8">
        <w:rPr>
          <w:b/>
          <w:bCs/>
          <w:i/>
          <w:iCs/>
        </w:rPr>
        <w:lastRenderedPageBreak/>
        <w:t>Notification of assignment</w:t>
      </w:r>
      <w:r w:rsidRPr="00D427D8">
        <w:t xml:space="preserve">. If a Servicer Default occurred, the Servicer shall notify all Lessees of the assignment of the Lease Receivables to the Issuer without undue delay and instruct such Lessees to make their money transfer not any more to the account of the Servicer, but to the Distribution Account of the Issuer. If the Servicer fails to notify the Lessees, the Issuer (or any agent thereof), or the Back-up Servicer, if any, shall promptly give notice to the Lessees of any or all assignments of Lease Receivables. </w:t>
      </w:r>
    </w:p>
    <w:p w14:paraId="307BF3CF" w14:textId="77777777" w:rsidR="009F6E91" w:rsidRPr="00D427D8" w:rsidRDefault="009F6E91" w:rsidP="00EF7333">
      <w:pPr>
        <w:pStyle w:val="Body1"/>
        <w:rPr>
          <w:rStyle w:val="Heading1Text"/>
        </w:rPr>
      </w:pPr>
      <w:r w:rsidRPr="00D427D8">
        <w:rPr>
          <w:rStyle w:val="Heading1Text"/>
        </w:rPr>
        <w:t>ER Purchase Agreement</w:t>
      </w:r>
    </w:p>
    <w:p w14:paraId="1E452285" w14:textId="77777777" w:rsidR="009F6E91" w:rsidRPr="00D427D8" w:rsidRDefault="009F6E91" w:rsidP="00EF7333">
      <w:pPr>
        <w:pStyle w:val="Body1"/>
        <w:rPr>
          <w:rStyle w:val="BoldItalicText"/>
        </w:rPr>
      </w:pPr>
      <w:r w:rsidRPr="00D427D8">
        <w:rPr>
          <w:rStyle w:val="BoldItalicText"/>
        </w:rPr>
        <w:t>Sale and Purchase.</w:t>
      </w:r>
    </w:p>
    <w:p w14:paraId="5D4A0562" w14:textId="77777777" w:rsidR="009F6E91" w:rsidRPr="00D427D8" w:rsidRDefault="009F6E91" w:rsidP="009F6E91">
      <w:pPr>
        <w:pStyle w:val="Body1"/>
      </w:pPr>
      <w:r w:rsidRPr="00D427D8">
        <w:t>On the Closing Date, the Seller, the Issuer and the Servicer will enter into the ER Purchase Agreement.</w:t>
      </w:r>
    </w:p>
    <w:p w14:paraId="7BBD5BDC" w14:textId="77777777" w:rsidR="009F6E91" w:rsidRPr="00D427D8" w:rsidRDefault="009F6E91" w:rsidP="009F6E91">
      <w:pPr>
        <w:pStyle w:val="Body1"/>
      </w:pPr>
      <w:r w:rsidRPr="00D427D8">
        <w:t>Pursuant to the ER Purchase Agreement, the Issuer will purchase from the Seller the Initial Expectancy Rights and the ER Collateral relating to such Initial Expectancy Rights on the Closing Date for payment of the Initial ER Purchase Price for such Initial Expectancy Rights.</w:t>
      </w:r>
    </w:p>
    <w:p w14:paraId="2A7A1044" w14:textId="77777777" w:rsidR="009F6E91" w:rsidRPr="00D427D8" w:rsidRDefault="009F6E91" w:rsidP="009F6E91">
      <w:pPr>
        <w:pStyle w:val="Body1"/>
      </w:pPr>
      <w:r w:rsidRPr="00D427D8">
        <w:t>On any Further Purchase Date falling in the Revolving Period, the Seller may transfer Further Expectancy Rights and the ER Collateral relating to such Further Expectancy Rights to the Issuer on such date (such date being the Further Purchase Date) against payment by the Issuer of the Further ER Purchase Price for such Further Expectancy Rights. The Further Expectancy Rights will be specified in an Offer furnished to the Issuer and will be paid for by the Issuer with amounts allocated for that purpose under the Principal Priority of Payments.</w:t>
      </w:r>
    </w:p>
    <w:p w14:paraId="27CED899" w14:textId="03450931" w:rsidR="009F6E91" w:rsidRPr="00D427D8" w:rsidRDefault="009F6E91" w:rsidP="009F6E91">
      <w:pPr>
        <w:pStyle w:val="Body1"/>
      </w:pPr>
      <w:bookmarkStart w:id="289" w:name="_Hlk189126138"/>
      <w:r w:rsidRPr="00D427D8">
        <w:t xml:space="preserve">The ER Purchase Price for the Expectancy Rights is payable in two instalments, the ER Purchase Price Advance and the ER Purchase Price Residual. The ER Purchase Price Advance shall, in respect of each Expectancy Right, correspond to the Net Present Value of such Expectancy Right as of the Determination Date immediately preceding the Further Purchase Date on which the respective Expectancy Right is purchased, plus VAT on the relevant amount. The Issuer shall pay the ER Purchase Price Advance for each Expectancy Right to the Seller on the relevant Further Purchase Date. If the Issuer realises an excess of the sales price realised upon the sale or other realisation of a Leased Vehicle, through the Servicer or otherwise, over the Expectancy Right Value of such Leased Vehicle, the Issuer shall pay such excess proceeds on the next </w:t>
      </w:r>
      <w:r w:rsidR="00CF68B0">
        <w:t>Distribution</w:t>
      </w:r>
      <w:r w:rsidR="00CF68B0" w:rsidRPr="00D427D8">
        <w:t xml:space="preserve"> Date </w:t>
      </w:r>
      <w:r w:rsidRPr="00D427D8">
        <w:t>following the date of the collection of the excess proceeds to the Seller as the ER Purchase Price Residual. Each ER Purchase Price shall include VAT. The VAT contained in the ER Purchase Price Advance will be funded by the Issuer through the VAT Bridge Loan granted to it by the Seller.</w:t>
      </w:r>
    </w:p>
    <w:bookmarkEnd w:id="289"/>
    <w:p w14:paraId="45581B88" w14:textId="77777777" w:rsidR="009F6E91" w:rsidRPr="00D427D8" w:rsidRDefault="009F6E91" w:rsidP="009F6E91">
      <w:pPr>
        <w:pStyle w:val="Body1"/>
      </w:pPr>
      <w:r w:rsidRPr="00D427D8">
        <w:t>The Issuer will also be liable to pay any Excess Spread in respect of the Expectancy Rights on each Distribution Date where there is a sufficient Available Distribution Amount in accordance with the applicable Priority of Payments.</w:t>
      </w:r>
    </w:p>
    <w:p w14:paraId="602501DA" w14:textId="77777777" w:rsidR="009F6E91" w:rsidRPr="00D427D8" w:rsidRDefault="009F6E91" w:rsidP="009F6E91">
      <w:pPr>
        <w:pStyle w:val="Body1"/>
      </w:pPr>
      <w:r w:rsidRPr="00D427D8">
        <w:t>As security for the existence and the performance of the Purchased Property, the Seller transfers to the Issuer the ER Collateral.</w:t>
      </w:r>
    </w:p>
    <w:p w14:paraId="06C4F30C" w14:textId="77777777" w:rsidR="009F6E91" w:rsidRPr="00D427D8" w:rsidRDefault="009F6E91" w:rsidP="009F6E91">
      <w:pPr>
        <w:pStyle w:val="Body1"/>
      </w:pPr>
      <w:r w:rsidRPr="00D427D8">
        <w:rPr>
          <w:b/>
          <w:i/>
        </w:rPr>
        <w:t>ER Collateral</w:t>
      </w:r>
      <w:r w:rsidRPr="00D427D8">
        <w:t xml:space="preserve"> consists of:</w:t>
      </w:r>
    </w:p>
    <w:p w14:paraId="4CACC795" w14:textId="12B998D0" w:rsidR="009F6E91" w:rsidRPr="00D427D8" w:rsidRDefault="009F6E91" w:rsidP="00C8283A">
      <w:pPr>
        <w:pStyle w:val="Body1"/>
        <w:numPr>
          <w:ilvl w:val="0"/>
          <w:numId w:val="38"/>
        </w:numPr>
      </w:pPr>
      <w:r w:rsidRPr="00D427D8">
        <w:t>any and all restitution claims (</w:t>
      </w:r>
      <w:r w:rsidRPr="00D427D8">
        <w:rPr>
          <w:i/>
          <w:iCs/>
        </w:rPr>
        <w:t>Herausgabeansprüche</w:t>
      </w:r>
      <w:r w:rsidRPr="00D427D8">
        <w:t>) in respect of the Leased Vehicles; and</w:t>
      </w:r>
    </w:p>
    <w:p w14:paraId="1B719020" w14:textId="75281D41" w:rsidR="009F6E91" w:rsidRPr="00D427D8" w:rsidRDefault="009F6E91" w:rsidP="00C8283A">
      <w:pPr>
        <w:pStyle w:val="Body1"/>
        <w:numPr>
          <w:ilvl w:val="0"/>
          <w:numId w:val="38"/>
        </w:numPr>
      </w:pPr>
      <w:r w:rsidRPr="00D427D8">
        <w:t>any claims arising from the exercise of the put option rights (</w:t>
      </w:r>
      <w:r w:rsidRPr="00D427D8">
        <w:rPr>
          <w:i/>
          <w:iCs/>
        </w:rPr>
        <w:t>Andienungsrechte</w:t>
      </w:r>
      <w:r w:rsidRPr="00D427D8">
        <w:t>) that the Seller has against the Car Dealers under the Leased Vehicle Put Options.</w:t>
      </w:r>
    </w:p>
    <w:p w14:paraId="6EB2CBCD" w14:textId="77777777" w:rsidR="009F6E91" w:rsidRPr="00D427D8" w:rsidRDefault="009F6E91" w:rsidP="009F6E91">
      <w:pPr>
        <w:pStyle w:val="Body1"/>
      </w:pPr>
      <w:r w:rsidRPr="00D427D8">
        <w:rPr>
          <w:b/>
          <w:i/>
        </w:rPr>
        <w:t>Representations of the Seller.</w:t>
      </w:r>
      <w:r w:rsidRPr="00D427D8">
        <w:t xml:space="preserve"> The Seller will make the Basic Representations under the Master Agreement and representations regarding the Expectancy Rights under the ER Purchase Agreement.</w:t>
      </w:r>
    </w:p>
    <w:p w14:paraId="5C416FCE" w14:textId="77777777" w:rsidR="009F6E91" w:rsidRPr="00D427D8" w:rsidRDefault="009F6E91" w:rsidP="009F6E91">
      <w:pPr>
        <w:pStyle w:val="Body1"/>
      </w:pPr>
      <w:r w:rsidRPr="00D427D8">
        <w:t>The Seller will, in particular, represent with regard to the Expectancy Rights that as of the Cut-off Date and each Further Purchase Cut-off Date:</w:t>
      </w:r>
    </w:p>
    <w:p w14:paraId="556B273F" w14:textId="1E3C8F57" w:rsidR="009F6E91" w:rsidRPr="00D427D8" w:rsidRDefault="009F6E91" w:rsidP="00C8283A">
      <w:pPr>
        <w:pStyle w:val="Body1"/>
        <w:numPr>
          <w:ilvl w:val="0"/>
          <w:numId w:val="39"/>
        </w:numPr>
      </w:pPr>
      <w:r w:rsidRPr="00D427D8">
        <w:t>Each Expectancy Right: (i) is validly existing and freely assignable and (ii) is free from any Security Interest.</w:t>
      </w:r>
    </w:p>
    <w:p w14:paraId="0ACD8DEE" w14:textId="1453C943" w:rsidR="009F6E91" w:rsidRPr="00D427D8" w:rsidRDefault="009F6E91" w:rsidP="00C8283A">
      <w:pPr>
        <w:pStyle w:val="Body1"/>
        <w:numPr>
          <w:ilvl w:val="0"/>
          <w:numId w:val="39"/>
        </w:numPr>
      </w:pPr>
      <w:r w:rsidRPr="00D427D8">
        <w:t>The information set forth in the Schedule of Receivables is true and correct in all material respects</w:t>
      </w:r>
    </w:p>
    <w:p w14:paraId="0ACAA879" w14:textId="6D5CBBD8" w:rsidR="009F6E91" w:rsidRPr="00D427D8" w:rsidRDefault="009F6E91" w:rsidP="00C8283A">
      <w:pPr>
        <w:pStyle w:val="Body1"/>
        <w:numPr>
          <w:ilvl w:val="0"/>
          <w:numId w:val="39"/>
        </w:numPr>
      </w:pPr>
      <w:r w:rsidRPr="00D427D8">
        <w:t xml:space="preserve">The Seller is entitled to transfer title to the Purchased </w:t>
      </w:r>
      <w:bookmarkStart w:id="290" w:name="_Hlk173944311"/>
      <w:r w:rsidRPr="00D427D8">
        <w:t xml:space="preserve">Expectancy Rights </w:t>
      </w:r>
      <w:bookmarkEnd w:id="290"/>
      <w:r w:rsidRPr="00D427D8">
        <w:t>and the ER Collateral (</w:t>
      </w:r>
      <w:r w:rsidRPr="00D427D8">
        <w:rPr>
          <w:i/>
        </w:rPr>
        <w:t>Verfügungsbefugnis</w:t>
      </w:r>
      <w:r w:rsidRPr="00D427D8">
        <w:t xml:space="preserve">); and, upon execution and delivery of the ER Purchase Agreement by the </w:t>
      </w:r>
      <w:r w:rsidRPr="00D427D8">
        <w:lastRenderedPageBreak/>
        <w:t>Seller, the Issuer shall have all of the right and interest of the Seller in and to the Purchased Expectancy Rights and the ER Collateral free of any lien other than statutory liens or liens attaching by operation of law.</w:t>
      </w:r>
    </w:p>
    <w:p w14:paraId="1BADE89A" w14:textId="199F49A1" w:rsidR="009F6E91" w:rsidRPr="00D427D8" w:rsidRDefault="009F6E91" w:rsidP="00C8283A">
      <w:pPr>
        <w:pStyle w:val="Body1"/>
        <w:numPr>
          <w:ilvl w:val="0"/>
          <w:numId w:val="39"/>
        </w:numPr>
      </w:pPr>
      <w:r w:rsidRPr="00D427D8">
        <w:t>No Purchased Expectancy Right constitutes a derivative contract.</w:t>
      </w:r>
    </w:p>
    <w:p w14:paraId="79C109B9" w14:textId="0ED85838" w:rsidR="009F6E91" w:rsidRPr="00D427D8" w:rsidRDefault="009F6E91" w:rsidP="00C8283A">
      <w:pPr>
        <w:pStyle w:val="Body1"/>
        <w:numPr>
          <w:ilvl w:val="0"/>
          <w:numId w:val="39"/>
        </w:numPr>
      </w:pPr>
      <w:r w:rsidRPr="00D427D8">
        <w:t>No Purchased Expectancy Right constitutes a securitisation position as defined in the EU Securitisation Regulation.</w:t>
      </w:r>
    </w:p>
    <w:p w14:paraId="7D9EFDBB" w14:textId="1CBD0EB3" w:rsidR="009F6E91" w:rsidRPr="00D427D8" w:rsidRDefault="009F6E91" w:rsidP="00C8283A">
      <w:pPr>
        <w:pStyle w:val="Body1"/>
        <w:numPr>
          <w:ilvl w:val="0"/>
          <w:numId w:val="39"/>
        </w:numPr>
      </w:pPr>
      <w:r w:rsidRPr="00D427D8">
        <w:t>No Purchased Expectancy Right constitutes a transferable security as defined in Article 4(1) point 44 of MiFID II.</w:t>
      </w:r>
    </w:p>
    <w:p w14:paraId="5778F521" w14:textId="1711346F" w:rsidR="009F6E91" w:rsidRPr="00D427D8" w:rsidRDefault="009F6E91" w:rsidP="009F6E91">
      <w:pPr>
        <w:pStyle w:val="Body1"/>
      </w:pPr>
      <w:r w:rsidRPr="00D427D8">
        <w:rPr>
          <w:b/>
          <w:i/>
        </w:rPr>
        <w:t>Obligation to Repurchase Expectancy Rights.</w:t>
      </w:r>
      <w:r w:rsidRPr="00D427D8">
        <w:t xml:space="preserve"> Under the ER Purchase Agreement, if the Seller becomes aware of (i) any breach of any of the Seller</w:t>
      </w:r>
      <w:r w:rsidR="00EF7333" w:rsidRPr="00D427D8">
        <w:t>'</w:t>
      </w:r>
      <w:r w:rsidRPr="00D427D8">
        <w:t>s ER Receivables related representations and warranties, to the extent that such breach materially and adversely affects the collectability of the Expectancy Rights or the interests of the Issuer or the Noteholder; or (ii) any breach of any of the undertaking contained in clause 7.2(b) of the ER Purchase Agreement unless otherwise permitted under the Transaction Documents, the Seller will be entitled within the period beginning on the day on which the Seller becomes aware of such breach and ending on the next Distribution Date after the end of the Monthly Period in which the day falls on which the Seller became aware of such breach to cure or remedy such breach. If such breach should not be capable of remedy, the Seller may replace the relevant Expectancy Right or decides not to replace the relevant Expectancy Right, is obliged to repurchase the relevant Expectancy Right. The Issuer</w:t>
      </w:r>
      <w:r w:rsidR="00EF7333" w:rsidRPr="00D427D8">
        <w:t>'</w:t>
      </w:r>
      <w:r w:rsidRPr="00D427D8">
        <w:t>s sole remedy will be to require the Seller to take one of the following remedial actions:</w:t>
      </w:r>
    </w:p>
    <w:p w14:paraId="5660D91D" w14:textId="23021843" w:rsidR="009F6E91" w:rsidRPr="00D427D8" w:rsidRDefault="009F6E91" w:rsidP="00C8283A">
      <w:pPr>
        <w:pStyle w:val="Level3"/>
        <w:numPr>
          <w:ilvl w:val="2"/>
          <w:numId w:val="40"/>
        </w:numPr>
      </w:pPr>
      <w:r w:rsidRPr="00D427D8">
        <w:t>remedy the matter giving rise to such breach if such matter is capable of remedy within the period beginning on the day on which the Seller becomes aware of such breach and ending on the next Distribution Date after the end of the Monthly Period in which the day falls on which the Seller became aware of such breach; or</w:t>
      </w:r>
    </w:p>
    <w:p w14:paraId="5C761D7A" w14:textId="226994C3" w:rsidR="009F6E91" w:rsidRPr="00D427D8" w:rsidRDefault="009F6E91" w:rsidP="00141A76">
      <w:pPr>
        <w:pStyle w:val="Level3"/>
      </w:pPr>
      <w:r w:rsidRPr="00D427D8">
        <w:t xml:space="preserve">replace the relevant Expectancy Right </w:t>
      </w:r>
      <w:bookmarkStart w:id="291" w:name="_Hlk185444181"/>
      <w:r w:rsidRPr="00D427D8">
        <w:t xml:space="preserve">with one or more Expectancy Right(s) the Net Present Value of which, or the sum of the Net Present Values of which, in case of several Expectancy Rights, on the respective Distribution Date shall not be below the </w:t>
      </w:r>
      <w:bookmarkStart w:id="292" w:name="_Hlk185444750"/>
      <w:r w:rsidRPr="00D427D8">
        <w:t xml:space="preserve">Net Present Value </w:t>
      </w:r>
      <w:bookmarkEnd w:id="292"/>
      <w:r w:rsidRPr="00D427D8">
        <w:t>of such replaced Expectancy Right</w:t>
      </w:r>
      <w:bookmarkEnd w:id="291"/>
      <w:r w:rsidRPr="00D427D8">
        <w:t>; or</w:t>
      </w:r>
    </w:p>
    <w:p w14:paraId="3A55B965" w14:textId="6BE418CE" w:rsidR="009F6E91" w:rsidRPr="00D427D8" w:rsidRDefault="009F6E91" w:rsidP="00141A76">
      <w:pPr>
        <w:pStyle w:val="Level3"/>
      </w:pPr>
      <w:r w:rsidRPr="00D427D8">
        <w:t>repurchase the relevant Expectancy Right at a price equal to the Net Present Value in respect of any breach of any of the Seller</w:t>
      </w:r>
      <w:r w:rsidR="00EF7333" w:rsidRPr="00D427D8">
        <w:t>'</w:t>
      </w:r>
      <w:r w:rsidRPr="00D427D8">
        <w:t>s Expectancy Rights  related representations and warranties, to the extent that such breach materially and adversely affects the collectability of the Expectancy Rights or the interests of the Issuer or the Noteholder or any breach of any of the undertaking contained in clause 9.2(b) of the ER Purchase Agreement unless otherwise permitted under the Transaction Documents, on the Distribution Date immediately following the Monthly Period in which the remediation period pursuant has expired or which has not been replaced, to be paid into the Distribution Account.</w:t>
      </w:r>
    </w:p>
    <w:p w14:paraId="05B63D00" w14:textId="77777777" w:rsidR="009F6E91" w:rsidRPr="00D427D8" w:rsidRDefault="009F6E91" w:rsidP="009F6E91">
      <w:pPr>
        <w:pStyle w:val="Body1"/>
      </w:pPr>
      <w:r w:rsidRPr="00D427D8">
        <w:t>The Seller is also obliged to repurchase any Expectancy Right (and the related ER Collateral), if the corresponding Lease Receivable has been repurchased in accordance with the Lease Receivables Purchase Agreement for a price equal to the Net Present Value on the respective Distribution Date and shall pay the relevant Net Present Value into the Distribution Account.</w:t>
      </w:r>
    </w:p>
    <w:p w14:paraId="3B4ECC4B" w14:textId="77777777" w:rsidR="009F6E91" w:rsidRPr="00D427D8" w:rsidRDefault="009F6E91" w:rsidP="00425559">
      <w:pPr>
        <w:pStyle w:val="Body1"/>
        <w:keepNext/>
        <w:rPr>
          <w:rFonts w:ascii="Arial Bold" w:hAnsi="Arial Bold"/>
          <w:b/>
          <w:bCs/>
          <w:smallCaps/>
        </w:rPr>
      </w:pPr>
      <w:r w:rsidRPr="00D427D8">
        <w:rPr>
          <w:rFonts w:ascii="Arial Bold" w:hAnsi="Arial Bold"/>
          <w:b/>
          <w:bCs/>
          <w:smallCaps/>
        </w:rPr>
        <w:t>Servicing Agreement</w:t>
      </w:r>
    </w:p>
    <w:p w14:paraId="590021ED" w14:textId="555FB4DB" w:rsidR="009F6E91" w:rsidRPr="00D427D8" w:rsidRDefault="009F6E91" w:rsidP="009F6E91">
      <w:pPr>
        <w:pStyle w:val="Body1"/>
      </w:pPr>
      <w:r w:rsidRPr="00D427D8">
        <w:rPr>
          <w:b/>
          <w:i/>
        </w:rPr>
        <w:t>Servicing Duties.</w:t>
      </w:r>
      <w:r w:rsidRPr="00D427D8">
        <w:t xml:space="preserve"> Under the Servicing Agreement, Stellantis Bank will agree to manage, service, administer and collect the Purchased Lease Receivables using that standard of care that it would exercise in its own affairs (</w:t>
      </w:r>
      <w:r w:rsidRPr="00D427D8">
        <w:rPr>
          <w:i/>
        </w:rPr>
        <w:t>Sorgfalt wie in eigenen Angelegenheiten</w:t>
      </w:r>
      <w:r w:rsidRPr="00D427D8">
        <w:t xml:space="preserve">) taking into account that degree of skill and attention that the Servicer exercises with respect to comparable automotive receivables that it services for itself or others and in accordance with customary Stellantis Bank procedures. For further information on the Servicer and its servicing procedures please refer to </w:t>
      </w:r>
      <w:r w:rsidR="00EF7333" w:rsidRPr="00D427D8">
        <w:t>"</w:t>
      </w:r>
      <w:r w:rsidR="00B12D53" w:rsidRPr="00D427D8">
        <w:rPr>
          <w:i/>
          <w:szCs w:val="19"/>
        </w:rPr>
        <w:t>The Seller and  the Servicer</w:t>
      </w:r>
      <w:r w:rsidR="00EF7333" w:rsidRPr="00D427D8">
        <w:t>"</w:t>
      </w:r>
      <w:r w:rsidRPr="00D427D8">
        <w:rPr>
          <w:i/>
        </w:rPr>
        <w:t>.</w:t>
      </w:r>
    </w:p>
    <w:p w14:paraId="75226247" w14:textId="7F51DEB0" w:rsidR="009F6E91" w:rsidRPr="00D427D8" w:rsidRDefault="009F6E91" w:rsidP="009F6E91">
      <w:pPr>
        <w:pStyle w:val="Body1"/>
      </w:pPr>
      <w:r w:rsidRPr="00D427D8">
        <w:t>Under the Servicing Agreement, the Servicer</w:t>
      </w:r>
      <w:r w:rsidR="00EF7333" w:rsidRPr="00D427D8">
        <w:t>'</w:t>
      </w:r>
      <w:r w:rsidRPr="00D427D8">
        <w:t>s main duties will be to:</w:t>
      </w:r>
    </w:p>
    <w:p w14:paraId="43212E2F" w14:textId="78F17E7E" w:rsidR="009F6E91" w:rsidRPr="00D427D8" w:rsidRDefault="009F6E91" w:rsidP="00C8283A">
      <w:pPr>
        <w:pStyle w:val="Body1"/>
        <w:numPr>
          <w:ilvl w:val="0"/>
          <w:numId w:val="41"/>
        </w:numPr>
      </w:pPr>
      <w:r w:rsidRPr="00D427D8">
        <w:t>collect any and all amounts payable, from time to time, under or in relation to the Lease Agreements as and when they fall due;</w:t>
      </w:r>
    </w:p>
    <w:p w14:paraId="6AF5AC98" w14:textId="638E9864" w:rsidR="009F6E91" w:rsidRPr="00D427D8" w:rsidRDefault="009F6E91" w:rsidP="00C8283A">
      <w:pPr>
        <w:pStyle w:val="Body1"/>
        <w:numPr>
          <w:ilvl w:val="0"/>
          <w:numId w:val="41"/>
        </w:numPr>
      </w:pPr>
      <w:r w:rsidRPr="00D427D8">
        <w:lastRenderedPageBreak/>
        <w:t>exercise all enforcement measures concerning amounts due from the Lessees in accordance with the Lease Receivables Purchase Agreement and the Credit and Collection Policy;</w:t>
      </w:r>
    </w:p>
    <w:p w14:paraId="6DEB3628" w14:textId="70790E77" w:rsidR="009F6E91" w:rsidRPr="00D427D8" w:rsidRDefault="009F6E91" w:rsidP="00C8283A">
      <w:pPr>
        <w:pStyle w:val="Body1"/>
        <w:numPr>
          <w:ilvl w:val="0"/>
          <w:numId w:val="41"/>
        </w:numPr>
      </w:pPr>
      <w:bookmarkStart w:id="293" w:name="_Hlk185273503"/>
      <w:r w:rsidRPr="00D427D8">
        <w:t>enforce the Lease Collateral and the ER Collateral in accordance with the Credit and Collection Policy and apply the enforcement proceeds to the relevant Secured Liabilities</w:t>
      </w:r>
      <w:bookmarkEnd w:id="293"/>
      <w:r w:rsidRPr="00D427D8">
        <w:t>;</w:t>
      </w:r>
    </w:p>
    <w:p w14:paraId="73898EF2" w14:textId="5A441B11" w:rsidR="009F6E91" w:rsidRPr="00D427D8" w:rsidRDefault="009F6E91" w:rsidP="00C8283A">
      <w:pPr>
        <w:pStyle w:val="Body1"/>
        <w:numPr>
          <w:ilvl w:val="0"/>
          <w:numId w:val="41"/>
        </w:numPr>
      </w:pPr>
      <w:r w:rsidRPr="00D427D8">
        <w:t>maintain accurate and complete accounts and Records pertaining to the Receivables and servicing the Receivables;</w:t>
      </w:r>
    </w:p>
    <w:p w14:paraId="7F3DC1D6" w14:textId="01CF3DEF" w:rsidR="009F6E91" w:rsidRPr="00D427D8" w:rsidRDefault="009F6E91" w:rsidP="00C8283A">
      <w:pPr>
        <w:pStyle w:val="Body1"/>
        <w:numPr>
          <w:ilvl w:val="0"/>
          <w:numId w:val="41"/>
        </w:numPr>
      </w:pPr>
      <w:r w:rsidRPr="00D427D8">
        <w:t>collect, allocate and transfer the Vehicle Realisation Proceeds to the Purchaser;</w:t>
      </w:r>
    </w:p>
    <w:p w14:paraId="7F422C8B" w14:textId="0687BCBD" w:rsidR="009F6E91" w:rsidRPr="00D427D8" w:rsidRDefault="009F6E91" w:rsidP="00C8283A">
      <w:pPr>
        <w:pStyle w:val="Body1"/>
        <w:numPr>
          <w:ilvl w:val="0"/>
          <w:numId w:val="41"/>
        </w:numPr>
      </w:pPr>
      <w:r w:rsidRPr="00D427D8">
        <w:t>collect and calculate any VAT contained in the Vehicle Realisation Proceeds and transfer the respective amounts directly to the VAT Account on a monthly basis;</w:t>
      </w:r>
    </w:p>
    <w:p w14:paraId="28B3CFCD" w14:textId="20605A02" w:rsidR="009F6E91" w:rsidRPr="00D427D8" w:rsidRDefault="009F6E91" w:rsidP="00C8283A">
      <w:pPr>
        <w:pStyle w:val="Body1"/>
        <w:numPr>
          <w:ilvl w:val="0"/>
          <w:numId w:val="41"/>
        </w:numPr>
      </w:pPr>
      <w:r w:rsidRPr="00D427D8">
        <w:t>issue a Vehicle Realisation Proceeds Credit Note to the Purchaser on a monthly basis prior to the VAT Advance Submission Date of each calendar month, identifying the total amount of vehicles sales proceeds collected during the preceding VAT Advance Period and the VAT contained therein;</w:t>
      </w:r>
    </w:p>
    <w:p w14:paraId="1537B654" w14:textId="2B69C3CD" w:rsidR="009F6E91" w:rsidRPr="00D427D8" w:rsidRDefault="009F6E91" w:rsidP="00C8283A">
      <w:pPr>
        <w:pStyle w:val="Body1"/>
        <w:numPr>
          <w:ilvl w:val="0"/>
          <w:numId w:val="41"/>
        </w:numPr>
      </w:pPr>
      <w:r w:rsidRPr="00D427D8">
        <w:t>inform the Issuer of all payments that shall be made out of the VAT Account, whether to the tax authorities or to the Lender under the VAT Bridge Loan Agreement, and assist the Issuer upon request in all VAT related matters. The Issuer shall procure that the Servicer is copied to all communication with the Issuer</w:t>
      </w:r>
      <w:r w:rsidR="00EF7333" w:rsidRPr="00D427D8">
        <w:t>'</w:t>
      </w:r>
      <w:r w:rsidRPr="00D427D8">
        <w:t>s German tax advisor and receives a copy of all VAT related documents and records, including without limitation each VAT Advance Return Filing;</w:t>
      </w:r>
    </w:p>
    <w:p w14:paraId="155A799A" w14:textId="13896C33" w:rsidR="009F6E91" w:rsidRPr="00D427D8" w:rsidRDefault="009F6E91" w:rsidP="00C8283A">
      <w:pPr>
        <w:pStyle w:val="Body1"/>
        <w:numPr>
          <w:ilvl w:val="0"/>
          <w:numId w:val="41"/>
        </w:numPr>
      </w:pPr>
      <w:r w:rsidRPr="00D427D8">
        <w:t>provide maintenance and repair services in respect of the Leased Vehicles (including exchange and replacement of worn parts of the Leased Vehicles and the provision of legally required safety tests);</w:t>
      </w:r>
    </w:p>
    <w:p w14:paraId="4AF7CE8E" w14:textId="1A089EC2" w:rsidR="009F6E91" w:rsidRPr="00D427D8" w:rsidRDefault="009F6E91" w:rsidP="00C8283A">
      <w:pPr>
        <w:pStyle w:val="Body1"/>
        <w:numPr>
          <w:ilvl w:val="0"/>
          <w:numId w:val="41"/>
        </w:numPr>
      </w:pPr>
      <w:r w:rsidRPr="00D427D8">
        <w:t>provide the Issuer with reasonable access to any documents regarding the Purchased Lease Receivables, and to other information regarding the Servicer, as and to the extent provided in the Transaction Documents; and</w:t>
      </w:r>
    </w:p>
    <w:p w14:paraId="1FBBED9D" w14:textId="57BF397A" w:rsidR="009F6E91" w:rsidRPr="00D427D8" w:rsidRDefault="009F6E91" w:rsidP="00C8283A">
      <w:pPr>
        <w:pStyle w:val="Body1"/>
        <w:numPr>
          <w:ilvl w:val="0"/>
          <w:numId w:val="41"/>
        </w:numPr>
      </w:pPr>
      <w:r w:rsidRPr="00D427D8">
        <w:t xml:space="preserve">on each Determination Date publish Monthly Investor Reports on the EU Securitisation Repository Website (such information include information on the performance of the Receivables, collections with respect thereto, the </w:t>
      </w:r>
      <w:r w:rsidRPr="00D427D8">
        <w:rPr>
          <w:color w:val="000000"/>
          <w:lang w:val="en-US" w:eastAsia="de-DE"/>
        </w:rPr>
        <w:t>Aggregate Discounted Receivables Balance</w:t>
      </w:r>
      <w:r w:rsidRPr="00D427D8">
        <w:t>, information about delinquent Receivables and Defaulted Receivables).</w:t>
      </w:r>
    </w:p>
    <w:p w14:paraId="07975337" w14:textId="57AD7D8F" w:rsidR="009F6E91" w:rsidRPr="00D427D8" w:rsidRDefault="009F6E91" w:rsidP="009F6E91">
      <w:pPr>
        <w:pStyle w:val="Body1"/>
      </w:pPr>
      <w:bookmarkStart w:id="294" w:name="_Hlk185274894"/>
      <w:r w:rsidRPr="00D427D8">
        <w:t xml:space="preserve">Provided </w:t>
      </w:r>
      <w:bookmarkStart w:id="295" w:name="_Hlk185274927"/>
      <w:bookmarkEnd w:id="294"/>
      <w:r w:rsidRPr="00D427D8">
        <w:t>that the Servicer has received an offer from a third party that is unrelated to it to purchase from the Servicer such Defaulted Receivables and as part of its debt collection process, on any Business Day the Servicer may offer to the Issuer to purchase Defaulted Receivables by sending a list setting out the Defaulted Receivables the Servicer wishes to purchase and the Recovery Proceeds (determined pursuant to the Servicer</w:t>
      </w:r>
      <w:r w:rsidR="00EF7333" w:rsidRPr="00D427D8">
        <w:t>'</w:t>
      </w:r>
      <w:r w:rsidRPr="00D427D8">
        <w:t>s internal guidelines which shall be made available at the request of the Issuer) and the effective date for the transfer of such Defaulted Receivables to the Issuer. With sending any such list the Servicer shall be deemed to represent to the Issuer that it has received an offer from a third party that is unrelated to the Servicer to purchase from the Servicer such Defaulted Receivables at a price equal to the Recovery Proceeds. Along with the Lease Receivable the Servicer shall also purchase from the Issuer the relevant Expectancy Right pertaining to such Lease Receivable for a price equal to the Expectancy Right Value</w:t>
      </w:r>
      <w:r w:rsidR="008961DC">
        <w:t xml:space="preserve"> </w:t>
      </w:r>
      <w:r w:rsidR="008961DC" w:rsidRPr="008961DC">
        <w:t>(unless such amounts are already covered in the Recovery Proceeds)</w:t>
      </w:r>
      <w:r w:rsidRPr="00D427D8">
        <w:t xml:space="preserve">. The Issuer may accept such offer by sending an acceptance substantially in the form of Schedule 2 (Form of Acceptance) to the Servicing Agreement. Following receipt of such acceptance on the date that has been suggested as effective date for the transfer of the Defaulted Receivables the Servicer shall transfer the Recovery Proceeds and the amount equal to the Expectancy Right Value </w:t>
      </w:r>
      <w:r w:rsidR="008961DC" w:rsidRPr="008961DC">
        <w:t>(unless such amounts are already covered in the Recovery Proceeds)</w:t>
      </w:r>
      <w:r w:rsidR="008961DC">
        <w:t xml:space="preserve"> </w:t>
      </w:r>
      <w:r w:rsidRPr="00D427D8">
        <w:t xml:space="preserve">to the Distribution Account and the Recovery Proceeds and the amount equal to the Expectancy Right Value </w:t>
      </w:r>
      <w:r w:rsidR="008961DC" w:rsidRPr="008961DC">
        <w:t>(unless such amounts are already covered in the Recovery Proceeds)</w:t>
      </w:r>
      <w:r w:rsidR="008961DC">
        <w:t xml:space="preserve"> </w:t>
      </w:r>
      <w:r w:rsidRPr="00D427D8">
        <w:t>then shall form part of the Collections. Such acceptance shall be without representation or warranty except for the representation that the Issuer has not prior disposed of any such Defaulted Receivables. When offering to purchase Defaulted Receivables the Seller shall take into account the operational constraint of the management of the Issuer. For the avoidance of doubt, the Issuer, shall not be obliged to sell any Defaulted Receivables to the Seller if in the reasonable opinion of the Issuer such sale may negatively affect any of the ratings of the Rated Notes or adversely affect the Issuer.</w:t>
      </w:r>
    </w:p>
    <w:p w14:paraId="53601AC7" w14:textId="77777777" w:rsidR="009F6E91" w:rsidRPr="00D427D8" w:rsidRDefault="009F6E91" w:rsidP="009F6E91">
      <w:pPr>
        <w:pStyle w:val="Body1"/>
      </w:pPr>
      <w:r w:rsidRPr="00D427D8">
        <w:lastRenderedPageBreak/>
        <w:t>Such repurchases of Defaulted Receivables are contemplated in order to facilitate the recovery and liquidation process with respect to those Defaulted Receivables and are not made with an aim for the Seller to realise their benefits or to re-assume transferred risk. In no event are such repurchases mandatory for the Seller</w:t>
      </w:r>
      <w:bookmarkEnd w:id="295"/>
      <w:r w:rsidRPr="00D427D8">
        <w:t>.</w:t>
      </w:r>
    </w:p>
    <w:p w14:paraId="28F02E2B" w14:textId="77777777" w:rsidR="009F6E91" w:rsidRPr="00D427D8" w:rsidRDefault="009F6E91" w:rsidP="00EF7333">
      <w:pPr>
        <w:pStyle w:val="Body1"/>
        <w:rPr>
          <w:rStyle w:val="BoldItalicText"/>
        </w:rPr>
      </w:pPr>
      <w:r w:rsidRPr="00D427D8">
        <w:rPr>
          <w:rStyle w:val="BoldItalicText"/>
        </w:rPr>
        <w:t>Realisation Services</w:t>
      </w:r>
    </w:p>
    <w:p w14:paraId="2127F45A" w14:textId="77777777" w:rsidR="009F6E91" w:rsidRPr="00D427D8" w:rsidRDefault="009F6E91" w:rsidP="009F6E91">
      <w:pPr>
        <w:pStyle w:val="Body1"/>
        <w:rPr>
          <w:lang w:val="en-US"/>
        </w:rPr>
      </w:pPr>
      <w:bookmarkStart w:id="296" w:name="_Hlk185275028"/>
      <w:r w:rsidRPr="00D427D8">
        <w:rPr>
          <w:lang w:val="en-US"/>
        </w:rPr>
        <w:t xml:space="preserve">Upon satisfaction of the Release Condition in respect of a Leased Vehicle, the </w:t>
      </w:r>
      <w:r w:rsidRPr="00D427D8">
        <w:t xml:space="preserve">Issuer </w:t>
      </w:r>
      <w:r w:rsidRPr="00D427D8">
        <w:rPr>
          <w:lang w:val="en-US"/>
        </w:rPr>
        <w:t xml:space="preserve">may arrange for the relevant Leased Vehicle to be realised by using the services provided by the Servicer. The </w:t>
      </w:r>
      <w:r w:rsidRPr="00D427D8">
        <w:t xml:space="preserve">Issuer </w:t>
      </w:r>
      <w:r w:rsidRPr="00D427D8">
        <w:rPr>
          <w:lang w:val="en-US"/>
        </w:rPr>
        <w:t xml:space="preserve">has appointed and authorised the Servicer, </w:t>
      </w:r>
      <w:r w:rsidRPr="00D427D8">
        <w:t xml:space="preserve">until the occurrence of a Servicer Default, </w:t>
      </w:r>
      <w:r w:rsidRPr="00D427D8">
        <w:rPr>
          <w:lang w:val="en-US"/>
        </w:rPr>
        <w:t>to realise the Leased Vehicles in its own name in accordance with the provisions of the Servicing Agreement.</w:t>
      </w:r>
    </w:p>
    <w:p w14:paraId="14D5D42D" w14:textId="77777777" w:rsidR="009F6E91" w:rsidRPr="00D427D8" w:rsidRDefault="009F6E91" w:rsidP="009F6E91">
      <w:pPr>
        <w:pStyle w:val="Body1"/>
      </w:pPr>
      <w:bookmarkStart w:id="297" w:name="_Ref536178066"/>
      <w:r w:rsidRPr="00D427D8">
        <w:t>Under the Servicing Agreement, the Servicer will</w:t>
      </w:r>
      <w:bookmarkEnd w:id="297"/>
      <w:r w:rsidRPr="00D427D8">
        <w:t>:</w:t>
      </w:r>
    </w:p>
    <w:p w14:paraId="6A396DA7" w14:textId="1A252FD1" w:rsidR="009F6E91" w:rsidRPr="00D427D8" w:rsidRDefault="009F6E91" w:rsidP="00C8283A">
      <w:pPr>
        <w:pStyle w:val="Level3"/>
        <w:numPr>
          <w:ilvl w:val="2"/>
          <w:numId w:val="42"/>
        </w:numPr>
      </w:pPr>
      <w:r w:rsidRPr="00D427D8">
        <w:t>subject to the discretion of the Issuer at any time to choose otherwise, upon expiry of a Lease Agreement take possession of the relevant Leased Vehicle unless notified by the Issuer or, after the occurrence of an Issuer Event of Default, the Collateral Agent or the ER Collateral Agent, to do otherwise;</w:t>
      </w:r>
    </w:p>
    <w:p w14:paraId="38309F6C" w14:textId="1FA8346D" w:rsidR="009F6E91" w:rsidRPr="00D427D8" w:rsidRDefault="009F6E91" w:rsidP="00141A76">
      <w:pPr>
        <w:pStyle w:val="Level3"/>
      </w:pPr>
      <w:bookmarkStart w:id="298" w:name="_Ref427938915"/>
      <w:r w:rsidRPr="00D427D8">
        <w:t>exercise its put option rights (</w:t>
      </w:r>
      <w:r w:rsidRPr="00D427D8">
        <w:rPr>
          <w:i/>
          <w:iCs/>
        </w:rPr>
        <w:t>Andienungsrechte</w:t>
      </w:r>
      <w:r w:rsidRPr="00D427D8">
        <w:t>) and sell each Leased Vehicle to the relevant Car Dealer under the related Leased Vehicle Put Option, subject to and in accordance with the Realisation Policy;</w:t>
      </w:r>
      <w:bookmarkEnd w:id="298"/>
    </w:p>
    <w:p w14:paraId="3C60C076" w14:textId="12F008BA" w:rsidR="009F6E91" w:rsidRPr="00D427D8" w:rsidRDefault="009F6E91" w:rsidP="00141A76">
      <w:pPr>
        <w:pStyle w:val="Level3"/>
      </w:pPr>
      <w:r w:rsidRPr="00D427D8">
        <w:t>duly and timely deliver the Leased Vehicles and all related accessory parts (</w:t>
      </w:r>
      <w:r w:rsidRPr="00D427D8">
        <w:rPr>
          <w:i/>
          <w:iCs/>
        </w:rPr>
        <w:t>Zubehörteile</w:t>
      </w:r>
      <w:r w:rsidRPr="00D427D8">
        <w:t>) and documents (in particular, but not limited to, all registration documents (</w:t>
      </w:r>
      <w:r w:rsidRPr="00D427D8">
        <w:rPr>
          <w:i/>
          <w:iCs/>
        </w:rPr>
        <w:t>Zulassungsbescheinigungen</w:t>
      </w:r>
      <w:r w:rsidRPr="00D427D8">
        <w:t>)), keys and radio code cards, and certificates of conformity (</w:t>
      </w:r>
      <w:r w:rsidRPr="00D427D8">
        <w:rPr>
          <w:i/>
          <w:iCs/>
        </w:rPr>
        <w:t>EWG-Übereinstimmungserklärungen</w:t>
      </w:r>
      <w:r w:rsidRPr="00D427D8">
        <w:t>) to such third-party buyers, but only if and to the extent provided by the Lessee to the Servicer; and</w:t>
      </w:r>
    </w:p>
    <w:p w14:paraId="66C43A9E" w14:textId="1D8B73DB" w:rsidR="009F6E91" w:rsidRPr="00D427D8" w:rsidRDefault="009F6E91" w:rsidP="00141A76">
      <w:pPr>
        <w:pStyle w:val="Level3"/>
      </w:pPr>
      <w:r w:rsidRPr="00D427D8">
        <w:t>comply with all obligations under the relevant sales agreement entered into in connection with the realisation of the Leased Vehicles and the Realisation Policy.</w:t>
      </w:r>
    </w:p>
    <w:bookmarkEnd w:id="296"/>
    <w:p w14:paraId="1109B1BE" w14:textId="53AA26D9" w:rsidR="009F6E91" w:rsidRPr="00D427D8" w:rsidRDefault="009F6E91" w:rsidP="009F6E91">
      <w:pPr>
        <w:pStyle w:val="Body1"/>
      </w:pPr>
      <w:r w:rsidRPr="00D427D8">
        <w:rPr>
          <w:b/>
          <w:i/>
        </w:rPr>
        <w:t>Obligation to Purchase Receivables upon breach of covenant.</w:t>
      </w:r>
      <w:r w:rsidRPr="00D427D8">
        <w:t xml:space="preserve"> For charged-off Receivables, the Servicer may release the related Collateral in a sale of the charged-off Receivable and as permitted by the Credit and Collection Policy. If the Servicer materially and adversely affects any Receivables in breach of certain of the Servicer</w:t>
      </w:r>
      <w:r w:rsidR="00EF7333" w:rsidRPr="00D427D8">
        <w:t>'</w:t>
      </w:r>
      <w:r w:rsidRPr="00D427D8">
        <w:t xml:space="preserve">s covenants in the Servicing Agreement and the Servicer does not cure such breach, the Servicer must purchase the respective Receivable from the Issuer. The purchase price is equal to the </w:t>
      </w:r>
      <w:r w:rsidR="00C36CDE" w:rsidRPr="00D427D8">
        <w:t xml:space="preserve">Net </w:t>
      </w:r>
      <w:r w:rsidRPr="00D427D8">
        <w:t>Present Value on the Distribution Date immediately following the Monthly Period in which the Servicer</w:t>
      </w:r>
      <w:r w:rsidR="00EF7333" w:rsidRPr="00D427D8">
        <w:t>'</w:t>
      </w:r>
      <w:r w:rsidRPr="00D427D8">
        <w:t>s purchase obligation is due, to be paid into the Distribution Account.</w:t>
      </w:r>
    </w:p>
    <w:p w14:paraId="3BF4808B" w14:textId="77777777" w:rsidR="009F6E91" w:rsidRPr="00D427D8" w:rsidRDefault="009F6E91" w:rsidP="009F6E91">
      <w:pPr>
        <w:pStyle w:val="Body1"/>
      </w:pPr>
      <w:r w:rsidRPr="00D427D8">
        <w:rPr>
          <w:b/>
          <w:i/>
        </w:rPr>
        <w:t>Transfer of Available Collections.</w:t>
      </w:r>
      <w:r w:rsidRPr="00D427D8">
        <w:t xml:space="preserve"> The Servicer will transfer all Available Collections from its relevant collection accounts to the Distribution Account within two Business Days after receipt thereof.</w:t>
      </w:r>
    </w:p>
    <w:p w14:paraId="2DF42904" w14:textId="77777777" w:rsidR="009F6E91" w:rsidRPr="00D427D8" w:rsidRDefault="009F6E91" w:rsidP="009F6E91">
      <w:pPr>
        <w:pStyle w:val="Body1"/>
      </w:pPr>
      <w:r w:rsidRPr="00D427D8">
        <w:t>Within two Business Days after the Closing Date, the Servicer shall transfer to the Distribution Account all Available Collections held by the Seller on the Closing Date, and conveyed to the Issuer on such Closing Date pursuant to clause 2 (</w:t>
      </w:r>
      <w:r w:rsidRPr="00D427D8">
        <w:rPr>
          <w:i/>
        </w:rPr>
        <w:t>Sale of Receivables</w:t>
      </w:r>
      <w:r w:rsidRPr="00D427D8">
        <w:t>) of the relevant Asset Purchase Agreement.</w:t>
      </w:r>
    </w:p>
    <w:p w14:paraId="0AD6541A" w14:textId="77777777" w:rsidR="009F6E91" w:rsidRPr="00D427D8" w:rsidRDefault="009F6E91" w:rsidP="009F6E91">
      <w:pPr>
        <w:pStyle w:val="Body1"/>
      </w:pPr>
      <w:r w:rsidRPr="00D427D8">
        <w:t>The Vehicle Realisation Proceeds resulting from the exercise of the Leased Vehicle Put Option in respect of Kilometre Contract  shall equal to an amount equal to the Expectancy Right Value.</w:t>
      </w:r>
    </w:p>
    <w:p w14:paraId="5B650E29" w14:textId="77777777" w:rsidR="009F6E91" w:rsidRPr="00D427D8" w:rsidRDefault="009F6E91" w:rsidP="009F6E91">
      <w:pPr>
        <w:pStyle w:val="Body1"/>
      </w:pPr>
      <w:r w:rsidRPr="00D427D8">
        <w:rPr>
          <w:b/>
          <w:i/>
        </w:rPr>
        <w:t>Application of Available Collections.</w:t>
      </w:r>
      <w:r w:rsidRPr="00D427D8">
        <w:t xml:space="preserve"> The Servicer will apply, no later than each Distribution Date immediately following a Monthly Period, all Available Collections to the extent permitted under the terms of the respective Lease Receivable and applicable law in the following order:</w:t>
      </w:r>
    </w:p>
    <w:p w14:paraId="4EDD14E2" w14:textId="5CAAC00B" w:rsidR="009F6E91" w:rsidRPr="00D427D8" w:rsidRDefault="009F6E91" w:rsidP="00C8283A">
      <w:pPr>
        <w:pStyle w:val="Body1"/>
        <w:numPr>
          <w:ilvl w:val="0"/>
          <w:numId w:val="43"/>
        </w:numPr>
      </w:pPr>
      <w:r w:rsidRPr="00D427D8">
        <w:t>first, to reduce outstanding shortfalls in collections in prior periods, if any, with respect to such Lease Receivable;</w:t>
      </w:r>
    </w:p>
    <w:p w14:paraId="127701B7" w14:textId="1D96471B" w:rsidR="009F6E91" w:rsidRPr="00D427D8" w:rsidRDefault="009F6E91" w:rsidP="00C8283A">
      <w:pPr>
        <w:pStyle w:val="Body1"/>
        <w:numPr>
          <w:ilvl w:val="0"/>
          <w:numId w:val="43"/>
        </w:numPr>
      </w:pPr>
      <w:r w:rsidRPr="00D427D8">
        <w:t>second, to the Scheduled Payment with respect to such Lease Receivable; and</w:t>
      </w:r>
    </w:p>
    <w:p w14:paraId="7A897443" w14:textId="293299DF" w:rsidR="009F6E91" w:rsidRPr="00D427D8" w:rsidRDefault="009F6E91" w:rsidP="00C8283A">
      <w:pPr>
        <w:pStyle w:val="Body1"/>
        <w:numPr>
          <w:ilvl w:val="0"/>
          <w:numId w:val="43"/>
        </w:numPr>
      </w:pPr>
      <w:r w:rsidRPr="00D427D8">
        <w:t>third, any excess shall be applied to prepay such Lease Receivable in whole or in part.</w:t>
      </w:r>
    </w:p>
    <w:p w14:paraId="063E23AE" w14:textId="77777777" w:rsidR="009F6E91" w:rsidRPr="00D427D8" w:rsidRDefault="009F6E91" w:rsidP="009F6E91">
      <w:pPr>
        <w:pStyle w:val="Body1"/>
      </w:pPr>
      <w:r w:rsidRPr="00D427D8">
        <w:rPr>
          <w:b/>
          <w:i/>
        </w:rPr>
        <w:lastRenderedPageBreak/>
        <w:t>Interest Earnings on Distribution Amount.</w:t>
      </w:r>
      <w:r w:rsidRPr="00D427D8">
        <w:t xml:space="preserve"> Interest Earnings (if any) on the Distribution Account will form part of the Available Interest Distribution Amount to be applied in accordance with the applicable Priority of Payments.</w:t>
      </w:r>
    </w:p>
    <w:p w14:paraId="18EB8F13" w14:textId="77777777" w:rsidR="009F6E91" w:rsidRPr="00D427D8" w:rsidRDefault="009F6E91" w:rsidP="009F6E91">
      <w:pPr>
        <w:pStyle w:val="Body1"/>
      </w:pPr>
      <w:r w:rsidRPr="00D427D8">
        <w:rPr>
          <w:b/>
          <w:i/>
        </w:rPr>
        <w:t>Custody for Records.</w:t>
      </w:r>
      <w:r w:rsidRPr="00D427D8">
        <w:t xml:space="preserve"> The Servicer shall (i) ensure, under its own liability, the custody of the Records (in a manner suitable for electronic data processing free from licences or other restrictions of use), free of charge (</w:t>
      </w:r>
      <w:r w:rsidRPr="00D427D8">
        <w:rPr>
          <w:i/>
          <w:iCs/>
        </w:rPr>
        <w:t>als unentgeltlicher Verwahrer</w:t>
      </w:r>
      <w:r w:rsidRPr="00D427D8">
        <w:t>) for the Issuer and (ii) establish and maintain appropriate documented custody procedures in addition to an independent internal ongoing control of such procedures.</w:t>
      </w:r>
    </w:p>
    <w:p w14:paraId="1FDC7C9C" w14:textId="0F16D694" w:rsidR="009F6E91" w:rsidRPr="00D427D8" w:rsidRDefault="009F6E91" w:rsidP="009F6E91">
      <w:pPr>
        <w:pStyle w:val="Body1"/>
      </w:pPr>
      <w:r w:rsidRPr="00D427D8">
        <w:t>The Servicer will hold and maintain the Records either at its own offices or at the offices of a person to whom it is entitled to delegate duties or at such other office of the Servicer as shall from time to time be identified to the Issuer upon thirty (30) days</w:t>
      </w:r>
      <w:r w:rsidR="00EF7333" w:rsidRPr="00D427D8">
        <w:t>'</w:t>
      </w:r>
      <w:r w:rsidRPr="00D427D8">
        <w:t xml:space="preserve"> prior written notice. In performing its duties the Servicer will observe the Data Protection Rules and any applicable banking secrecy rules.</w:t>
      </w:r>
    </w:p>
    <w:p w14:paraId="68A522B1" w14:textId="77777777" w:rsidR="009F6E91" w:rsidRPr="00D427D8" w:rsidRDefault="009F6E91" w:rsidP="009F6E91">
      <w:pPr>
        <w:pStyle w:val="Body1"/>
      </w:pPr>
      <w:r w:rsidRPr="00D427D8">
        <w:rPr>
          <w:b/>
          <w:i/>
        </w:rPr>
        <w:t>Delegation of Duties.</w:t>
      </w:r>
      <w:r w:rsidRPr="00D427D8">
        <w:t xml:space="preserve"> So long as Stellantis Bank acts as Servicer, the Servicer may, at any time without notice or consent, delegate any of its duties to any entity within the BNP Group. The Servicer may at any time perform specific duties as Servicer through sub-contractors who are in the business of servicing automotive receivables or performing other services to be provided by the Servicer hereunder. No such delegation or sub-contracting will relieve the Servicer of its responsibility with respect to such duties.</w:t>
      </w:r>
    </w:p>
    <w:p w14:paraId="2230DF15" w14:textId="02DA61C9" w:rsidR="009F6E91" w:rsidRPr="00D427D8" w:rsidRDefault="009F6E91" w:rsidP="009F6E91">
      <w:pPr>
        <w:pStyle w:val="Body1"/>
      </w:pPr>
      <w:r w:rsidRPr="00D427D8">
        <w:rPr>
          <w:b/>
          <w:i/>
        </w:rPr>
        <w:t>Limitations on Liability.</w:t>
      </w:r>
      <w:r w:rsidRPr="00D427D8">
        <w:t xml:space="preserve"> Neither the Servicer nor any of the directors or officers or employees or agents of the Servicer will be liable in respect of any losses or expenses suffered or incurred by any other party to the Servicing Agreement as a result of the performance of the Servicer</w:t>
      </w:r>
      <w:r w:rsidR="00EF7333" w:rsidRPr="00D427D8">
        <w:t>'</w:t>
      </w:r>
      <w:r w:rsidRPr="00D427D8">
        <w:t>s obligations except where such loss or expense is the result of its wilful default (</w:t>
      </w:r>
      <w:r w:rsidRPr="00D427D8">
        <w:rPr>
          <w:i/>
        </w:rPr>
        <w:t>Vorsatz</w:t>
      </w:r>
      <w:r w:rsidRPr="00D427D8">
        <w:t>), gross negligence (</w:t>
      </w:r>
      <w:r w:rsidRPr="00D427D8">
        <w:rPr>
          <w:i/>
        </w:rPr>
        <w:t>grobe Fahrlässigkeit</w:t>
      </w:r>
      <w:r w:rsidRPr="00D427D8">
        <w:t>) or light negligence in respect of material contractual obligations (</w:t>
      </w:r>
      <w:r w:rsidRPr="00D427D8">
        <w:rPr>
          <w:i/>
          <w:iCs/>
        </w:rPr>
        <w:t>leichte Fahrlässigkeit in Bezug auf wesentliche Vertragspflichten</w:t>
      </w:r>
      <w:r w:rsidRPr="00D427D8">
        <w:t>) in the performance of its duties under the Servicing Agreement or other Transaction Documents.</w:t>
      </w:r>
    </w:p>
    <w:p w14:paraId="47EAE8FE" w14:textId="3DD5A5EA" w:rsidR="009F6E91" w:rsidRPr="00D427D8" w:rsidRDefault="009F6E91" w:rsidP="009F6E91">
      <w:pPr>
        <w:pStyle w:val="Body1"/>
      </w:pPr>
      <w:r w:rsidRPr="00D427D8">
        <w:rPr>
          <w:b/>
          <w:i/>
        </w:rPr>
        <w:t>Servicing Fees.</w:t>
      </w:r>
      <w:r w:rsidRPr="00D427D8">
        <w:t xml:space="preserve"> The Servicer will receive a servicing fee on each Distribution Date equal to (i) </w:t>
      </w:r>
      <w:r w:rsidR="00E54B23">
        <w:t>0.5</w:t>
      </w:r>
      <w:r w:rsidRPr="00D427D8">
        <w:t xml:space="preserve"> per cent. </w:t>
      </w:r>
      <w:r w:rsidRPr="00D427D8">
        <w:rPr>
          <w:i/>
        </w:rPr>
        <w:t>per annum</w:t>
      </w:r>
      <w:r w:rsidRPr="00D427D8">
        <w:t xml:space="preserve"> divided by (ii) 12 and multiplied by (iii) the </w:t>
      </w:r>
      <w:r w:rsidRPr="00D427D8">
        <w:rPr>
          <w:color w:val="000000"/>
          <w:lang w:val="en-US" w:eastAsia="de-DE"/>
        </w:rPr>
        <w:t>Aggregate Discounted Receivables Balance</w:t>
      </w:r>
      <w:r w:rsidRPr="00D427D8">
        <w:t xml:space="preserve"> held by the Issuer as at the first day of the preceding Monthly Period.</w:t>
      </w:r>
    </w:p>
    <w:p w14:paraId="19F9333D" w14:textId="2BBC4380" w:rsidR="009F6E91" w:rsidRPr="00D427D8" w:rsidRDefault="009F6E91" w:rsidP="009F6E91">
      <w:pPr>
        <w:pStyle w:val="Body1"/>
      </w:pPr>
      <w:r w:rsidRPr="00D427D8">
        <w:rPr>
          <w:b/>
          <w:i/>
        </w:rPr>
        <w:t>Termination of the Servicer.</w:t>
      </w:r>
      <w:r w:rsidRPr="00D427D8">
        <w:t xml:space="preserve"> Stellantis Bank</w:t>
      </w:r>
      <w:r w:rsidR="00EF7333" w:rsidRPr="00D427D8">
        <w:t>'</w:t>
      </w:r>
      <w:r w:rsidRPr="00D427D8">
        <w:t>s appointment under the Servicing Agreement shall be terminated by the Issuer upon the occurrence of a Servicer Default and the Issuer, with the assistance of the Back-up Servicer Facilitator, will appoint a Back-up Servicer. The Back-up Servicer Facilitator shall use best efforts to, within thirty (30) calendar days of such notification, assist the Issuer to identify a Back-Up Servicer and procure that such Back-up Servicer agrees to act as a back-up servicer in this transaction.</w:t>
      </w:r>
    </w:p>
    <w:p w14:paraId="082F7245" w14:textId="075CC7FB" w:rsidR="009F6E91" w:rsidRPr="00D427D8" w:rsidRDefault="009F6E91" w:rsidP="009F6E91">
      <w:pPr>
        <w:pStyle w:val="Body1"/>
      </w:pPr>
      <w:r w:rsidRPr="00D427D8">
        <w:t>The Servicer may not resign as Servicer unless it is determined that the performance of its duties would no longer be permissible by law. Under German law, the Servicer may also resign at any time for other reasons that represent good cause (</w:t>
      </w:r>
      <w:r w:rsidRPr="00D427D8">
        <w:rPr>
          <w:i/>
        </w:rPr>
        <w:t>wichtiger Grund</w:t>
      </w:r>
      <w:r w:rsidRPr="00D427D8">
        <w:t>). If the Servicer</w:t>
      </w:r>
      <w:r w:rsidR="00EF7333" w:rsidRPr="00D427D8">
        <w:t>'</w:t>
      </w:r>
      <w:r w:rsidRPr="00D427D8">
        <w:t xml:space="preserve">s appointment is terminated following a Servicer Default or if the Servicer resigns for one of the aforementioned reasons, </w:t>
      </w:r>
      <w:bookmarkStart w:id="299" w:name="_Hlk167281521"/>
      <w:r w:rsidRPr="00D427D8">
        <w:t>the Servicer is required to perform the duties of Servicer until the appointment of a Back-up Servicer and assist in any transfer to a Back-up Servicer</w:t>
      </w:r>
      <w:bookmarkEnd w:id="299"/>
      <w:r w:rsidRPr="00D427D8">
        <w:t>.</w:t>
      </w:r>
    </w:p>
    <w:p w14:paraId="1F3F8301" w14:textId="77777777" w:rsidR="009F6E91" w:rsidRPr="00D427D8" w:rsidRDefault="009F6E91" w:rsidP="009F6E91">
      <w:pPr>
        <w:pStyle w:val="Body1"/>
        <w:rPr>
          <w:rStyle w:val="Heading1Text"/>
        </w:rPr>
      </w:pPr>
      <w:r w:rsidRPr="00D427D8">
        <w:rPr>
          <w:rStyle w:val="Heading1Text"/>
        </w:rPr>
        <w:t>Data Protection Agreement</w:t>
      </w:r>
    </w:p>
    <w:p w14:paraId="62919135" w14:textId="408A6DB1" w:rsidR="009F6E91" w:rsidRPr="00D427D8" w:rsidRDefault="009F6E91" w:rsidP="009F6E91">
      <w:pPr>
        <w:pStyle w:val="Body1"/>
      </w:pPr>
      <w:r w:rsidRPr="00D427D8">
        <w:t xml:space="preserve">In accordance with the data protection agreement between the Issuer, the Seller, and the Data Protection Trustee (the </w:t>
      </w:r>
      <w:r w:rsidR="00EF7333" w:rsidRPr="00D427D8">
        <w:t>"</w:t>
      </w:r>
      <w:r w:rsidRPr="00D427D8">
        <w:rPr>
          <w:rStyle w:val="BoldText"/>
        </w:rPr>
        <w:t>Data Protection Agreement</w:t>
      </w:r>
      <w:r w:rsidR="00EF7333" w:rsidRPr="00D427D8">
        <w:t>"</w:t>
      </w:r>
      <w:r w:rsidRPr="00D427D8">
        <w:t>), Stellantis Bank will deliver to the Issuer the Schedule of Receivables electronically or otherwise in the form of an encoded receivables register containing certain non-personal information in relation to the Receivables and contract numbers. The Lessees owing the Receivables listed in the encoded receivables register will only be identifiable by reference to a contract number in combination with a Reference List in encrypted form containing information as to the contract numbers and names and addresses of the Lessees which is to be delivered by the Seller to the Issuer. The Key to decrypt the Reference List and, consequently, to decode the encoded receivables register will be delivered to the Data Protection Trustee in accordance with the Data Protection Agreement.</w:t>
      </w:r>
    </w:p>
    <w:p w14:paraId="057C81EA" w14:textId="77777777" w:rsidR="009F6E91" w:rsidRPr="00D427D8" w:rsidRDefault="009F6E91" w:rsidP="00EF7333">
      <w:pPr>
        <w:pStyle w:val="Body1"/>
        <w:rPr>
          <w:rStyle w:val="Heading1Text"/>
        </w:rPr>
      </w:pPr>
      <w:r w:rsidRPr="00D427D8">
        <w:rPr>
          <w:rStyle w:val="Heading1Text"/>
        </w:rPr>
        <w:t>Account Bank Agreement</w:t>
      </w:r>
    </w:p>
    <w:p w14:paraId="14909174" w14:textId="433C2502" w:rsidR="009F6E91" w:rsidRPr="00D427D8" w:rsidRDefault="009F6E91" w:rsidP="009F6E91">
      <w:pPr>
        <w:pStyle w:val="Body1"/>
      </w:pPr>
      <w:r w:rsidRPr="00D427D8">
        <w:rPr>
          <w:b/>
          <w:i/>
        </w:rPr>
        <w:t>General.</w:t>
      </w:r>
      <w:r w:rsidRPr="00D427D8">
        <w:t xml:space="preserve"> BNP Paribas, Germany Branch will act as Account Bank under the Account Bank Agreement between the Account Bank and the Issuer. The Issuer Accounts will be opened, maintained and operated by </w:t>
      </w:r>
      <w:r w:rsidRPr="00D427D8">
        <w:lastRenderedPageBreak/>
        <w:t xml:space="preserve">the Account Bank at the instruction of the Issuer in accordance with the Account Bank Agreement. For further information regarding the Issuer Accounts, please refer to </w:t>
      </w:r>
      <w:r w:rsidR="00EF7333" w:rsidRPr="00D427D8">
        <w:t>"</w:t>
      </w:r>
      <w:r w:rsidRPr="00D427D8">
        <w:rPr>
          <w:i/>
        </w:rPr>
        <w:t>General Credit Structure - Issuer Accounts</w:t>
      </w:r>
      <w:r w:rsidR="00EF7333" w:rsidRPr="00D427D8">
        <w:t>"</w:t>
      </w:r>
      <w:r w:rsidRPr="00D427D8">
        <w:rPr>
          <w:i/>
        </w:rPr>
        <w:t>.</w:t>
      </w:r>
    </w:p>
    <w:p w14:paraId="0928BF66" w14:textId="77777777" w:rsidR="009F6E91" w:rsidRPr="00D427D8" w:rsidRDefault="009F6E91" w:rsidP="009F6E91">
      <w:pPr>
        <w:pStyle w:val="Body1"/>
      </w:pPr>
      <w:r w:rsidRPr="00D427D8">
        <w:rPr>
          <w:b/>
          <w:i/>
        </w:rPr>
        <w:t>Fees.</w:t>
      </w:r>
      <w:r w:rsidRPr="00D427D8">
        <w:t xml:space="preserve"> The Account Bank will receive certain fees for its services under the Account Bank Agreement as agreed between the Account Bank and the Issuer which will be payable on each Distribution Date in accordance with the applicable Priority of Payments.</w:t>
      </w:r>
    </w:p>
    <w:p w14:paraId="7B435EA1" w14:textId="345570F7" w:rsidR="009F6E91" w:rsidRPr="00D427D8" w:rsidRDefault="009F6E91" w:rsidP="009F6E91">
      <w:pPr>
        <w:pStyle w:val="Body1"/>
        <w:rPr>
          <w:b/>
          <w:i/>
        </w:rPr>
      </w:pPr>
      <w:r w:rsidRPr="00D427D8">
        <w:rPr>
          <w:b/>
          <w:i/>
        </w:rPr>
        <w:t>Account Bank must be an Eligible Institution.</w:t>
      </w:r>
      <w:r w:rsidRPr="00D427D8">
        <w:t xml:space="preserve"> As at the date of this Prospectus, the Account Bank is an Eligible Institution. If the Account Bank ceases to be an Eligible Institution, the Issuer, will, within forty-five (45) calendar days of written notice to the Account Bank, terminate the Account Bank</w:t>
      </w:r>
      <w:r w:rsidR="00EF7333" w:rsidRPr="00D427D8">
        <w:t>'</w:t>
      </w:r>
      <w:r w:rsidRPr="00D427D8">
        <w:t xml:space="preserve">s appointment and procure the transfer of each Issuer Account and each other account of the Issuer (which has been opened in accordance with the Transaction Documents) held with the Account Bank to another bank which is an Eligible Institution, as further described in sections </w:t>
      </w:r>
      <w:r w:rsidR="00EF7333" w:rsidRPr="00D427D8">
        <w:t>"</w:t>
      </w:r>
      <w:r w:rsidRPr="00D427D8">
        <w:rPr>
          <w:i/>
        </w:rPr>
        <w:t>Termination of appointment</w:t>
      </w:r>
      <w:r w:rsidR="00EF7333" w:rsidRPr="00D427D8">
        <w:t>"</w:t>
      </w:r>
      <w:r w:rsidRPr="00D427D8">
        <w:t xml:space="preserve"> below.</w:t>
      </w:r>
    </w:p>
    <w:p w14:paraId="629237A1" w14:textId="1A6ED2C5" w:rsidR="009F6E91" w:rsidRPr="00D427D8" w:rsidRDefault="009F6E91" w:rsidP="009F6E91">
      <w:pPr>
        <w:pStyle w:val="Body1"/>
      </w:pPr>
      <w:r w:rsidRPr="00D427D8">
        <w:rPr>
          <w:b/>
          <w:i/>
          <w:szCs w:val="19"/>
        </w:rPr>
        <w:t>Termination of appointment.</w:t>
      </w:r>
      <w:r w:rsidRPr="00D427D8">
        <w:rPr>
          <w:szCs w:val="19"/>
        </w:rPr>
        <w:t xml:space="preserve"> </w:t>
      </w:r>
      <w:r w:rsidRPr="00D427D8">
        <w:t>The Issuer, may or, if, on any date, the Account Bank ceases to qualify as an Eligible Institution, will, by prior written notice to the Account Bank (with a copy to the Rating Agencies) terminate the Account Bank</w:t>
      </w:r>
      <w:r w:rsidR="00EF7333" w:rsidRPr="00D427D8">
        <w:t>'</w:t>
      </w:r>
      <w:r w:rsidRPr="00D427D8">
        <w:t>s appointment, and will, within sixty (60) calendar days of the occurrence of the Account Bank ceases to be an Eligible Institution:</w:t>
      </w:r>
    </w:p>
    <w:p w14:paraId="1E6D001F" w14:textId="09E85973" w:rsidR="009F6E91" w:rsidRPr="00D427D8" w:rsidRDefault="009F6E91" w:rsidP="00C8283A">
      <w:pPr>
        <w:pStyle w:val="Level3"/>
        <w:numPr>
          <w:ilvl w:val="2"/>
          <w:numId w:val="44"/>
        </w:numPr>
      </w:pPr>
      <w:r w:rsidRPr="00D427D8">
        <w:t>appoint a substitute account bank provided that such termination shall not become effective unless the appointment of such new account bank has become effective and provided further that (i) the substitute account bank shall be an Eligible Institution and (ii) the Issuer Accounts shall have been transferred in the books of the substitute account bank; and</w:t>
      </w:r>
    </w:p>
    <w:p w14:paraId="56AA5690" w14:textId="31BC4FCB" w:rsidR="009F6E91" w:rsidRPr="00D427D8" w:rsidRDefault="009F6E91" w:rsidP="00141A76">
      <w:pPr>
        <w:pStyle w:val="Level3"/>
      </w:pPr>
      <w:r w:rsidRPr="00D427D8">
        <w:t xml:space="preserve">the substitute account bank shall have agreed with the Issuer to perform the duties and obligations of the Account Bank pursuant to a new bank account agreement to be entered into between the substitute account bank and the Issuer on terms satisfactory to the Issuer and substantially similar to the Account Bank Agreement; in particular, the substitute account bank will agree to irrevocably agree to be bound by the non-petition and limited recourse provisions set out in </w:t>
      </w:r>
      <w:r w:rsidRPr="00D427D8">
        <w:rPr>
          <w:szCs w:val="19"/>
        </w:rPr>
        <w:t>clause 16 (</w:t>
      </w:r>
      <w:r w:rsidRPr="00D427D8">
        <w:rPr>
          <w:i/>
          <w:szCs w:val="19"/>
        </w:rPr>
        <w:t>Non Petition and Limited Recourse</w:t>
      </w:r>
      <w:r w:rsidRPr="00D427D8">
        <w:rPr>
          <w:szCs w:val="19"/>
        </w:rPr>
        <w:t>) of the Master Agreement</w:t>
      </w:r>
      <w:r w:rsidRPr="00D427D8">
        <w:t>; and</w:t>
      </w:r>
    </w:p>
    <w:p w14:paraId="5FC7C015" w14:textId="204DEF5F" w:rsidR="009F6E91" w:rsidRPr="00D427D8" w:rsidRDefault="009F6E91" w:rsidP="00141A76">
      <w:pPr>
        <w:pStyle w:val="Level3"/>
      </w:pPr>
      <w:r w:rsidRPr="00D427D8">
        <w:t xml:space="preserve">give notice to the Noteholders pursuant to Condition </w:t>
      </w:r>
      <w:r w:rsidRPr="00D427D8">
        <w:rPr>
          <w:rFonts w:asciiTheme="minorHAnsi" w:hAnsiTheme="minorHAnsi" w:cstheme="minorHAnsi"/>
        </w:rPr>
        <w:t>12</w:t>
      </w:r>
      <w:r w:rsidRPr="00D427D8">
        <w:t xml:space="preserve"> (</w:t>
      </w:r>
      <w:r w:rsidRPr="00D427D8">
        <w:rPr>
          <w:i/>
        </w:rPr>
        <w:t>Notice to the Noteholders</w:t>
      </w:r>
      <w:r w:rsidRPr="00D427D8">
        <w:t>) at least fifteen (15) days before the appointment of such new account bank becomes effective.</w:t>
      </w:r>
    </w:p>
    <w:p w14:paraId="0D20C371" w14:textId="00607238" w:rsidR="009F6E91" w:rsidRPr="00D427D8" w:rsidRDefault="009F6E91" w:rsidP="009F6E91">
      <w:pPr>
        <w:pStyle w:val="Body1"/>
      </w:pPr>
      <w:r w:rsidRPr="00D427D8">
        <w:t>The Account Bank may resign its appointment at any time upon not less than thirty (30) calendar days</w:t>
      </w:r>
      <w:r w:rsidR="00EF7333" w:rsidRPr="00D427D8">
        <w:t>'</w:t>
      </w:r>
      <w:r w:rsidRPr="00D427D8">
        <w:t xml:space="preserve"> written notice to the Issuer (with a copy to the Rating Agencies), provided, however, that such resignation shall not take effect until the following conditions are satisfied:</w:t>
      </w:r>
    </w:p>
    <w:p w14:paraId="3CF68969" w14:textId="68E4D412" w:rsidR="009F6E91" w:rsidRPr="00D427D8" w:rsidRDefault="009F6E91" w:rsidP="00C8283A">
      <w:pPr>
        <w:pStyle w:val="Level3"/>
        <w:numPr>
          <w:ilvl w:val="2"/>
          <w:numId w:val="45"/>
        </w:numPr>
      </w:pPr>
      <w:r w:rsidRPr="00D427D8">
        <w:t>a substitute account bank shall have been appointed by the Issuer (such consent not being unreasonably withheld or delayed);</w:t>
      </w:r>
    </w:p>
    <w:p w14:paraId="5902664C" w14:textId="2DA89819" w:rsidR="009F6E91" w:rsidRPr="00D427D8" w:rsidRDefault="009F6E91" w:rsidP="00141A76">
      <w:pPr>
        <w:pStyle w:val="Level3"/>
      </w:pPr>
      <w:r w:rsidRPr="00D427D8">
        <w:t>the substitute account bank shall be an Eligible Institution;</w:t>
      </w:r>
    </w:p>
    <w:p w14:paraId="4C1B53B1" w14:textId="37DFBD97" w:rsidR="009F6E91" w:rsidRPr="00D427D8" w:rsidRDefault="009F6E91" w:rsidP="00141A76">
      <w:pPr>
        <w:pStyle w:val="Level3"/>
      </w:pPr>
      <w:r w:rsidRPr="00D427D8">
        <w:t>the Issuer Accounts shall have been transferred in the books of the substitute account bank;</w:t>
      </w:r>
    </w:p>
    <w:p w14:paraId="4F667E39" w14:textId="1D7920C6" w:rsidR="009F6E91" w:rsidRPr="00D427D8" w:rsidRDefault="009F6E91" w:rsidP="00141A76">
      <w:pPr>
        <w:pStyle w:val="Level3"/>
      </w:pPr>
      <w:r w:rsidRPr="00D427D8">
        <w:t xml:space="preserve">the substitute account bank shall have agreed with the Issuer to perform the duties and obligations of the Account Bank pursuant to a new bank account agreement to be entered into between the substitute account bank and the Issuer on terms satisfactory to the Issuer and substantially similar to the Account Bank Agreement; in particular, the substitute account bank will </w:t>
      </w:r>
      <w:bookmarkStart w:id="300" w:name="_Hlk85554188"/>
      <w:r w:rsidRPr="00D427D8">
        <w:t xml:space="preserve">irrevocably agree to be bound by the non-petition and limited recourse provisions set out in </w:t>
      </w:r>
      <w:r w:rsidRPr="00D427D8">
        <w:rPr>
          <w:szCs w:val="19"/>
        </w:rPr>
        <w:t>clause 16 (</w:t>
      </w:r>
      <w:r w:rsidRPr="00D427D8">
        <w:rPr>
          <w:i/>
          <w:szCs w:val="19"/>
        </w:rPr>
        <w:t>Non Petition and Limited Recourse</w:t>
      </w:r>
      <w:r w:rsidRPr="00D427D8">
        <w:rPr>
          <w:szCs w:val="19"/>
        </w:rPr>
        <w:t>) of the Master Agreement</w:t>
      </w:r>
      <w:bookmarkEnd w:id="300"/>
      <w:r w:rsidRPr="00D427D8">
        <w:t>; and</w:t>
      </w:r>
    </w:p>
    <w:p w14:paraId="2A053124" w14:textId="4AEB1A61" w:rsidR="009F6E91" w:rsidRPr="00D427D8" w:rsidRDefault="009F6E91" w:rsidP="00141A76">
      <w:pPr>
        <w:pStyle w:val="Level3"/>
      </w:pPr>
      <w:r w:rsidRPr="00D427D8">
        <w:t xml:space="preserve">notice shall be given to the Noteholders pursuant to Condition </w:t>
      </w:r>
      <w:r w:rsidRPr="00D427D8">
        <w:rPr>
          <w:rFonts w:asciiTheme="minorHAnsi" w:hAnsiTheme="minorHAnsi" w:cstheme="minorHAnsi"/>
        </w:rPr>
        <w:t>12</w:t>
      </w:r>
      <w:r w:rsidRPr="00D427D8">
        <w:t xml:space="preserve"> (</w:t>
      </w:r>
      <w:r w:rsidRPr="00D427D8">
        <w:rPr>
          <w:i/>
        </w:rPr>
        <w:t>Notice to the Noteholders</w:t>
      </w:r>
      <w:r w:rsidRPr="00D427D8">
        <w:t>) at least fifteen (15) days before the appointment of such new account bank becomes effective.</w:t>
      </w:r>
    </w:p>
    <w:p w14:paraId="243B0327" w14:textId="77777777" w:rsidR="009F6E91" w:rsidRPr="00D427D8" w:rsidRDefault="009F6E91" w:rsidP="00EF7333">
      <w:pPr>
        <w:pStyle w:val="Body1"/>
        <w:rPr>
          <w:rStyle w:val="Heading1Text"/>
        </w:rPr>
      </w:pPr>
      <w:r w:rsidRPr="00D427D8">
        <w:rPr>
          <w:rStyle w:val="Heading1Text"/>
        </w:rPr>
        <w:t>Subordinated Loan Agreement</w:t>
      </w:r>
    </w:p>
    <w:p w14:paraId="06F4B72E" w14:textId="48A90D23" w:rsidR="009F6E91" w:rsidRPr="00D427D8" w:rsidRDefault="009F6E91" w:rsidP="009F6E91">
      <w:pPr>
        <w:pStyle w:val="Body1"/>
      </w:pPr>
      <w:r w:rsidRPr="00D427D8">
        <w:t xml:space="preserve">Pursuant to the Subordinated Loan Agreement to be entered into on the Signing Date between, </w:t>
      </w:r>
      <w:r w:rsidRPr="00D427D8">
        <w:rPr>
          <w:i/>
        </w:rPr>
        <w:t>inter alia</w:t>
      </w:r>
      <w:r w:rsidRPr="00D427D8">
        <w:t xml:space="preserve"> the Issuer and Stellantis Bank (as </w:t>
      </w:r>
      <w:r w:rsidR="00EF7333" w:rsidRPr="00D427D8">
        <w:t>"</w:t>
      </w:r>
      <w:r w:rsidRPr="00D427D8">
        <w:rPr>
          <w:rStyle w:val="BoldText"/>
        </w:rPr>
        <w:t>Subordinated Lender</w:t>
      </w:r>
      <w:r w:rsidR="00EF7333" w:rsidRPr="00D427D8">
        <w:t>"</w:t>
      </w:r>
      <w:r w:rsidRPr="00D427D8">
        <w:t xml:space="preserve">), the Subordinated Lender will grant to the Issuer a Euro loan facility as subordinated loan (the </w:t>
      </w:r>
      <w:r w:rsidR="00EF7333" w:rsidRPr="00D427D8">
        <w:t>"</w:t>
      </w:r>
      <w:r w:rsidRPr="00D427D8">
        <w:rPr>
          <w:rStyle w:val="BoldText"/>
        </w:rPr>
        <w:t>Subordinated Loan</w:t>
      </w:r>
      <w:r w:rsidR="00EF7333" w:rsidRPr="00D427D8">
        <w:t>"</w:t>
      </w:r>
      <w:r w:rsidRPr="00D427D8">
        <w:t>). Drawings under the Subordinated Loan may only be made to fund (i) the initial Liquidity Reserve Target Amount to be deposited in the Reserve Account on the Closing Date</w:t>
      </w:r>
      <w:r w:rsidR="00241D06">
        <w:t xml:space="preserve"> and</w:t>
      </w:r>
      <w:r w:rsidRPr="00D427D8">
        <w:t xml:space="preserve"> (ii) the Senior Expenses and Interest Reserve to pay the Senior Expenses </w:t>
      </w:r>
      <w:r w:rsidRPr="00D427D8">
        <w:lastRenderedPageBreak/>
        <w:t>and interest on the Notes on the first Distribution Date. On or before each Distribution Date, the Issuer will repay any Excess Liquidity Reserve to the Subordinated Lender outside the applicable Priority of Payments, whereby such repayment will decrease the then Subordinated Loan Balance accordingly. After an Accelerated Amortisation Event, any Subordinated Loan Balance will be repaid in accordance with the Accelerated Priority of Payments.</w:t>
      </w:r>
    </w:p>
    <w:p w14:paraId="7524022D" w14:textId="557FF67F" w:rsidR="009F6E91" w:rsidRPr="00D427D8" w:rsidRDefault="009F6E91" w:rsidP="009F6E91">
      <w:pPr>
        <w:pStyle w:val="Body1"/>
      </w:pPr>
      <w:r w:rsidRPr="00D427D8">
        <w:t xml:space="preserve">For further information on the Liquidity Reserve and the Reserve Account see </w:t>
      </w:r>
      <w:r w:rsidR="00EF7333" w:rsidRPr="00D427D8">
        <w:t>"</w:t>
      </w:r>
      <w:r w:rsidRPr="00D427D8">
        <w:rPr>
          <w:i/>
        </w:rPr>
        <w:t>General Credit Structure - Credit Enhancement - Reserve Account</w:t>
      </w:r>
      <w:r w:rsidR="00EF7333" w:rsidRPr="00D427D8">
        <w:t>"</w:t>
      </w:r>
      <w:r w:rsidRPr="00D427D8">
        <w:rPr>
          <w:i/>
        </w:rPr>
        <w:t>.</w:t>
      </w:r>
    </w:p>
    <w:p w14:paraId="01746778" w14:textId="77777777" w:rsidR="009F6E91" w:rsidRPr="00D427D8" w:rsidRDefault="009F6E91" w:rsidP="00EF7333">
      <w:pPr>
        <w:pStyle w:val="Body1"/>
        <w:rPr>
          <w:rStyle w:val="Heading1Text"/>
        </w:rPr>
      </w:pPr>
      <w:r w:rsidRPr="00D427D8">
        <w:rPr>
          <w:rStyle w:val="Heading1Text"/>
        </w:rPr>
        <w:t>VAT Bridge Loan Agreement</w:t>
      </w:r>
    </w:p>
    <w:p w14:paraId="69B22874" w14:textId="68D36EB6" w:rsidR="009F6E91" w:rsidRPr="00D427D8" w:rsidRDefault="009F6E91" w:rsidP="009F6E91">
      <w:pPr>
        <w:pStyle w:val="Body1"/>
        <w:rPr>
          <w:lang w:val="en-US"/>
        </w:rPr>
      </w:pPr>
      <w:r w:rsidRPr="00D427D8">
        <w:t xml:space="preserve">Pursuant to the </w:t>
      </w:r>
      <w:r w:rsidRPr="00D427D8">
        <w:rPr>
          <w:lang w:val="en-US"/>
        </w:rPr>
        <w:t xml:space="preserve">VAT Bridge Loan </w:t>
      </w:r>
      <w:r w:rsidRPr="00D427D8">
        <w:t xml:space="preserve">Agreement, the </w:t>
      </w:r>
      <w:r w:rsidRPr="00D427D8">
        <w:rPr>
          <w:lang w:val="en-US"/>
        </w:rPr>
        <w:t xml:space="preserve">Seller as Lender will grant to the Issuer a revolving bridge </w:t>
      </w:r>
      <w:r w:rsidRPr="00D427D8">
        <w:t xml:space="preserve">loan facility in an amount of up to EUR </w:t>
      </w:r>
      <w:r w:rsidR="003E58A1" w:rsidRPr="003E58A1">
        <w:t>152,000,000</w:t>
      </w:r>
      <w:r w:rsidRPr="00D427D8">
        <w:t xml:space="preserve"> for the purpose of funding any German VAT payable by the Issuer in connection with the purchase of </w:t>
      </w:r>
      <w:bookmarkStart w:id="301" w:name="_Hlk84494149"/>
      <w:r w:rsidRPr="00D427D8">
        <w:t>Expectancy Rights</w:t>
      </w:r>
      <w:bookmarkEnd w:id="301"/>
      <w:r w:rsidRPr="00D427D8">
        <w:t xml:space="preserve">. </w:t>
      </w:r>
      <w:r w:rsidRPr="00D427D8">
        <w:rPr>
          <w:lang w:val="en-US"/>
        </w:rPr>
        <w:t xml:space="preserve">The VAT Bridge Loan will bear interest at </w:t>
      </w:r>
      <w:r w:rsidR="007F4854" w:rsidRPr="00D427D8">
        <w:rPr>
          <w:lang w:val="en-US"/>
        </w:rPr>
        <w:t>a rate equal to such interest rate which accrues on the VAT Account.</w:t>
      </w:r>
    </w:p>
    <w:p w14:paraId="72C6DD61" w14:textId="77777777" w:rsidR="009F6E91" w:rsidRPr="00D427D8" w:rsidRDefault="009F6E91" w:rsidP="009F6E91">
      <w:pPr>
        <w:pStyle w:val="Body1"/>
        <w:rPr>
          <w:lang w:val="en-US"/>
        </w:rPr>
      </w:pPr>
      <w:r w:rsidRPr="00D427D8">
        <w:rPr>
          <w:lang w:val="en-US"/>
        </w:rPr>
        <w:t xml:space="preserve">On the Closing Date and on any Further Purchase Date, to the extent required the Lender advances the relevant amount under the VAT Bridge Loan to the Issuer in order to fund the VAT included in the ER Purchase Prices payable on such Further Purchase Date. The purchase of the </w:t>
      </w:r>
      <w:r w:rsidRPr="00D427D8">
        <w:t>initial</w:t>
      </w:r>
      <w:r w:rsidRPr="00D427D8">
        <w:rPr>
          <w:lang w:val="en-US"/>
        </w:rPr>
        <w:t xml:space="preserve"> and any additional </w:t>
      </w:r>
      <w:r w:rsidRPr="00D427D8">
        <w:t xml:space="preserve">Expectancy Rights </w:t>
      </w:r>
      <w:r w:rsidRPr="00D427D8">
        <w:rPr>
          <w:lang w:val="en-US"/>
        </w:rPr>
        <w:t>is subject to the condition that the Issuer has sufficient funds available to pay the full ER Purchase Price (incl. VAT) to the Seller.</w:t>
      </w:r>
    </w:p>
    <w:p w14:paraId="5227C57A" w14:textId="77777777" w:rsidR="009F6E91" w:rsidRPr="00D427D8" w:rsidRDefault="009F6E91" w:rsidP="009F6E91">
      <w:pPr>
        <w:pStyle w:val="Body1"/>
        <w:rPr>
          <w:lang w:val="en-US"/>
        </w:rPr>
      </w:pPr>
      <w:r w:rsidRPr="00D427D8">
        <w:rPr>
          <w:lang w:val="en-US"/>
        </w:rPr>
        <w:t xml:space="preserve">Filings for VAT Advance Returns to receive Input VAT Refunds will be made by the Issuer via its tax advisor on a monthly basis in each case no later than on the VAT Advance Submission Date following each VAT Advance Period. The Issuer will apply any VAT </w:t>
      </w:r>
      <w:r w:rsidRPr="00D427D8">
        <w:t>contained in the vehicle sales proceeds towards repayment of the VAT Bridge Loan to the extent such VAT is not required to be paid to the tax authorities. Such VAT contained in the vehicle sales proceeds will therefore be transferred by the Servicer directly to the VAT Account on a monthly basis in accordance with the Servicing Agreement.</w:t>
      </w:r>
    </w:p>
    <w:p w14:paraId="5ACFC13F" w14:textId="77777777" w:rsidR="009F6E91" w:rsidRPr="00D427D8" w:rsidRDefault="009F6E91" w:rsidP="009F6E91">
      <w:pPr>
        <w:pStyle w:val="Body1"/>
        <w:rPr>
          <w:lang w:val="en-US"/>
        </w:rPr>
      </w:pPr>
      <w:r w:rsidRPr="00D427D8">
        <w:rPr>
          <w:lang w:val="en-US"/>
        </w:rPr>
        <w:t>The VAT Account is segregated from the other assets of the Issuer and does not form part of the Transaction Security. Funds credited to the VAT Account will not form part of the Available Distribution Amount and hence are not available for application in the Priorities of Payments.</w:t>
      </w:r>
    </w:p>
    <w:p w14:paraId="6F356540" w14:textId="77777777" w:rsidR="009F6E91" w:rsidRPr="00D427D8" w:rsidRDefault="009F6E91" w:rsidP="009F6E91">
      <w:pPr>
        <w:pStyle w:val="Body1"/>
        <w:rPr>
          <w:lang w:val="en-US"/>
        </w:rPr>
      </w:pPr>
      <w:r w:rsidRPr="00D427D8">
        <w:rPr>
          <w:lang w:val="en-US"/>
        </w:rPr>
        <w:t xml:space="preserve">The VAT Bridge Loan is repaid outside of the Priorities of Payments solely out of Input VAT Refunds received from the competent tax authority either by the Issuer into the VAT Account. The Available Distribution Amount will not be applied for any payments under the VAT Bridge Loan Agreement. Should the Input VAT Refunds received together with VAT received as part of the </w:t>
      </w:r>
      <w:r w:rsidRPr="00D427D8">
        <w:t xml:space="preserve">vehicle sales proceeds </w:t>
      </w:r>
      <w:r w:rsidRPr="00D427D8">
        <w:rPr>
          <w:lang w:val="en-US"/>
        </w:rPr>
        <w:t xml:space="preserve">not be sufficient to repay the </w:t>
      </w:r>
      <w:r w:rsidRPr="00D427D8">
        <w:t xml:space="preserve">VAT Bridge Loan </w:t>
      </w:r>
      <w:r w:rsidRPr="00D427D8">
        <w:rPr>
          <w:lang w:val="en-US"/>
        </w:rPr>
        <w:t>in full, the Lender will have no further recourse against the Issuer.</w:t>
      </w:r>
    </w:p>
    <w:p w14:paraId="6B8F2A0C" w14:textId="09E8CC3E" w:rsidR="007F4854" w:rsidRPr="00D427D8" w:rsidRDefault="007F4854" w:rsidP="007F4854">
      <w:pPr>
        <w:pStyle w:val="Body1"/>
        <w:rPr>
          <w:lang w:val="en-US"/>
        </w:rPr>
      </w:pPr>
      <w:r w:rsidRPr="00D427D8">
        <w:rPr>
          <w:lang w:val="en-US"/>
        </w:rPr>
        <w:t>The Issuer shall only be obliged to pay interest at the end of an Interest Period on the VAT Bridge Loan if there are sufficient funds available on the VAT Account, which may be used for payment of interest under the VAT Bridge Loan Agreement. Any interest shall be paid by the Issuer to the Lender outside the Priorities of Payments.</w:t>
      </w:r>
    </w:p>
    <w:p w14:paraId="6E7A4082" w14:textId="77777777" w:rsidR="009F6E91" w:rsidRPr="00D427D8" w:rsidRDefault="009F6E91" w:rsidP="007F4854">
      <w:pPr>
        <w:pStyle w:val="Body1"/>
        <w:keepNext/>
        <w:rPr>
          <w:rStyle w:val="Heading1Text"/>
        </w:rPr>
      </w:pPr>
      <w:r w:rsidRPr="00D427D8">
        <w:rPr>
          <w:rStyle w:val="Heading1Text"/>
        </w:rPr>
        <w:t>Agency Agreement</w:t>
      </w:r>
    </w:p>
    <w:p w14:paraId="6309A998" w14:textId="77777777" w:rsidR="009F6E91" w:rsidRPr="00D427D8" w:rsidRDefault="009F6E91" w:rsidP="009F6E91">
      <w:pPr>
        <w:pStyle w:val="Body1"/>
      </w:pPr>
      <w:r w:rsidRPr="00D427D8">
        <w:rPr>
          <w:rStyle w:val="BoldText"/>
        </w:rPr>
        <w:t>Genera</w:t>
      </w:r>
      <w:r w:rsidRPr="00D427D8">
        <w:t>l: Under the Agency Agreement, the Issuer, has appointed the Paying Agent to act as paying agent with respect to the Notes and pay or cause to be paid on behalf of the Issuer, on and after each date on which any payment becomes due and payable in respect of the Notes, the amounts of principal and/or interest then payable under the Conditions and the Agency Agreement (in accordance with the relevant Priority of Payments).</w:t>
      </w:r>
    </w:p>
    <w:p w14:paraId="04BC1B7E" w14:textId="77777777" w:rsidR="009F6E91" w:rsidRPr="00D427D8" w:rsidRDefault="009F6E91" w:rsidP="009F6E91">
      <w:pPr>
        <w:pStyle w:val="Body1"/>
      </w:pPr>
      <w:r w:rsidRPr="00D427D8">
        <w:t>The Paying Agent will act solely as agent of the Issuer and will not assume any obligations towards or relationship of agency or trust for or with any of the Noteholders, except that funds received by the Paying Agent for the payment of any sums due in respect of any Notes shall be held by it for the relevant Noteholders until the Final Legal Maturity Date.</w:t>
      </w:r>
    </w:p>
    <w:p w14:paraId="3F775A22" w14:textId="77777777" w:rsidR="009F6E91" w:rsidRPr="00D427D8" w:rsidRDefault="009F6E91" w:rsidP="009F6E91">
      <w:pPr>
        <w:pStyle w:val="Body1"/>
        <w:rPr>
          <w:szCs w:val="19"/>
        </w:rPr>
      </w:pPr>
      <w:r w:rsidRPr="00D427D8">
        <w:rPr>
          <w:szCs w:val="19"/>
        </w:rPr>
        <w:t xml:space="preserve">Under the Agency Agreement, the Issuer, has also appointed the </w:t>
      </w:r>
      <w:r w:rsidRPr="00D427D8">
        <w:t>Reporting Agent in order to prepare and make available the Monthly Investor Reports and the Calculation Agent to re-calculate the Monthly Investor Reports.</w:t>
      </w:r>
    </w:p>
    <w:p w14:paraId="60C9AE61" w14:textId="77777777" w:rsidR="009F6E91" w:rsidRPr="00D427D8" w:rsidRDefault="009F6E91" w:rsidP="009F6E91">
      <w:pPr>
        <w:pStyle w:val="Body1"/>
      </w:pPr>
      <w:r w:rsidRPr="00D427D8">
        <w:rPr>
          <w:rStyle w:val="BoldText"/>
        </w:rPr>
        <w:t>Termination</w:t>
      </w:r>
      <w:r w:rsidRPr="00D427D8">
        <w:t>: Under the Agency Agreement:</w:t>
      </w:r>
    </w:p>
    <w:p w14:paraId="3433ABE3" w14:textId="278894C1" w:rsidR="009F6E91" w:rsidRPr="00D427D8" w:rsidRDefault="009F6E91" w:rsidP="00C8283A">
      <w:pPr>
        <w:pStyle w:val="Level3"/>
        <w:numPr>
          <w:ilvl w:val="2"/>
          <w:numId w:val="46"/>
        </w:numPr>
      </w:pPr>
      <w:r w:rsidRPr="00D427D8">
        <w:lastRenderedPageBreak/>
        <w:t xml:space="preserve">the Issuer, may or, if, on any date, </w:t>
      </w:r>
      <w:r w:rsidRPr="00D427D8">
        <w:rPr>
          <w:szCs w:val="19"/>
        </w:rPr>
        <w:t xml:space="preserve">BNP Paribas, Luxembourg branch, </w:t>
      </w:r>
      <w:r w:rsidRPr="00D427D8">
        <w:t xml:space="preserve">as Paying Agent and France Titrisation as the Calculation Agent and Reporting Agent ceases to qualify as an Eligible Institution, will, by prior written notice to </w:t>
      </w:r>
      <w:r w:rsidR="00F93686" w:rsidRPr="00D427D8">
        <w:rPr>
          <w:szCs w:val="19"/>
        </w:rPr>
        <w:t>BNP Paribas, Luxembourg branch</w:t>
      </w:r>
      <w:r w:rsidRPr="00D427D8">
        <w:t xml:space="preserve"> (with a copy to the Rating Agencies) terminate </w:t>
      </w:r>
      <w:r w:rsidRPr="00D427D8">
        <w:rPr>
          <w:szCs w:val="19"/>
        </w:rPr>
        <w:t>BNP Paribas, Luxembourg branch</w:t>
      </w:r>
      <w:r w:rsidR="00EF7333" w:rsidRPr="00D427D8">
        <w:rPr>
          <w:szCs w:val="19"/>
        </w:rPr>
        <w:t>'</w:t>
      </w:r>
      <w:r w:rsidRPr="00D427D8">
        <w:rPr>
          <w:szCs w:val="19"/>
        </w:rPr>
        <w:t xml:space="preserve">s </w:t>
      </w:r>
      <w:r w:rsidRPr="00D427D8">
        <w:t>appointment as Paying Agent and France Titrisation as Calculation Agent and Reporting Agent, and will, within thirty (30) days of such written notice, appoint a substitute paying agent, calculation agent and reporting agent provided that such termination shall not become effective unless the appointment of such new paying agent, calculation agent and reporting agent has become effective; and</w:t>
      </w:r>
    </w:p>
    <w:p w14:paraId="3D55E57A" w14:textId="5083C62B" w:rsidR="009F6E91" w:rsidRPr="00D427D8" w:rsidRDefault="009F6E91" w:rsidP="00141A76">
      <w:pPr>
        <w:pStyle w:val="Level3"/>
      </w:pPr>
      <w:r w:rsidRPr="00D427D8">
        <w:rPr>
          <w:szCs w:val="19"/>
        </w:rPr>
        <w:t xml:space="preserve">BNP Paribas, Luxembourg branch, </w:t>
      </w:r>
      <w:r w:rsidRPr="00D427D8">
        <w:t>as Paying Agent and France Titrisation as Calculation Agent and Reporting Agent may resign on giving a thirty (30)-day prior written notice to the Issuer (with a copy to the Collateral Agent and to the Rating Agencies),</w:t>
      </w:r>
    </w:p>
    <w:p w14:paraId="23515423" w14:textId="77777777" w:rsidR="009F6E91" w:rsidRPr="00D427D8" w:rsidRDefault="009F6E91" w:rsidP="009F6E91">
      <w:pPr>
        <w:pStyle w:val="Body1"/>
        <w:rPr>
          <w:szCs w:val="19"/>
        </w:rPr>
      </w:pPr>
      <w:r w:rsidRPr="00D427D8">
        <w:t>provided that the conditions precedent set out in the Agency Agreement are satisfied. Notice of any amendments to the Agency Agreement shall promptly be given to the Noteholders in accordance with Condition </w:t>
      </w:r>
      <w:r w:rsidRPr="00D427D8">
        <w:rPr>
          <w:rFonts w:asciiTheme="minorHAnsi" w:hAnsiTheme="minorHAnsi" w:cstheme="minorHAnsi"/>
        </w:rPr>
        <w:t>12</w:t>
      </w:r>
      <w:r w:rsidRPr="00D427D8">
        <w:t xml:space="preserve"> (</w:t>
      </w:r>
      <w:r w:rsidRPr="00D427D8">
        <w:rPr>
          <w:i/>
        </w:rPr>
        <w:t>Notice to the Noteholders</w:t>
      </w:r>
      <w:r w:rsidRPr="00D427D8">
        <w:t>).</w:t>
      </w:r>
    </w:p>
    <w:p w14:paraId="02157BE4" w14:textId="77777777" w:rsidR="009F6E91" w:rsidRPr="00D427D8" w:rsidRDefault="009F6E91" w:rsidP="00EF7333">
      <w:pPr>
        <w:pStyle w:val="Body1"/>
        <w:rPr>
          <w:rStyle w:val="Heading1Text"/>
        </w:rPr>
      </w:pPr>
      <w:bookmarkStart w:id="302" w:name="_Hlk167187270"/>
      <w:r w:rsidRPr="00D427D8">
        <w:rPr>
          <w:rStyle w:val="Heading1Text"/>
        </w:rPr>
        <w:t>Hedging Arrangement</w:t>
      </w:r>
    </w:p>
    <w:p w14:paraId="0D3E7DA6" w14:textId="77777777" w:rsidR="009F6E91" w:rsidRPr="00D427D8" w:rsidRDefault="009F6E91" w:rsidP="00EF7333">
      <w:pPr>
        <w:pStyle w:val="Body1"/>
        <w:rPr>
          <w:rStyle w:val="ItalicText"/>
        </w:rPr>
      </w:pPr>
      <w:bookmarkStart w:id="303" w:name="_Hlk167198629"/>
      <w:r w:rsidRPr="00D427D8">
        <w:rPr>
          <w:rStyle w:val="ItalicText"/>
        </w:rPr>
        <w:t>The Counterparty</w:t>
      </w:r>
    </w:p>
    <w:p w14:paraId="3166F60A" w14:textId="4A402658" w:rsidR="009F6E91" w:rsidRPr="00D427D8" w:rsidRDefault="009F6E91" w:rsidP="009F6E91">
      <w:pPr>
        <w:pStyle w:val="Body1"/>
      </w:pPr>
      <w:bookmarkStart w:id="304" w:name="_Hlk167198462"/>
      <w:r w:rsidRPr="00D427D8">
        <w:t>The Issuer will enter into</w:t>
      </w:r>
      <w:bookmarkEnd w:id="304"/>
      <w:r w:rsidRPr="00D427D8">
        <w:t xml:space="preserve"> the Hedging Arrangement with BNP Paribas (the </w:t>
      </w:r>
      <w:r w:rsidR="00EF7333" w:rsidRPr="00D427D8">
        <w:t>"</w:t>
      </w:r>
      <w:r w:rsidRPr="00D427D8">
        <w:rPr>
          <w:rStyle w:val="BoldText"/>
        </w:rPr>
        <w:t>Counterparty</w:t>
      </w:r>
      <w:r w:rsidR="00EF7333" w:rsidRPr="00D427D8">
        <w:t>"</w:t>
      </w:r>
      <w:r w:rsidRPr="00D427D8">
        <w:t xml:space="preserve">) </w:t>
      </w:r>
      <w:r w:rsidR="006F5CD6">
        <w:rPr>
          <w:szCs w:val="19"/>
        </w:rPr>
        <w:t>in respect of (i) the Class A Notes and Class B Notes and (ii) the Class C Notes, Class D Notes, Class E Notes, Class F Notes and Class G Notes</w:t>
      </w:r>
      <w:r w:rsidR="006F5CD6" w:rsidRPr="00FD0907">
        <w:rPr>
          <w:szCs w:val="19"/>
        </w:rPr>
        <w:t xml:space="preserve">. </w:t>
      </w:r>
      <w:r w:rsidR="006F5CD6">
        <w:rPr>
          <w:szCs w:val="19"/>
        </w:rPr>
        <w:t xml:space="preserve">The </w:t>
      </w:r>
      <w:r w:rsidR="006F5CD6" w:rsidRPr="00292BD4">
        <w:rPr>
          <w:szCs w:val="19"/>
        </w:rPr>
        <w:t>Hedging Arrangement comprises the ISDA master agreement, the related schedule, credit support annex, a swap confirmation with respect to the Class A Notes and Class B Notes and a swap confirmation with respect to the Class C Notes, Class D Notes, Class E Notes</w:t>
      </w:r>
      <w:r w:rsidR="006F5CD6">
        <w:rPr>
          <w:szCs w:val="19"/>
        </w:rPr>
        <w:t>, Class F Notes</w:t>
      </w:r>
      <w:r w:rsidR="006F5CD6" w:rsidRPr="005D0D61">
        <w:rPr>
          <w:szCs w:val="19"/>
        </w:rPr>
        <w:t xml:space="preserve"> and the Class G Notes</w:t>
      </w:r>
      <w:r w:rsidR="006F5CD6" w:rsidRPr="00292BD4">
        <w:rPr>
          <w:szCs w:val="19"/>
        </w:rPr>
        <w:t>.</w:t>
      </w:r>
      <w:r w:rsidRPr="00D427D8">
        <w:t xml:space="preserve"> The Hedging Arrangement will hedge the floating interest rate risk on the applicable Class of Notes. </w:t>
      </w:r>
    </w:p>
    <w:p w14:paraId="55F9B8F6" w14:textId="77777777" w:rsidR="009F6E91" w:rsidRPr="00D427D8" w:rsidRDefault="009F6E91" w:rsidP="009F6E91">
      <w:pPr>
        <w:pStyle w:val="Body1"/>
        <w:rPr>
          <w:rStyle w:val="ItalicText"/>
        </w:rPr>
      </w:pPr>
      <w:r w:rsidRPr="00D427D8">
        <w:rPr>
          <w:rStyle w:val="ItalicText"/>
        </w:rPr>
        <w:t>The Hedging Arrangement</w:t>
      </w:r>
    </w:p>
    <w:bookmarkEnd w:id="303"/>
    <w:p w14:paraId="1D7F979D" w14:textId="4FC2C017" w:rsidR="006F5CD6" w:rsidRPr="00FD0907" w:rsidRDefault="006F5CD6" w:rsidP="006F5CD6">
      <w:pPr>
        <w:pStyle w:val="Body1"/>
        <w:rPr>
          <w:szCs w:val="19"/>
        </w:rPr>
      </w:pPr>
      <w:r w:rsidRPr="00FD0907">
        <w:rPr>
          <w:szCs w:val="19"/>
        </w:rPr>
        <w:t>Under the Hedging Arrangement the Issuer will undertake to pay to the Counterparty</w:t>
      </w:r>
      <w:r>
        <w:rPr>
          <w:szCs w:val="19"/>
        </w:rPr>
        <w:t xml:space="preserve"> on </w:t>
      </w:r>
      <w:r w:rsidRPr="00FD0907">
        <w:rPr>
          <w:szCs w:val="19"/>
        </w:rPr>
        <w:t xml:space="preserve">each Distribution Date an amount equal to the amount of interest on the nominal amount of the </w:t>
      </w:r>
      <w:r w:rsidRPr="00CA0B89">
        <w:rPr>
          <w:szCs w:val="19"/>
        </w:rPr>
        <w:t xml:space="preserve">Class A Notes, Class B Notes, </w:t>
      </w:r>
      <w:r w:rsidRPr="00FD0907">
        <w:rPr>
          <w:szCs w:val="19"/>
        </w:rPr>
        <w:t>Class C Notes, the Class D Notes, the Class E Notes</w:t>
      </w:r>
      <w:r>
        <w:rPr>
          <w:szCs w:val="19"/>
        </w:rPr>
        <w:t xml:space="preserve">, </w:t>
      </w:r>
      <w:r w:rsidRPr="00FD0907">
        <w:rPr>
          <w:szCs w:val="19"/>
        </w:rPr>
        <w:t xml:space="preserve">the Class F Notes </w:t>
      </w:r>
      <w:r>
        <w:rPr>
          <w:szCs w:val="19"/>
        </w:rPr>
        <w:t xml:space="preserve">and the Class G Notes </w:t>
      </w:r>
      <w:r w:rsidRPr="00FD0907">
        <w:rPr>
          <w:szCs w:val="19"/>
        </w:rPr>
        <w:t xml:space="preserve">outstanding on each Distribution Date, calculated on the basis of a fixed rate of interest of </w:t>
      </w:r>
      <w:r w:rsidR="00BF6F66" w:rsidRPr="00BF6F66">
        <w:t>2.1220</w:t>
      </w:r>
      <w:r w:rsidR="00BF6F66">
        <w:t xml:space="preserve"> </w:t>
      </w:r>
      <w:r w:rsidRPr="00FD0907">
        <w:rPr>
          <w:szCs w:val="19"/>
        </w:rPr>
        <w:t xml:space="preserve">per cent. </w:t>
      </w:r>
      <w:r>
        <w:rPr>
          <w:szCs w:val="19"/>
        </w:rPr>
        <w:t xml:space="preserve">in relation to the Class A Notes and the Class B Notes and </w:t>
      </w:r>
      <w:r w:rsidRPr="00FD0907">
        <w:rPr>
          <w:szCs w:val="19"/>
        </w:rPr>
        <w:t xml:space="preserve">calculated on the basis of a fixed rate of interest of </w:t>
      </w:r>
      <w:r w:rsidR="00BF6F66" w:rsidRPr="00BF6F66">
        <w:t>2.1220</w:t>
      </w:r>
      <w:r w:rsidRPr="00D427D8">
        <w:t xml:space="preserve"> </w:t>
      </w:r>
      <w:r w:rsidRPr="00FD0907">
        <w:rPr>
          <w:szCs w:val="19"/>
        </w:rPr>
        <w:t xml:space="preserve">per cent. </w:t>
      </w:r>
      <w:r>
        <w:rPr>
          <w:szCs w:val="19"/>
        </w:rPr>
        <w:t xml:space="preserve">in relation to the Class </w:t>
      </w:r>
      <w:r w:rsidRPr="00FD0907">
        <w:rPr>
          <w:szCs w:val="19"/>
        </w:rPr>
        <w:t>C Notes, the Class D Notes, the Class E Notes</w:t>
      </w:r>
      <w:r>
        <w:rPr>
          <w:szCs w:val="19"/>
        </w:rPr>
        <w:t xml:space="preserve">, </w:t>
      </w:r>
      <w:r w:rsidRPr="00FD0907">
        <w:rPr>
          <w:szCs w:val="19"/>
        </w:rPr>
        <w:t xml:space="preserve">the Class F Notes </w:t>
      </w:r>
      <w:r>
        <w:rPr>
          <w:szCs w:val="19"/>
        </w:rPr>
        <w:t xml:space="preserve">and the Class G Notes, each </w:t>
      </w:r>
      <w:r w:rsidRPr="00FD0907">
        <w:rPr>
          <w:szCs w:val="19"/>
        </w:rPr>
        <w:t>on the basis of an actual/</w:t>
      </w:r>
      <w:r w:rsidR="00BD63B3">
        <w:rPr>
          <w:szCs w:val="19"/>
        </w:rPr>
        <w:t>360</w:t>
      </w:r>
      <w:r w:rsidRPr="00FD0907">
        <w:rPr>
          <w:szCs w:val="19"/>
        </w:rPr>
        <w:t xml:space="preserve"> day count fraction. The Counterparty will undertake to pay to the Issuer on each Distribution Date an amount equal to a floating rate of interest on such outstanding nominal amount of the </w:t>
      </w:r>
      <w:r w:rsidR="00BD63B3">
        <w:rPr>
          <w:szCs w:val="19"/>
        </w:rPr>
        <w:t>relevant Class of</w:t>
      </w:r>
      <w:r>
        <w:rPr>
          <w:szCs w:val="19"/>
        </w:rPr>
        <w:t xml:space="preserve"> Notes,</w:t>
      </w:r>
      <w:r w:rsidRPr="00FD0907">
        <w:rPr>
          <w:szCs w:val="19"/>
        </w:rPr>
        <w:t xml:space="preserve"> calculated on the basis of 1-Month EURIBOR </w:t>
      </w:r>
      <w:r>
        <w:rPr>
          <w:szCs w:val="19"/>
        </w:rPr>
        <w:t xml:space="preserve">in relation to the Class A Notes and the Class B Notes and </w:t>
      </w:r>
      <w:r w:rsidRPr="00FD0907">
        <w:rPr>
          <w:szCs w:val="19"/>
        </w:rPr>
        <w:t xml:space="preserve">calculated on the basis of </w:t>
      </w:r>
      <w:r>
        <w:rPr>
          <w:szCs w:val="19"/>
        </w:rPr>
        <w:t xml:space="preserve">1-Month EURIBOR in relation to the Class </w:t>
      </w:r>
      <w:r w:rsidRPr="00FD0907">
        <w:rPr>
          <w:szCs w:val="19"/>
        </w:rPr>
        <w:t>C Notes, the Class D Notes, the Class E Notes</w:t>
      </w:r>
      <w:r>
        <w:rPr>
          <w:szCs w:val="19"/>
        </w:rPr>
        <w:t xml:space="preserve">, </w:t>
      </w:r>
      <w:r w:rsidRPr="00FD0907">
        <w:rPr>
          <w:szCs w:val="19"/>
        </w:rPr>
        <w:t xml:space="preserve">the Class F Notes </w:t>
      </w:r>
      <w:r>
        <w:rPr>
          <w:szCs w:val="19"/>
        </w:rPr>
        <w:t>and the Class G Notes each</w:t>
      </w:r>
      <w:r w:rsidRPr="00FD0907">
        <w:rPr>
          <w:i/>
          <w:szCs w:val="19"/>
        </w:rPr>
        <w:t xml:space="preserve"> </w:t>
      </w:r>
      <w:r w:rsidRPr="00FD0907">
        <w:rPr>
          <w:szCs w:val="19"/>
        </w:rPr>
        <w:t xml:space="preserve">on the basis of the actual number of days elapsed in an interest period divided by 360, and subject to a floor of </w:t>
      </w:r>
      <w:r w:rsidR="00BF6F66" w:rsidRPr="00BF6F66">
        <w:t>-0.67</w:t>
      </w:r>
      <w:r w:rsidRPr="00D427D8">
        <w:t xml:space="preserve"> </w:t>
      </w:r>
      <w:r w:rsidRPr="00FD0907">
        <w:rPr>
          <w:szCs w:val="19"/>
        </w:rPr>
        <w:t>per cent</w:t>
      </w:r>
      <w:r>
        <w:rPr>
          <w:szCs w:val="19"/>
        </w:rPr>
        <w:t xml:space="preserve"> in relation to the Class A Notes and the Class B Notes and </w:t>
      </w:r>
      <w:r w:rsidRPr="00FD0907">
        <w:rPr>
          <w:szCs w:val="19"/>
        </w:rPr>
        <w:t xml:space="preserve">subject to a floor of </w:t>
      </w:r>
      <w:r w:rsidR="00BF6F66" w:rsidRPr="00BF6F66">
        <w:t>-2.65</w:t>
      </w:r>
      <w:r w:rsidRPr="00D427D8">
        <w:t xml:space="preserve"> </w:t>
      </w:r>
      <w:r w:rsidRPr="00FD0907">
        <w:rPr>
          <w:szCs w:val="19"/>
        </w:rPr>
        <w:t>per cent</w:t>
      </w:r>
      <w:r>
        <w:rPr>
          <w:szCs w:val="19"/>
        </w:rPr>
        <w:t xml:space="preserve"> </w:t>
      </w:r>
      <w:r w:rsidRPr="005E46A3">
        <w:rPr>
          <w:szCs w:val="19"/>
        </w:rPr>
        <w:t>in relation to the Class C Notes, the Class D Notes, the Class E Notes</w:t>
      </w:r>
      <w:r>
        <w:rPr>
          <w:szCs w:val="19"/>
        </w:rPr>
        <w:t xml:space="preserve">, the Class F Notes and the Class G Notes </w:t>
      </w:r>
      <w:r w:rsidRPr="00FD0907">
        <w:rPr>
          <w:szCs w:val="19"/>
        </w:rPr>
        <w:t>.</w:t>
      </w:r>
    </w:p>
    <w:p w14:paraId="0358C47B" w14:textId="09D03C58" w:rsidR="009F6E91" w:rsidRPr="00D427D8" w:rsidRDefault="009F6E91" w:rsidP="009F6E91">
      <w:pPr>
        <w:pStyle w:val="Body1"/>
      </w:pPr>
      <w:r w:rsidRPr="00D427D8">
        <w:t>Payments under the Hedging Arrangement will be exchanged on each Distribution Date. Payments made by the Issuer under the Hedging Arrangement (other than termination payments related to an event of default where the Counterparty is a defaulting party, or termination event due to the failure by the Counterparty to take required action after a downgrade of its credit rating) rank higher in priority than all payments on the Notes.</w:t>
      </w:r>
      <w:r w:rsidR="00856C43">
        <w:t xml:space="preserve"> </w:t>
      </w:r>
    </w:p>
    <w:p w14:paraId="7F765029" w14:textId="77777777" w:rsidR="009F6E91" w:rsidRPr="00D427D8" w:rsidRDefault="009F6E91" w:rsidP="009F6E91">
      <w:pPr>
        <w:pStyle w:val="Body1"/>
      </w:pPr>
      <w:r w:rsidRPr="00D427D8">
        <w:t>Payments by the Counterparty to the Issuer under the Hedging Arrangement (except for payments by the Counterparty into the CSA Account) will be made into the Distribution Account and will, to the extent necessary, be increased to ensure that such payments are free and clear of all taxes.</w:t>
      </w:r>
    </w:p>
    <w:p w14:paraId="78EE3EE9" w14:textId="77777777" w:rsidR="009F6E91" w:rsidRPr="00D427D8" w:rsidRDefault="009F6E91" w:rsidP="009F6E91">
      <w:pPr>
        <w:pStyle w:val="Body1"/>
      </w:pPr>
      <w:r w:rsidRPr="00D427D8">
        <w:t>Events of default under the Hedging Arrangement applicable to the Issuer are limited to, and (among other things) events of default applicable to the Counterparty include, the following:</w:t>
      </w:r>
    </w:p>
    <w:p w14:paraId="66F060F6" w14:textId="77777777" w:rsidR="009F6E91" w:rsidRPr="00D427D8" w:rsidRDefault="009F6E91" w:rsidP="00B651DB">
      <w:pPr>
        <w:pStyle w:val="Body1"/>
        <w:ind w:left="720" w:hanging="720"/>
      </w:pPr>
      <w:r w:rsidRPr="00D427D8">
        <w:t>(1)</w:t>
      </w:r>
      <w:r w:rsidRPr="00D427D8">
        <w:tab/>
        <w:t>failure to make a payment under the Hedging Arrangement when due, if such failure is not remedied within three (3) Business Days of notice of such failure being given; or</w:t>
      </w:r>
    </w:p>
    <w:p w14:paraId="2EC4A1FF" w14:textId="77777777" w:rsidR="009F6E91" w:rsidRPr="00D427D8" w:rsidRDefault="009F6E91" w:rsidP="00B651DB">
      <w:pPr>
        <w:pStyle w:val="Body1"/>
        <w:ind w:left="720" w:hanging="720"/>
      </w:pPr>
      <w:r w:rsidRPr="00D427D8">
        <w:lastRenderedPageBreak/>
        <w:t>(2)</w:t>
      </w:r>
      <w:r w:rsidRPr="00D427D8">
        <w:tab/>
        <w:t>the occurrence of certain bankruptcy and insolvency events.</w:t>
      </w:r>
    </w:p>
    <w:p w14:paraId="48878B4D" w14:textId="77777777" w:rsidR="009F6E91" w:rsidRPr="00D427D8" w:rsidRDefault="009F6E91" w:rsidP="00B651DB">
      <w:pPr>
        <w:pStyle w:val="Body1"/>
        <w:ind w:left="720" w:hanging="720"/>
      </w:pPr>
      <w:r w:rsidRPr="00D427D8">
        <w:t>Termination events under the Hedging Arrangement include, among other things, the following:</w:t>
      </w:r>
    </w:p>
    <w:p w14:paraId="12F7F6BF" w14:textId="77777777" w:rsidR="009F6E91" w:rsidRPr="00D427D8" w:rsidRDefault="009F6E91" w:rsidP="00B651DB">
      <w:pPr>
        <w:pStyle w:val="Body1"/>
        <w:ind w:left="720" w:hanging="720"/>
      </w:pPr>
      <w:r w:rsidRPr="00D427D8">
        <w:t>(1)</w:t>
      </w:r>
      <w:r w:rsidRPr="00D427D8">
        <w:tab/>
        <w:t>illegality of the transactions contemplated by the Hedging Arrangement; or</w:t>
      </w:r>
    </w:p>
    <w:p w14:paraId="4DC1B4D5" w14:textId="77777777" w:rsidR="009F6E91" w:rsidRPr="00D427D8" w:rsidRDefault="009F6E91" w:rsidP="00B651DB">
      <w:pPr>
        <w:pStyle w:val="Body1"/>
        <w:ind w:left="720" w:hanging="720"/>
      </w:pPr>
      <w:r w:rsidRPr="00D427D8">
        <w:t>(2)</w:t>
      </w:r>
      <w:r w:rsidRPr="00D427D8">
        <w:tab/>
        <w:t>any Clean-Up Call or prepayment in full, but not in part, of the Notes occurs; or</w:t>
      </w:r>
    </w:p>
    <w:p w14:paraId="1B43391B" w14:textId="77777777" w:rsidR="009F6E91" w:rsidRPr="00D427D8" w:rsidRDefault="009F6E91" w:rsidP="00B651DB">
      <w:pPr>
        <w:pStyle w:val="Body1"/>
        <w:ind w:left="720" w:hanging="720"/>
      </w:pPr>
      <w:r w:rsidRPr="00D427D8">
        <w:t>(3)</w:t>
      </w:r>
      <w:r w:rsidRPr="00D427D8">
        <w:tab/>
        <w:t>failure of the Counterparty to maintain its credit rating at certain levels required by the Hedging Arrangement, which failure may not constitute a termination event if (in the time set forth in the Hedging Arrangement) the Counterparty:</w:t>
      </w:r>
    </w:p>
    <w:p w14:paraId="7CF27F98" w14:textId="6B63CF1A" w:rsidR="009F6E91" w:rsidRPr="00D427D8" w:rsidRDefault="009F6E91" w:rsidP="00EF7333">
      <w:pPr>
        <w:pStyle w:val="Level4"/>
      </w:pPr>
      <w:r w:rsidRPr="00D427D8">
        <w:t>posts an amount of collateral (in the form of cash and/or securities) as calculated in accordance with the credit support annex to the Hedging Arrangement; or</w:t>
      </w:r>
    </w:p>
    <w:p w14:paraId="7E15F2A9" w14:textId="6F0D064A" w:rsidR="009F6E91" w:rsidRPr="00D427D8" w:rsidRDefault="009F6E91" w:rsidP="00EF7333">
      <w:pPr>
        <w:pStyle w:val="Level4"/>
      </w:pPr>
      <w:r w:rsidRPr="00D427D8">
        <w:t>obtains a guarantee from an institution with an acceptable rating; or</w:t>
      </w:r>
    </w:p>
    <w:p w14:paraId="2B0B34C2" w14:textId="61B729CF" w:rsidR="009F6E91" w:rsidRPr="00D427D8" w:rsidRDefault="009F6E91" w:rsidP="00EF7333">
      <w:pPr>
        <w:pStyle w:val="Level4"/>
      </w:pPr>
      <w:r w:rsidRPr="00D427D8">
        <w:t>transfers its rights and obligations under the Hedging Arrangement to an Eligible Institution;</w:t>
      </w:r>
    </w:p>
    <w:p w14:paraId="67F3B796" w14:textId="094C08D4" w:rsidR="009F6E91" w:rsidRPr="00D427D8" w:rsidRDefault="009F6E91" w:rsidP="00B651DB">
      <w:pPr>
        <w:pStyle w:val="Body1"/>
        <w:ind w:left="720" w:hanging="720"/>
      </w:pPr>
      <w:r w:rsidRPr="00D427D8">
        <w:t>(4)</w:t>
      </w:r>
      <w:r w:rsidRPr="00D427D8">
        <w:tab/>
        <w:t>an amendment of the Transaction documents affecting the Counterparty without the Counterparty</w:t>
      </w:r>
      <w:r w:rsidR="00EF7333" w:rsidRPr="00D427D8">
        <w:t>'</w:t>
      </w:r>
      <w:r w:rsidRPr="00D427D8">
        <w:t>s consent; or</w:t>
      </w:r>
    </w:p>
    <w:p w14:paraId="0BD6EFC7" w14:textId="77777777" w:rsidR="009F6E91" w:rsidRPr="00D427D8" w:rsidRDefault="009F6E91" w:rsidP="00B651DB">
      <w:pPr>
        <w:pStyle w:val="Body1"/>
        <w:ind w:left="720" w:hanging="720"/>
      </w:pPr>
      <w:r w:rsidRPr="00D427D8">
        <w:t>(5)</w:t>
      </w:r>
      <w:r w:rsidRPr="00D427D8">
        <w:tab/>
        <w:t>a breach by the Seller of its obligations to retain a material net economic interest in the Securitisation of at least 5% of the nominal value of the securitised exposures in accordance with Article 6(3)(a) of the EU Securitisation Regulation; or</w:t>
      </w:r>
    </w:p>
    <w:p w14:paraId="4FB9698D" w14:textId="77777777" w:rsidR="009F6E91" w:rsidRPr="00D427D8" w:rsidRDefault="009F6E91" w:rsidP="00B651DB">
      <w:pPr>
        <w:pStyle w:val="Body1"/>
        <w:ind w:left="720" w:hanging="720"/>
      </w:pPr>
      <w:r w:rsidRPr="00D427D8">
        <w:t>(6)</w:t>
      </w:r>
      <w:r w:rsidRPr="00D427D8">
        <w:tab/>
        <w:t>a breach by the Issuer of its obligation under clause 26.1(a) of the Collateral Agency Agreement</w:t>
      </w:r>
    </w:p>
    <w:p w14:paraId="17133246" w14:textId="77777777" w:rsidR="009F6E91" w:rsidRPr="00D427D8" w:rsidRDefault="009F6E91" w:rsidP="009F6E91">
      <w:pPr>
        <w:pStyle w:val="Body1"/>
      </w:pPr>
      <w:r w:rsidRPr="00D427D8">
        <w:t>Upon the occurrence of any event of default or termination event specified in the</w:t>
      </w:r>
      <w:r w:rsidRPr="00D427D8" w:rsidDel="00985BF2">
        <w:t xml:space="preserve"> </w:t>
      </w:r>
      <w:r w:rsidRPr="00D427D8">
        <w:t>Hedging Arrangement, the non-defaulting party or the party which is not the affected party may, after a period of time set forth in the Hedging Arrangement, elect to terminate the</w:t>
      </w:r>
      <w:r w:rsidRPr="00D427D8" w:rsidDel="00985BF2">
        <w:t xml:space="preserve"> </w:t>
      </w:r>
      <w:r w:rsidRPr="00D427D8">
        <w:t>Hedging Arrangement. If the Hedging Arrangement is terminated due to an event of default or a termination event, a hedging arrangement termination payment may be due to the Counterparty by the Issuer out of its available funds. The amount of any such hedging arrangement termination payment may be based on the actual cost or market quotations of the cost of entering into a similar swap transaction or such other methods as may be required under the Hedging Arrangement, in each case in accordance with the procedures set forth in the Hedging Arrangement.</w:t>
      </w:r>
    </w:p>
    <w:p w14:paraId="567C580F" w14:textId="77777777" w:rsidR="009F6E91" w:rsidRPr="00D427D8" w:rsidRDefault="009F6E91" w:rsidP="009F6E91">
      <w:pPr>
        <w:pStyle w:val="Body1"/>
        <w:rPr>
          <w:sz w:val="18"/>
          <w:szCs w:val="20"/>
        </w:rPr>
      </w:pPr>
      <w:r w:rsidRPr="00D427D8">
        <w:rPr>
          <w:sz w:val="18"/>
          <w:szCs w:val="20"/>
        </w:rPr>
        <w:t>Upon termination of the Hedging Arrangement, the Issuer, will enter into a replacement Hedging Arrangement without undue delay.</w:t>
      </w:r>
    </w:p>
    <w:p w14:paraId="7B4B0CDD" w14:textId="77777777" w:rsidR="009F6E91" w:rsidRPr="00D427D8" w:rsidRDefault="009F6E91" w:rsidP="009F6E91">
      <w:pPr>
        <w:pStyle w:val="Body1"/>
      </w:pPr>
      <w:r w:rsidRPr="00D427D8">
        <w:t>The Counterparty may, at its own cost, transfer its obligations under the Hedging Arrangement to a third party which is an Eligible Institution. There can be no assurance that the credit quality of the replacement counterparty will ultimately prove as strong as that of the original Counterparty.</w:t>
      </w:r>
    </w:p>
    <w:bookmarkEnd w:id="302"/>
    <w:p w14:paraId="09397D30" w14:textId="77777777" w:rsidR="009F6E91" w:rsidRPr="00D427D8" w:rsidRDefault="009F6E91" w:rsidP="009F6E91">
      <w:pPr>
        <w:pStyle w:val="Body1"/>
        <w:rPr>
          <w:rStyle w:val="ItalicText"/>
        </w:rPr>
      </w:pPr>
      <w:r w:rsidRPr="00D427D8">
        <w:rPr>
          <w:rStyle w:val="ItalicText"/>
        </w:rPr>
        <w:t>Changes to Hedging Arrangement</w:t>
      </w:r>
    </w:p>
    <w:p w14:paraId="7D845A7F" w14:textId="6E116275" w:rsidR="009F6E91" w:rsidRPr="00D427D8" w:rsidRDefault="009F6E91" w:rsidP="009F6E91">
      <w:pPr>
        <w:pStyle w:val="Body1"/>
      </w:pPr>
      <w:r w:rsidRPr="00D427D8">
        <w:t xml:space="preserve">If at any time and from time to time: (i) an amendment, modification, restatement or supplement to EMIR and/or any technical standards under EMIR (the </w:t>
      </w:r>
      <w:r w:rsidR="00EF7333" w:rsidRPr="00D427D8">
        <w:t>"</w:t>
      </w:r>
      <w:r w:rsidRPr="00D427D8">
        <w:rPr>
          <w:rStyle w:val="BoldText"/>
        </w:rPr>
        <w:t>EMIR Amendment</w:t>
      </w:r>
      <w:r w:rsidR="00EF7333" w:rsidRPr="00D427D8">
        <w:t>"</w:t>
      </w:r>
      <w:r w:rsidRPr="00D427D8">
        <w:t>) has been or will be effected; (ii) such EMIR Amendment applies to, impacts on or relates to the terms of the Hedging Arrangement, and (iii) without amendment, the terms of the Hedging Arrangement would not be in compliance with EMIR and/or the technical standards under EMIR (following the relevant EMIR Amendment), then each of the parties to the Hedging Arrangement agrees that it will consent to, and take all such steps as are reasonably required to give effect to any amendment being made to the Hedging Arrangement as both parties agree at such time is necessary to ensure that the terms of the Hedging Arrangement, and the parties</w:t>
      </w:r>
      <w:r w:rsidR="00EF7333" w:rsidRPr="00D427D8">
        <w:t>'</w:t>
      </w:r>
      <w:r w:rsidRPr="00D427D8">
        <w:t xml:space="preserve"> obligations under the Hedging Arrangement, will be in compliance with EMIR and/or the technical standards under EMIR (following the relevant EMIR Amendment), provided that if any such terms or obligations would, in the reasonable opinion of counsel to either party, contravene or result in a conflict with other laws or regulations applicable to that party, the parties hereto shall work in good faith to find a suitable alternative in order to avoid such contravention or resolve such conflict and provided that such amendment or waiver shall only become valid if it is (in this form) required to comply with EMIR and/or the technical standards under EMIR.</w:t>
      </w:r>
    </w:p>
    <w:p w14:paraId="5990C5F4" w14:textId="77777777" w:rsidR="009F6E91" w:rsidRPr="00D427D8" w:rsidRDefault="009F6E91" w:rsidP="009F6E91">
      <w:pPr>
        <w:pStyle w:val="Body1"/>
        <w:rPr>
          <w:rStyle w:val="ItalicText"/>
        </w:rPr>
      </w:pPr>
      <w:r w:rsidRPr="00D427D8">
        <w:rPr>
          <w:rStyle w:val="ItalicText"/>
        </w:rPr>
        <w:t>Priority of Payments</w:t>
      </w:r>
    </w:p>
    <w:p w14:paraId="2206F962" w14:textId="77777777" w:rsidR="009F6E91" w:rsidRPr="00D427D8" w:rsidRDefault="009F6E91" w:rsidP="009F6E91">
      <w:pPr>
        <w:pStyle w:val="Body1"/>
      </w:pPr>
      <w:r w:rsidRPr="00D427D8">
        <w:lastRenderedPageBreak/>
        <w:t>Payments made to the Counterparty are subject to the Priority of Payments as set out in this Prospectus. In respect of tax credits, premiums, returns of collateral and related interest on collateral, the Issuer is obliged to pay such to the Counterparty outside the Interest Priority of Payments, Principal Priority of Payments and Accelerated Priority of Payments. Tax credits are to be paid by the Issuer directly from the funds in the Distribution Account. Premiums received from a replacement swap counterparty and collateral received from the Counterparty (if the Counterparty posts collateral following a rating downgrade in accordance with the terms of the Hedging Arrangement) are held by the Issuer in the CSA Account and, in the case of such premiums and returns of collateral and related interest on collateral, are paid by the Issuer out of the CSA Account to the Counterparty in accordance with the CSA Account Priority of Payments.</w:t>
      </w:r>
    </w:p>
    <w:p w14:paraId="0099F2FB" w14:textId="77777777" w:rsidR="009F6E91" w:rsidRPr="00D427D8" w:rsidRDefault="009F6E91" w:rsidP="00EF7333">
      <w:pPr>
        <w:pStyle w:val="Body1"/>
        <w:rPr>
          <w:rStyle w:val="ItalicText"/>
        </w:rPr>
      </w:pPr>
      <w:r w:rsidRPr="00D427D8">
        <w:rPr>
          <w:rStyle w:val="ItalicText"/>
        </w:rPr>
        <w:t>Taxation</w:t>
      </w:r>
    </w:p>
    <w:p w14:paraId="2D0B3A83" w14:textId="77777777" w:rsidR="009F6E91" w:rsidRPr="00D427D8" w:rsidRDefault="009F6E91" w:rsidP="009F6E91">
      <w:pPr>
        <w:pStyle w:val="Body1"/>
      </w:pPr>
      <w:r w:rsidRPr="00D427D8">
        <w:t>The Counterparty will generally be obliged to gross up payments made by it to the Issuer (except in respect of withholding for the purposes of FATCA), if withholding taxes are imposed on payments made under the Hedging Arrangement. However, if the Counterparty is required to either gross up a payment under a swap or receive a payment net of withholding tax under a swap due to a change in tax law the Counterparty may be entitled to terminate the relevant swap.</w:t>
      </w:r>
    </w:p>
    <w:p w14:paraId="22D07754" w14:textId="77777777" w:rsidR="009F6E91" w:rsidRPr="00D427D8" w:rsidRDefault="009F6E91" w:rsidP="00EF7333">
      <w:pPr>
        <w:pStyle w:val="Body1"/>
        <w:rPr>
          <w:rStyle w:val="ItalicText"/>
        </w:rPr>
      </w:pPr>
      <w:r w:rsidRPr="00D427D8">
        <w:rPr>
          <w:rStyle w:val="ItalicText"/>
        </w:rPr>
        <w:t>CSA Account</w:t>
      </w:r>
    </w:p>
    <w:p w14:paraId="327E9849" w14:textId="77777777" w:rsidR="009F6E91" w:rsidRPr="00D427D8" w:rsidRDefault="009F6E91" w:rsidP="009F6E91">
      <w:pPr>
        <w:pStyle w:val="Body1"/>
      </w:pPr>
      <w:r w:rsidRPr="00D427D8">
        <w:t>The CSA Account will be opened and maintained by the Issuer as a segregated swap collateral account with the Account Bank. The CSA Account will be credited with any collateral transferred by the Counterparty to the Issuer under the Hedging Arrangement and any premium paid by a replacement counterparty to the Issuer.</w:t>
      </w:r>
    </w:p>
    <w:p w14:paraId="3DA504A5" w14:textId="77777777" w:rsidR="009F6E91" w:rsidRPr="00D427D8" w:rsidRDefault="009F6E91" w:rsidP="009F6E91">
      <w:pPr>
        <w:pStyle w:val="Body1"/>
      </w:pPr>
      <w:r w:rsidRPr="00D427D8">
        <w:t>Any amounts standing to the credit of the CSA Account will not be available for the Issuer to make payments to the Noteholders and the other Secured Parties (except for the Counterparty) and may only be applied in satisfaction of amounts owed by the Counterparty, or to be repaid to the Counterparty, in accordance with the terms of the Hedging Arrangement.</w:t>
      </w:r>
    </w:p>
    <w:p w14:paraId="7EB00125" w14:textId="77777777" w:rsidR="009F6E91" w:rsidRPr="00D427D8" w:rsidRDefault="009F6E91" w:rsidP="009F6E91">
      <w:pPr>
        <w:pStyle w:val="Body1"/>
      </w:pPr>
      <w:r w:rsidRPr="00D427D8">
        <w:t>Any payments and transfers out of the CSA Account will be made by the Issuer in accordance with the provisions of the Hedging Arrangement.</w:t>
      </w:r>
    </w:p>
    <w:p w14:paraId="4128F0D0" w14:textId="77777777" w:rsidR="009F6E91" w:rsidRPr="00D427D8" w:rsidRDefault="009F6E91" w:rsidP="00EF7333">
      <w:pPr>
        <w:pStyle w:val="Body1"/>
        <w:rPr>
          <w:rStyle w:val="ItalicText"/>
        </w:rPr>
      </w:pPr>
      <w:r w:rsidRPr="00D427D8">
        <w:rPr>
          <w:rStyle w:val="ItalicText"/>
        </w:rPr>
        <w:t>Reporting Obligations</w:t>
      </w:r>
    </w:p>
    <w:p w14:paraId="5AAB2584" w14:textId="77777777" w:rsidR="009F6E91" w:rsidRPr="00D427D8" w:rsidRDefault="009F6E91" w:rsidP="009F6E91">
      <w:pPr>
        <w:pStyle w:val="Body1"/>
      </w:pPr>
      <w:r w:rsidRPr="00D427D8">
        <w:t>Pursuant to Article 9 (1a) of EMIR, BNP Paribas</w:t>
      </w:r>
      <w:r w:rsidRPr="00D427D8" w:rsidDel="00C65EF4">
        <w:t xml:space="preserve"> </w:t>
      </w:r>
      <w:r w:rsidRPr="00D427D8">
        <w:t>is solely responsible to report the details of any derivative contracts concluded under the Hedging Arrangement and of any modification or termination of such contracts to a trade repository registered in accordance with Article 55 of EMIR or recognised in accordance with Article 77 of EMIR which is not otherwise being performed by the Counterparty.</w:t>
      </w:r>
    </w:p>
    <w:p w14:paraId="72CB1D81" w14:textId="77777777" w:rsidR="009F6E91" w:rsidRPr="00D427D8" w:rsidRDefault="009F6E91" w:rsidP="00B651DB">
      <w:pPr>
        <w:pStyle w:val="Body1"/>
        <w:keepNext/>
        <w:rPr>
          <w:rStyle w:val="ItalicText"/>
        </w:rPr>
      </w:pPr>
      <w:r w:rsidRPr="00D427D8">
        <w:rPr>
          <w:rStyle w:val="ItalicText"/>
        </w:rPr>
        <w:t>Governing law</w:t>
      </w:r>
    </w:p>
    <w:p w14:paraId="7537D4EC" w14:textId="77777777" w:rsidR="009F6E91" w:rsidRPr="00D427D8" w:rsidRDefault="009F6E91" w:rsidP="009F6E91">
      <w:pPr>
        <w:pStyle w:val="Body1"/>
      </w:pPr>
      <w:r w:rsidRPr="00D427D8">
        <w:t>The Hedging Arrangement, and any non-contractual obligations arising out of or in connection with the Hedging Arrangement, are and will be governed by, and construed in accordance with, English law.</w:t>
      </w:r>
    </w:p>
    <w:p w14:paraId="79F053B2" w14:textId="77777777" w:rsidR="009F6E91" w:rsidRPr="00D427D8" w:rsidRDefault="009F6E91" w:rsidP="009F6E91">
      <w:pPr>
        <w:pStyle w:val="Body1"/>
        <w:rPr>
          <w:rStyle w:val="Heading1Text"/>
        </w:rPr>
      </w:pPr>
      <w:r w:rsidRPr="00D427D8">
        <w:rPr>
          <w:rStyle w:val="Heading1Text"/>
        </w:rPr>
        <w:t>Security Assignment Deed</w:t>
      </w:r>
    </w:p>
    <w:p w14:paraId="13C7DE82" w14:textId="5A476454" w:rsidR="009F6E91" w:rsidRPr="00D427D8" w:rsidRDefault="009F6E91" w:rsidP="009F6E91">
      <w:pPr>
        <w:pStyle w:val="Body1"/>
      </w:pPr>
      <w:r w:rsidRPr="00D427D8">
        <w:t>Pursuant to the Security Assignment Deed, the Issuer assigns to the Collateral Agent as security for the payment and discharge of the Secured Liabilities all of the Issuer</w:t>
      </w:r>
      <w:r w:rsidR="00EF7333" w:rsidRPr="00D427D8">
        <w:t>'</w:t>
      </w:r>
      <w:r w:rsidRPr="00D427D8">
        <w:t>s right, title and interest from time to time deriving or accruing from the Hedging Arrangement (other than in relation to credit support provided thereunder). All rights, benefits and interests granted to or conferred upon the Collateral Agent and all other rights, powers and discretions granted to or conferred upon the Collateral Agent under the Security Assignment Deed shall be held by the Collateral Agent on trust for the benefit of itself and for the Secured Parties from time to time subject to and in accordance with the Security Assignment Deed and the Collateral Agency Agreement. The Security Assignment Deed is governed by English law.</w:t>
      </w:r>
    </w:p>
    <w:p w14:paraId="75AFEB07" w14:textId="77777777" w:rsidR="009F6E91" w:rsidRPr="00D427D8" w:rsidRDefault="009F6E91" w:rsidP="009F6E91">
      <w:pPr>
        <w:pStyle w:val="Body1"/>
        <w:rPr>
          <w:rStyle w:val="Heading1Text"/>
        </w:rPr>
      </w:pPr>
      <w:r w:rsidRPr="00D427D8">
        <w:rPr>
          <w:rStyle w:val="Heading1Text"/>
        </w:rPr>
        <w:t>Amendments to Transaction Documents</w:t>
      </w:r>
    </w:p>
    <w:p w14:paraId="78D86885" w14:textId="77777777" w:rsidR="009F6E91" w:rsidRPr="00D427D8" w:rsidRDefault="009F6E91" w:rsidP="009F6E91">
      <w:pPr>
        <w:pStyle w:val="Body1"/>
      </w:pPr>
      <w:r w:rsidRPr="00D427D8">
        <w:t>Any term of the Transaction Documents may be amended or waived with the agreement of the relevant parties with prior notification of the Rating Agencies in accordance with clause 13 of the Master Agreement.</w:t>
      </w:r>
    </w:p>
    <w:p w14:paraId="212EB59F" w14:textId="7C473280" w:rsidR="009F6E91" w:rsidRPr="00D427D8" w:rsidRDefault="009F6E91" w:rsidP="009F6E91">
      <w:pPr>
        <w:pStyle w:val="Body1"/>
      </w:pPr>
      <w:r w:rsidRPr="00D427D8">
        <w:lastRenderedPageBreak/>
        <w:t>The Issuer will be entitled to amend any term or provision of any German Transaction Document or any English Transaction Document, including clause 13(d) of the Master Agreement, with the consent of Stellantis Bank, but without the consent of any of the Counterparty, the Arranger, the Lead Manager or any other Person if it is advised by a third party authorised under Article 28 of the EU Securitisation Regulation or a reputable international law firm that such amendments are required for the Securitisation to comply with the EU Securitisation Regulation, including the requirements for simple, transparent and standardised securitisations set out therein and in any regulatory technical standards adopted under the EU Securitisation Regulation. Any such amendment shall only become valid, by giving ten (10) Business Days prior notice to the Transaction Parties and the Rating Agencies in writing, including by email.</w:t>
      </w:r>
    </w:p>
    <w:p w14:paraId="17FA5F9E" w14:textId="77777777" w:rsidR="009F6E91" w:rsidRPr="00D427D8" w:rsidRDefault="009F6E91" w:rsidP="009F6E91">
      <w:pPr>
        <w:pStyle w:val="Body1"/>
      </w:pPr>
      <w:r w:rsidRPr="00D427D8">
        <w:t>The Issuer, without the consent or sanction of the Noteholders but with prior notification of the Rating Agencies at any time and from time to time, agree to: (a) any modification of the Conditions or of any of the Transaction Documents (excluding in relation to a Basic Terms Modification) which, in the opinion of the Issuer, is not materially prejudicial to the interests of the Noteholders of any Class or (b) any modification of the Conditions or of any of the Transaction Documents (including in relation to a Basic Terms Modification) which, in the opinion of the Issuer, is of a formal, minor or technical nature, to correct a manifest error or an error which is, in the opinion of the Issuer, proven. In addition, the Issuer shall be obliged, without any consent or sanction of the Noteholders, to proceed with any modification (other than in respect of a Basic Terms Modification) to the Conditions and/or any Transaction Document that the Issuer, considers necessary.</w:t>
      </w:r>
    </w:p>
    <w:p w14:paraId="7B32F57B" w14:textId="47A0B5D4" w:rsidR="00B651DB" w:rsidRPr="00D427D8" w:rsidRDefault="009F6E91" w:rsidP="009F6E91">
      <w:pPr>
        <w:pStyle w:val="Body1"/>
      </w:pPr>
      <w:r w:rsidRPr="00D427D8">
        <w:t xml:space="preserve">With respect to any amendment (unless the purpose of such modification is to correct a manifest or proven error established as such to the satisfaction of the Issuer or is an error of a formal, minor or technical nature) to any Transaction Document (including, for the avoidance of doubt, any amendments to the Priority of Payments) or the Conditions of the Notes which may be materially prejudicial to the interests of the Counterparty under </w:t>
      </w:r>
      <w:r w:rsidRPr="00D427D8">
        <w:rPr>
          <w:szCs w:val="19"/>
        </w:rPr>
        <w:t>the</w:t>
      </w:r>
      <w:r w:rsidRPr="00D427D8">
        <w:t xml:space="preserve"> Hedging </w:t>
      </w:r>
      <w:r w:rsidRPr="00D427D8">
        <w:rPr>
          <w:szCs w:val="19"/>
        </w:rPr>
        <w:t xml:space="preserve">Arrangement </w:t>
      </w:r>
      <w:r w:rsidRPr="00D427D8">
        <w:t>or if any Priority of Payments or, in respect of the Notes, the interest rate, the payment dates, the maturity date, the terms of repayment, the redemption provisions, the Priority of Payments applicable to it or the allocation of Issuer</w:t>
      </w:r>
      <w:r w:rsidR="00EF7333" w:rsidRPr="00D427D8">
        <w:t>'</w:t>
      </w:r>
      <w:r w:rsidRPr="00D427D8">
        <w:t>s funds for distribution in accordance with the Priority of Payments are amended, the Counterparty shall have received prior written notices of the proposed amendments and shall have consented to such amendments, provided that such consent should not be unreasonably withheld or delayed.</w:t>
      </w:r>
    </w:p>
    <w:p w14:paraId="7B6C64B9" w14:textId="77777777" w:rsidR="00B651DB" w:rsidRPr="00D427D8" w:rsidRDefault="00B651DB">
      <w:r w:rsidRPr="00D427D8">
        <w:br w:type="page"/>
      </w:r>
    </w:p>
    <w:p w14:paraId="6D005BA7" w14:textId="77777777" w:rsidR="009F6E91" w:rsidRPr="00D427D8" w:rsidRDefault="009F6E91" w:rsidP="00926C3A">
      <w:pPr>
        <w:pStyle w:val="CentredHeading"/>
      </w:pPr>
      <w:bookmarkStart w:id="305" w:name="_Toc194046513"/>
      <w:bookmarkStart w:id="306" w:name="_Toc198539671"/>
      <w:r w:rsidRPr="00D427D8">
        <w:lastRenderedPageBreak/>
        <w:t>TAXATION</w:t>
      </w:r>
      <w:bookmarkEnd w:id="305"/>
      <w:bookmarkEnd w:id="306"/>
    </w:p>
    <w:p w14:paraId="41C90C21" w14:textId="77777777" w:rsidR="009F6E91" w:rsidRPr="00D427D8" w:rsidRDefault="009F6E91" w:rsidP="00B651DB">
      <w:pPr>
        <w:pStyle w:val="Centred"/>
        <w:rPr>
          <w:rStyle w:val="BoldText"/>
        </w:rPr>
      </w:pPr>
      <w:r w:rsidRPr="00D427D8">
        <w:rPr>
          <w:rStyle w:val="BoldText"/>
        </w:rPr>
        <w:t>WARNING</w:t>
      </w:r>
    </w:p>
    <w:p w14:paraId="58E32E92" w14:textId="77777777" w:rsidR="009F6E91" w:rsidRPr="00D427D8" w:rsidRDefault="009F6E91" w:rsidP="00EF7333">
      <w:pPr>
        <w:pStyle w:val="Body1"/>
        <w:rPr>
          <w:rStyle w:val="BoldText"/>
        </w:rPr>
      </w:pPr>
      <w:r w:rsidRPr="00D427D8">
        <w:rPr>
          <w:rStyle w:val="BoldText"/>
        </w:rPr>
        <w:t>This section sets out a summary of certain taxation considerations relating to the Notes.</w:t>
      </w:r>
    </w:p>
    <w:p w14:paraId="1E7E760D" w14:textId="6DA5AA43" w:rsidR="009F6E91" w:rsidRPr="00D427D8" w:rsidRDefault="009F6E91" w:rsidP="009F6E91">
      <w:pPr>
        <w:pStyle w:val="Body1"/>
      </w:pPr>
      <w:r w:rsidRPr="00D427D8">
        <w:t>Potential investors should note that the tax legislation of the Noteholders</w:t>
      </w:r>
      <w:r w:rsidR="00EF7333" w:rsidRPr="00D427D8">
        <w:t>'</w:t>
      </w:r>
      <w:r w:rsidRPr="00D427D8">
        <w:t xml:space="preserve"> member state and of the relevant Issuer</w:t>
      </w:r>
      <w:r w:rsidR="00EF7333" w:rsidRPr="00D427D8">
        <w:t>'</w:t>
      </w:r>
      <w:r w:rsidRPr="00D427D8">
        <w:t>s country of incorporation may have an impact on the income received from the Notes. All prospective Noteholders should seek independent advice as to their tax position.</w:t>
      </w:r>
    </w:p>
    <w:p w14:paraId="7483907C" w14:textId="77777777" w:rsidR="009F6E91" w:rsidRPr="00D427D8" w:rsidRDefault="009F6E91" w:rsidP="00EF7333">
      <w:pPr>
        <w:pStyle w:val="Body1"/>
        <w:rPr>
          <w:rStyle w:val="BoldText"/>
        </w:rPr>
      </w:pPr>
      <w:r w:rsidRPr="00D427D8">
        <w:rPr>
          <w:rStyle w:val="BoldText"/>
        </w:rPr>
        <w:t>GENERAL INFORMATION ON TAX WITHHOLDINGS (INCLUDING WITHHOLDING TAX/CAPITAL GAINS TAX) FOR PAYMENTS UNDER THE NOTES</w:t>
      </w:r>
    </w:p>
    <w:p w14:paraId="764AD4FD" w14:textId="77777777" w:rsidR="009F6E91" w:rsidRPr="00D427D8" w:rsidRDefault="009F6E91" w:rsidP="009F6E91">
      <w:pPr>
        <w:pStyle w:val="Body1"/>
      </w:pPr>
      <w:r w:rsidRPr="00D427D8">
        <w:t xml:space="preserve">As described in the Conditions, all payments of principal and any interest are effected less any legally owed withholding tax (including withholding taxes/capital gains tax or flat rate tax, including any surcharges and church taxes), and without payment of additional amounts pursuant to Condition </w:t>
      </w:r>
      <w:r w:rsidRPr="00D427D8">
        <w:rPr>
          <w:rFonts w:asciiTheme="minorHAnsi" w:hAnsiTheme="minorHAnsi" w:cstheme="minorHAnsi"/>
        </w:rPr>
        <w:t>9</w:t>
      </w:r>
      <w:r w:rsidRPr="00D427D8">
        <w:t>.</w:t>
      </w:r>
    </w:p>
    <w:p w14:paraId="2FD9D623" w14:textId="77777777" w:rsidR="009F6E91" w:rsidRPr="00D427D8" w:rsidRDefault="009F6E91" w:rsidP="00EF7333">
      <w:pPr>
        <w:pStyle w:val="Body1"/>
        <w:rPr>
          <w:rStyle w:val="BoldText"/>
        </w:rPr>
      </w:pPr>
      <w:r w:rsidRPr="00D427D8">
        <w:rPr>
          <w:rStyle w:val="BoldText"/>
        </w:rPr>
        <w:t>SPECIFIC INFORMATION ON FATCA</w:t>
      </w:r>
    </w:p>
    <w:p w14:paraId="52F8C9AA" w14:textId="70A9BE86" w:rsidR="009F6E91" w:rsidRPr="00D427D8" w:rsidRDefault="009F6E91" w:rsidP="009F6E91">
      <w:pPr>
        <w:pStyle w:val="Body1"/>
      </w:pPr>
      <w:r w:rsidRPr="00D427D8">
        <w:t xml:space="preserve">Pursuant to certain provisions of the U.S. Internal Revenue Code, commonly known as FATCA, a 30% withholding tax will be imposed on certain payments to certain non-U.S. financial institutions that fail to comply with information reporting requirements or certification requirements in respect of their direct and indirect United States shareholders and/or United States accountholders and on certain payments made by non- U.S. financial institutions. The United States of America has entered into an intergovernmental agreement regarding the implementation of FATCA with Luxembourg (the </w:t>
      </w:r>
      <w:r w:rsidR="00EF7333" w:rsidRPr="00D427D8">
        <w:t>"</w:t>
      </w:r>
      <w:r w:rsidRPr="00D427D8">
        <w:rPr>
          <w:rStyle w:val="BoldText"/>
        </w:rPr>
        <w:t>Luxembourg IGA</w:t>
      </w:r>
      <w:r w:rsidR="00EF7333" w:rsidRPr="00D427D8">
        <w:t>"</w:t>
      </w:r>
      <w:r w:rsidRPr="00D427D8">
        <w:t xml:space="preserve">). Under the Luxembourg IGA, as currently drafted, a financial institution that is treated as resident in Luxembourg and that complies with the requirements of the Luxembourg IGA will not be subject to FATCA withholding on payments it receives and will not be required to withhold on payments of non-U.S. source income. As a result, the Issuer does not expect payments made on or with respect to the Securities to be subject to withholding under FATCA. Account holders and investors are obliged however to report certain information to the Issuer and the Issuer is obliged to report this information with respect to its account holders and investors to the public authorities of the home country for forwarding to the U.S. Internal Revenue Service (the </w:t>
      </w:r>
      <w:r w:rsidR="00EF7333" w:rsidRPr="00D427D8">
        <w:t>"</w:t>
      </w:r>
      <w:r w:rsidRPr="00D427D8">
        <w:rPr>
          <w:rStyle w:val="BoldText"/>
        </w:rPr>
        <w:t>IRS</w:t>
      </w:r>
      <w:r w:rsidR="00EF7333" w:rsidRPr="00D427D8">
        <w:t>"</w:t>
      </w:r>
      <w:r w:rsidRPr="00D427D8">
        <w:t>). Significant aspects of when and how FATCA will apply remain unclear, and no assurance can be given that withholding under FATCA will not become relevant with respect to payments made on or with respect to the Securities in the future.</w:t>
      </w:r>
    </w:p>
    <w:p w14:paraId="2D5D6D81" w14:textId="77777777" w:rsidR="009F6E91" w:rsidRPr="00D427D8" w:rsidRDefault="009F6E91" w:rsidP="009F6E91">
      <w:pPr>
        <w:pStyle w:val="Body1"/>
      </w:pPr>
      <w:r w:rsidRPr="00D427D8">
        <w:t>Potential investors should consult their own tax advisors regarding the potential impact of FATCA.</w:t>
      </w:r>
    </w:p>
    <w:p w14:paraId="743EB32B" w14:textId="77777777" w:rsidR="009F6E91" w:rsidRPr="00D427D8" w:rsidRDefault="009F6E91" w:rsidP="00EF7333">
      <w:pPr>
        <w:pStyle w:val="Body1"/>
      </w:pPr>
      <w:r w:rsidRPr="00D427D8">
        <w:br w:type="page"/>
      </w:r>
    </w:p>
    <w:p w14:paraId="246C7980" w14:textId="77777777" w:rsidR="009F6E91" w:rsidRPr="00D427D8" w:rsidRDefault="009F6E91" w:rsidP="00926C3A">
      <w:pPr>
        <w:pStyle w:val="CentredHeading"/>
      </w:pPr>
      <w:bookmarkStart w:id="307" w:name="_Toc194046514"/>
      <w:bookmarkStart w:id="308" w:name="_Toc198539672"/>
      <w:r w:rsidRPr="00D427D8">
        <w:lastRenderedPageBreak/>
        <w:t>SENIOR EXPENSES</w:t>
      </w:r>
      <w:bookmarkEnd w:id="307"/>
      <w:bookmarkEnd w:id="308"/>
    </w:p>
    <w:p w14:paraId="707DE728" w14:textId="196B6400" w:rsidR="009F6E91" w:rsidRPr="00D427D8" w:rsidRDefault="009F6E91" w:rsidP="009F6E91">
      <w:pPr>
        <w:pStyle w:val="Body1"/>
      </w:pPr>
      <w:r w:rsidRPr="00D427D8">
        <w:t xml:space="preserve">In accordance with the relevant Transaction Documents, the following are the Senior Expenses </w:t>
      </w:r>
      <w:r w:rsidRPr="00D427D8">
        <w:rPr>
          <w:iCs/>
        </w:rPr>
        <w:t>which have been fixed on arm</w:t>
      </w:r>
      <w:r w:rsidR="00EF7333" w:rsidRPr="00D427D8">
        <w:rPr>
          <w:iCs/>
        </w:rPr>
        <w:t>'</w:t>
      </w:r>
      <w:r w:rsidRPr="00D427D8">
        <w:rPr>
          <w:iCs/>
        </w:rPr>
        <w:t xml:space="preserve">s length commercial terms </w:t>
      </w:r>
      <w:r w:rsidRPr="00D427D8">
        <w:t>and will be paid to their respective beneficiaries pursuant to the relevant Priority of Payments.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18"/>
        <w:gridCol w:w="3078"/>
        <w:gridCol w:w="1066"/>
        <w:gridCol w:w="2799"/>
      </w:tblGrid>
      <w:tr w:rsidR="009F6E91" w:rsidRPr="00D427D8" w14:paraId="2088A6A6" w14:textId="77777777" w:rsidTr="00DD27F1">
        <w:trPr>
          <w:tblHeader/>
        </w:trPr>
        <w:tc>
          <w:tcPr>
            <w:tcW w:w="2117" w:type="dxa"/>
          </w:tcPr>
          <w:p w14:paraId="2919EA8F" w14:textId="77777777" w:rsidR="009F6E91" w:rsidRPr="00D427D8" w:rsidRDefault="009F6E91" w:rsidP="004006F2">
            <w:pPr>
              <w:spacing w:before="60"/>
              <w:jc w:val="left"/>
              <w:rPr>
                <w:b/>
                <w:bCs/>
                <w:szCs w:val="18"/>
              </w:rPr>
            </w:pPr>
            <w:r w:rsidRPr="00D427D8">
              <w:rPr>
                <w:b/>
                <w:bCs/>
                <w:szCs w:val="18"/>
              </w:rPr>
              <w:t>Designation</w:t>
            </w:r>
            <w:r w:rsidRPr="00D427D8">
              <w:rPr>
                <w:vertAlign w:val="superscript"/>
              </w:rPr>
              <w:t>1</w:t>
            </w:r>
          </w:p>
        </w:tc>
        <w:tc>
          <w:tcPr>
            <w:tcW w:w="0" w:type="auto"/>
          </w:tcPr>
          <w:p w14:paraId="624841B2" w14:textId="77777777" w:rsidR="009F6E91" w:rsidRPr="00D427D8" w:rsidRDefault="009F6E91" w:rsidP="004006F2">
            <w:pPr>
              <w:spacing w:before="60"/>
              <w:jc w:val="left"/>
              <w:rPr>
                <w:b/>
                <w:bCs/>
                <w:szCs w:val="18"/>
              </w:rPr>
            </w:pPr>
            <w:r w:rsidRPr="00D427D8">
              <w:rPr>
                <w:b/>
                <w:bCs/>
                <w:szCs w:val="18"/>
              </w:rPr>
              <w:t>Amount of the annual fee</w:t>
            </w:r>
          </w:p>
        </w:tc>
        <w:tc>
          <w:tcPr>
            <w:tcW w:w="0" w:type="auto"/>
          </w:tcPr>
          <w:p w14:paraId="090D2A07" w14:textId="77777777" w:rsidR="009F6E91" w:rsidRPr="00D427D8" w:rsidRDefault="009F6E91" w:rsidP="004006F2">
            <w:pPr>
              <w:spacing w:before="60"/>
              <w:jc w:val="left"/>
              <w:rPr>
                <w:b/>
                <w:bCs/>
                <w:szCs w:val="18"/>
              </w:rPr>
            </w:pPr>
            <w:r w:rsidRPr="00D427D8">
              <w:rPr>
                <w:b/>
                <w:bCs/>
                <w:szCs w:val="18"/>
              </w:rPr>
              <w:t>VAT applicable</w:t>
            </w:r>
            <w:r w:rsidRPr="00D427D8">
              <w:rPr>
                <w:vertAlign w:val="superscript"/>
              </w:rPr>
              <w:t>2</w:t>
            </w:r>
          </w:p>
        </w:tc>
        <w:tc>
          <w:tcPr>
            <w:tcW w:w="0" w:type="auto"/>
          </w:tcPr>
          <w:p w14:paraId="5911F248" w14:textId="77777777" w:rsidR="009F6E91" w:rsidRPr="00D427D8" w:rsidRDefault="009F6E91" w:rsidP="004006F2">
            <w:pPr>
              <w:spacing w:before="60"/>
              <w:jc w:val="left"/>
              <w:rPr>
                <w:b/>
                <w:bCs/>
                <w:szCs w:val="18"/>
              </w:rPr>
            </w:pPr>
            <w:r w:rsidRPr="00D427D8">
              <w:rPr>
                <w:b/>
                <w:bCs/>
                <w:szCs w:val="18"/>
              </w:rPr>
              <w:t>Frequency</w:t>
            </w:r>
            <w:r w:rsidRPr="00D427D8">
              <w:rPr>
                <w:b/>
                <w:bCs/>
                <w:szCs w:val="18"/>
              </w:rPr>
              <w:br/>
              <w:t>of payment</w:t>
            </w:r>
            <w:r w:rsidRPr="00D427D8">
              <w:rPr>
                <w:vertAlign w:val="superscript"/>
              </w:rPr>
              <w:t>3</w:t>
            </w:r>
          </w:p>
        </w:tc>
      </w:tr>
      <w:tr w:rsidR="009F6E91" w:rsidRPr="00D427D8" w14:paraId="11CCAA4D" w14:textId="77777777" w:rsidTr="00DD27F1">
        <w:tc>
          <w:tcPr>
            <w:tcW w:w="2117" w:type="dxa"/>
          </w:tcPr>
          <w:p w14:paraId="356DF6C3" w14:textId="2FC09376" w:rsidR="009F6E91" w:rsidRPr="00D427D8" w:rsidRDefault="009F6E91" w:rsidP="00AD082F">
            <w:pPr>
              <w:spacing w:after="120"/>
              <w:jc w:val="left"/>
              <w:rPr>
                <w:b/>
                <w:szCs w:val="19"/>
              </w:rPr>
            </w:pPr>
            <w:r w:rsidRPr="00D427D8">
              <w:rPr>
                <w:b/>
                <w:szCs w:val="19"/>
              </w:rPr>
              <w:t>Corporate Services Provider</w:t>
            </w:r>
            <w:r w:rsidR="00EF7333" w:rsidRPr="00D427D8">
              <w:rPr>
                <w:b/>
                <w:szCs w:val="19"/>
              </w:rPr>
              <w:t>'</w:t>
            </w:r>
            <w:r w:rsidRPr="00D427D8">
              <w:rPr>
                <w:b/>
                <w:szCs w:val="19"/>
              </w:rPr>
              <w:t>s fees</w:t>
            </w:r>
          </w:p>
        </w:tc>
        <w:tc>
          <w:tcPr>
            <w:tcW w:w="0" w:type="auto"/>
          </w:tcPr>
          <w:p w14:paraId="56A0631E" w14:textId="60F5759C" w:rsidR="009F6E91" w:rsidRPr="00D427D8" w:rsidRDefault="009F6E91" w:rsidP="00AD082F">
            <w:pPr>
              <w:spacing w:after="120"/>
              <w:jc w:val="left"/>
              <w:rPr>
                <w:szCs w:val="19"/>
              </w:rPr>
            </w:pPr>
            <w:r w:rsidRPr="00D427D8">
              <w:rPr>
                <w:szCs w:val="19"/>
              </w:rPr>
              <w:t>EUR </w:t>
            </w:r>
            <w:r w:rsidR="007D00E2">
              <w:rPr>
                <w:szCs w:val="19"/>
              </w:rPr>
              <w:t>15,200</w:t>
            </w:r>
            <w:r w:rsidR="007D00E2" w:rsidRPr="00D427D8">
              <w:rPr>
                <w:szCs w:val="19"/>
              </w:rPr>
              <w:t xml:space="preserve"> </w:t>
            </w:r>
            <w:r w:rsidRPr="00D427D8">
              <w:rPr>
                <w:szCs w:val="19"/>
                <w:lang w:val="en-IE"/>
              </w:rPr>
              <w:t>p.a.</w:t>
            </w:r>
          </w:p>
        </w:tc>
        <w:tc>
          <w:tcPr>
            <w:tcW w:w="0" w:type="auto"/>
          </w:tcPr>
          <w:p w14:paraId="62074C4A" w14:textId="77777777" w:rsidR="009F6E91" w:rsidRPr="00D427D8" w:rsidRDefault="009F6E91" w:rsidP="00AD082F">
            <w:pPr>
              <w:spacing w:after="120"/>
              <w:jc w:val="left"/>
              <w:rPr>
                <w:szCs w:val="18"/>
              </w:rPr>
            </w:pPr>
            <w:r w:rsidRPr="00D427D8">
              <w:rPr>
                <w:szCs w:val="18"/>
              </w:rPr>
              <w:t>20%</w:t>
            </w:r>
          </w:p>
        </w:tc>
        <w:tc>
          <w:tcPr>
            <w:tcW w:w="0" w:type="auto"/>
          </w:tcPr>
          <w:p w14:paraId="4D069D48" w14:textId="77777777" w:rsidR="009F6E91" w:rsidRPr="00D427D8" w:rsidRDefault="009F6E91" w:rsidP="00AD082F">
            <w:pPr>
              <w:spacing w:after="120"/>
              <w:jc w:val="left"/>
              <w:rPr>
                <w:szCs w:val="18"/>
              </w:rPr>
            </w:pPr>
            <w:r w:rsidRPr="00D427D8">
              <w:rPr>
                <w:szCs w:val="18"/>
              </w:rPr>
              <w:t>Yearly</w:t>
            </w:r>
          </w:p>
        </w:tc>
      </w:tr>
      <w:tr w:rsidR="009F6E91" w:rsidRPr="00D427D8" w14:paraId="3B1D4235" w14:textId="77777777" w:rsidTr="00DD27F1">
        <w:tc>
          <w:tcPr>
            <w:tcW w:w="2117" w:type="dxa"/>
          </w:tcPr>
          <w:p w14:paraId="73AE08F6" w14:textId="5446AEA4" w:rsidR="009F6E91" w:rsidRPr="00D427D8" w:rsidRDefault="009F6E91" w:rsidP="00AD082F">
            <w:pPr>
              <w:spacing w:after="120"/>
              <w:jc w:val="left"/>
              <w:rPr>
                <w:b/>
                <w:szCs w:val="19"/>
              </w:rPr>
            </w:pPr>
            <w:r w:rsidRPr="00D427D8">
              <w:rPr>
                <w:b/>
                <w:szCs w:val="19"/>
              </w:rPr>
              <w:t>Collateral Agent</w:t>
            </w:r>
            <w:r w:rsidR="00EF7333" w:rsidRPr="00D427D8">
              <w:rPr>
                <w:b/>
                <w:szCs w:val="19"/>
              </w:rPr>
              <w:t>'</w:t>
            </w:r>
            <w:r w:rsidRPr="00D427D8">
              <w:rPr>
                <w:b/>
                <w:szCs w:val="19"/>
              </w:rPr>
              <w:t>s fees</w:t>
            </w:r>
          </w:p>
        </w:tc>
        <w:tc>
          <w:tcPr>
            <w:tcW w:w="0" w:type="auto"/>
          </w:tcPr>
          <w:p w14:paraId="769AC006" w14:textId="43ADBD02" w:rsidR="009F6E91" w:rsidRPr="00D427D8" w:rsidRDefault="009F6E91" w:rsidP="00AD082F">
            <w:pPr>
              <w:spacing w:after="120"/>
              <w:jc w:val="left"/>
              <w:rPr>
                <w:szCs w:val="19"/>
              </w:rPr>
            </w:pPr>
            <w:r w:rsidRPr="00D427D8">
              <w:rPr>
                <w:szCs w:val="19"/>
              </w:rPr>
              <w:t>EUR </w:t>
            </w:r>
            <w:r w:rsidR="007D00E2">
              <w:rPr>
                <w:szCs w:val="19"/>
              </w:rPr>
              <w:t>4,500</w:t>
            </w:r>
            <w:r w:rsidR="007D00E2" w:rsidRPr="00D427D8">
              <w:rPr>
                <w:szCs w:val="19"/>
              </w:rPr>
              <w:t xml:space="preserve"> </w:t>
            </w:r>
            <w:r w:rsidRPr="00D427D8">
              <w:rPr>
                <w:szCs w:val="19"/>
                <w:lang w:val="en-IE"/>
              </w:rPr>
              <w:t>p.a.</w:t>
            </w:r>
          </w:p>
        </w:tc>
        <w:tc>
          <w:tcPr>
            <w:tcW w:w="0" w:type="auto"/>
          </w:tcPr>
          <w:p w14:paraId="29C58D5C" w14:textId="77777777" w:rsidR="009F6E91" w:rsidRPr="00D427D8" w:rsidRDefault="009F6E91" w:rsidP="00AD082F">
            <w:pPr>
              <w:spacing w:after="120"/>
              <w:jc w:val="left"/>
              <w:rPr>
                <w:szCs w:val="18"/>
              </w:rPr>
            </w:pPr>
            <w:r w:rsidRPr="00D427D8">
              <w:rPr>
                <w:szCs w:val="18"/>
              </w:rPr>
              <w:t>20%</w:t>
            </w:r>
          </w:p>
        </w:tc>
        <w:tc>
          <w:tcPr>
            <w:tcW w:w="0" w:type="auto"/>
          </w:tcPr>
          <w:p w14:paraId="1ACCBA8C" w14:textId="77777777" w:rsidR="009F6E91" w:rsidRPr="00D427D8" w:rsidRDefault="009F6E91" w:rsidP="00AD082F">
            <w:pPr>
              <w:spacing w:after="120"/>
              <w:jc w:val="left"/>
              <w:rPr>
                <w:szCs w:val="18"/>
              </w:rPr>
            </w:pPr>
            <w:r w:rsidRPr="00D427D8">
              <w:rPr>
                <w:szCs w:val="18"/>
              </w:rPr>
              <w:t>At close and yearly thereafter</w:t>
            </w:r>
          </w:p>
        </w:tc>
      </w:tr>
      <w:tr w:rsidR="009F6E91" w:rsidRPr="00D427D8" w14:paraId="11AD0911" w14:textId="77777777" w:rsidTr="00DD27F1">
        <w:tc>
          <w:tcPr>
            <w:tcW w:w="2117" w:type="dxa"/>
          </w:tcPr>
          <w:p w14:paraId="6C81D1AE" w14:textId="3492921E" w:rsidR="009F6E91" w:rsidRPr="00D427D8" w:rsidRDefault="009F6E91" w:rsidP="00A77D25">
            <w:pPr>
              <w:spacing w:after="120"/>
              <w:jc w:val="left"/>
              <w:rPr>
                <w:b/>
                <w:szCs w:val="19"/>
              </w:rPr>
            </w:pPr>
            <w:r w:rsidRPr="00D427D8">
              <w:rPr>
                <w:b/>
                <w:szCs w:val="19"/>
              </w:rPr>
              <w:t>ER Collateral Agent</w:t>
            </w:r>
            <w:r w:rsidR="00EF7333" w:rsidRPr="00D427D8">
              <w:rPr>
                <w:b/>
                <w:szCs w:val="19"/>
              </w:rPr>
              <w:t>'</w:t>
            </w:r>
            <w:r w:rsidRPr="00D427D8">
              <w:rPr>
                <w:b/>
                <w:szCs w:val="19"/>
              </w:rPr>
              <w:t>s fees</w:t>
            </w:r>
          </w:p>
        </w:tc>
        <w:tc>
          <w:tcPr>
            <w:tcW w:w="0" w:type="auto"/>
          </w:tcPr>
          <w:p w14:paraId="4B55E5AA" w14:textId="7B38DFAC" w:rsidR="009F6E91" w:rsidRPr="00D427D8" w:rsidRDefault="009F6E91" w:rsidP="00A77D25">
            <w:pPr>
              <w:spacing w:after="120"/>
              <w:jc w:val="left"/>
              <w:rPr>
                <w:szCs w:val="19"/>
              </w:rPr>
            </w:pPr>
            <w:r w:rsidRPr="00D427D8">
              <w:rPr>
                <w:szCs w:val="19"/>
              </w:rPr>
              <w:t>EUR </w:t>
            </w:r>
            <w:r w:rsidR="007D00E2">
              <w:rPr>
                <w:szCs w:val="19"/>
              </w:rPr>
              <w:t>4,500</w:t>
            </w:r>
            <w:r w:rsidR="007D00E2" w:rsidRPr="00D427D8">
              <w:rPr>
                <w:szCs w:val="19"/>
              </w:rPr>
              <w:t xml:space="preserve"> </w:t>
            </w:r>
            <w:r w:rsidRPr="00D427D8">
              <w:rPr>
                <w:szCs w:val="19"/>
                <w:lang w:val="en-IE"/>
              </w:rPr>
              <w:t>p.a.</w:t>
            </w:r>
          </w:p>
        </w:tc>
        <w:tc>
          <w:tcPr>
            <w:tcW w:w="0" w:type="auto"/>
          </w:tcPr>
          <w:p w14:paraId="39588280" w14:textId="77777777" w:rsidR="009F6E91" w:rsidRPr="00D427D8" w:rsidRDefault="009F6E91" w:rsidP="00A77D25">
            <w:pPr>
              <w:spacing w:after="120"/>
              <w:jc w:val="left"/>
              <w:rPr>
                <w:szCs w:val="18"/>
              </w:rPr>
            </w:pPr>
            <w:r w:rsidRPr="00D427D8">
              <w:rPr>
                <w:szCs w:val="18"/>
              </w:rPr>
              <w:t>20%</w:t>
            </w:r>
          </w:p>
        </w:tc>
        <w:tc>
          <w:tcPr>
            <w:tcW w:w="0" w:type="auto"/>
          </w:tcPr>
          <w:p w14:paraId="139336E1" w14:textId="77777777" w:rsidR="009F6E91" w:rsidRPr="00D427D8" w:rsidRDefault="009F6E91" w:rsidP="00A77D25">
            <w:pPr>
              <w:spacing w:after="120"/>
              <w:jc w:val="left"/>
              <w:rPr>
                <w:szCs w:val="18"/>
              </w:rPr>
            </w:pPr>
            <w:r w:rsidRPr="00D427D8">
              <w:rPr>
                <w:szCs w:val="18"/>
              </w:rPr>
              <w:t>At close and yearly thereafter</w:t>
            </w:r>
          </w:p>
        </w:tc>
      </w:tr>
      <w:tr w:rsidR="009F6E91" w:rsidRPr="00D427D8" w14:paraId="76E75B1B" w14:textId="77777777" w:rsidTr="00DD27F1">
        <w:tc>
          <w:tcPr>
            <w:tcW w:w="2117" w:type="dxa"/>
          </w:tcPr>
          <w:p w14:paraId="364194E9" w14:textId="6DBB25F6" w:rsidR="009F6E91" w:rsidRPr="00D427D8" w:rsidRDefault="009F6E91" w:rsidP="00AD082F">
            <w:pPr>
              <w:spacing w:after="120"/>
              <w:jc w:val="left"/>
              <w:rPr>
                <w:b/>
                <w:szCs w:val="19"/>
              </w:rPr>
            </w:pPr>
            <w:r w:rsidRPr="00D427D8">
              <w:rPr>
                <w:b/>
                <w:szCs w:val="19"/>
              </w:rPr>
              <w:t>Back-up Servicer Facilitator</w:t>
            </w:r>
            <w:r w:rsidR="00EF7333" w:rsidRPr="00D427D8">
              <w:rPr>
                <w:b/>
                <w:szCs w:val="19"/>
              </w:rPr>
              <w:t>'</w:t>
            </w:r>
            <w:r w:rsidRPr="00D427D8">
              <w:rPr>
                <w:b/>
                <w:szCs w:val="19"/>
              </w:rPr>
              <w:t>s fees</w:t>
            </w:r>
          </w:p>
        </w:tc>
        <w:tc>
          <w:tcPr>
            <w:tcW w:w="0" w:type="auto"/>
          </w:tcPr>
          <w:p w14:paraId="0CFA9048" w14:textId="4FE9C38B" w:rsidR="009F6E91" w:rsidRPr="00D427D8" w:rsidRDefault="009F6E91" w:rsidP="00AD082F">
            <w:pPr>
              <w:spacing w:after="120"/>
              <w:jc w:val="left"/>
              <w:rPr>
                <w:szCs w:val="19"/>
              </w:rPr>
            </w:pPr>
            <w:r w:rsidRPr="00D427D8">
              <w:rPr>
                <w:szCs w:val="19"/>
              </w:rPr>
              <w:t xml:space="preserve">EUR </w:t>
            </w:r>
            <w:r w:rsidR="007D00E2">
              <w:rPr>
                <w:szCs w:val="19"/>
              </w:rPr>
              <w:t>1,500</w:t>
            </w:r>
            <w:r w:rsidR="007D00E2" w:rsidRPr="00D427D8">
              <w:rPr>
                <w:szCs w:val="19"/>
              </w:rPr>
              <w:t xml:space="preserve"> </w:t>
            </w:r>
            <w:r w:rsidRPr="00D427D8">
              <w:rPr>
                <w:szCs w:val="19"/>
              </w:rPr>
              <w:t>p.a.</w:t>
            </w:r>
          </w:p>
        </w:tc>
        <w:tc>
          <w:tcPr>
            <w:tcW w:w="0" w:type="auto"/>
          </w:tcPr>
          <w:p w14:paraId="037DC146" w14:textId="77777777" w:rsidR="009F6E91" w:rsidRPr="00D427D8" w:rsidRDefault="009F6E91" w:rsidP="00AD082F">
            <w:pPr>
              <w:spacing w:after="120"/>
              <w:jc w:val="left"/>
              <w:rPr>
                <w:szCs w:val="18"/>
              </w:rPr>
            </w:pPr>
            <w:r w:rsidRPr="00D427D8">
              <w:rPr>
                <w:szCs w:val="18"/>
              </w:rPr>
              <w:t>20%</w:t>
            </w:r>
          </w:p>
        </w:tc>
        <w:tc>
          <w:tcPr>
            <w:tcW w:w="0" w:type="auto"/>
          </w:tcPr>
          <w:p w14:paraId="0A6C46DE" w14:textId="77777777" w:rsidR="009F6E91" w:rsidRPr="00D427D8" w:rsidRDefault="009F6E91" w:rsidP="00AD082F">
            <w:pPr>
              <w:spacing w:after="120"/>
              <w:jc w:val="left"/>
              <w:rPr>
                <w:szCs w:val="18"/>
              </w:rPr>
            </w:pPr>
            <w:r w:rsidRPr="00D427D8">
              <w:rPr>
                <w:szCs w:val="18"/>
              </w:rPr>
              <w:t>Yearly</w:t>
            </w:r>
          </w:p>
        </w:tc>
      </w:tr>
      <w:tr w:rsidR="00C23B04" w:rsidRPr="00D427D8" w14:paraId="0D9B2C6E" w14:textId="77777777" w:rsidTr="00DD27F1">
        <w:tc>
          <w:tcPr>
            <w:tcW w:w="2117" w:type="dxa"/>
          </w:tcPr>
          <w:p w14:paraId="5557E1BE" w14:textId="4B9A566E" w:rsidR="00C23B04" w:rsidRPr="00D427D8" w:rsidRDefault="00C23B04" w:rsidP="00C23B04">
            <w:pPr>
              <w:spacing w:after="120"/>
              <w:jc w:val="left"/>
              <w:rPr>
                <w:b/>
                <w:szCs w:val="19"/>
              </w:rPr>
            </w:pPr>
            <w:bookmarkStart w:id="309" w:name="_Hlk198733364"/>
            <w:r>
              <w:rPr>
                <w:b/>
                <w:szCs w:val="19"/>
              </w:rPr>
              <w:t>Data Protection Trustee</w:t>
            </w:r>
            <w:r w:rsidRPr="00D427D8">
              <w:rPr>
                <w:b/>
                <w:szCs w:val="19"/>
              </w:rPr>
              <w:t xml:space="preserve"> </w:t>
            </w:r>
          </w:p>
        </w:tc>
        <w:tc>
          <w:tcPr>
            <w:tcW w:w="0" w:type="auto"/>
          </w:tcPr>
          <w:p w14:paraId="277C0D77" w14:textId="55FF814A" w:rsidR="00C23B04" w:rsidRPr="00D427D8" w:rsidRDefault="00C23B04" w:rsidP="00C23B04">
            <w:pPr>
              <w:spacing w:after="120"/>
              <w:jc w:val="left"/>
              <w:rPr>
                <w:szCs w:val="19"/>
              </w:rPr>
            </w:pPr>
            <w:r w:rsidRPr="00D427D8">
              <w:rPr>
                <w:szCs w:val="19"/>
              </w:rPr>
              <w:t xml:space="preserve">EUR </w:t>
            </w:r>
            <w:r w:rsidR="003A3A3A">
              <w:rPr>
                <w:szCs w:val="19"/>
              </w:rPr>
              <w:t>1,000</w:t>
            </w:r>
            <w:r w:rsidR="003A3A3A" w:rsidRPr="00D427D8">
              <w:rPr>
                <w:szCs w:val="19"/>
              </w:rPr>
              <w:t xml:space="preserve"> </w:t>
            </w:r>
            <w:r w:rsidRPr="00D427D8">
              <w:rPr>
                <w:szCs w:val="19"/>
              </w:rPr>
              <w:t>p.a.</w:t>
            </w:r>
          </w:p>
        </w:tc>
        <w:tc>
          <w:tcPr>
            <w:tcW w:w="0" w:type="auto"/>
          </w:tcPr>
          <w:p w14:paraId="5D1D6718" w14:textId="3CDDDEB3" w:rsidR="00C23B04" w:rsidRPr="00D427D8" w:rsidRDefault="00C23B04" w:rsidP="00C23B04">
            <w:pPr>
              <w:spacing w:after="120"/>
              <w:jc w:val="left"/>
              <w:rPr>
                <w:szCs w:val="18"/>
              </w:rPr>
            </w:pPr>
            <w:r w:rsidRPr="00D427D8">
              <w:rPr>
                <w:szCs w:val="18"/>
              </w:rPr>
              <w:t>20%</w:t>
            </w:r>
          </w:p>
        </w:tc>
        <w:tc>
          <w:tcPr>
            <w:tcW w:w="0" w:type="auto"/>
          </w:tcPr>
          <w:p w14:paraId="4C08EDE4" w14:textId="26B54814" w:rsidR="00C23B04" w:rsidRPr="00D427D8" w:rsidRDefault="00C23B04" w:rsidP="00C23B04">
            <w:pPr>
              <w:spacing w:after="120"/>
              <w:jc w:val="left"/>
              <w:rPr>
                <w:szCs w:val="18"/>
              </w:rPr>
            </w:pPr>
            <w:r w:rsidRPr="00D427D8">
              <w:rPr>
                <w:szCs w:val="18"/>
              </w:rPr>
              <w:t>Yearly</w:t>
            </w:r>
          </w:p>
        </w:tc>
      </w:tr>
      <w:tr w:rsidR="009F6E91" w:rsidRPr="00D427D8" w14:paraId="5AE8E596" w14:textId="77777777" w:rsidTr="00DD27F1">
        <w:tc>
          <w:tcPr>
            <w:tcW w:w="2117" w:type="dxa"/>
          </w:tcPr>
          <w:p w14:paraId="249F1E4F" w14:textId="4C723546" w:rsidR="009F6E91" w:rsidRPr="00D427D8" w:rsidRDefault="009F6E91" w:rsidP="00C7011F">
            <w:pPr>
              <w:spacing w:after="120"/>
              <w:jc w:val="left"/>
              <w:rPr>
                <w:b/>
                <w:szCs w:val="19"/>
              </w:rPr>
            </w:pPr>
            <w:r w:rsidRPr="00D427D8">
              <w:rPr>
                <w:b/>
                <w:szCs w:val="19"/>
              </w:rPr>
              <w:t>Auditor</w:t>
            </w:r>
            <w:r w:rsidR="00EF7333" w:rsidRPr="00D427D8">
              <w:rPr>
                <w:b/>
                <w:szCs w:val="19"/>
              </w:rPr>
              <w:t>'</w:t>
            </w:r>
            <w:r w:rsidRPr="00D427D8">
              <w:rPr>
                <w:b/>
                <w:szCs w:val="19"/>
              </w:rPr>
              <w:t>s fee:</w:t>
            </w:r>
          </w:p>
        </w:tc>
        <w:tc>
          <w:tcPr>
            <w:tcW w:w="0" w:type="auto"/>
          </w:tcPr>
          <w:p w14:paraId="075A8E26" w14:textId="57445046" w:rsidR="009F6E91" w:rsidRPr="00D427D8" w:rsidRDefault="009F6E91" w:rsidP="004006F2">
            <w:pPr>
              <w:spacing w:after="120"/>
              <w:jc w:val="left"/>
              <w:rPr>
                <w:szCs w:val="19"/>
              </w:rPr>
            </w:pPr>
            <w:r w:rsidRPr="00D427D8">
              <w:rPr>
                <w:szCs w:val="19"/>
              </w:rPr>
              <w:t>EUR </w:t>
            </w:r>
            <w:r w:rsidR="001644C5">
              <w:rPr>
                <w:szCs w:val="19"/>
              </w:rPr>
              <w:t>42,000</w:t>
            </w:r>
            <w:r w:rsidRPr="00D427D8">
              <w:rPr>
                <w:szCs w:val="19"/>
              </w:rPr>
              <w:t xml:space="preserve"> </w:t>
            </w:r>
            <w:r w:rsidRPr="00D427D8">
              <w:rPr>
                <w:szCs w:val="19"/>
                <w:lang w:val="en-IE"/>
              </w:rPr>
              <w:t>p.a.</w:t>
            </w:r>
          </w:p>
        </w:tc>
        <w:tc>
          <w:tcPr>
            <w:tcW w:w="0" w:type="auto"/>
          </w:tcPr>
          <w:p w14:paraId="380C0C4A" w14:textId="77777777" w:rsidR="009F6E91" w:rsidRPr="00D427D8" w:rsidRDefault="009F6E91" w:rsidP="004006F2">
            <w:pPr>
              <w:spacing w:after="120"/>
              <w:jc w:val="left"/>
              <w:rPr>
                <w:szCs w:val="18"/>
              </w:rPr>
            </w:pPr>
            <w:r w:rsidRPr="00D427D8">
              <w:rPr>
                <w:szCs w:val="18"/>
              </w:rPr>
              <w:t>20%</w:t>
            </w:r>
          </w:p>
        </w:tc>
        <w:tc>
          <w:tcPr>
            <w:tcW w:w="0" w:type="auto"/>
          </w:tcPr>
          <w:p w14:paraId="41404D79" w14:textId="77777777" w:rsidR="009F6E91" w:rsidRPr="00D427D8" w:rsidRDefault="009F6E91" w:rsidP="004006F2">
            <w:pPr>
              <w:spacing w:after="120"/>
              <w:jc w:val="left"/>
              <w:rPr>
                <w:szCs w:val="18"/>
              </w:rPr>
            </w:pPr>
            <w:r w:rsidRPr="00D427D8">
              <w:rPr>
                <w:szCs w:val="18"/>
              </w:rPr>
              <w:t xml:space="preserve">Yearly following receipt of the corresponding invoice, it being stipulated that the first and last year of the life of the Issuer will be fully invoiced without any </w:t>
            </w:r>
            <w:r w:rsidRPr="00D427D8">
              <w:rPr>
                <w:i/>
                <w:szCs w:val="18"/>
              </w:rPr>
              <w:t xml:space="preserve">pro rata </w:t>
            </w:r>
            <w:r w:rsidRPr="00D427D8">
              <w:rPr>
                <w:szCs w:val="18"/>
              </w:rPr>
              <w:t>being applied</w:t>
            </w:r>
          </w:p>
        </w:tc>
      </w:tr>
      <w:bookmarkEnd w:id="309"/>
      <w:tr w:rsidR="009F6E91" w:rsidRPr="00D427D8" w14:paraId="072940BF" w14:textId="77777777" w:rsidTr="00DD27F1">
        <w:tc>
          <w:tcPr>
            <w:tcW w:w="2117" w:type="dxa"/>
          </w:tcPr>
          <w:p w14:paraId="780050E2" w14:textId="4E2D139D" w:rsidR="009F6E91" w:rsidRPr="00D427D8" w:rsidRDefault="009F6E91" w:rsidP="000768EC">
            <w:pPr>
              <w:spacing w:after="120"/>
              <w:jc w:val="left"/>
              <w:rPr>
                <w:b/>
                <w:szCs w:val="19"/>
              </w:rPr>
            </w:pPr>
            <w:r w:rsidRPr="00D427D8">
              <w:rPr>
                <w:b/>
                <w:szCs w:val="19"/>
              </w:rPr>
              <w:t>Calculation Agent</w:t>
            </w:r>
            <w:r w:rsidR="00C8283A">
              <w:rPr>
                <w:b/>
                <w:szCs w:val="19"/>
              </w:rPr>
              <w:t xml:space="preserve"> </w:t>
            </w:r>
            <w:r w:rsidRPr="00D427D8">
              <w:rPr>
                <w:b/>
                <w:szCs w:val="19"/>
              </w:rPr>
              <w:t>and Reporting Agent fees</w:t>
            </w:r>
          </w:p>
        </w:tc>
        <w:tc>
          <w:tcPr>
            <w:tcW w:w="0" w:type="auto"/>
          </w:tcPr>
          <w:p w14:paraId="3F2BF69F" w14:textId="77777777" w:rsidR="009F6E91" w:rsidRPr="00D427D8" w:rsidRDefault="009F6E91" w:rsidP="000768EC">
            <w:pPr>
              <w:spacing w:after="120"/>
              <w:jc w:val="left"/>
              <w:rPr>
                <w:szCs w:val="19"/>
              </w:rPr>
            </w:pPr>
            <w:r w:rsidRPr="00D427D8">
              <w:rPr>
                <w:szCs w:val="19"/>
              </w:rPr>
              <w:t>EUR 38.000 p.a.</w:t>
            </w:r>
          </w:p>
          <w:p w14:paraId="14A109CE" w14:textId="77777777" w:rsidR="009F6E91" w:rsidRPr="00D427D8" w:rsidRDefault="009F6E91" w:rsidP="003D6C38">
            <w:pPr>
              <w:rPr>
                <w:rFonts w:cs="Arial"/>
                <w:szCs w:val="19"/>
                <w:lang w:val="en-US"/>
              </w:rPr>
            </w:pPr>
          </w:p>
        </w:tc>
        <w:tc>
          <w:tcPr>
            <w:tcW w:w="0" w:type="auto"/>
          </w:tcPr>
          <w:p w14:paraId="0101E7BA" w14:textId="32565B82" w:rsidR="009F6E91" w:rsidRPr="00D427D8" w:rsidRDefault="00C23B04" w:rsidP="000768EC">
            <w:pPr>
              <w:spacing w:after="120"/>
              <w:rPr>
                <w:szCs w:val="19"/>
              </w:rPr>
            </w:pPr>
            <w:r w:rsidRPr="00D427D8">
              <w:rPr>
                <w:szCs w:val="19"/>
              </w:rPr>
              <w:t>Not applicable</w:t>
            </w:r>
          </w:p>
        </w:tc>
        <w:tc>
          <w:tcPr>
            <w:tcW w:w="0" w:type="auto"/>
          </w:tcPr>
          <w:p w14:paraId="41236D6A" w14:textId="36014C2A" w:rsidR="009F6E91" w:rsidRPr="00D427D8" w:rsidRDefault="00C23B04" w:rsidP="000768EC">
            <w:pPr>
              <w:spacing w:after="120"/>
              <w:jc w:val="left"/>
              <w:rPr>
                <w:szCs w:val="18"/>
              </w:rPr>
            </w:pPr>
            <w:r w:rsidRPr="00D427D8">
              <w:rPr>
                <w:szCs w:val="18"/>
              </w:rPr>
              <w:t xml:space="preserve">On each Distribution Date </w:t>
            </w:r>
          </w:p>
        </w:tc>
      </w:tr>
      <w:tr w:rsidR="009F6E91" w:rsidRPr="00D427D8" w14:paraId="1CD0DFDA" w14:textId="77777777" w:rsidTr="00DD27F1">
        <w:trPr>
          <w:trHeight w:val="405"/>
        </w:trPr>
        <w:tc>
          <w:tcPr>
            <w:tcW w:w="2117" w:type="dxa"/>
          </w:tcPr>
          <w:p w14:paraId="21D213EE" w14:textId="77777777" w:rsidR="009F6E91" w:rsidRPr="00D427D8" w:rsidRDefault="009F6E91" w:rsidP="000768EC">
            <w:pPr>
              <w:spacing w:after="120"/>
              <w:jc w:val="left"/>
              <w:rPr>
                <w:b/>
                <w:szCs w:val="19"/>
              </w:rPr>
            </w:pPr>
            <w:r w:rsidRPr="00D427D8">
              <w:rPr>
                <w:b/>
                <w:szCs w:val="19"/>
              </w:rPr>
              <w:t>Servicing fee:</w:t>
            </w:r>
            <w:r w:rsidRPr="00D427D8">
              <w:rPr>
                <w:bCs/>
                <w:szCs w:val="19"/>
                <w:vertAlign w:val="superscript"/>
              </w:rPr>
              <w:t>4</w:t>
            </w:r>
          </w:p>
        </w:tc>
        <w:tc>
          <w:tcPr>
            <w:tcW w:w="0" w:type="auto"/>
          </w:tcPr>
          <w:p w14:paraId="13535AE5" w14:textId="7C791323" w:rsidR="009F6E91" w:rsidRPr="00D427D8" w:rsidRDefault="007D00E2" w:rsidP="000768EC">
            <w:pPr>
              <w:spacing w:before="60" w:after="60"/>
              <w:jc w:val="left"/>
              <w:rPr>
                <w:szCs w:val="19"/>
              </w:rPr>
            </w:pPr>
            <w:r>
              <w:rPr>
                <w:szCs w:val="19"/>
              </w:rPr>
              <w:t>0.50</w:t>
            </w:r>
            <w:r w:rsidRPr="00D427D8">
              <w:rPr>
                <w:szCs w:val="19"/>
              </w:rPr>
              <w:t xml:space="preserve">% </w:t>
            </w:r>
            <w:r w:rsidR="009F6E91" w:rsidRPr="00D427D8">
              <w:rPr>
                <w:szCs w:val="19"/>
              </w:rPr>
              <w:t xml:space="preserve">p.a. divided by 12 and multiplied by the </w:t>
            </w:r>
            <w:r w:rsidR="009F6E91" w:rsidRPr="00D427D8">
              <w:rPr>
                <w:color w:val="000000"/>
                <w:szCs w:val="19"/>
                <w:lang w:val="en-US" w:eastAsia="de-DE"/>
              </w:rPr>
              <w:t>Aggregate Discounted Receivables Balance</w:t>
            </w:r>
            <w:r w:rsidR="009F6E91" w:rsidRPr="00D427D8">
              <w:rPr>
                <w:szCs w:val="19"/>
              </w:rPr>
              <w:t xml:space="preserve"> of the Receivables as at the first day of the preceding Monthly Period ending immediately prior to the relevant Distribution Date.</w:t>
            </w:r>
          </w:p>
        </w:tc>
        <w:tc>
          <w:tcPr>
            <w:tcW w:w="0" w:type="auto"/>
          </w:tcPr>
          <w:p w14:paraId="7FD2B6F7" w14:textId="77777777" w:rsidR="009F6E91" w:rsidRPr="00D427D8" w:rsidRDefault="009F6E91" w:rsidP="000768EC">
            <w:pPr>
              <w:spacing w:before="60" w:after="60"/>
              <w:jc w:val="left"/>
              <w:rPr>
                <w:szCs w:val="19"/>
              </w:rPr>
            </w:pPr>
            <w:r w:rsidRPr="00D427D8">
              <w:rPr>
                <w:szCs w:val="19"/>
              </w:rPr>
              <w:t>Not applicable</w:t>
            </w:r>
          </w:p>
        </w:tc>
        <w:tc>
          <w:tcPr>
            <w:tcW w:w="0" w:type="auto"/>
          </w:tcPr>
          <w:p w14:paraId="51C20F46" w14:textId="77777777" w:rsidR="009F6E91" w:rsidRPr="00D427D8" w:rsidRDefault="009F6E91" w:rsidP="000768EC">
            <w:pPr>
              <w:spacing w:after="120"/>
              <w:jc w:val="left"/>
              <w:rPr>
                <w:szCs w:val="18"/>
              </w:rPr>
            </w:pPr>
            <w:r w:rsidRPr="00D427D8">
              <w:rPr>
                <w:szCs w:val="18"/>
              </w:rPr>
              <w:t>On each Distribution Date until the occurrence of a Servicer Default</w:t>
            </w:r>
          </w:p>
        </w:tc>
      </w:tr>
    </w:tbl>
    <w:p w14:paraId="1428657F" w14:textId="77777777" w:rsidR="009F6E91" w:rsidRPr="00D427D8" w:rsidRDefault="009F6E91" w:rsidP="00EF7333">
      <w:pPr>
        <w:pStyle w:val="Body1"/>
        <w:rPr>
          <w:sz w:val="16"/>
          <w:szCs w:val="16"/>
        </w:rPr>
      </w:pPr>
      <w:r w:rsidRPr="00D427D8">
        <w:br/>
      </w:r>
      <w:r w:rsidRPr="00D427D8">
        <w:rPr>
          <w:sz w:val="16"/>
          <w:szCs w:val="16"/>
        </w:rPr>
        <w:t>(1)</w:t>
      </w:r>
      <w:r w:rsidRPr="00D427D8">
        <w:rPr>
          <w:rFonts w:cs="Arial"/>
          <w:sz w:val="16"/>
          <w:szCs w:val="16"/>
        </w:rPr>
        <w:tab/>
      </w:r>
      <w:r w:rsidRPr="00D427D8">
        <w:rPr>
          <w:sz w:val="16"/>
          <w:szCs w:val="16"/>
        </w:rPr>
        <w:t>Such amounts are expressed in Euros and are exclusive of any applicable taxes.</w:t>
      </w:r>
    </w:p>
    <w:p w14:paraId="6CCA6E8F" w14:textId="77777777" w:rsidR="009F6E91" w:rsidRPr="00D427D8" w:rsidRDefault="009F6E91" w:rsidP="00EF7333">
      <w:pPr>
        <w:pStyle w:val="Body1"/>
        <w:rPr>
          <w:sz w:val="16"/>
          <w:szCs w:val="16"/>
        </w:rPr>
      </w:pPr>
      <w:r w:rsidRPr="00D427D8">
        <w:rPr>
          <w:sz w:val="16"/>
          <w:szCs w:val="16"/>
        </w:rPr>
        <w:t>(2)</w:t>
      </w:r>
      <w:r w:rsidRPr="00D427D8">
        <w:rPr>
          <w:rFonts w:cs="Arial"/>
          <w:sz w:val="16"/>
          <w:szCs w:val="16"/>
        </w:rPr>
        <w:tab/>
      </w:r>
      <w:r w:rsidRPr="00D427D8">
        <w:rPr>
          <w:sz w:val="16"/>
          <w:szCs w:val="16"/>
        </w:rPr>
        <w:t>As at the closing date.</w:t>
      </w:r>
    </w:p>
    <w:p w14:paraId="2D005159" w14:textId="77777777" w:rsidR="009F6E91" w:rsidRPr="00D427D8" w:rsidRDefault="009F6E91" w:rsidP="00EF7333">
      <w:pPr>
        <w:pStyle w:val="Body1"/>
        <w:rPr>
          <w:sz w:val="16"/>
          <w:szCs w:val="16"/>
        </w:rPr>
      </w:pPr>
      <w:r w:rsidRPr="00D427D8">
        <w:rPr>
          <w:sz w:val="16"/>
          <w:szCs w:val="16"/>
        </w:rPr>
        <w:t>(3)</w:t>
      </w:r>
      <w:r w:rsidRPr="00D427D8">
        <w:rPr>
          <w:rFonts w:cs="Arial"/>
          <w:sz w:val="16"/>
          <w:szCs w:val="16"/>
        </w:rPr>
        <w:tab/>
      </w:r>
      <w:r w:rsidRPr="00D427D8">
        <w:rPr>
          <w:sz w:val="16"/>
          <w:szCs w:val="16"/>
        </w:rPr>
        <w:t>In arrear, when payments are to be made on a monthly basis.</w:t>
      </w:r>
    </w:p>
    <w:p w14:paraId="003D7E4E" w14:textId="14314C9A" w:rsidR="00B651DB" w:rsidRPr="00D427D8" w:rsidRDefault="009F6E91" w:rsidP="00EF7333">
      <w:pPr>
        <w:pStyle w:val="Body1"/>
        <w:rPr>
          <w:sz w:val="16"/>
          <w:szCs w:val="16"/>
        </w:rPr>
      </w:pPr>
      <w:r w:rsidRPr="00D427D8">
        <w:rPr>
          <w:sz w:val="16"/>
          <w:szCs w:val="16"/>
        </w:rPr>
        <w:t>(4)</w:t>
      </w:r>
      <w:r w:rsidRPr="00D427D8">
        <w:rPr>
          <w:rFonts w:cs="Arial"/>
          <w:sz w:val="16"/>
          <w:szCs w:val="16"/>
        </w:rPr>
        <w:tab/>
      </w:r>
      <w:r w:rsidRPr="00D427D8">
        <w:rPr>
          <w:sz w:val="16"/>
          <w:szCs w:val="16"/>
        </w:rPr>
        <w:t>1/12</w:t>
      </w:r>
      <w:r w:rsidRPr="00D427D8">
        <w:rPr>
          <w:sz w:val="16"/>
          <w:szCs w:val="16"/>
          <w:vertAlign w:val="superscript"/>
        </w:rPr>
        <w:t>th</w:t>
      </w:r>
      <w:r w:rsidRPr="00D427D8">
        <w:rPr>
          <w:sz w:val="16"/>
          <w:szCs w:val="16"/>
        </w:rPr>
        <w:t xml:space="preserve"> of the amount of the yearly fee will be payable monthly in arrear.</w:t>
      </w:r>
    </w:p>
    <w:p w14:paraId="42546AEA" w14:textId="77777777" w:rsidR="00B651DB" w:rsidRPr="00D427D8" w:rsidRDefault="00B651DB">
      <w:pPr>
        <w:rPr>
          <w:sz w:val="16"/>
          <w:szCs w:val="16"/>
        </w:rPr>
      </w:pPr>
      <w:r w:rsidRPr="00D427D8">
        <w:rPr>
          <w:sz w:val="16"/>
          <w:szCs w:val="16"/>
        </w:rPr>
        <w:br w:type="page"/>
      </w:r>
    </w:p>
    <w:p w14:paraId="522327F0" w14:textId="77777777" w:rsidR="009F6E91" w:rsidRPr="00D427D8" w:rsidRDefault="009F6E91" w:rsidP="00926C3A">
      <w:pPr>
        <w:pStyle w:val="CentredHeading"/>
      </w:pPr>
      <w:bookmarkStart w:id="310" w:name="_Toc194046515"/>
      <w:bookmarkStart w:id="311" w:name="_Toc198539673"/>
      <w:r w:rsidRPr="00D427D8">
        <w:lastRenderedPageBreak/>
        <w:t>SUBSCRIPTION AND SALE</w:t>
      </w:r>
      <w:bookmarkEnd w:id="310"/>
      <w:bookmarkEnd w:id="311"/>
    </w:p>
    <w:p w14:paraId="29C00578" w14:textId="77777777" w:rsidR="009F6E91" w:rsidRPr="00D427D8" w:rsidRDefault="009F6E91" w:rsidP="00EF7333">
      <w:pPr>
        <w:pStyle w:val="Body1"/>
        <w:rPr>
          <w:rStyle w:val="BoldText"/>
        </w:rPr>
      </w:pPr>
      <w:r w:rsidRPr="00D427D8">
        <w:rPr>
          <w:rStyle w:val="BoldText"/>
        </w:rPr>
        <w:t>U.S. Risk Retention Rules</w:t>
      </w:r>
    </w:p>
    <w:p w14:paraId="469EA84E" w14:textId="57BDB819" w:rsidR="009F6E91" w:rsidRPr="00D427D8" w:rsidRDefault="009F6E91" w:rsidP="009F6E91">
      <w:pPr>
        <w:pStyle w:val="Body1"/>
      </w:pPr>
      <w:r w:rsidRPr="00D427D8">
        <w:t xml:space="preserve">The issuance of the Notes is not designed to comply with the U.S. Risk Retention Rules other than the exemption under Section _.20 of the U.S. Risk Retention Rules, and no other steps have been taken by the Issuer, the Lead Manager, the Arranger and the Seller, or any of their affiliates or any other party to accomplish such compliance. Consequently, except with the prior consent of the Seller (a </w:t>
      </w:r>
      <w:r w:rsidR="00EF7333" w:rsidRPr="00D427D8">
        <w:t>"</w:t>
      </w:r>
      <w:r w:rsidRPr="00D427D8">
        <w:rPr>
          <w:rStyle w:val="BoldText"/>
        </w:rPr>
        <w:t>U.S. Risk Retention Waiver</w:t>
      </w:r>
      <w:r w:rsidR="00EF7333" w:rsidRPr="00D427D8">
        <w:t>"</w:t>
      </w:r>
      <w:r w:rsidRPr="00D427D8">
        <w:t xml:space="preserve">) and where such sale falls within the exemption provided by Section __.20 of the U.S. Risk Retention Rules, the Notes may not be sold to, or for the account or benefit of, any U.S. person as defined in the U.S. Risk Retention Rules (a </w:t>
      </w:r>
      <w:r w:rsidR="00EF7333" w:rsidRPr="00D427D8">
        <w:t>"</w:t>
      </w:r>
      <w:r w:rsidRPr="00D427D8">
        <w:rPr>
          <w:rStyle w:val="BoldText"/>
        </w:rPr>
        <w:t>Risk Retention U.S. Person</w:t>
      </w:r>
      <w:r w:rsidR="00EF7333" w:rsidRPr="00D427D8">
        <w:t>"</w:t>
      </w:r>
      <w:r w:rsidRPr="00D427D8">
        <w:t xml:space="preserve">). </w:t>
      </w:r>
      <w:r w:rsidR="00EF7333" w:rsidRPr="00D427D8">
        <w:t>"</w:t>
      </w:r>
      <w:r w:rsidRPr="00D427D8">
        <w:rPr>
          <w:rStyle w:val="BoldText"/>
        </w:rPr>
        <w:t>U.S. Risk Retention Rules</w:t>
      </w:r>
      <w:r w:rsidR="00EF7333" w:rsidRPr="00D427D8">
        <w:t>"</w:t>
      </w:r>
      <w:r w:rsidRPr="00D427D8">
        <w:t xml:space="preserve"> means Regulation RR (17 C.F.R Part 246) implementing the risk retention requirements of Section 15G of the U.S. Securities Exchange Act of 1934, as amended, adopted pursuant to the requirements of Section 941 of the Dodd-Frank Wall Street Reform and Consumer Protection Act.</w:t>
      </w:r>
    </w:p>
    <w:p w14:paraId="4FAB9EC3" w14:textId="4A929548" w:rsidR="009F6E91" w:rsidRPr="00D427D8" w:rsidRDefault="009F6E91" w:rsidP="009F6E91">
      <w:pPr>
        <w:pStyle w:val="Body1"/>
      </w:pPr>
      <w:r w:rsidRPr="00D427D8">
        <w:t xml:space="preserve">The Notes sold on the Closing Date may not be purchased by any person except, or for the account or benefit of, for persons that are not </w:t>
      </w:r>
      <w:r w:rsidR="00EF7333" w:rsidRPr="00D427D8">
        <w:t>"</w:t>
      </w:r>
      <w:r w:rsidRPr="00D427D8">
        <w:t>U.S. persons</w:t>
      </w:r>
      <w:r w:rsidR="00EF7333" w:rsidRPr="00D427D8">
        <w:t>"</w:t>
      </w:r>
      <w:r w:rsidRPr="00D427D8">
        <w:t xml:space="preserve"> as defined in the U.S. Risk Retention Rules (</w:t>
      </w:r>
      <w:r w:rsidR="00EF7333" w:rsidRPr="00D427D8">
        <w:t>"</w:t>
      </w:r>
      <w:r w:rsidRPr="00D427D8">
        <w:rPr>
          <w:rStyle w:val="BoldText"/>
        </w:rPr>
        <w:t>Risk Retention U.S. Persons</w:t>
      </w:r>
      <w:r w:rsidR="00EF7333" w:rsidRPr="00D427D8">
        <w:t>"</w:t>
      </w:r>
      <w:r w:rsidRPr="00D427D8">
        <w:t xml:space="preserve">). Prospective investors should note that the definition of </w:t>
      </w:r>
      <w:r w:rsidR="00EF7333" w:rsidRPr="00D427D8">
        <w:t>"</w:t>
      </w:r>
      <w:r w:rsidRPr="00D427D8">
        <w:t>U.S. person</w:t>
      </w:r>
      <w:r w:rsidR="00EF7333" w:rsidRPr="00D427D8">
        <w:t>"</w:t>
      </w:r>
      <w:r w:rsidRPr="00D427D8">
        <w:t xml:space="preserve"> in the U.S. Risk Retention Rules is similar, but not identical to, to the definition of </w:t>
      </w:r>
      <w:r w:rsidR="00EF7333" w:rsidRPr="00D427D8">
        <w:t>"</w:t>
      </w:r>
      <w:r w:rsidRPr="00D427D8">
        <w:t>U.S. person</w:t>
      </w:r>
      <w:r w:rsidR="00EF7333" w:rsidRPr="00D427D8">
        <w:t>"</w:t>
      </w:r>
      <w:r w:rsidRPr="00D427D8">
        <w:t xml:space="preserve"> in Regulation S, and persons who are not </w:t>
      </w:r>
      <w:r w:rsidR="00EF7333" w:rsidRPr="00D427D8">
        <w:t>"</w:t>
      </w:r>
      <w:r w:rsidRPr="00D427D8">
        <w:t>U.S. persons</w:t>
      </w:r>
      <w:r w:rsidR="00EF7333" w:rsidRPr="00D427D8">
        <w:t>"</w:t>
      </w:r>
      <w:r w:rsidRPr="00D427D8">
        <w:t xml:space="preserve"> under Regulation S may be </w:t>
      </w:r>
      <w:r w:rsidR="00EF7333" w:rsidRPr="00D427D8">
        <w:t>"</w:t>
      </w:r>
      <w:r w:rsidRPr="00D427D8">
        <w:t>U.S. persons</w:t>
      </w:r>
      <w:r w:rsidR="00EF7333" w:rsidRPr="00D427D8">
        <w:t>"</w:t>
      </w:r>
      <w:r w:rsidRPr="00D427D8">
        <w:t xml:space="preserve"> under the U.S. Risk Retention Rules.</w:t>
      </w:r>
    </w:p>
    <w:p w14:paraId="05F6844C" w14:textId="26F3389C" w:rsidR="009F6E91" w:rsidRPr="00D427D8" w:rsidRDefault="009F6E91" w:rsidP="009F6E91">
      <w:pPr>
        <w:pStyle w:val="Body1"/>
      </w:pPr>
      <w:r w:rsidRPr="00D427D8">
        <w:t>Each purchaser of Notes, including beneficial interests therein acquired in the initial distribution of the Notes, by its acquisition of a Note or a beneficial interest therein, will be deemed to represent to the Issuer, the Issuer, the Seller, the Arranger and the Lead Manager that it (1) either (i) is not a Risk Retention U.S. Person or (ii) it has obtained a U.S. Risk Retention Waiver from the Seller, (2) is acquiring such Note or a beneficial interest therein for its own account and not with a view to distribute such Note to an U.S. Person; and (3) is not acquiring such Note or a beneficial interest therein as part of a scheme to evade the requirements of the U.S. Risk Retention Rules.</w:t>
      </w:r>
    </w:p>
    <w:p w14:paraId="5D3E08D6" w14:textId="5BCF895E" w:rsidR="009F6E91" w:rsidRPr="00D427D8" w:rsidRDefault="009F6E91" w:rsidP="009F6E91">
      <w:pPr>
        <w:pStyle w:val="Body1"/>
      </w:pPr>
      <w:r w:rsidRPr="00D427D8">
        <w:t xml:space="preserve">The Issuer, Stellantis Bank, the Arranger and </w:t>
      </w:r>
      <w:r w:rsidR="00624B21">
        <w:t>the</w:t>
      </w:r>
      <w:r w:rsidRPr="00D427D8">
        <w:t xml:space="preserve"> Lead Manager will rely on these representations, without further investigation.</w:t>
      </w:r>
    </w:p>
    <w:p w14:paraId="2FE5E08C" w14:textId="77777777" w:rsidR="009F6E91" w:rsidRPr="00D427D8" w:rsidRDefault="009F6E91" w:rsidP="009F6E91">
      <w:pPr>
        <w:pStyle w:val="Body1"/>
      </w:pPr>
      <w:r w:rsidRPr="00D427D8">
        <w:t>The Notes may not be sold to, or for the account or benefit of, U.S. persons except (i) pursuant to an exemption from, or in a transaction not subject to the registration requirements of, the Securities Act or (ii) in accordance with an exemption from the U.S. Risk Retention Rules.</w:t>
      </w:r>
    </w:p>
    <w:p w14:paraId="20E4166E" w14:textId="77777777" w:rsidR="009F6E91" w:rsidRPr="00D427D8" w:rsidRDefault="009F6E91" w:rsidP="00EF7333">
      <w:pPr>
        <w:pStyle w:val="Body1"/>
        <w:rPr>
          <w:rStyle w:val="BoldText"/>
        </w:rPr>
      </w:pPr>
      <w:r w:rsidRPr="00D427D8">
        <w:rPr>
          <w:rStyle w:val="BoldText"/>
        </w:rPr>
        <w:t>Subscription of the Notes</w:t>
      </w:r>
    </w:p>
    <w:p w14:paraId="693D3CF2" w14:textId="77777777" w:rsidR="009F6E91" w:rsidRPr="00D427D8" w:rsidRDefault="009F6E91" w:rsidP="009F6E91">
      <w:pPr>
        <w:pStyle w:val="Body1"/>
      </w:pPr>
      <w:r w:rsidRPr="00D427D8">
        <w:t>Pursuant to the Notes Subscription Agreement dated on or about the Signing Date,</w:t>
      </w:r>
    </w:p>
    <w:p w14:paraId="62E8892D" w14:textId="7C27D611" w:rsidR="009F6E91" w:rsidRPr="00D427D8" w:rsidRDefault="009F6E91" w:rsidP="003A5952">
      <w:pPr>
        <w:pStyle w:val="Level3"/>
        <w:numPr>
          <w:ilvl w:val="2"/>
          <w:numId w:val="47"/>
        </w:numPr>
      </w:pPr>
      <w:r w:rsidRPr="00D427D8">
        <w:t>the Lead Manager</w:t>
      </w:r>
      <w:r w:rsidR="003A5952">
        <w:t xml:space="preserve"> </w:t>
      </w:r>
      <w:r w:rsidRPr="00D427D8">
        <w:t xml:space="preserve">agreed with the Issuer to subscribe and pay for </w:t>
      </w:r>
      <w:r w:rsidR="003A5952">
        <w:t xml:space="preserve">(i) </w:t>
      </w:r>
      <w:r w:rsidRPr="00D427D8">
        <w:t>the Class A Notes at the issuance price of 95 per cent. of the aggregate principal amount of the Class A Notes</w:t>
      </w:r>
      <w:r w:rsidR="003A5952">
        <w:t xml:space="preserve">, </w:t>
      </w:r>
      <w:r w:rsidRPr="00D427D8">
        <w:t>(i</w:t>
      </w:r>
      <w:r w:rsidR="003A5952">
        <w:t>i</w:t>
      </w:r>
      <w:r w:rsidRPr="00D427D8">
        <w:t>) the Class B Notes at the issuance price of 95 per cent. of the aggregate principal amount of the Class B Notes, (i</w:t>
      </w:r>
      <w:r w:rsidR="003A5952">
        <w:t>i</w:t>
      </w:r>
      <w:r w:rsidRPr="00D427D8">
        <w:t>i) the Class C Notes at the issuance price of 95 per cent. of the aggregate principal amount of the Class C Notes, (i</w:t>
      </w:r>
      <w:r w:rsidR="003A5952">
        <w:t>v</w:t>
      </w:r>
      <w:r w:rsidRPr="00D427D8">
        <w:t>) the Class D Notes at the issuance price of 95 per cent. of the aggregate principal amount of the Class D Notes (v) the Class E Notes at the issuance price of 95 per cent. of the aggregate principal amount of the Class E Notes, (v</w:t>
      </w:r>
      <w:r w:rsidR="003A5952">
        <w:t>i</w:t>
      </w:r>
      <w:r w:rsidRPr="00D427D8">
        <w:t>) the Class F Notes at the issuance price of 95 per cent. of the aggregate principal amount of the Class F Notes and (v</w:t>
      </w:r>
      <w:r w:rsidR="003A5952">
        <w:t>i</w:t>
      </w:r>
      <w:r w:rsidRPr="00D427D8">
        <w:t>i) the Class G Notes at the issuance price of 95 per cent. of the aggregate principal amount of the Class G Notes;</w:t>
      </w:r>
    </w:p>
    <w:p w14:paraId="0DE378C3" w14:textId="1CF8DE9B" w:rsidR="009F6E91" w:rsidRPr="00D427D8" w:rsidRDefault="009F6E91" w:rsidP="00141A76">
      <w:pPr>
        <w:pStyle w:val="Level3"/>
      </w:pPr>
      <w:r w:rsidRPr="00D427D8">
        <w:t>the Seller agreed with the Issuer to subscribe for (i) the Class A Notes at the issuance price of 5 per cent. of the aggregate principal amount of the Class A Notes, (ii) the Class B Notes at the issuance price of 5 per cent. of the aggregate principal amount of the Class B Notes, (iii) the Class C Notes at the issuance price of 5 per cent. of the aggregate principal amount of the Class C Notes, (iv) the Class D Notes at the issuance price of 5 per cent. of the aggregate principal amount of the Class D Notes (v) the Class E Notes at the issuance price of 5 per cent. of the aggregate principal amount of the Class E Notes, (vi) the Class F Notes at the issuance price of 5 per cent. of the aggregate principal amount of the Class F Notes, (vii) the Class G Notes at the issuance price of 100 per cent. of the aggregate principal amount of the Class G Notes,</w:t>
      </w:r>
    </w:p>
    <w:p w14:paraId="6A9C9C84" w14:textId="49F6FDC7" w:rsidR="009F6E91" w:rsidRPr="00D427D8" w:rsidRDefault="009F6E91" w:rsidP="009F6E91">
      <w:pPr>
        <w:pStyle w:val="Body1"/>
        <w:rPr>
          <w:szCs w:val="19"/>
        </w:rPr>
      </w:pPr>
      <w:r w:rsidRPr="00D427D8">
        <w:t>in each case, only up to its subscription amount as set out in schedule 2 (Lead Manager</w:t>
      </w:r>
      <w:r w:rsidR="00D12CC2" w:rsidRPr="00D427D8">
        <w:t>'</w:t>
      </w:r>
      <w:r w:rsidRPr="00D427D8">
        <w:t>s and Seller</w:t>
      </w:r>
      <w:r w:rsidR="00EF7333" w:rsidRPr="00D427D8">
        <w:t>'</w:t>
      </w:r>
      <w:r w:rsidRPr="00D427D8">
        <w:t>s subscription amounts) to the Notes Subscription Agreement in respect of each Class.</w:t>
      </w:r>
    </w:p>
    <w:p w14:paraId="152D5F54" w14:textId="0CBB9C38" w:rsidR="00B651DB" w:rsidRPr="00D427D8" w:rsidRDefault="009F6E91" w:rsidP="009F6E91">
      <w:pPr>
        <w:pStyle w:val="Body1"/>
      </w:pPr>
      <w:r w:rsidRPr="00D427D8">
        <w:lastRenderedPageBreak/>
        <w:t>The Notes Subscription Agreement is subject to a number of conditions and may in certain circumstances be terminated by the Arranger and/or the Lead Manager prior to payment to the Issuer for the Notes. Each of the Issuer and the Seller has agreed to indemnify the Lead Manager against certain liabilities in connection with the issuance of the Notes, e.g. claims, damages or liabilities arising out of or based upon untrue statement or alleged untrue statement of any material fact, the omission or alleged omission of material facts or any actual or alleged misrepresentation in, or actual or alleged breach of, any of the representations and warranties or any other breach of obligations of the Issuer or the Seller under the Notes Subscription Agreement.</w:t>
      </w:r>
    </w:p>
    <w:p w14:paraId="15D8C860" w14:textId="77777777" w:rsidR="00B651DB" w:rsidRPr="00D427D8" w:rsidRDefault="00B651DB">
      <w:r w:rsidRPr="00D427D8">
        <w:br w:type="page"/>
      </w:r>
    </w:p>
    <w:p w14:paraId="08AED829" w14:textId="77777777" w:rsidR="009F6E91" w:rsidRPr="00D427D8" w:rsidRDefault="009F6E91" w:rsidP="00926C3A">
      <w:pPr>
        <w:pStyle w:val="CentredHeading"/>
      </w:pPr>
      <w:bookmarkStart w:id="312" w:name="_Toc194046516"/>
      <w:bookmarkStart w:id="313" w:name="_Toc198539674"/>
      <w:r w:rsidRPr="00D427D8">
        <w:lastRenderedPageBreak/>
        <w:t>SELLING RESTRICTIONS UNDER THE NOTES SUBSCRIPTION AGREEMENT</w:t>
      </w:r>
      <w:bookmarkEnd w:id="312"/>
      <w:bookmarkEnd w:id="313"/>
    </w:p>
    <w:p w14:paraId="36A74AAD" w14:textId="1464C612" w:rsidR="009F6E91" w:rsidRPr="00D427D8" w:rsidRDefault="009F6E91" w:rsidP="009F6E91">
      <w:pPr>
        <w:pStyle w:val="Body1"/>
      </w:pPr>
      <w:r w:rsidRPr="00D427D8">
        <w:t xml:space="preserve">Pursuant to the Notes Subscription Agreement, the Issuer, the Seller and </w:t>
      </w:r>
      <w:r w:rsidR="00FF086C">
        <w:t>the</w:t>
      </w:r>
      <w:r w:rsidRPr="00D427D8">
        <w:t xml:space="preserve"> Lead Manager agreed to the following selling restrictions:</w:t>
      </w:r>
    </w:p>
    <w:p w14:paraId="4AE8A803" w14:textId="15A10460" w:rsidR="009F6E91" w:rsidRPr="00D427D8" w:rsidRDefault="009F6E91" w:rsidP="00C8283A">
      <w:pPr>
        <w:pStyle w:val="SchNumber1"/>
        <w:numPr>
          <w:ilvl w:val="2"/>
          <w:numId w:val="48"/>
        </w:numPr>
        <w:rPr>
          <w:rStyle w:val="Heading1Text"/>
        </w:rPr>
      </w:pPr>
      <w:r w:rsidRPr="00D427D8">
        <w:rPr>
          <w:rStyle w:val="Heading1Text"/>
        </w:rPr>
        <w:t>General</w:t>
      </w:r>
    </w:p>
    <w:p w14:paraId="5A825AC6" w14:textId="124DF71F" w:rsidR="009F6E91" w:rsidRPr="00D427D8" w:rsidRDefault="009F6E91" w:rsidP="00741485">
      <w:pPr>
        <w:pStyle w:val="SchHeading2"/>
      </w:pPr>
      <w:r w:rsidRPr="00D427D8">
        <w:t>No action to permit public offering</w:t>
      </w:r>
    </w:p>
    <w:p w14:paraId="55E1360B" w14:textId="790F5D14" w:rsidR="009F6E91" w:rsidRPr="00D427D8" w:rsidRDefault="00B651DB" w:rsidP="00B651DB">
      <w:pPr>
        <w:pStyle w:val="Body2"/>
      </w:pPr>
      <w:r w:rsidRPr="00D427D8">
        <w:t xml:space="preserve">Pursuant to the Notes Subscription Agreement </w:t>
      </w:r>
      <w:r w:rsidR="00FF086C">
        <w:t>the</w:t>
      </w:r>
      <w:r w:rsidRPr="00D427D8">
        <w:t xml:space="preserve"> Lead Manager has acknowledged that, save for having obtained the approval of the Prospectus by the CSSF in accordance with applicable laws and regulations, no action has been or will be taken in any jurisdiction by the Issuer that would permit a public offering of the Notes, or possession or distribution of any offering material in relation to the Notes, in any country or jurisdiction where action for that purpose is required.</w:t>
      </w:r>
    </w:p>
    <w:p w14:paraId="3BE33537" w14:textId="162884DD" w:rsidR="009F6E91" w:rsidRPr="00D427D8" w:rsidRDefault="009F6E91" w:rsidP="00741485">
      <w:pPr>
        <w:pStyle w:val="SchHeading2"/>
      </w:pPr>
      <w:r w:rsidRPr="00D427D8">
        <w:t>Lead Manager</w:t>
      </w:r>
      <w:r w:rsidR="00FF086C" w:rsidRPr="00D427D8">
        <w:t>'</w:t>
      </w:r>
      <w:r w:rsidRPr="00D427D8">
        <w:t>s compliance with applicable laws</w:t>
      </w:r>
    </w:p>
    <w:p w14:paraId="167D4411" w14:textId="2B7DC816" w:rsidR="009F6E91" w:rsidRPr="00D427D8" w:rsidRDefault="00042FD6" w:rsidP="00B651DB">
      <w:pPr>
        <w:pStyle w:val="Body2"/>
      </w:pPr>
      <w:r>
        <w:t>The</w:t>
      </w:r>
      <w:r w:rsidR="00B651DB" w:rsidRPr="00D427D8">
        <w:t xml:space="preserve"> Lead Manager undertakes to the Issuer and the Seller that it will comply with all applicable laws and regulations in each country or jurisdiction in which it purchases, offers, sells or delivers the Notes or has in its possession, distributes or publishes such offering material, in all cases at its own expense.</w:t>
      </w:r>
    </w:p>
    <w:p w14:paraId="5EA905C8" w14:textId="380CAAC8" w:rsidR="009F6E91" w:rsidRPr="00D427D8" w:rsidRDefault="00B651DB" w:rsidP="00741485">
      <w:pPr>
        <w:pStyle w:val="SchHeading1"/>
      </w:pPr>
      <w:r w:rsidRPr="00D427D8">
        <w:t>United States</w:t>
      </w:r>
    </w:p>
    <w:p w14:paraId="154FC00C" w14:textId="3E53E616" w:rsidR="009F6E91" w:rsidRPr="00D427D8" w:rsidRDefault="009F6E91" w:rsidP="00741485">
      <w:pPr>
        <w:pStyle w:val="SchHeading2"/>
      </w:pPr>
      <w:r w:rsidRPr="00D427D8">
        <w:t>No registration under Securities Act</w:t>
      </w:r>
    </w:p>
    <w:p w14:paraId="2F873F89" w14:textId="3530A8EF" w:rsidR="009F6E91" w:rsidRPr="00D427D8" w:rsidRDefault="009F6E91" w:rsidP="009F6E91">
      <w:pPr>
        <w:pStyle w:val="Body2"/>
      </w:pPr>
      <w:r w:rsidRPr="00D427D8">
        <w:t xml:space="preserve">The Notes have not been and will not be registered under the U.S. Securities Act of 1933, as amended (the </w:t>
      </w:r>
      <w:r w:rsidR="00EF7333" w:rsidRPr="00D427D8">
        <w:t>"</w:t>
      </w:r>
      <w:r w:rsidRPr="00D427D8">
        <w:rPr>
          <w:b/>
        </w:rPr>
        <w:t>Securities Act</w:t>
      </w:r>
      <w:r w:rsidR="00EF7333" w:rsidRPr="00D427D8">
        <w:t>"</w:t>
      </w:r>
      <w:r w:rsidRPr="00D427D8">
        <w:t>) or any U.S. state securities law and may not be offered, or sold or delivered within the United States or to, or for the account or benefit of, U.S. Persons except pursuant to an exemption from, or in a transaction not subject to, the registration requirements of the Securities Act and applicable state or local securities laws and under circumstances designed to preclude the Issuer from having to register under the Investment Company Act.</w:t>
      </w:r>
    </w:p>
    <w:p w14:paraId="729D46EE" w14:textId="77777777" w:rsidR="009F6E91" w:rsidRPr="00D427D8" w:rsidRDefault="009F6E91" w:rsidP="009F6E91">
      <w:pPr>
        <w:pStyle w:val="Body2"/>
      </w:pPr>
      <w:r w:rsidRPr="00D427D8">
        <w:t>The Notes may not be offered, or sold within the United States or to, or for the account or benefit of, U.S. Persons except pursuant to an exemption from, or in a transaction not subject to the registration requirements of, the Securities Act.</w:t>
      </w:r>
    </w:p>
    <w:p w14:paraId="16B70256" w14:textId="33AEB5C8" w:rsidR="009F6E91" w:rsidRPr="00D427D8" w:rsidRDefault="009F6E91" w:rsidP="00741485">
      <w:pPr>
        <w:pStyle w:val="SchHeading2"/>
      </w:pPr>
      <w:r w:rsidRPr="00D427D8">
        <w:t>Compliance by Issuer with United States securities laws</w:t>
      </w:r>
    </w:p>
    <w:p w14:paraId="05E16A0C" w14:textId="0C999C98" w:rsidR="009F6E91" w:rsidRPr="00D427D8" w:rsidRDefault="009F6E91" w:rsidP="009F6E91">
      <w:pPr>
        <w:pStyle w:val="Body2"/>
      </w:pPr>
      <w:r w:rsidRPr="00D427D8">
        <w:t>Pursuant to the Notes Subscription Agreement, the Issuer, has represented, warranted and undertaken to the Lead Manager that:</w:t>
      </w:r>
    </w:p>
    <w:p w14:paraId="33AE08CE" w14:textId="1280B102" w:rsidR="009F6E91" w:rsidRPr="00D427D8" w:rsidRDefault="009F6E91" w:rsidP="00741485">
      <w:pPr>
        <w:pStyle w:val="SchNumber3"/>
      </w:pPr>
      <w:r w:rsidRPr="00D427D8">
        <w:t>the Issuer has not engaged and will not engage in any directed selling efforts within the meaning of Rule 902 under the Securities Act with respect to the Notes;</w:t>
      </w:r>
    </w:p>
    <w:p w14:paraId="36949463" w14:textId="57A86B57" w:rsidR="009F6E91" w:rsidRPr="00D427D8" w:rsidRDefault="009F6E91" w:rsidP="00741485">
      <w:pPr>
        <w:pStyle w:val="SchNumber3"/>
      </w:pPr>
      <w:r w:rsidRPr="00D427D8">
        <w:t xml:space="preserve">the Issuer is a </w:t>
      </w:r>
      <w:r w:rsidR="00EF7333" w:rsidRPr="00D427D8">
        <w:t>"</w:t>
      </w:r>
      <w:r w:rsidRPr="00D427D8">
        <w:t>foreign issuer</w:t>
      </w:r>
      <w:r w:rsidR="00EF7333" w:rsidRPr="00D427D8">
        <w:t>"</w:t>
      </w:r>
      <w:r w:rsidRPr="00D427D8">
        <w:t xml:space="preserve"> (as defined in Regulation S) and there is no </w:t>
      </w:r>
      <w:r w:rsidR="00EF7333" w:rsidRPr="00D427D8">
        <w:t>"</w:t>
      </w:r>
      <w:r w:rsidRPr="00D427D8">
        <w:t>substantial U.S. market interest</w:t>
      </w:r>
      <w:r w:rsidR="00EF7333" w:rsidRPr="00D427D8">
        <w:t>"</w:t>
      </w:r>
      <w:r w:rsidRPr="00D427D8">
        <w:t xml:space="preserve"> (as defined in Regulation S) in the Notes or other debt securities of the Issuer, and the Issuer has complied with and will comply with the offering restrictions requirement of Regulation S under the Securities Act;</w:t>
      </w:r>
    </w:p>
    <w:p w14:paraId="7D0D73BA" w14:textId="79204C0C" w:rsidR="009F6E91" w:rsidRPr="00D427D8" w:rsidRDefault="009F6E91" w:rsidP="00741485">
      <w:pPr>
        <w:pStyle w:val="SchNumber3"/>
      </w:pPr>
      <w:r w:rsidRPr="00D427D8">
        <w:t>the Issuer has not solicited and will not solicit any offer to buy or sell the Notes by any form of general solicitation or general advertising, including but not limited to the methods described in Rule 502(c) under the Securities Act in connection with the offer and sale of the Notes in the United States; and</w:t>
      </w:r>
    </w:p>
    <w:p w14:paraId="081D97A4" w14:textId="51297654" w:rsidR="009F6E91" w:rsidRPr="00D427D8" w:rsidRDefault="009F6E91" w:rsidP="00741485">
      <w:pPr>
        <w:pStyle w:val="SchNumber3"/>
      </w:pPr>
      <w:r w:rsidRPr="00D427D8">
        <w:t xml:space="preserve">the Issuer is not, and after giving effect to the offering and sale of the Notes, will not be a company registered or required to be registered as an </w:t>
      </w:r>
      <w:r w:rsidR="00EF7333" w:rsidRPr="00D427D8">
        <w:t>"</w:t>
      </w:r>
      <w:r w:rsidRPr="00D427D8">
        <w:t>investment company</w:t>
      </w:r>
      <w:r w:rsidR="00EF7333" w:rsidRPr="00D427D8">
        <w:t>"</w:t>
      </w:r>
      <w:r w:rsidRPr="00D427D8">
        <w:t>, as such term is defined in the United States Investment Company Act of 1940, as amended (the </w:t>
      </w:r>
      <w:r w:rsidR="00EF7333" w:rsidRPr="00D427D8">
        <w:t>"</w:t>
      </w:r>
      <w:r w:rsidRPr="00D427D8">
        <w:rPr>
          <w:b/>
        </w:rPr>
        <w:t>Investment Company Act</w:t>
      </w:r>
      <w:r w:rsidR="00EF7333" w:rsidRPr="00D427D8">
        <w:t>"</w:t>
      </w:r>
      <w:r w:rsidRPr="00D427D8">
        <w:t xml:space="preserve">). The Issuer is not registered or required to be registered as an </w:t>
      </w:r>
      <w:r w:rsidR="00EF7333" w:rsidRPr="00D427D8">
        <w:t>"</w:t>
      </w:r>
      <w:r w:rsidRPr="00D427D8">
        <w:t>investment company</w:t>
      </w:r>
      <w:r w:rsidR="00EF7333" w:rsidRPr="00D427D8">
        <w:t>"</w:t>
      </w:r>
      <w:r w:rsidRPr="00D427D8">
        <w:t xml:space="preserve"> under the Investment Company Act and, in making this determination, is relying on the exemption in section 3(c)(5) of the Investment company Act, although other exclusions or exemptions may also be available to the Issuer. The Issuer is structured not to be a </w:t>
      </w:r>
      <w:r w:rsidR="00EF7333" w:rsidRPr="00D427D8">
        <w:t>"</w:t>
      </w:r>
      <w:r w:rsidRPr="00D427D8">
        <w:t>covered fund</w:t>
      </w:r>
      <w:r w:rsidR="00EF7333" w:rsidRPr="00D427D8">
        <w:t>"</w:t>
      </w:r>
      <w:r w:rsidRPr="00D427D8">
        <w:t xml:space="preserve"> under the regulations adopted to implement section </w:t>
      </w:r>
      <w:r w:rsidRPr="00D427D8">
        <w:lastRenderedPageBreak/>
        <w:t xml:space="preserve">619 of the Dodd-Frank Wall Street Reform and Consumer Protection Act, or the </w:t>
      </w:r>
      <w:r w:rsidR="00EF7333" w:rsidRPr="00D427D8">
        <w:t>"</w:t>
      </w:r>
      <w:r w:rsidRPr="00D427D8">
        <w:t>Dodd-Frank Act,</w:t>
      </w:r>
      <w:r w:rsidR="00EF7333" w:rsidRPr="00D427D8">
        <w:t>"</w:t>
      </w:r>
      <w:r w:rsidRPr="00D427D8">
        <w:t xml:space="preserve"> commonly known as the Volcker Rule.</w:t>
      </w:r>
    </w:p>
    <w:p w14:paraId="724F25CC" w14:textId="6BEE4C55" w:rsidR="009F6E91" w:rsidRPr="00D427D8" w:rsidRDefault="009F6E91" w:rsidP="00741485">
      <w:pPr>
        <w:pStyle w:val="SchHeading2"/>
      </w:pPr>
      <w:r w:rsidRPr="00D427D8">
        <w:t>Lead Manager</w:t>
      </w:r>
      <w:r w:rsidR="00042FD6" w:rsidRPr="00D427D8">
        <w:t>'</w:t>
      </w:r>
      <w:r w:rsidRPr="00D427D8">
        <w:t>s compliance with United States securities laws</w:t>
      </w:r>
    </w:p>
    <w:p w14:paraId="6169FE4A" w14:textId="2FF358C8" w:rsidR="009F6E91" w:rsidRPr="00D427D8" w:rsidRDefault="00741485" w:rsidP="00741485">
      <w:pPr>
        <w:pStyle w:val="Body2"/>
      </w:pPr>
      <w:r w:rsidRPr="00D427D8">
        <w:t xml:space="preserve">Pursuant to the Notes Subscription Agreement, </w:t>
      </w:r>
      <w:r w:rsidR="00042FD6">
        <w:t>the</w:t>
      </w:r>
      <w:r w:rsidRPr="00D427D8">
        <w:t xml:space="preserve"> Lead Manager has represented, warranted and undertaken to the Issuer that:</w:t>
      </w:r>
    </w:p>
    <w:p w14:paraId="3A4D4E66" w14:textId="456DCEA6" w:rsidR="009F6E91" w:rsidRPr="00D427D8" w:rsidRDefault="009F6E91" w:rsidP="00741485">
      <w:pPr>
        <w:pStyle w:val="SchNumber3"/>
      </w:pPr>
      <w:r w:rsidRPr="00D427D8">
        <w:t>it has not offered or sold or delivered the Notes, and will not offer or sell the Notes (i) as part of its distribution at any time or (ii) otherwise until forty (40) calendar days after the later of (a) the date the Notes are first offered to persons other than distributors in reliance on Regulation S and (b) the Closing Date, except, in either case, only in accordance with Rule 903 of Regulation S under the Securities Act;</w:t>
      </w:r>
    </w:p>
    <w:p w14:paraId="42C58003" w14:textId="209D995D" w:rsidR="009F6E91" w:rsidRPr="00D427D8" w:rsidRDefault="009F6E91" w:rsidP="00741485">
      <w:pPr>
        <w:pStyle w:val="SchNumber3"/>
      </w:pPr>
      <w:r w:rsidRPr="00D427D8">
        <w:t>at or prior to confirmation of sale of the Notes, it will have sent to each distributor, dealer or person receiving a selling concession, fee or other remuneration that purchases Notes from them during the distribution compliance period (as defined in Regulation S) a confirmation or notice to substantially the following effect:</w:t>
      </w:r>
    </w:p>
    <w:p w14:paraId="2DCCCE94" w14:textId="43395391" w:rsidR="009F6E91" w:rsidRPr="00D427D8" w:rsidRDefault="00EF7333" w:rsidP="009F6E91">
      <w:pPr>
        <w:pStyle w:val="Body3"/>
      </w:pPr>
      <w:r w:rsidRPr="00D427D8">
        <w:t>"</w:t>
      </w:r>
      <w:r w:rsidR="009F6E91" w:rsidRPr="00D427D8">
        <w:t xml:space="preserve">The Securities covered hereby have not been and will not be registered under the United States Securities Act of 1933, as amended (the </w:t>
      </w:r>
      <w:r w:rsidRPr="00D427D8">
        <w:t>"</w:t>
      </w:r>
      <w:r w:rsidR="009F6E91" w:rsidRPr="00D427D8">
        <w:t>Securities Act</w:t>
      </w:r>
      <w:r w:rsidRPr="00D427D8">
        <w:t>"</w:t>
      </w:r>
      <w:r w:rsidR="009F6E91" w:rsidRPr="00D427D8">
        <w:t>), and may not be offered or sold within the United States or to, or for the account or benefit of, U.S. Persons (i) as part of their distribution at any time or (ii) otherwise until forty (40) calendar days after the later of (a) the date the Notes are first offered to persons other than distributors in reliance on Regulation S and (b) the Closing Date, except in either case, in accordance with Regulation S under the Securities Act. Terms used above have the meaning given to them in Regulation S under the Securities Act</w:t>
      </w:r>
      <w:r w:rsidRPr="00D427D8">
        <w:t>"</w:t>
      </w:r>
      <w:r w:rsidR="009F6E91" w:rsidRPr="00D427D8">
        <w:t>.</w:t>
      </w:r>
    </w:p>
    <w:p w14:paraId="251DD54A" w14:textId="4CB3CC84" w:rsidR="009F6E91" w:rsidRPr="00D427D8" w:rsidRDefault="009F6E91" w:rsidP="00741485">
      <w:pPr>
        <w:pStyle w:val="SchNumber3"/>
      </w:pPr>
      <w:r w:rsidRPr="00D427D8">
        <w:t xml:space="preserve">neither it, its respective affiliates (as defined in Rule 501(b) of Regulation D under the Securities Act) nor any Persons acting on their behalf have engaged or will engage in any </w:t>
      </w:r>
      <w:r w:rsidR="00EF7333" w:rsidRPr="00D427D8">
        <w:t>"</w:t>
      </w:r>
      <w:r w:rsidRPr="00D427D8">
        <w:t>directed selling efforts</w:t>
      </w:r>
      <w:r w:rsidR="00EF7333" w:rsidRPr="00D427D8">
        <w:t>"</w:t>
      </w:r>
      <w:r w:rsidRPr="00D427D8">
        <w:t xml:space="preserve"> with respect to the Notes, and they have complied and will comply with the offering restrictions requirements of Regulation S under the Securities Act.</w:t>
      </w:r>
    </w:p>
    <w:p w14:paraId="048C4357" w14:textId="0565EB7B" w:rsidR="009F6E91" w:rsidRPr="00D427D8" w:rsidRDefault="009F6E91" w:rsidP="00741485">
      <w:pPr>
        <w:pStyle w:val="SchNumber3"/>
      </w:pPr>
      <w:r w:rsidRPr="00D427D8">
        <w:t>neither it, its affiliates nor any person acting on its or their behalf, has solicited or will solicit any offer to buy or sell the Notes by any form of general solicitation or general advertising, including but not limited to the methods described in Rule 502(c) under the Securities Act in connection with the offer and sale of the Notes in the United States; and</w:t>
      </w:r>
    </w:p>
    <w:p w14:paraId="140010B6" w14:textId="32077D44" w:rsidR="009F6E91" w:rsidRPr="00D427D8" w:rsidRDefault="009F6E91" w:rsidP="00741485">
      <w:pPr>
        <w:pStyle w:val="SchNumber3"/>
      </w:pPr>
      <w:r w:rsidRPr="00D427D8">
        <w:t>it has not entered and will not enter into any contractual arrangement with respect to the distribution or delivery of the Notes, except with its affiliates or with the prior written consent of the Issuer.</w:t>
      </w:r>
    </w:p>
    <w:p w14:paraId="618DE11E" w14:textId="4B3E37AB" w:rsidR="009F6E91" w:rsidRPr="00D427D8" w:rsidRDefault="009F6E91" w:rsidP="00741485">
      <w:pPr>
        <w:pStyle w:val="SchHeading2"/>
      </w:pPr>
      <w:r w:rsidRPr="00D427D8">
        <w:t>Lead Manager</w:t>
      </w:r>
      <w:r w:rsidR="00B42715" w:rsidRPr="00D427D8">
        <w:t>'</w:t>
      </w:r>
      <w:r w:rsidRPr="00D427D8">
        <w:t>s compliance with United States Treasury regulations</w:t>
      </w:r>
    </w:p>
    <w:p w14:paraId="1B023549" w14:textId="2CEA8A17" w:rsidR="009F6E91" w:rsidRPr="00D427D8" w:rsidRDefault="00741485" w:rsidP="00741485">
      <w:pPr>
        <w:pStyle w:val="Body2"/>
      </w:pPr>
      <w:r w:rsidRPr="00D427D8">
        <w:t xml:space="preserve">Pursuant to the Notes Subscription Agreement, </w:t>
      </w:r>
      <w:r w:rsidR="00B42715">
        <w:t>the</w:t>
      </w:r>
      <w:r w:rsidRPr="00D427D8">
        <w:t xml:space="preserve"> Lead Manager has represented, warranted and undertook to the Issuer that:</w:t>
      </w:r>
    </w:p>
    <w:p w14:paraId="3EC2EEE3" w14:textId="645D5A4A" w:rsidR="009F6E91" w:rsidRPr="00D427D8" w:rsidRDefault="009F6E91" w:rsidP="00741485">
      <w:pPr>
        <w:pStyle w:val="SchNumber3"/>
      </w:pPr>
      <w:r w:rsidRPr="00D427D8">
        <w:t>Except to the extent permitted under United States Treasury Regulation section 1.163-5(c)(2)(i)(D), as amended, or substantially identical successor provisions (the D Rules):</w:t>
      </w:r>
    </w:p>
    <w:p w14:paraId="57534B3D" w14:textId="4ACBDDD0" w:rsidR="009F6E91" w:rsidRPr="00D427D8" w:rsidRDefault="009F6E91" w:rsidP="00741485">
      <w:pPr>
        <w:pStyle w:val="SchNumber4"/>
      </w:pPr>
      <w:r w:rsidRPr="00D427D8">
        <w:t>it has not offered or sold, and until the expiration of a restricted period beginning on the earlier of the Closing Date or the commencement of the offering and ending forty days after the Closing Date will not offer or sell, any Notes to a person who is within the United States or its possessions or to a United States person; and</w:t>
      </w:r>
    </w:p>
    <w:p w14:paraId="317A35A8" w14:textId="0A0958D2" w:rsidR="009F6E91" w:rsidRPr="00D427D8" w:rsidRDefault="009F6E91" w:rsidP="00741485">
      <w:pPr>
        <w:pStyle w:val="SchNumber4"/>
      </w:pPr>
      <w:r w:rsidRPr="00D427D8">
        <w:t>it has not delivered and will not deliver in definitive form within the United States or its possessions any Notes sold during the restricted period;</w:t>
      </w:r>
    </w:p>
    <w:p w14:paraId="38694759" w14:textId="6C5DB8C0" w:rsidR="009F6E91" w:rsidRPr="00D427D8" w:rsidRDefault="009F6E91" w:rsidP="00741485">
      <w:pPr>
        <w:pStyle w:val="SchNumber3"/>
      </w:pPr>
      <w:r w:rsidRPr="00D427D8">
        <w:t xml:space="preserve">it has, and throughout the restricted period will have, in effect procedures reasonably designed to ensure that its employees or agents who are directly engaged in selling Notes are aware that the Notes may not be offered or sold during the restricted period to a person </w:t>
      </w:r>
      <w:r w:rsidRPr="00D427D8">
        <w:lastRenderedPageBreak/>
        <w:t>who is within the United States or its possessions or to a United States person, except as permitted by the D Rules;</w:t>
      </w:r>
    </w:p>
    <w:p w14:paraId="39E2E897" w14:textId="62857EDB" w:rsidR="009F6E91" w:rsidRPr="00D427D8" w:rsidRDefault="009F6E91" w:rsidP="00741485">
      <w:pPr>
        <w:pStyle w:val="SchNumber3"/>
      </w:pPr>
      <w:r w:rsidRPr="00D427D8">
        <w:t>if it is a United States person, it is acquiring the Notes for the purposes of resale in connection with their original issuance and, if it retains initial Notes for its own account, it will only do so in accordance with the requirements of United States Treasury Regulation section 1.163-5(c)(2)(i)(D)(6);</w:t>
      </w:r>
    </w:p>
    <w:p w14:paraId="5101B8BA" w14:textId="72F40D95" w:rsidR="009F6E91" w:rsidRPr="00D427D8" w:rsidRDefault="009F6E91" w:rsidP="00741485">
      <w:pPr>
        <w:pStyle w:val="SchNumber3"/>
      </w:pPr>
      <w:r w:rsidRPr="00D427D8">
        <w:t xml:space="preserve">with respect to each affiliate of </w:t>
      </w:r>
      <w:r w:rsidR="00B42715">
        <w:t>the</w:t>
      </w:r>
      <w:r w:rsidRPr="00D427D8">
        <w:t xml:space="preserve"> Lead Manager that acquires any Notes from </w:t>
      </w:r>
      <w:r w:rsidR="00B42715">
        <w:t>the</w:t>
      </w:r>
      <w:r w:rsidRPr="00D427D8">
        <w:t xml:space="preserve"> Lead Manager for the purpose of offering or selling such Notes during the restricted period, </w:t>
      </w:r>
      <w:r w:rsidR="00B42715">
        <w:t>the</w:t>
      </w:r>
      <w:r w:rsidRPr="00D427D8">
        <w:t xml:space="preserve"> Lead Manager repeats and confirms for the benefit of the Issuer the representations, warranties and undertakings contained in Paragraphs (a), (b) and (c) above on such affiliate</w:t>
      </w:r>
      <w:r w:rsidR="00EF7333" w:rsidRPr="00D427D8">
        <w:t>'</w:t>
      </w:r>
      <w:r w:rsidRPr="00D427D8">
        <w:t>s behalf; and</w:t>
      </w:r>
    </w:p>
    <w:p w14:paraId="4A18A989" w14:textId="17BA0398" w:rsidR="009F6E91" w:rsidRPr="00D427D8" w:rsidRDefault="00277AE6" w:rsidP="00741485">
      <w:pPr>
        <w:pStyle w:val="SchNumber3"/>
      </w:pPr>
      <w:r>
        <w:t>the</w:t>
      </w:r>
      <w:r w:rsidR="009F6E91" w:rsidRPr="00D427D8">
        <w:t xml:space="preserve"> Lead Manager represents and agrees that it has not entered and will not enter into any contractual arrangement with a distributor (as that term is defined for purposes of the D Rules) with respect to the distribution of Notes, except with its affiliates or with the prior written consent of the Issuer.</w:t>
      </w:r>
    </w:p>
    <w:p w14:paraId="2F2CD12D" w14:textId="5F644C08" w:rsidR="009F6E91" w:rsidRPr="00D427D8" w:rsidRDefault="009F6E91" w:rsidP="00741485">
      <w:pPr>
        <w:pStyle w:val="SchHeading2"/>
      </w:pPr>
      <w:r w:rsidRPr="00D427D8">
        <w:t>Interpretation</w:t>
      </w:r>
    </w:p>
    <w:p w14:paraId="65616E1B" w14:textId="72228115" w:rsidR="009F6E91" w:rsidRPr="00D427D8" w:rsidRDefault="00741485" w:rsidP="00741485">
      <w:pPr>
        <w:pStyle w:val="Body2"/>
      </w:pPr>
      <w:r w:rsidRPr="00D427D8">
        <w:t>Terms used in Paragraph 2.1, 2.2 and 2.3 above have the meanings given to them by Regulation S under the Securities Act. Terms used in Paragraph 2.4 above have the meanings given to them by the United States Internal Revenue Code of 1986, as amended, and regulations thereunder, including the D Rules.</w:t>
      </w:r>
    </w:p>
    <w:p w14:paraId="65C9FBF1" w14:textId="4FDA98C6" w:rsidR="009F6E91" w:rsidRPr="00D427D8" w:rsidRDefault="009F6E91" w:rsidP="00741485">
      <w:pPr>
        <w:pStyle w:val="SchHeading1"/>
      </w:pPr>
      <w:r w:rsidRPr="00D427D8">
        <w:t>Prohibition of Sales to EEA Retail Investors</w:t>
      </w:r>
    </w:p>
    <w:p w14:paraId="10D3293E" w14:textId="56289870" w:rsidR="009F6E91" w:rsidRPr="00D427D8" w:rsidRDefault="00741485" w:rsidP="00741485">
      <w:pPr>
        <w:pStyle w:val="Body2"/>
      </w:pPr>
      <w:r w:rsidRPr="00D427D8">
        <w:t xml:space="preserve">Pursuant to the Notes Subscription Agreement, </w:t>
      </w:r>
      <w:r w:rsidR="00277AE6">
        <w:t>the</w:t>
      </w:r>
      <w:r w:rsidRPr="00D427D8">
        <w:t xml:space="preserve"> Lead Manager has represented and agreed that:</w:t>
      </w:r>
    </w:p>
    <w:p w14:paraId="0FE1D717" w14:textId="6D95ED37" w:rsidR="009F6E91" w:rsidRPr="00D427D8" w:rsidRDefault="009F6E91" w:rsidP="00741485">
      <w:pPr>
        <w:pStyle w:val="SchNumber3"/>
      </w:pPr>
      <w:r w:rsidRPr="00D427D8">
        <w:t>the Notes have not been offered or sold and will not be offered or sold, directly or indirectly, to retail investors in the European Economic Area and the Prospectus or any other offering material relating to the Notes has not been distributed or caused to be distributed and will not be distributed or caused to be distributed to retail investors in the European Economic Area .</w:t>
      </w:r>
    </w:p>
    <w:p w14:paraId="66053D3C" w14:textId="2BBA4CC5" w:rsidR="009F6E91" w:rsidRPr="00D427D8" w:rsidRDefault="009F6E91" w:rsidP="00741485">
      <w:pPr>
        <w:pStyle w:val="SchNumber3"/>
      </w:pPr>
      <w:r w:rsidRPr="00D427D8">
        <w:t>For the purposes of this provision:</w:t>
      </w:r>
    </w:p>
    <w:p w14:paraId="720B0341" w14:textId="07915665" w:rsidR="009F6E91" w:rsidRPr="00D427D8" w:rsidRDefault="009F6E91" w:rsidP="00741485">
      <w:pPr>
        <w:pStyle w:val="SchNumber4"/>
      </w:pPr>
      <w:r w:rsidRPr="00D427D8">
        <w:t xml:space="preserve">the expression </w:t>
      </w:r>
      <w:r w:rsidR="00EF7333" w:rsidRPr="00D427D8">
        <w:t>"</w:t>
      </w:r>
      <w:r w:rsidRPr="00D427D8">
        <w:t>retail investor</w:t>
      </w:r>
      <w:r w:rsidR="00EF7333" w:rsidRPr="00D427D8">
        <w:t>"</w:t>
      </w:r>
      <w:r w:rsidRPr="00D427D8">
        <w:t xml:space="preserve"> means a person who is one (or more) of the following:</w:t>
      </w:r>
    </w:p>
    <w:p w14:paraId="2B88DA5D" w14:textId="401385A2" w:rsidR="009F6E91" w:rsidRPr="00D427D8" w:rsidRDefault="009F6E91" w:rsidP="00741485">
      <w:pPr>
        <w:pStyle w:val="SchNumber5"/>
      </w:pPr>
      <w:r w:rsidRPr="00D427D8">
        <w:t xml:space="preserve">a retail client as defined in point (11) of Article 4(1) of Directive 2014/65/EU (as amended, </w:t>
      </w:r>
      <w:r w:rsidR="00EF7333" w:rsidRPr="00D427D8">
        <w:t>"</w:t>
      </w:r>
      <w:r w:rsidRPr="00D427D8">
        <w:rPr>
          <w:rStyle w:val="BoldText"/>
        </w:rPr>
        <w:t>MiFID II</w:t>
      </w:r>
      <w:r w:rsidR="00EF7333" w:rsidRPr="00D427D8">
        <w:t>"</w:t>
      </w:r>
      <w:r w:rsidRPr="00D427D8">
        <w:t>); or</w:t>
      </w:r>
    </w:p>
    <w:p w14:paraId="284C141E" w14:textId="01E90B94" w:rsidR="000E5B7E" w:rsidRPr="00D427D8" w:rsidRDefault="009F6E91" w:rsidP="00741485">
      <w:pPr>
        <w:pStyle w:val="SchNumber5"/>
      </w:pPr>
      <w:r w:rsidRPr="00D427D8">
        <w:t xml:space="preserve">a </w:t>
      </w:r>
      <w:r w:rsidR="00F93686" w:rsidRPr="00D427D8">
        <w:t>customer within the meaning of Directive 2016/97/EU (the "</w:t>
      </w:r>
      <w:r w:rsidR="00F93686" w:rsidRPr="00D427D8">
        <w:rPr>
          <w:b/>
          <w:bCs/>
        </w:rPr>
        <w:t>Insurance Distribution Directive</w:t>
      </w:r>
      <w:r w:rsidR="00F93686" w:rsidRPr="00D427D8">
        <w:t>"), where that customer would not qualify as a professional client as defined in point (10) of Article 4(1) of MiFID II</w:t>
      </w:r>
      <w:r w:rsidR="00BE2CBE" w:rsidRPr="00D427D8">
        <w:t xml:space="preserve">; </w:t>
      </w:r>
      <w:r w:rsidR="000E5B7E" w:rsidRPr="00D427D8">
        <w:t xml:space="preserve">or </w:t>
      </w:r>
    </w:p>
    <w:p w14:paraId="46AE6DC0" w14:textId="157DB36C" w:rsidR="009F6E91" w:rsidRPr="00D427D8" w:rsidRDefault="00F93686" w:rsidP="00741485">
      <w:pPr>
        <w:pStyle w:val="SchNumber5"/>
      </w:pPr>
      <w:r w:rsidRPr="00D427D8">
        <w:t>not a qualified investor as defined in Regulation (EU) 2017/1129 (the "</w:t>
      </w:r>
      <w:r w:rsidRPr="00D427D8">
        <w:rPr>
          <w:b/>
          <w:bCs/>
        </w:rPr>
        <w:t>Prospectus Regulation</w:t>
      </w:r>
      <w:r w:rsidRPr="00D427D8">
        <w:t xml:space="preserve">"); </w:t>
      </w:r>
      <w:r w:rsidR="009F6E91" w:rsidRPr="00D427D8">
        <w:t>and</w:t>
      </w:r>
    </w:p>
    <w:p w14:paraId="2CB54494" w14:textId="04576DA2" w:rsidR="009F6E91" w:rsidRPr="00D427D8" w:rsidRDefault="009F6E91" w:rsidP="00741485">
      <w:pPr>
        <w:pStyle w:val="SchNumber4"/>
      </w:pPr>
      <w:r w:rsidRPr="00D427D8">
        <w:t xml:space="preserve">the expression </w:t>
      </w:r>
      <w:r w:rsidR="00EF7333" w:rsidRPr="00D427D8">
        <w:t>"</w:t>
      </w:r>
      <w:r w:rsidRPr="00D427D8">
        <w:t>offer</w:t>
      </w:r>
      <w:r w:rsidR="00EF7333" w:rsidRPr="00D427D8">
        <w:t>"</w:t>
      </w:r>
      <w:r w:rsidRPr="00D427D8">
        <w:t xml:space="preserve"> includes the communication in any form and by any means of sufficient information on the terms of the offer and the Notes to be offered so as to enable an investor to decide to purchase or subscribe for the Notes.</w:t>
      </w:r>
    </w:p>
    <w:p w14:paraId="4114B5D6" w14:textId="1023BCA6" w:rsidR="009F6E91" w:rsidRPr="00D427D8" w:rsidRDefault="009F6E91" w:rsidP="00741485">
      <w:pPr>
        <w:pStyle w:val="SchHeading1"/>
      </w:pPr>
      <w:r w:rsidRPr="00D427D8">
        <w:t>Prohibition of Sales to UK Retail Investors</w:t>
      </w:r>
    </w:p>
    <w:p w14:paraId="5290A4F0" w14:textId="6E6CDFB2" w:rsidR="009F6E91" w:rsidRPr="00D427D8" w:rsidRDefault="00741485" w:rsidP="00741485">
      <w:pPr>
        <w:pStyle w:val="Body2"/>
      </w:pPr>
      <w:r w:rsidRPr="00D427D8">
        <w:t xml:space="preserve">Pursuant to the Notes Subscription Agreement, </w:t>
      </w:r>
      <w:r w:rsidR="00277AE6">
        <w:t>the</w:t>
      </w:r>
      <w:r w:rsidRPr="00D427D8">
        <w:t xml:space="preserve"> Lead Manager has represented and agreed that:</w:t>
      </w:r>
    </w:p>
    <w:p w14:paraId="12146EFF" w14:textId="251FE9B9" w:rsidR="009F6E91" w:rsidRPr="00D427D8" w:rsidRDefault="009F6E91" w:rsidP="00741485">
      <w:pPr>
        <w:pStyle w:val="SchNumber3"/>
      </w:pPr>
      <w:r w:rsidRPr="00D427D8">
        <w:t>it has not offered, sold or otherwise made available and will not offer, sell or otherwise make available Notes to any retail investor in the United Kingdom.</w:t>
      </w:r>
    </w:p>
    <w:p w14:paraId="34F2DE04" w14:textId="545634F9" w:rsidR="009F6E91" w:rsidRPr="00D427D8" w:rsidRDefault="009F6E91" w:rsidP="00741485">
      <w:pPr>
        <w:pStyle w:val="SchNumber3"/>
      </w:pPr>
      <w:r w:rsidRPr="00D427D8">
        <w:t>For the purposes of this provision:</w:t>
      </w:r>
    </w:p>
    <w:p w14:paraId="643C0DD4" w14:textId="341A89FE" w:rsidR="009F6E91" w:rsidRPr="00D427D8" w:rsidRDefault="009F6E91" w:rsidP="00741485">
      <w:pPr>
        <w:pStyle w:val="SchNumber4"/>
      </w:pPr>
      <w:r w:rsidRPr="00D427D8">
        <w:lastRenderedPageBreak/>
        <w:t xml:space="preserve">the expression </w:t>
      </w:r>
      <w:r w:rsidR="00EF7333" w:rsidRPr="00D427D8">
        <w:t>"</w:t>
      </w:r>
      <w:r w:rsidRPr="00D427D8">
        <w:t>retail investor</w:t>
      </w:r>
      <w:r w:rsidR="00EF7333" w:rsidRPr="00D427D8">
        <w:t>"</w:t>
      </w:r>
      <w:r w:rsidRPr="00D427D8">
        <w:t xml:space="preserve"> means a person who is one (or more) of the following:</w:t>
      </w:r>
    </w:p>
    <w:p w14:paraId="6EEB57B4" w14:textId="58F9BC34" w:rsidR="009F6E91" w:rsidRPr="00D427D8" w:rsidRDefault="009F6E91" w:rsidP="00741485">
      <w:pPr>
        <w:pStyle w:val="SchNumber5"/>
      </w:pPr>
      <w:r w:rsidRPr="00D427D8">
        <w:t>a retail client as defined in point (8) of Article 2 of Regulation (EU) No 2017/565 as it forms part of domestic law of the United Kingdom by virtue of the EUWA; or</w:t>
      </w:r>
    </w:p>
    <w:p w14:paraId="55907E7D" w14:textId="7FB5FA51" w:rsidR="009F6E91" w:rsidRPr="00D427D8" w:rsidRDefault="009F6E91" w:rsidP="00741485">
      <w:pPr>
        <w:pStyle w:val="SchNumber5"/>
      </w:pPr>
      <w:r w:rsidRPr="00D427D8">
        <w:t>a customer within the meaning of the provisions of the FSMA and any rules or regulations made under the FSMA to implement Directive (EU) 2016/97, where that customer would not qualify as a professional client, as defined in point (8) of Article 2(1) of Regulation (EU) No 600/2014 as it forms part of domestic law of the United Kingdom by virtue of the EUWA; or</w:t>
      </w:r>
    </w:p>
    <w:p w14:paraId="2351630B" w14:textId="0350F70E" w:rsidR="009F6E91" w:rsidRPr="00D427D8" w:rsidRDefault="009F6E91" w:rsidP="00741485">
      <w:pPr>
        <w:pStyle w:val="SchNumber5"/>
      </w:pPr>
      <w:r w:rsidRPr="00D427D8">
        <w:t>not a qualified investor as defined in Article 2 of Regulation (EU) 2017/1129 as it forms part of domestic law of the United Kingdom by virtue of the EUWA; and</w:t>
      </w:r>
    </w:p>
    <w:p w14:paraId="04516A7A" w14:textId="1BA96438" w:rsidR="009F6E91" w:rsidRPr="00D427D8" w:rsidRDefault="009F6E91" w:rsidP="00741485">
      <w:pPr>
        <w:pStyle w:val="SchNumber4"/>
      </w:pPr>
      <w:r w:rsidRPr="00D427D8">
        <w:t xml:space="preserve">the expression </w:t>
      </w:r>
      <w:r w:rsidR="00EF7333" w:rsidRPr="00D427D8">
        <w:t>"</w:t>
      </w:r>
      <w:r w:rsidRPr="00D427D8">
        <w:t>offer</w:t>
      </w:r>
      <w:r w:rsidR="00EF7333" w:rsidRPr="00D427D8">
        <w:t>"</w:t>
      </w:r>
      <w:r w:rsidRPr="00D427D8">
        <w:t xml:space="preserve"> includes the communication in any form and by any means of sufficient information on the terms of the offer and the Notes to be offered so as to enable an investor to decide to purchase or subscribe for the Notes.</w:t>
      </w:r>
    </w:p>
    <w:p w14:paraId="426E76C1" w14:textId="4608E22E" w:rsidR="009F6E91" w:rsidRPr="00D427D8" w:rsidRDefault="009F6E91" w:rsidP="00741485">
      <w:pPr>
        <w:pStyle w:val="SchHeading1"/>
      </w:pPr>
      <w:r w:rsidRPr="00D427D8">
        <w:t>United Kingdom</w:t>
      </w:r>
    </w:p>
    <w:p w14:paraId="22CE98F1" w14:textId="61CE95CA" w:rsidR="009F6E91" w:rsidRPr="00D427D8" w:rsidRDefault="00741485" w:rsidP="00741485">
      <w:pPr>
        <w:pStyle w:val="Body2"/>
      </w:pPr>
      <w:r w:rsidRPr="00D427D8">
        <w:t xml:space="preserve">Pursuant to the Notes Subscription Agreement, </w:t>
      </w:r>
      <w:r w:rsidR="00277AE6">
        <w:t>the</w:t>
      </w:r>
      <w:r w:rsidRPr="00D427D8">
        <w:t xml:space="preserve"> Lead Manager has represented and agreed that:</w:t>
      </w:r>
    </w:p>
    <w:p w14:paraId="6ACE0C52" w14:textId="796EA46A" w:rsidR="009F6E91" w:rsidRPr="00D427D8" w:rsidRDefault="009F6E91" w:rsidP="00741485">
      <w:pPr>
        <w:pStyle w:val="SchNumber3"/>
      </w:pPr>
      <w:r w:rsidRPr="00D427D8">
        <w:t xml:space="preserve">Financial promotion: it has only communicated or caused to be communicated and will only communicate or cause to be communicated any invitation or inducement to engage in investment activity (within the meaning of section 21 of the Financial Services and Markets Act 2000 (the </w:t>
      </w:r>
      <w:r w:rsidR="00EF7333" w:rsidRPr="00D427D8">
        <w:t>"</w:t>
      </w:r>
      <w:r w:rsidRPr="00D427D8">
        <w:rPr>
          <w:b/>
        </w:rPr>
        <w:t>FSMA</w:t>
      </w:r>
      <w:r w:rsidR="00EF7333" w:rsidRPr="00D427D8">
        <w:t>"</w:t>
      </w:r>
      <w:r w:rsidRPr="00D427D8">
        <w:t>)) received by it in connection with the issuance or sale of any Notes in circumstances in which section 21(1) of the FSMA does not apply to the Issuer; and</w:t>
      </w:r>
    </w:p>
    <w:p w14:paraId="7DBB9D85" w14:textId="189474C8" w:rsidR="009F6E91" w:rsidRPr="00D427D8" w:rsidRDefault="009F6E91" w:rsidP="00741485">
      <w:pPr>
        <w:pStyle w:val="SchNumber3"/>
      </w:pPr>
      <w:r w:rsidRPr="00D427D8">
        <w:t>General compliance: it has complied and will comply with all applicable provisions of the FSMA with respect to anything done by it in relation to the Notes in, from or otherwise involving the United Kingdom.</w:t>
      </w:r>
    </w:p>
    <w:p w14:paraId="219701B6" w14:textId="5DD9C930" w:rsidR="009F6E91" w:rsidRPr="00D427D8" w:rsidRDefault="009F6E91" w:rsidP="00741485">
      <w:pPr>
        <w:pStyle w:val="SchHeading1"/>
      </w:pPr>
      <w:r w:rsidRPr="00D427D8">
        <w:t>Federal Republic of Germany</w:t>
      </w:r>
    </w:p>
    <w:p w14:paraId="3929697A" w14:textId="5DE07619" w:rsidR="009F6E91" w:rsidRPr="00D427D8" w:rsidRDefault="00741485" w:rsidP="00741485">
      <w:pPr>
        <w:pStyle w:val="Body2"/>
      </w:pPr>
      <w:r w:rsidRPr="00D427D8">
        <w:t xml:space="preserve">Pursuant to the Notes Subscription Agreement, </w:t>
      </w:r>
      <w:r w:rsidR="00277AE6">
        <w:t>the</w:t>
      </w:r>
      <w:r w:rsidRPr="00D427D8">
        <w:t xml:space="preserve"> Lead Manager has represented, warranted and undertaken to the Issuer that the Notes have not been and will not be offered or sold or publicly promoted or advertised by it in Germany other than in compliance with any laws applicable in Germany governing the issue, offering, sale and distribution of securities.</w:t>
      </w:r>
    </w:p>
    <w:p w14:paraId="04C0364E" w14:textId="07082569" w:rsidR="009F6E91" w:rsidRPr="00D427D8" w:rsidRDefault="009F6E91" w:rsidP="00741485">
      <w:pPr>
        <w:pStyle w:val="SchHeading1"/>
      </w:pPr>
      <w:r w:rsidRPr="00D427D8">
        <w:t>France</w:t>
      </w:r>
    </w:p>
    <w:p w14:paraId="5CEFFEAA" w14:textId="071F7E45" w:rsidR="00741485" w:rsidRPr="00D427D8" w:rsidRDefault="00741485" w:rsidP="00741485">
      <w:pPr>
        <w:pStyle w:val="Body2"/>
      </w:pPr>
      <w:r w:rsidRPr="00D427D8">
        <w:t xml:space="preserve">Pursuant to the Notes Subscription Agreement, </w:t>
      </w:r>
      <w:r w:rsidR="00A52B16">
        <w:t>the</w:t>
      </w:r>
      <w:r w:rsidRPr="00D427D8">
        <w:t xml:space="preserve"> Lead Manager has represented and agreed that in connection with the initial distribution of the Notes only (i) it has only offered, sold or otherwise transferred and will only offer, sell or otherwise transfer, directly or indirectly, the Notes to the public in the Republic of France pursuant to an exemption under Article 1(4) of the Prospectus Regulation </w:t>
      </w:r>
      <w:bookmarkStart w:id="314" w:name="_Hlk62856252"/>
      <w:r w:rsidRPr="00D427D8">
        <w:t xml:space="preserve">and that such </w:t>
      </w:r>
      <w:bookmarkEnd w:id="314"/>
      <w:r w:rsidRPr="00D427D8">
        <w:t xml:space="preserve">offers, sales and transfers in France have been and will be made only to qualified investors </w:t>
      </w:r>
      <w:bookmarkStart w:id="315" w:name="_Hlk86220452"/>
      <w:r w:rsidRPr="00D427D8">
        <w:t>(</w:t>
      </w:r>
      <w:r w:rsidRPr="00D427D8">
        <w:rPr>
          <w:i/>
          <w:iCs/>
        </w:rPr>
        <w:t>investisseurs qualifiés</w:t>
      </w:r>
      <w:r w:rsidRPr="00D427D8">
        <w:t xml:space="preserve">) </w:t>
      </w:r>
      <w:bookmarkEnd w:id="315"/>
      <w:r w:rsidRPr="00D427D8">
        <w:t>(with the exception of individuals) as defined in Article 2(e) of the Prospectus Regulation and as referred to in Article L. 411-2 1° of the French Monetary and Financial Code and that (ii) it has not distributed or caused to be distributed and will not distribute or cause to be distributed to the public in France, this Prospectus or any other offering material relating to the Notes other than to investors to whom offers and sales of Notes in France may be made as described above.</w:t>
      </w:r>
    </w:p>
    <w:p w14:paraId="0E16F9A9" w14:textId="77777777" w:rsidR="00741485" w:rsidRPr="00D427D8" w:rsidRDefault="00741485">
      <w:r w:rsidRPr="00D427D8">
        <w:br w:type="page"/>
      </w:r>
    </w:p>
    <w:p w14:paraId="7E099FAA" w14:textId="77777777" w:rsidR="009F6E91" w:rsidRPr="00D427D8" w:rsidRDefault="009F6E91" w:rsidP="00926C3A">
      <w:pPr>
        <w:pStyle w:val="CentredHeading"/>
      </w:pPr>
      <w:bookmarkStart w:id="316" w:name="_Toc194046517"/>
      <w:bookmarkStart w:id="317" w:name="_Toc198539675"/>
      <w:r w:rsidRPr="00D427D8">
        <w:lastRenderedPageBreak/>
        <w:t>GENERAL INFORMATION</w:t>
      </w:r>
      <w:bookmarkEnd w:id="316"/>
      <w:bookmarkEnd w:id="317"/>
    </w:p>
    <w:p w14:paraId="523F29C7" w14:textId="77777777" w:rsidR="009F6E91" w:rsidRPr="00D427D8" w:rsidRDefault="009F6E91" w:rsidP="00EF7333">
      <w:pPr>
        <w:pStyle w:val="Body1"/>
        <w:rPr>
          <w:rStyle w:val="Heading1Text"/>
        </w:rPr>
      </w:pPr>
      <w:r w:rsidRPr="00D427D8">
        <w:rPr>
          <w:rStyle w:val="Heading1Text"/>
        </w:rPr>
        <w:t>Authorisation</w:t>
      </w:r>
    </w:p>
    <w:p w14:paraId="5C329C38" w14:textId="77777777" w:rsidR="009F6E91" w:rsidRPr="00D427D8" w:rsidRDefault="009F6E91" w:rsidP="009F6E91">
      <w:pPr>
        <w:pStyle w:val="Body1"/>
      </w:pPr>
      <w:r w:rsidRPr="00D427D8">
        <w:t>All authorisations consents, approvals, authorisations or other orders of all regulatory authorities required by the Issuer under Luxembourg law have been given for the issue of the Notes and for the Issuer to undertake and perform its obligations under the relevant Transaction Documents and the Notes.</w:t>
      </w:r>
    </w:p>
    <w:p w14:paraId="1CA003E3" w14:textId="1EF3ADBA" w:rsidR="009F6E91" w:rsidRPr="00D427D8" w:rsidRDefault="009F6E91" w:rsidP="009F6E91">
      <w:pPr>
        <w:pStyle w:val="Body1"/>
      </w:pPr>
      <w:r w:rsidRPr="00D427D8">
        <w:t xml:space="preserve">The issue of the Notes was authorised by a resolution of the board of directors of ECARAT DE S.A. passed on </w:t>
      </w:r>
      <w:r w:rsidR="002448A7">
        <w:rPr>
          <w:szCs w:val="19"/>
        </w:rPr>
        <w:t>17 June 2025</w:t>
      </w:r>
      <w:r w:rsidRPr="00D427D8">
        <w:rPr>
          <w:szCs w:val="19"/>
        </w:rPr>
        <w:t>.</w:t>
      </w:r>
    </w:p>
    <w:p w14:paraId="41C1D263" w14:textId="77777777" w:rsidR="009F6E91" w:rsidRPr="00D427D8" w:rsidRDefault="009F6E91" w:rsidP="00EF7333">
      <w:pPr>
        <w:pStyle w:val="Body1"/>
        <w:rPr>
          <w:rStyle w:val="Heading1Text"/>
        </w:rPr>
      </w:pPr>
      <w:r w:rsidRPr="00D427D8">
        <w:rPr>
          <w:rStyle w:val="Heading1Text"/>
        </w:rPr>
        <w:t>Annual Accounts</w:t>
      </w:r>
    </w:p>
    <w:p w14:paraId="43B0FF46" w14:textId="77777777" w:rsidR="009F6E91" w:rsidRPr="00D427D8" w:rsidRDefault="009F6E91" w:rsidP="009F6E91">
      <w:pPr>
        <w:pStyle w:val="Body1"/>
      </w:pPr>
      <w:r w:rsidRPr="00D427D8">
        <w:t>No statutory or non-statutory accounts in respect of any financial year of the Issuer have been prepared. So long as the Notes are listed on the official list of the Luxembourg Stock Exchange, the most recently published audited annual accounts of the Issuer from time to time will be available at the specified offices of the Issuer.</w:t>
      </w:r>
    </w:p>
    <w:p w14:paraId="783DFC10" w14:textId="77777777" w:rsidR="009F6E91" w:rsidRPr="00D427D8" w:rsidRDefault="009F6E91" w:rsidP="009F6E91">
      <w:pPr>
        <w:pStyle w:val="Body1"/>
      </w:pPr>
      <w:r w:rsidRPr="00D427D8">
        <w:t xml:space="preserve">The statutory auditor of the Issuer is the Auditor. </w:t>
      </w:r>
    </w:p>
    <w:p w14:paraId="7CFBF7A2" w14:textId="77777777" w:rsidR="009F6E91" w:rsidRPr="00D427D8" w:rsidRDefault="009F6E91" w:rsidP="00EF7333">
      <w:pPr>
        <w:pStyle w:val="Body1"/>
        <w:rPr>
          <w:rStyle w:val="Heading1Text"/>
        </w:rPr>
      </w:pPr>
      <w:r w:rsidRPr="00D427D8">
        <w:rPr>
          <w:rStyle w:val="Heading1Text"/>
        </w:rPr>
        <w:t>Financial Statements</w:t>
      </w:r>
    </w:p>
    <w:p w14:paraId="6957EB93" w14:textId="77777777" w:rsidR="009F6E91" w:rsidRPr="00D427D8" w:rsidRDefault="009F6E91" w:rsidP="009F6E91">
      <w:pPr>
        <w:pStyle w:val="Body1"/>
      </w:pPr>
      <w:r w:rsidRPr="00D427D8">
        <w:t>The Issuer has not commenced operations and no financial statements of the Issuer have been prepared.</w:t>
      </w:r>
    </w:p>
    <w:p w14:paraId="6CF54BA1" w14:textId="77777777" w:rsidR="009F6E91" w:rsidRPr="00D427D8" w:rsidRDefault="009F6E91" w:rsidP="009F6E91">
      <w:pPr>
        <w:pStyle w:val="Body1"/>
        <w:rPr>
          <w:rStyle w:val="Heading1Text"/>
        </w:rPr>
      </w:pPr>
      <w:r w:rsidRPr="00D427D8">
        <w:rPr>
          <w:rStyle w:val="Heading1Text"/>
        </w:rPr>
        <w:t>Availability of Documents</w:t>
      </w:r>
    </w:p>
    <w:p w14:paraId="1963488A" w14:textId="77777777" w:rsidR="009F6E91" w:rsidRPr="00D427D8" w:rsidRDefault="009F6E91" w:rsidP="009F6E91">
      <w:pPr>
        <w:pStyle w:val="Body1"/>
      </w:pPr>
      <w:r w:rsidRPr="00D427D8">
        <w:t>Copies of the following documents:</w:t>
      </w:r>
    </w:p>
    <w:p w14:paraId="10E2A316" w14:textId="1250DB86" w:rsidR="009F6E91" w:rsidRPr="00D427D8" w:rsidRDefault="009F6E91" w:rsidP="00C8283A">
      <w:pPr>
        <w:pStyle w:val="Level3"/>
        <w:numPr>
          <w:ilvl w:val="2"/>
          <w:numId w:val="49"/>
        </w:numPr>
      </w:pPr>
      <w:r w:rsidRPr="00D427D8">
        <w:t>the Lease Receivables Purchase Agreement;</w:t>
      </w:r>
    </w:p>
    <w:p w14:paraId="61974B5F" w14:textId="4302665E" w:rsidR="009F6E91" w:rsidRPr="00D427D8" w:rsidRDefault="009F6E91" w:rsidP="00141A76">
      <w:pPr>
        <w:pStyle w:val="Level3"/>
      </w:pPr>
      <w:r w:rsidRPr="00D427D8">
        <w:t>the ER Purchase Agreement;</w:t>
      </w:r>
    </w:p>
    <w:p w14:paraId="04336730" w14:textId="4E1DF0F3" w:rsidR="009F6E91" w:rsidRPr="00D427D8" w:rsidRDefault="009F6E91" w:rsidP="00141A76">
      <w:pPr>
        <w:pStyle w:val="Level3"/>
      </w:pPr>
      <w:r w:rsidRPr="00D427D8">
        <w:t>the VAT Bridge Loan Agreement;</w:t>
      </w:r>
    </w:p>
    <w:p w14:paraId="430A5096" w14:textId="6DB17B15" w:rsidR="009F6E91" w:rsidRPr="00D427D8" w:rsidRDefault="009F6E91" w:rsidP="00141A76">
      <w:pPr>
        <w:pStyle w:val="Level3"/>
      </w:pPr>
      <w:r w:rsidRPr="00D427D8">
        <w:t>the Servicing Agreement;</w:t>
      </w:r>
    </w:p>
    <w:p w14:paraId="7DC27483" w14:textId="4CCBC88B" w:rsidR="009F6E91" w:rsidRPr="00D427D8" w:rsidRDefault="009F6E91" w:rsidP="00141A76">
      <w:pPr>
        <w:pStyle w:val="Level3"/>
      </w:pPr>
      <w:r w:rsidRPr="00D427D8">
        <w:t>the Account Bank Agreement;</w:t>
      </w:r>
    </w:p>
    <w:p w14:paraId="27FCC69E" w14:textId="40D95656" w:rsidR="009F6E91" w:rsidRPr="00D427D8" w:rsidRDefault="009F6E91" w:rsidP="00141A76">
      <w:pPr>
        <w:pStyle w:val="Level3"/>
      </w:pPr>
      <w:r w:rsidRPr="00D427D8">
        <w:t>the Agency Agreement;</w:t>
      </w:r>
    </w:p>
    <w:p w14:paraId="275C6D26" w14:textId="6CD1F2E9" w:rsidR="009F6E91" w:rsidRPr="00D427D8" w:rsidRDefault="009F6E91" w:rsidP="00141A76">
      <w:pPr>
        <w:pStyle w:val="Level3"/>
      </w:pPr>
      <w:r w:rsidRPr="00D427D8">
        <w:t>the Data Protection Agreement;</w:t>
      </w:r>
    </w:p>
    <w:p w14:paraId="1FD404CD" w14:textId="4D60D466" w:rsidR="009F6E91" w:rsidRPr="00D427D8" w:rsidRDefault="009F6E91" w:rsidP="00141A76">
      <w:pPr>
        <w:pStyle w:val="Level3"/>
      </w:pPr>
      <w:r w:rsidRPr="00D427D8">
        <w:t>the Notes Subscription Agreement;</w:t>
      </w:r>
    </w:p>
    <w:p w14:paraId="23C8F694" w14:textId="16C11B5C" w:rsidR="009F6E91" w:rsidRPr="00D427D8" w:rsidRDefault="009F6E91" w:rsidP="00141A76">
      <w:pPr>
        <w:pStyle w:val="Level3"/>
      </w:pPr>
      <w:r w:rsidRPr="00D427D8">
        <w:t>the Master Agreement;</w:t>
      </w:r>
    </w:p>
    <w:p w14:paraId="6FA857E4" w14:textId="094344C8" w:rsidR="009F6E91" w:rsidRPr="00D427D8" w:rsidRDefault="009F6E91" w:rsidP="00141A76">
      <w:pPr>
        <w:pStyle w:val="Level3"/>
      </w:pPr>
      <w:r w:rsidRPr="00D427D8">
        <w:t>the Hedging Arrangement;</w:t>
      </w:r>
    </w:p>
    <w:p w14:paraId="2840B4A6" w14:textId="74B27482" w:rsidR="009F6E91" w:rsidRPr="00D427D8" w:rsidRDefault="009F6E91" w:rsidP="00141A76">
      <w:pPr>
        <w:pStyle w:val="Level3"/>
      </w:pPr>
      <w:r w:rsidRPr="00D427D8">
        <w:t>the Monthly Investor Reports;</w:t>
      </w:r>
    </w:p>
    <w:p w14:paraId="555F10A8" w14:textId="7D2CA6D8" w:rsidR="009F6E91" w:rsidRPr="00D427D8" w:rsidRDefault="009F6E91" w:rsidP="00141A76">
      <w:pPr>
        <w:pStyle w:val="Level3"/>
      </w:pPr>
      <w:r w:rsidRPr="00D427D8">
        <w:t>the Security Assignment Deed;</w:t>
      </w:r>
    </w:p>
    <w:p w14:paraId="3B0EDA64" w14:textId="3509A3FB" w:rsidR="009F6E91" w:rsidRPr="00D427D8" w:rsidRDefault="009F6E91" w:rsidP="00141A76">
      <w:pPr>
        <w:pStyle w:val="Level3"/>
      </w:pPr>
      <w:r w:rsidRPr="00D427D8">
        <w:t>the Subordinated Loan Agreement;</w:t>
      </w:r>
    </w:p>
    <w:p w14:paraId="43DD149B" w14:textId="4DE4A33B" w:rsidR="009F6E91" w:rsidRPr="00D427D8" w:rsidRDefault="009F6E91" w:rsidP="00141A76">
      <w:pPr>
        <w:pStyle w:val="Level3"/>
      </w:pPr>
      <w:r w:rsidRPr="00D427D8">
        <w:t>the Collateral Agency Agreement;</w:t>
      </w:r>
    </w:p>
    <w:p w14:paraId="136C55D4" w14:textId="57570079" w:rsidR="009F6E91" w:rsidRPr="00D427D8" w:rsidRDefault="009F6E91" w:rsidP="00141A76">
      <w:pPr>
        <w:pStyle w:val="Level3"/>
      </w:pPr>
      <w:r w:rsidRPr="00D427D8">
        <w:t>the ER Collateral Agency Agreement;</w:t>
      </w:r>
    </w:p>
    <w:p w14:paraId="3E255F7C" w14:textId="3FBA0D54" w:rsidR="009F6E91" w:rsidRPr="00D427D8" w:rsidRDefault="009F6E91" w:rsidP="00141A76">
      <w:pPr>
        <w:pStyle w:val="Level3"/>
        <w:rPr>
          <w:szCs w:val="19"/>
        </w:rPr>
      </w:pPr>
      <w:r w:rsidRPr="00D427D8">
        <w:rPr>
          <w:szCs w:val="19"/>
        </w:rPr>
        <w:t xml:space="preserve">this Prospectus </w:t>
      </w:r>
      <w:r w:rsidRPr="00D427D8">
        <w:t>and any supplements thereto</w:t>
      </w:r>
      <w:r w:rsidRPr="00D427D8">
        <w:rPr>
          <w:szCs w:val="19"/>
        </w:rPr>
        <w:t>; and</w:t>
      </w:r>
    </w:p>
    <w:p w14:paraId="3ACCFE1A" w14:textId="5F9E3484" w:rsidR="009F6E91" w:rsidRPr="00D427D8" w:rsidRDefault="009F6E91" w:rsidP="00141A76">
      <w:pPr>
        <w:pStyle w:val="Level3"/>
      </w:pPr>
      <w:r w:rsidRPr="00D427D8">
        <w:t>the articles of association of the Issuer,</w:t>
      </w:r>
    </w:p>
    <w:p w14:paraId="653CEE0E" w14:textId="52A144C5" w:rsidR="009F6E91" w:rsidRPr="00D427D8" w:rsidRDefault="009F6E91" w:rsidP="009F6E91">
      <w:pPr>
        <w:pStyle w:val="Body1"/>
      </w:pPr>
      <w:r w:rsidRPr="00D427D8">
        <w:t xml:space="preserve">will remain publicly available for at least ten years and may be inspected during usual business hours at the registered offices of the Paying Agent. Additionally this Prospectus, for at least ten years, will be published </w:t>
      </w:r>
      <w:r w:rsidRPr="00D427D8">
        <w:lastRenderedPageBreak/>
        <w:t>on the website of the Luxembourg Stock Exchange (www.luxse.com) and on the website of the Corporate Service Provider (</w:t>
      </w:r>
      <w:hyperlink r:id="rId37" w:history="1">
        <w:r w:rsidRPr="00D427D8">
          <w:t>https://cm.gcm.cscglobal.com/en/default/offering_circulars/results</w:t>
        </w:r>
      </w:hyperlink>
      <w:r w:rsidRPr="00D427D8">
        <w:t>).</w:t>
      </w:r>
    </w:p>
    <w:p w14:paraId="6D857B48" w14:textId="77777777" w:rsidR="009F6E91" w:rsidRPr="00D427D8" w:rsidRDefault="009F6E91" w:rsidP="009F6E91">
      <w:pPr>
        <w:pStyle w:val="Body1"/>
        <w:rPr>
          <w:rStyle w:val="Heading1Text"/>
        </w:rPr>
      </w:pPr>
      <w:r w:rsidRPr="00D427D8">
        <w:rPr>
          <w:rStyle w:val="Heading1Text"/>
        </w:rPr>
        <w:t>Listing and Admission to Trading</w:t>
      </w:r>
    </w:p>
    <w:p w14:paraId="34D75E16" w14:textId="77777777" w:rsidR="009F6E91" w:rsidRPr="00D427D8" w:rsidRDefault="009F6E91" w:rsidP="009F6E91">
      <w:pPr>
        <w:pStyle w:val="Body1"/>
      </w:pPr>
      <w:r w:rsidRPr="00D427D8">
        <w:t>Application for admission for listing of the Notes to the official list of the Luxembourg Stock Exchange has been made by the Issuer. It is expected that admission to trading on its regulated market will be granted on or about the Closing Date.</w:t>
      </w:r>
    </w:p>
    <w:p w14:paraId="45413F3E" w14:textId="6103E37F" w:rsidR="009F6E91" w:rsidRPr="00D427D8" w:rsidRDefault="009F6E91" w:rsidP="009F6E91">
      <w:pPr>
        <w:pStyle w:val="Body1"/>
      </w:pPr>
      <w:r w:rsidRPr="00D427D8">
        <w:t xml:space="preserve">The estimated aggregate cost of the foregoing applications for admission to the official list of the Luxembourg Stock Exchange and admission to trading on its regulated market is EUR </w:t>
      </w:r>
      <w:r w:rsidR="00A3758F">
        <w:t>31,500</w:t>
      </w:r>
      <w:r w:rsidRPr="00D427D8">
        <w:t>.</w:t>
      </w:r>
    </w:p>
    <w:p w14:paraId="732411C6" w14:textId="77777777" w:rsidR="009F6E91" w:rsidRPr="00D427D8" w:rsidRDefault="009F6E91" w:rsidP="00EF7333">
      <w:pPr>
        <w:pStyle w:val="Body1"/>
        <w:rPr>
          <w:rStyle w:val="Heading1Text"/>
        </w:rPr>
      </w:pPr>
      <w:r w:rsidRPr="00D427D8">
        <w:rPr>
          <w:rStyle w:val="Heading1Text"/>
        </w:rPr>
        <w:t>Clearing Codes</w:t>
      </w:r>
    </w:p>
    <w:p w14:paraId="49CADA7B" w14:textId="77777777" w:rsidR="009F6E91" w:rsidRPr="00D427D8" w:rsidRDefault="009F6E91" w:rsidP="009F6E91">
      <w:pPr>
        <w:pStyle w:val="Body1"/>
      </w:pPr>
      <w:r w:rsidRPr="00D427D8">
        <w:t>The Notes have been accepted for clearance through the Clearing Systems as follows:</w:t>
      </w:r>
    </w:p>
    <w:tbl>
      <w:tblPr>
        <w:tblW w:w="0" w:type="auto"/>
        <w:tblCellMar>
          <w:left w:w="10" w:type="dxa"/>
          <w:right w:w="10" w:type="dxa"/>
        </w:tblCellMar>
        <w:tblLook w:val="04A0" w:firstRow="1" w:lastRow="0" w:firstColumn="1" w:lastColumn="0" w:noHBand="0" w:noVBand="1"/>
      </w:tblPr>
      <w:tblGrid>
        <w:gridCol w:w="2321"/>
        <w:gridCol w:w="5725"/>
      </w:tblGrid>
      <w:tr w:rsidR="009F6E91" w:rsidRPr="00C9376B" w14:paraId="5C27B660" w14:textId="77777777" w:rsidTr="008D119B">
        <w:tc>
          <w:tcPr>
            <w:tcW w:w="2321" w:type="dxa"/>
          </w:tcPr>
          <w:p w14:paraId="062C7CC6" w14:textId="77777777" w:rsidR="009F6E91" w:rsidRPr="00D427D8" w:rsidRDefault="009F6E91" w:rsidP="00381FFB">
            <w:pPr>
              <w:rPr>
                <w:szCs w:val="19"/>
              </w:rPr>
            </w:pPr>
            <w:r w:rsidRPr="00D427D8">
              <w:rPr>
                <w:szCs w:val="19"/>
              </w:rPr>
              <w:t>Class A Notes</w:t>
            </w:r>
          </w:p>
        </w:tc>
        <w:tc>
          <w:tcPr>
            <w:tcW w:w="5725" w:type="dxa"/>
          </w:tcPr>
          <w:p w14:paraId="73BB7478" w14:textId="16EFCB89" w:rsidR="009F6E91" w:rsidRPr="003B6A20" w:rsidRDefault="009F6E91" w:rsidP="00266CB1">
            <w:pPr>
              <w:rPr>
                <w:szCs w:val="19"/>
                <w:lang w:val="fr-FR"/>
              </w:rPr>
            </w:pPr>
            <w:r w:rsidRPr="003B6A20">
              <w:rPr>
                <w:szCs w:val="19"/>
                <w:lang w:val="fr-FR"/>
              </w:rPr>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bookmarkStart w:id="318" w:name="_Hlk200136864"/>
            <w:r w:rsidR="006930C7" w:rsidRPr="003B6A20">
              <w:rPr>
                <w:szCs w:val="19"/>
                <w:lang w:val="fr-FR"/>
              </w:rPr>
              <w:t>XS3077174921</w:t>
            </w:r>
            <w:bookmarkEnd w:id="318"/>
            <w:r w:rsidRPr="003B6A20">
              <w:rPr>
                <w:szCs w:val="19"/>
                <w:lang w:val="fr-FR"/>
              </w:rPr>
              <w:br/>
              <w:t>Common Code:</w:t>
            </w:r>
            <w:r w:rsidRPr="003B6A20">
              <w:rPr>
                <w:rFonts w:asciiTheme="minorHAnsi" w:hAnsiTheme="minorHAnsi" w:cstheme="minorHAnsi"/>
                <w:szCs w:val="19"/>
                <w:lang w:val="fr-FR"/>
              </w:rPr>
              <w:tab/>
            </w:r>
            <w:r w:rsidR="006930C7" w:rsidRPr="003B6A20">
              <w:rPr>
                <w:szCs w:val="19"/>
                <w:lang w:val="fr-FR"/>
              </w:rPr>
              <w:t>307717492</w:t>
            </w:r>
            <w:r w:rsidRPr="003B6A20">
              <w:rPr>
                <w:szCs w:val="19"/>
                <w:lang w:val="fr-FR"/>
              </w:rPr>
              <w:b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szCs w:val="19"/>
                <w:lang w:val="fr-FR"/>
              </w:rPr>
              <w:b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szCs w:val="19"/>
              </w:rPr>
              <w:t>COMPARTMENT LEA/VARASST BKD 2034052</w:t>
            </w:r>
          </w:p>
          <w:p w14:paraId="797016CD" w14:textId="77777777" w:rsidR="009F6E91" w:rsidRPr="003B6A20" w:rsidRDefault="009F6E91" w:rsidP="00266CB1">
            <w:pPr>
              <w:rPr>
                <w:rFonts w:asciiTheme="minorHAnsi" w:hAnsiTheme="minorHAnsi" w:cstheme="minorHAnsi"/>
                <w:szCs w:val="19"/>
                <w:lang w:val="fr-FR"/>
              </w:rPr>
            </w:pPr>
          </w:p>
        </w:tc>
      </w:tr>
      <w:tr w:rsidR="009F6E91" w:rsidRPr="00C9376B" w14:paraId="37571E36" w14:textId="77777777" w:rsidTr="008D119B">
        <w:tc>
          <w:tcPr>
            <w:tcW w:w="2321" w:type="dxa"/>
          </w:tcPr>
          <w:p w14:paraId="7A8C5D1C" w14:textId="77777777" w:rsidR="009F6E91" w:rsidRPr="00D427D8" w:rsidRDefault="009F6E91" w:rsidP="00381FFB">
            <w:pPr>
              <w:rPr>
                <w:szCs w:val="19"/>
              </w:rPr>
            </w:pPr>
            <w:r w:rsidRPr="00D427D8">
              <w:rPr>
                <w:szCs w:val="19"/>
              </w:rPr>
              <w:t>Class B Notes</w:t>
            </w:r>
          </w:p>
        </w:tc>
        <w:tc>
          <w:tcPr>
            <w:tcW w:w="5725" w:type="dxa"/>
          </w:tcPr>
          <w:p w14:paraId="75DCEC03" w14:textId="34C7A709" w:rsidR="009F6E91" w:rsidRPr="003B6A20" w:rsidRDefault="009F6E91" w:rsidP="00381FFB">
            <w:pPr>
              <w:rPr>
                <w:szCs w:val="19"/>
                <w:lang w:val="fr-FR"/>
              </w:rPr>
            </w:pPr>
            <w:r w:rsidRPr="003B6A20">
              <w:rPr>
                <w:szCs w:val="19"/>
                <w:lang w:val="fr-FR"/>
              </w:rPr>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bookmarkStart w:id="319" w:name="_Hlk200136873"/>
            <w:r w:rsidR="006930C7" w:rsidRPr="003B6A20">
              <w:rPr>
                <w:szCs w:val="19"/>
                <w:lang w:val="fr-FR"/>
              </w:rPr>
              <w:t>XS3077175225</w:t>
            </w:r>
            <w:bookmarkEnd w:id="319"/>
            <w:r w:rsidRPr="003B6A20">
              <w:rPr>
                <w:szCs w:val="19"/>
                <w:lang w:val="fr-FR"/>
              </w:rPr>
              <w:br/>
              <w:t>Common Code:</w:t>
            </w:r>
            <w:r w:rsidRPr="003B6A20">
              <w:rPr>
                <w:rFonts w:asciiTheme="minorHAnsi" w:hAnsiTheme="minorHAnsi" w:cstheme="minorHAnsi"/>
                <w:szCs w:val="19"/>
                <w:lang w:val="fr-FR"/>
              </w:rPr>
              <w:tab/>
            </w:r>
            <w:r w:rsidR="006930C7" w:rsidRPr="003B6A20">
              <w:rPr>
                <w:szCs w:val="19"/>
                <w:lang w:val="fr-FR"/>
              </w:rPr>
              <w:t>307717522</w:t>
            </w:r>
            <w:r w:rsidRPr="003B6A20">
              <w:rPr>
                <w:szCs w:val="19"/>
                <w:lang w:val="fr-FR"/>
              </w:rPr>
              <w:b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szCs w:val="19"/>
                <w:lang w:val="fr-FR"/>
              </w:rPr>
              <w:b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szCs w:val="19"/>
              </w:rPr>
              <w:t>COMPARTMENT LEA/VARASST BKD 2034052</w:t>
            </w:r>
          </w:p>
        </w:tc>
      </w:tr>
      <w:tr w:rsidR="009F6E91" w:rsidRPr="00C9376B" w14:paraId="04F3BBBB" w14:textId="77777777" w:rsidTr="008D119B">
        <w:tc>
          <w:tcPr>
            <w:tcW w:w="2321" w:type="dxa"/>
          </w:tcPr>
          <w:p w14:paraId="242EBF7B" w14:textId="77777777" w:rsidR="009F6E91" w:rsidRPr="00D427D8" w:rsidRDefault="009F6E91" w:rsidP="00505F1F">
            <w:pPr>
              <w:rPr>
                <w:szCs w:val="19"/>
              </w:rPr>
            </w:pPr>
            <w:r w:rsidRPr="00D427D8">
              <w:rPr>
                <w:szCs w:val="19"/>
              </w:rPr>
              <w:t>Class C Notes</w:t>
            </w:r>
          </w:p>
        </w:tc>
        <w:tc>
          <w:tcPr>
            <w:tcW w:w="5725" w:type="dxa"/>
          </w:tcPr>
          <w:p w14:paraId="30749E90" w14:textId="2998D2A6" w:rsidR="009F6E91" w:rsidRPr="003B6A20" w:rsidRDefault="009F6E91" w:rsidP="00B165CC">
            <w:pPr>
              <w:rPr>
                <w:szCs w:val="19"/>
                <w:lang w:val="fr-FR"/>
              </w:rPr>
            </w:pPr>
            <w:r w:rsidRPr="003B6A20">
              <w:rPr>
                <w:szCs w:val="19"/>
                <w:lang w:val="fr-FR"/>
              </w:rPr>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bookmarkStart w:id="320" w:name="_Hlk200136883"/>
            <w:r w:rsidR="006930C7" w:rsidRPr="003B6A20">
              <w:rPr>
                <w:szCs w:val="19"/>
                <w:lang w:val="fr-FR"/>
              </w:rPr>
              <w:t>XS3077176207</w:t>
            </w:r>
            <w:bookmarkEnd w:id="320"/>
            <w:r w:rsidRPr="003B6A20">
              <w:rPr>
                <w:szCs w:val="19"/>
                <w:lang w:val="fr-FR"/>
              </w:rPr>
              <w:br/>
              <w:t>Common Code:</w:t>
            </w:r>
            <w:r w:rsidRPr="003B6A20">
              <w:rPr>
                <w:rFonts w:asciiTheme="minorHAnsi" w:hAnsiTheme="minorHAnsi" w:cstheme="minorHAnsi"/>
                <w:szCs w:val="19"/>
                <w:lang w:val="fr-FR"/>
              </w:rPr>
              <w:tab/>
            </w:r>
            <w:r w:rsidR="006930C7" w:rsidRPr="003B6A20">
              <w:rPr>
                <w:szCs w:val="19"/>
                <w:lang w:val="fr-FR"/>
              </w:rPr>
              <w:t>307717620</w:t>
            </w:r>
            <w:r w:rsidRPr="003B6A20">
              <w:rPr>
                <w:szCs w:val="19"/>
                <w:lang w:val="fr-FR"/>
              </w:rPr>
              <w:b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szCs w:val="19"/>
                <w:lang w:val="fr-FR"/>
              </w:rPr>
              <w:b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szCs w:val="19"/>
              </w:rPr>
              <w:t>COMPARTMENT LEA/VARASST BKD 2034052</w:t>
            </w:r>
            <w:r w:rsidR="00C9376B" w:rsidRPr="00C9376B" w:rsidDel="006930C7">
              <w:rPr>
                <w:szCs w:val="19"/>
                <w:lang w:val="fr-FR"/>
              </w:rPr>
              <w:t xml:space="preserve"> </w:t>
            </w:r>
          </w:p>
        </w:tc>
      </w:tr>
      <w:tr w:rsidR="009F6E91" w:rsidRPr="00C9376B" w14:paraId="69A5B642" w14:textId="77777777" w:rsidTr="008D119B">
        <w:tc>
          <w:tcPr>
            <w:tcW w:w="2321" w:type="dxa"/>
          </w:tcPr>
          <w:p w14:paraId="15759801" w14:textId="77777777" w:rsidR="009F6E91" w:rsidRPr="00D427D8" w:rsidRDefault="009F6E91" w:rsidP="00505F1F">
            <w:pPr>
              <w:rPr>
                <w:szCs w:val="19"/>
              </w:rPr>
            </w:pPr>
            <w:r w:rsidRPr="00D427D8">
              <w:rPr>
                <w:szCs w:val="19"/>
              </w:rPr>
              <w:t>Class D Notes</w:t>
            </w:r>
          </w:p>
        </w:tc>
        <w:tc>
          <w:tcPr>
            <w:tcW w:w="5725" w:type="dxa"/>
          </w:tcPr>
          <w:p w14:paraId="5B551223" w14:textId="5935FB83" w:rsidR="009F6E91" w:rsidRPr="003B6A20" w:rsidRDefault="009F6E91" w:rsidP="00066FB0">
            <w:pPr>
              <w:rPr>
                <w:szCs w:val="19"/>
                <w:lang w:val="fr-FR"/>
              </w:rPr>
            </w:pPr>
            <w:r w:rsidRPr="003B6A20">
              <w:rPr>
                <w:szCs w:val="19"/>
                <w:lang w:val="fr-FR"/>
              </w:rPr>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bookmarkStart w:id="321" w:name="_Hlk200136895"/>
            <w:r w:rsidR="006930C7" w:rsidRPr="003B6A20">
              <w:rPr>
                <w:szCs w:val="19"/>
                <w:lang w:val="fr-FR"/>
              </w:rPr>
              <w:t>XS3077176892</w:t>
            </w:r>
            <w:bookmarkEnd w:id="321"/>
            <w:r w:rsidRPr="003B6A20">
              <w:rPr>
                <w:szCs w:val="19"/>
                <w:lang w:val="fr-FR"/>
              </w:rPr>
              <w:br/>
              <w:t>Common Code:</w:t>
            </w:r>
            <w:r w:rsidRPr="003B6A20">
              <w:rPr>
                <w:rFonts w:asciiTheme="minorHAnsi" w:hAnsiTheme="minorHAnsi" w:cstheme="minorHAnsi"/>
                <w:szCs w:val="19"/>
                <w:lang w:val="fr-FR"/>
              </w:rPr>
              <w:tab/>
            </w:r>
            <w:r w:rsidR="006930C7" w:rsidRPr="003B6A20">
              <w:rPr>
                <w:szCs w:val="19"/>
                <w:lang w:val="fr-FR"/>
              </w:rPr>
              <w:t>307717689</w:t>
            </w:r>
            <w:r w:rsidRPr="003B6A20">
              <w:rPr>
                <w:szCs w:val="19"/>
                <w:lang w:val="fr-FR"/>
              </w:rPr>
              <w:b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szCs w:val="19"/>
                <w:lang w:val="fr-FR"/>
              </w:rPr>
              <w:b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szCs w:val="19"/>
              </w:rPr>
              <w:t>COMPARTMENT LEA/VARASST BKD 2034052</w:t>
            </w:r>
          </w:p>
        </w:tc>
      </w:tr>
      <w:tr w:rsidR="009F6E91" w:rsidRPr="00C9376B" w14:paraId="53D8BDB3" w14:textId="77777777" w:rsidTr="008D119B">
        <w:tc>
          <w:tcPr>
            <w:tcW w:w="2321" w:type="dxa"/>
          </w:tcPr>
          <w:p w14:paraId="154DF13F" w14:textId="77777777" w:rsidR="009F6E91" w:rsidRPr="00D427D8" w:rsidRDefault="009F6E91" w:rsidP="00505F1F">
            <w:pPr>
              <w:rPr>
                <w:szCs w:val="19"/>
              </w:rPr>
            </w:pPr>
            <w:r w:rsidRPr="00D427D8">
              <w:rPr>
                <w:szCs w:val="19"/>
              </w:rPr>
              <w:t>Class E Notes</w:t>
            </w:r>
          </w:p>
        </w:tc>
        <w:tc>
          <w:tcPr>
            <w:tcW w:w="5725" w:type="dxa"/>
          </w:tcPr>
          <w:p w14:paraId="6A2CCD9C" w14:textId="07BDA770" w:rsidR="009F6E91" w:rsidRPr="003B6A20" w:rsidRDefault="009F6E91" w:rsidP="00B165CC">
            <w:pPr>
              <w:rPr>
                <w:szCs w:val="19"/>
                <w:lang w:val="fr-FR"/>
              </w:rPr>
            </w:pPr>
            <w:r w:rsidRPr="003B6A20">
              <w:rPr>
                <w:szCs w:val="19"/>
                <w:lang w:val="fr-FR"/>
              </w:rPr>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bookmarkStart w:id="322" w:name="_Hlk200136909"/>
            <w:r w:rsidR="006930C7" w:rsidRPr="003B6A20">
              <w:rPr>
                <w:szCs w:val="19"/>
                <w:lang w:val="fr-FR"/>
              </w:rPr>
              <w:t>XS3077177353</w:t>
            </w:r>
            <w:bookmarkEnd w:id="322"/>
            <w:r w:rsidRPr="003B6A20">
              <w:rPr>
                <w:szCs w:val="19"/>
                <w:lang w:val="fr-FR"/>
              </w:rPr>
              <w:br/>
              <w:t>Common Code:</w:t>
            </w:r>
            <w:r w:rsidRPr="003B6A20">
              <w:rPr>
                <w:rFonts w:asciiTheme="minorHAnsi" w:hAnsiTheme="minorHAnsi" w:cstheme="minorHAnsi"/>
                <w:szCs w:val="19"/>
                <w:lang w:val="fr-FR"/>
              </w:rPr>
              <w:tab/>
            </w:r>
            <w:r w:rsidR="006930C7" w:rsidRPr="003B6A20">
              <w:rPr>
                <w:szCs w:val="19"/>
                <w:lang w:val="fr-FR"/>
              </w:rPr>
              <w:t>307717735</w:t>
            </w:r>
            <w:r w:rsidRPr="003B6A20">
              <w:rPr>
                <w:szCs w:val="19"/>
                <w:lang w:val="fr-FR"/>
              </w:rPr>
              <w:b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szCs w:val="19"/>
                <w:lang w:val="fr-FR"/>
              </w:rPr>
              <w:b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szCs w:val="19"/>
              </w:rPr>
              <w:t>COMPARTMENT LEA/VARASST BKD 2034052</w:t>
            </w:r>
          </w:p>
        </w:tc>
      </w:tr>
      <w:tr w:rsidR="009F6E91" w:rsidRPr="00C9376B" w14:paraId="1F2AB0BD" w14:textId="77777777" w:rsidTr="008D119B">
        <w:tc>
          <w:tcPr>
            <w:tcW w:w="2321" w:type="dxa"/>
          </w:tcPr>
          <w:p w14:paraId="3CF268AD" w14:textId="77777777" w:rsidR="009F6E91" w:rsidRPr="00D427D8" w:rsidRDefault="009F6E91" w:rsidP="00505F1F">
            <w:pPr>
              <w:rPr>
                <w:szCs w:val="19"/>
              </w:rPr>
            </w:pPr>
            <w:r w:rsidRPr="00D427D8">
              <w:rPr>
                <w:szCs w:val="19"/>
              </w:rPr>
              <w:t>Class F Notes</w:t>
            </w:r>
          </w:p>
        </w:tc>
        <w:tc>
          <w:tcPr>
            <w:tcW w:w="5725" w:type="dxa"/>
          </w:tcPr>
          <w:p w14:paraId="3AA676DC" w14:textId="5635B8C9" w:rsidR="009F6E91" w:rsidRPr="003B6A20" w:rsidRDefault="009F6E91" w:rsidP="00B165CC">
            <w:pPr>
              <w:rPr>
                <w:szCs w:val="19"/>
                <w:lang w:val="fr-FR"/>
              </w:rPr>
            </w:pPr>
            <w:r w:rsidRPr="003B6A20">
              <w:rPr>
                <w:szCs w:val="19"/>
                <w:lang w:val="fr-FR"/>
              </w:rPr>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bookmarkStart w:id="323" w:name="_Hlk200136925"/>
            <w:r w:rsidR="006930C7" w:rsidRPr="003B6A20">
              <w:rPr>
                <w:szCs w:val="19"/>
                <w:lang w:val="fr-FR"/>
              </w:rPr>
              <w:t>XS3077177601</w:t>
            </w:r>
            <w:bookmarkEnd w:id="323"/>
            <w:r w:rsidRPr="003B6A20">
              <w:rPr>
                <w:szCs w:val="19"/>
                <w:lang w:val="fr-FR"/>
              </w:rPr>
              <w:br/>
              <w:t>Common Code:</w:t>
            </w:r>
            <w:r w:rsidRPr="003B6A20">
              <w:rPr>
                <w:rFonts w:asciiTheme="minorHAnsi" w:hAnsiTheme="minorHAnsi" w:cstheme="minorHAnsi"/>
                <w:szCs w:val="19"/>
                <w:lang w:val="fr-FR"/>
              </w:rPr>
              <w:tab/>
            </w:r>
            <w:r w:rsidR="006930C7" w:rsidRPr="003B6A20">
              <w:rPr>
                <w:szCs w:val="19"/>
                <w:lang w:val="fr-FR"/>
              </w:rPr>
              <w:t>307717760</w:t>
            </w:r>
            <w:r w:rsidRPr="003B6A20">
              <w:rPr>
                <w:szCs w:val="19"/>
                <w:lang w:val="fr-FR"/>
              </w:rPr>
              <w:b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szCs w:val="19"/>
                <w:lang w:val="fr-FR"/>
              </w:rPr>
              <w:b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szCs w:val="19"/>
              </w:rPr>
              <w:t>COMPARTMENT LEA/VARASST BKD 2034052</w:t>
            </w:r>
          </w:p>
        </w:tc>
      </w:tr>
      <w:tr w:rsidR="009F6E91" w:rsidRPr="00C9376B" w14:paraId="77EC150B" w14:textId="77777777" w:rsidTr="008D119B">
        <w:tc>
          <w:tcPr>
            <w:tcW w:w="2321" w:type="dxa"/>
          </w:tcPr>
          <w:p w14:paraId="43CAFBD5" w14:textId="77777777" w:rsidR="009F6E91" w:rsidRPr="00D427D8" w:rsidRDefault="009F6E91" w:rsidP="00505F1F">
            <w:pPr>
              <w:rPr>
                <w:szCs w:val="19"/>
              </w:rPr>
            </w:pPr>
            <w:r w:rsidRPr="00D427D8">
              <w:rPr>
                <w:szCs w:val="19"/>
              </w:rPr>
              <w:t>Class G Notes</w:t>
            </w:r>
          </w:p>
        </w:tc>
        <w:tc>
          <w:tcPr>
            <w:tcW w:w="5725" w:type="dxa"/>
          </w:tcPr>
          <w:p w14:paraId="5D2BE48E" w14:textId="3E58263D" w:rsidR="009F6E91" w:rsidRPr="003B6A20" w:rsidRDefault="009F6E91" w:rsidP="0038700D">
            <w:pPr>
              <w:rPr>
                <w:szCs w:val="19"/>
                <w:lang w:val="fr-FR"/>
              </w:rPr>
            </w:pPr>
            <w:r w:rsidRPr="003B6A20">
              <w:rPr>
                <w:szCs w:val="19"/>
                <w:lang w:val="fr-FR"/>
              </w:rPr>
              <w:t>ISIN: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bookmarkStart w:id="324" w:name="_Hlk200136937"/>
            <w:r w:rsidR="006930C7" w:rsidRPr="003B6A20">
              <w:rPr>
                <w:szCs w:val="19"/>
                <w:lang w:val="fr-FR"/>
              </w:rPr>
              <w:t>XS3077177866</w:t>
            </w:r>
            <w:bookmarkEnd w:id="324"/>
            <w:r w:rsidRPr="003B6A20">
              <w:rPr>
                <w:szCs w:val="19"/>
                <w:lang w:val="fr-FR"/>
              </w:rPr>
              <w:br/>
              <w:t>Common Code:</w:t>
            </w:r>
            <w:r w:rsidRPr="003B6A20">
              <w:rPr>
                <w:rFonts w:asciiTheme="minorHAnsi" w:hAnsiTheme="minorHAnsi" w:cstheme="minorHAnsi"/>
                <w:szCs w:val="19"/>
                <w:lang w:val="fr-FR"/>
              </w:rPr>
              <w:tab/>
            </w:r>
            <w:r w:rsidR="006930C7" w:rsidRPr="003B6A20">
              <w:rPr>
                <w:szCs w:val="19"/>
                <w:lang w:val="fr-FR"/>
              </w:rPr>
              <w:t>307717786</w:t>
            </w:r>
            <w:r w:rsidRPr="003B6A20">
              <w:rPr>
                <w:szCs w:val="19"/>
                <w:lang w:val="fr-FR"/>
              </w:rPr>
              <w:br/>
              <w:t>CFI:</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3B6A20">
              <w:rPr>
                <w:szCs w:val="19"/>
                <w:lang w:val="fr-FR"/>
              </w:rPr>
              <w:t>DAVNFB</w:t>
            </w:r>
            <w:r w:rsidRPr="003B6A20">
              <w:rPr>
                <w:szCs w:val="19"/>
                <w:lang w:val="fr-FR"/>
              </w:rPr>
              <w:br/>
              <w:t>FISN:</w:t>
            </w:r>
            <w:r w:rsidRPr="003B6A20">
              <w:rPr>
                <w:rFonts w:asciiTheme="minorHAnsi" w:hAnsiTheme="minorHAnsi" w:cstheme="minorHAnsi"/>
                <w:szCs w:val="19"/>
                <w:lang w:val="fr-FR"/>
              </w:rPr>
              <w:tab/>
            </w:r>
            <w:r w:rsidRPr="003B6A20">
              <w:rPr>
                <w:rFonts w:asciiTheme="minorHAnsi" w:hAnsiTheme="minorHAnsi" w:cstheme="minorHAnsi"/>
                <w:szCs w:val="19"/>
                <w:lang w:val="fr-FR"/>
              </w:rPr>
              <w:tab/>
            </w:r>
            <w:r w:rsidR="00C9376B" w:rsidRPr="00C9376B">
              <w:rPr>
                <w:szCs w:val="19"/>
              </w:rPr>
              <w:t>COMPARTMENT LEA/VARASST BKD 2034052</w:t>
            </w:r>
          </w:p>
        </w:tc>
      </w:tr>
    </w:tbl>
    <w:p w14:paraId="36F031B2" w14:textId="77777777" w:rsidR="009F6E91" w:rsidRPr="00D427D8" w:rsidRDefault="009F6E91" w:rsidP="009F6E91">
      <w:pPr>
        <w:pStyle w:val="Body1"/>
      </w:pPr>
      <w:r w:rsidRPr="00D427D8">
        <w:t xml:space="preserve">The address </w:t>
      </w:r>
      <w:r w:rsidRPr="00D427D8">
        <w:rPr>
          <w:color w:val="000000" w:themeColor="text1"/>
          <w:lang w:val="en-US"/>
        </w:rPr>
        <w:t xml:space="preserve">of Euroclear is </w:t>
      </w:r>
      <w:r w:rsidRPr="00D427D8">
        <w:t>1 Boulevard de Roi Albert II, 1210 Brussels, Belgium. The address of Clearstream is 42 Avenue J.F. Kennedy, L-1855 Luxembourg, Luxembourg.</w:t>
      </w:r>
    </w:p>
    <w:p w14:paraId="37AF4651" w14:textId="77777777" w:rsidR="009F6E91" w:rsidRPr="00D427D8" w:rsidRDefault="009F6E91" w:rsidP="009F6E91">
      <w:pPr>
        <w:pStyle w:val="Body1"/>
        <w:rPr>
          <w:rStyle w:val="Heading1Text"/>
        </w:rPr>
      </w:pPr>
      <w:r w:rsidRPr="00D427D8">
        <w:rPr>
          <w:rStyle w:val="Heading1Text"/>
        </w:rPr>
        <w:t>Assets Backing the Notes</w:t>
      </w:r>
    </w:p>
    <w:p w14:paraId="5A29644C" w14:textId="735954F2" w:rsidR="009F6E91" w:rsidRPr="00D427D8" w:rsidRDefault="009F6E91" w:rsidP="009F6E91">
      <w:pPr>
        <w:pStyle w:val="Body1"/>
      </w:pPr>
      <w:r w:rsidRPr="00D427D8">
        <w:t xml:space="preserve">The Issuer confirms that the assets backing the issue of the Notes, taken together with the other arrangements to be entered into by the Issuer on or around the Closing Date (including those described under the headings </w:t>
      </w:r>
      <w:r w:rsidR="00EF7333" w:rsidRPr="00D427D8">
        <w:t>"</w:t>
      </w:r>
      <w:r w:rsidRPr="00D427D8">
        <w:rPr>
          <w:i/>
        </w:rPr>
        <w:t>Description of Certain Transaction Documents</w:t>
      </w:r>
      <w:r w:rsidR="00EF7333" w:rsidRPr="00D427D8">
        <w:t>"</w:t>
      </w:r>
      <w:r w:rsidRPr="00D427D8">
        <w:t xml:space="preserve"> as well as </w:t>
      </w:r>
      <w:r w:rsidR="00EF7333" w:rsidRPr="00D427D8">
        <w:t>"</w:t>
      </w:r>
      <w:r w:rsidRPr="00D427D8">
        <w:rPr>
          <w:i/>
        </w:rPr>
        <w:t>General Credit Structure</w:t>
      </w:r>
      <w:r w:rsidR="00EF7333" w:rsidRPr="00D427D8">
        <w:t>"</w:t>
      </w:r>
      <w:r w:rsidRPr="00D427D8">
        <w:t>), have characteristics that demonstrate capacity to produce funds to service any payments due and payable under the Notes.</w:t>
      </w:r>
    </w:p>
    <w:p w14:paraId="00F98D68" w14:textId="77777777" w:rsidR="009F6E91" w:rsidRPr="00D427D8" w:rsidRDefault="009F6E91" w:rsidP="009F6E91">
      <w:pPr>
        <w:pStyle w:val="Body1"/>
      </w:pPr>
      <w:r w:rsidRPr="00D427D8">
        <w:t>However, investors are advised that this confirmation is based on the information available to the Issuer at the date of this Prospectus. Consequently investors are advised to review carefully the disclosure in the Prospectus together with any amendments or supplements thereto.</w:t>
      </w:r>
    </w:p>
    <w:p w14:paraId="00B28170" w14:textId="77777777" w:rsidR="009F6E91" w:rsidRPr="00D427D8" w:rsidRDefault="009F6E91" w:rsidP="009F6E91">
      <w:pPr>
        <w:pStyle w:val="Body1"/>
        <w:rPr>
          <w:rStyle w:val="Heading1Text"/>
        </w:rPr>
      </w:pPr>
      <w:r w:rsidRPr="00D427D8">
        <w:rPr>
          <w:rStyle w:val="Heading1Text"/>
        </w:rPr>
        <w:t>Post-Issuance Reporting</w:t>
      </w:r>
    </w:p>
    <w:p w14:paraId="5B1C5112" w14:textId="77777777" w:rsidR="009F6E91" w:rsidRPr="00D427D8" w:rsidRDefault="009F6E91" w:rsidP="009F6E91">
      <w:pPr>
        <w:pStyle w:val="Body1"/>
      </w:pPr>
      <w:r w:rsidRPr="00D427D8">
        <w:lastRenderedPageBreak/>
        <w:t xml:space="preserve">Save for the Monthly Investor Reports, the Issuer does not intend to provide post-issuance transaction information regarding the Notes and the performance of the underlying collateral. Stellantis Bank will prepare Monthly Investor Reports and will publish them on the EU Securitisation Repository Website at </w:t>
      </w:r>
      <w:r w:rsidRPr="00D427D8">
        <w:rPr>
          <w:iCs/>
        </w:rPr>
        <w:t>(https://www.eurodw.eu/)</w:t>
      </w:r>
      <w:r w:rsidRPr="00D427D8">
        <w:t>.</w:t>
      </w:r>
    </w:p>
    <w:p w14:paraId="685F0B65" w14:textId="77777777" w:rsidR="009F6E91" w:rsidRPr="00D427D8" w:rsidRDefault="009F6E91" w:rsidP="00EF7333">
      <w:pPr>
        <w:pStyle w:val="Body1"/>
        <w:rPr>
          <w:rStyle w:val="Heading1Text"/>
        </w:rPr>
      </w:pPr>
      <w:r w:rsidRPr="00D427D8">
        <w:rPr>
          <w:rStyle w:val="Heading1Text"/>
        </w:rPr>
        <w:t>Miscellaneous</w:t>
      </w:r>
    </w:p>
    <w:p w14:paraId="214509D8" w14:textId="77777777" w:rsidR="009F6E91" w:rsidRPr="00D427D8" w:rsidRDefault="009F6E91" w:rsidP="009F6E91">
      <w:pPr>
        <w:pStyle w:val="Body1"/>
      </w:pPr>
      <w:r w:rsidRPr="00D427D8">
        <w:t>No website referred to herein forms part of this Prospectus for the purposes of listing of the Notes on the official list of the Luxembourg Stock Exchange.</w:t>
      </w:r>
    </w:p>
    <w:p w14:paraId="70976960" w14:textId="77777777" w:rsidR="009F6E91" w:rsidRPr="00D427D8" w:rsidRDefault="009F6E91" w:rsidP="009F6E91">
      <w:pPr>
        <w:pStyle w:val="Body1"/>
      </w:pPr>
      <w:r w:rsidRPr="00D427D8">
        <w:t>The language of the Prospectus is English. Any foreign language text that is included with or within this document has been included for convenience purposes only and does not form part of the Prospectus.</w:t>
      </w:r>
    </w:p>
    <w:p w14:paraId="7BB273C5" w14:textId="77777777" w:rsidR="009F6E91" w:rsidRPr="00D427D8" w:rsidRDefault="009F6E91" w:rsidP="00EF7333">
      <w:pPr>
        <w:pStyle w:val="Body1"/>
        <w:rPr>
          <w:rStyle w:val="Heading1Text"/>
        </w:rPr>
      </w:pPr>
      <w:r w:rsidRPr="00D427D8">
        <w:rPr>
          <w:rStyle w:val="Heading1Text"/>
        </w:rPr>
        <w:t>Limited Recourse</w:t>
      </w:r>
    </w:p>
    <w:p w14:paraId="08103BFD" w14:textId="77777777" w:rsidR="009F6E91" w:rsidRPr="00D427D8" w:rsidRDefault="009F6E91" w:rsidP="009F6E91">
      <w:pPr>
        <w:pStyle w:val="Body1"/>
        <w:rPr>
          <w:szCs w:val="19"/>
        </w:rPr>
      </w:pPr>
      <w:r w:rsidRPr="00D427D8">
        <w:t xml:space="preserve">Each Transaction Party has agreed with the Issuer that notwithstanding any other provision of any Transaction Document, all obligations of the Issuer, respectively, to such Transaction Party are limited in recourse as set out in </w:t>
      </w:r>
      <w:r w:rsidRPr="00D427D8">
        <w:rPr>
          <w:szCs w:val="19"/>
        </w:rPr>
        <w:t>clause </w:t>
      </w:r>
      <w:bookmarkStart w:id="325" w:name="_Hlk167266331"/>
      <w:r w:rsidRPr="00D427D8">
        <w:rPr>
          <w:szCs w:val="19"/>
        </w:rPr>
        <w:t>16</w:t>
      </w:r>
      <w:bookmarkEnd w:id="325"/>
      <w:r w:rsidRPr="00D427D8">
        <w:rPr>
          <w:szCs w:val="19"/>
        </w:rPr>
        <w:t xml:space="preserve"> (</w:t>
      </w:r>
      <w:r w:rsidRPr="00D427D8">
        <w:rPr>
          <w:i/>
          <w:szCs w:val="19"/>
        </w:rPr>
        <w:t>Non Petition and Limited Recourse</w:t>
      </w:r>
      <w:r w:rsidRPr="00D427D8">
        <w:rPr>
          <w:szCs w:val="19"/>
        </w:rPr>
        <w:t>) of the Master Agreement</w:t>
      </w:r>
      <w:r w:rsidRPr="00D427D8">
        <w:t>.</w:t>
      </w:r>
    </w:p>
    <w:p w14:paraId="71DA1048" w14:textId="77777777" w:rsidR="009F6E91" w:rsidRPr="00D427D8" w:rsidRDefault="009F6E91" w:rsidP="00EF7333">
      <w:pPr>
        <w:pStyle w:val="Body1"/>
        <w:rPr>
          <w:rStyle w:val="Heading1Text"/>
        </w:rPr>
      </w:pPr>
      <w:bookmarkStart w:id="326" w:name="_Hlk158740703"/>
      <w:r w:rsidRPr="00D427D8">
        <w:rPr>
          <w:rStyle w:val="Heading1Text"/>
        </w:rPr>
        <w:t>Article 7 and Article 22 of the EU Securitisation Regulation</w:t>
      </w:r>
    </w:p>
    <w:p w14:paraId="55AF7CE9" w14:textId="77777777" w:rsidR="009F6E91" w:rsidRPr="00D427D8" w:rsidRDefault="009F6E91" w:rsidP="009F6E91">
      <w:pPr>
        <w:pStyle w:val="Body1"/>
      </w:pPr>
      <w:bookmarkStart w:id="327" w:name="_Hlk158740954"/>
      <w:r w:rsidRPr="00D427D8">
        <w:t xml:space="preserve">For the purposes of Article 7 and Article 22 of the EU Securitisation Regulation, Stellantis Bank in its capacity as originator as designated reporting entity pursuant to Article 7 of the EU Securitisation Regulation confirms and (where applicable) will make available the following information on the EU Securitisation Repository Website at </w:t>
      </w:r>
      <w:r w:rsidRPr="00D427D8">
        <w:rPr>
          <w:iCs/>
        </w:rPr>
        <w:t>(https://www.eurodw.eu/)</w:t>
      </w:r>
      <w:r w:rsidRPr="00D427D8">
        <w:t>:</w:t>
      </w:r>
    </w:p>
    <w:bookmarkEnd w:id="327"/>
    <w:p w14:paraId="4857E012" w14:textId="40CC6FE5" w:rsidR="009F6E91" w:rsidRPr="00D427D8" w:rsidRDefault="009F6E91" w:rsidP="00C8283A">
      <w:pPr>
        <w:pStyle w:val="Level3"/>
        <w:numPr>
          <w:ilvl w:val="2"/>
          <w:numId w:val="50"/>
        </w:numPr>
        <w:rPr>
          <w:u w:val="single"/>
        </w:rPr>
      </w:pPr>
      <w:r w:rsidRPr="00D427D8">
        <w:t xml:space="preserve">before pricing of the Notes, for the purpose of compliance with Article 22(1) of the EU Securitisation Regulation, the Servicer will make available to investors and potential investors information on static and dynamic historical default and loss performance, for a period of at least 5 years. In this regard, see the section </w:t>
      </w:r>
      <w:r w:rsidR="00EF7333" w:rsidRPr="00D427D8">
        <w:t>"</w:t>
      </w:r>
      <w:r w:rsidRPr="00D427D8">
        <w:rPr>
          <w:i/>
        </w:rPr>
        <w:t>Performance Charts</w:t>
      </w:r>
      <w:r w:rsidR="00EF7333" w:rsidRPr="00D427D8">
        <w:t>"</w:t>
      </w:r>
      <w:r w:rsidRPr="00D427D8">
        <w:t xml:space="preserve"> of this Prospectus;</w:t>
      </w:r>
    </w:p>
    <w:p w14:paraId="6E3BDBD1" w14:textId="12497B9A" w:rsidR="009F6E91" w:rsidRPr="00D427D8" w:rsidRDefault="009F6E91" w:rsidP="00141A76">
      <w:pPr>
        <w:pStyle w:val="Level3"/>
      </w:pPr>
      <w:r w:rsidRPr="00D427D8">
        <w:t>for the purpose of compliance with Article 22(2) of the EU Securitisation Regulation, the Servicer confirms that an independent third party has performed agreed upon procedures on a statistical sample randomly selected out of the Seller</w:t>
      </w:r>
      <w:r w:rsidR="00EF7333" w:rsidRPr="00D427D8">
        <w:t>'</w:t>
      </w:r>
      <w:r w:rsidRPr="00D427D8">
        <w:t xml:space="preserve">s eligible lease receivables and expectancy rights (in existence on </w:t>
      </w:r>
      <w:r w:rsidR="00234F56">
        <w:t>11 February 2025</w:t>
      </w:r>
      <w:r w:rsidR="00234F56" w:rsidRPr="00D427D8">
        <w:t xml:space="preserve">) </w:t>
      </w:r>
      <w:r w:rsidRPr="00D427D8">
        <w:t xml:space="preserve">for the securitisation transaction. The size of the sample has been determined on the basis of a confidence level of </w:t>
      </w:r>
      <w:r w:rsidR="007D7AF6" w:rsidRPr="00D427D8">
        <w:t>9</w:t>
      </w:r>
      <w:r w:rsidR="007D7AF6">
        <w:t>9</w:t>
      </w:r>
      <w:r w:rsidRPr="00D427D8">
        <w:t xml:space="preserve">% and a maximum error rate of </w:t>
      </w:r>
      <w:r w:rsidR="007D7AF6">
        <w:t>1</w:t>
      </w:r>
      <w:r w:rsidRPr="00D427D8">
        <w:t xml:space="preserve">%. The procedures tested certain eligibility criteria as well as the consistency of data as recorded in the systems of the Seller with the data as provided for in the underlying auto loan contracts. The Servicer confirms no significant adverse findings have been found. The independent party has also performed agreed upon procedures on the data included in the stratification tables in the section </w:t>
      </w:r>
      <w:r w:rsidR="00EF7333" w:rsidRPr="00D427D8">
        <w:t>"</w:t>
      </w:r>
      <w:r w:rsidRPr="00D427D8">
        <w:t>Characteristics of the Receivables</w:t>
      </w:r>
      <w:r w:rsidR="00EF7333" w:rsidRPr="00D427D8">
        <w:t>"</w:t>
      </w:r>
      <w:r w:rsidRPr="00D427D8">
        <w:t>. The Servicer confirms no significant adverse findings have been found. Based on the review by the independent party, the Servicer confirms that to the best of its knowledge such information is in accordance with the facts and does not omit anything likely to affect its import;</w:t>
      </w:r>
    </w:p>
    <w:p w14:paraId="096CD37F" w14:textId="09FED098" w:rsidR="009F6E91" w:rsidRPr="00D427D8" w:rsidRDefault="009F6E91" w:rsidP="00141A76">
      <w:pPr>
        <w:pStyle w:val="Level3"/>
      </w:pPr>
      <w:r w:rsidRPr="00D427D8">
        <w:t>before pricing of the Notes, for the purpose of compliance with Article 22(3) of the EU Securitisation Regulation, the Servicer will make available a cashflow liability model of the Securitisation on Bloomberg and Intex. Such cashflow model will be available after the Closing Date to investors on an ongoing basis and to potential investors on request;</w:t>
      </w:r>
    </w:p>
    <w:p w14:paraId="2EFA5846" w14:textId="0F95090D" w:rsidR="009F6E91" w:rsidRPr="00D427D8" w:rsidRDefault="009F6E91" w:rsidP="00141A76">
      <w:pPr>
        <w:pStyle w:val="Level3"/>
      </w:pPr>
      <w:r w:rsidRPr="00D427D8">
        <w:t xml:space="preserve">before pricing of the Notes and within 15 days of the Closing Date, for the purposes of compliance with Article 22(5) and Article 7(1)(b) of the EU Securitisation Regulation, the Servicer will make available the Transaction Documents (except for the Notes Subscription Agreement) and the Prospectus. It is not possible to make final documentation available before pricing of the Notes and so the Servicer has made the Prospectus and draft Transaction Documents on the EU Securitisation Repository Website at </w:t>
      </w:r>
      <w:r w:rsidRPr="00D427D8">
        <w:rPr>
          <w:iCs/>
        </w:rPr>
        <w:t>(https://www.eurodw.eu/)</w:t>
      </w:r>
      <w:r w:rsidRPr="00D427D8">
        <w:t>. Such Transaction Documents in final form will be available after the Closing Date to investors on an ongoing basis and to potential investors on request;</w:t>
      </w:r>
    </w:p>
    <w:p w14:paraId="5519448E" w14:textId="6388E32E" w:rsidR="009F6E91" w:rsidRPr="00D427D8" w:rsidRDefault="009F6E91" w:rsidP="00141A76">
      <w:pPr>
        <w:pStyle w:val="Level3"/>
      </w:pPr>
      <w:r w:rsidRPr="00D427D8">
        <w:t xml:space="preserve">before pricing of the Notes in initial form and on or around the Closing Date in final form, for the purposes of compliance with Article 7(1)(d) of the EU Securitisation Regulation, the Servicer will make available the STS notification referred to in Article 27 of the EU Securitisation Regulation on the EU Securitisation Repository Website at </w:t>
      </w:r>
      <w:r w:rsidRPr="00D427D8">
        <w:rPr>
          <w:iCs/>
        </w:rPr>
        <w:t>(https://www.eurodw.eu/)</w:t>
      </w:r>
      <w:r w:rsidRPr="00D427D8">
        <w:t>;</w:t>
      </w:r>
    </w:p>
    <w:p w14:paraId="4567CE3B" w14:textId="1580430A" w:rsidR="009F6E91" w:rsidRPr="00D427D8" w:rsidRDefault="009F6E91" w:rsidP="00141A76">
      <w:pPr>
        <w:pStyle w:val="Level3"/>
      </w:pPr>
      <w:r w:rsidRPr="00D427D8">
        <w:lastRenderedPageBreak/>
        <w:t>for the purposes of Article 7(1)(a) of the EU Securitisation Regulation, information on the Receivables by means of loan level data will be made available before pricing of the Notes. On a monthly basis, and for the purposes of Article 7(1)(a) and (e), Stellantis Bank will make simultaneously available information on the Receivables in the Monthly Investor Report and the loan level data in accordance with the Securitisation Regulation (EU) Disclosure Requirements;</w:t>
      </w:r>
    </w:p>
    <w:p w14:paraId="3A5F94AF" w14:textId="74989C9D" w:rsidR="009F6E91" w:rsidRPr="00D427D8" w:rsidRDefault="009F6E91" w:rsidP="00141A76">
      <w:pPr>
        <w:pStyle w:val="Level3"/>
      </w:pPr>
      <w:r w:rsidRPr="00D427D8">
        <w:t>for the purposes of Article 7(1)(f) of the EU Securitisation Regulation the Issuer will, without delay, publish any inside information relating to the Securitisation;</w:t>
      </w:r>
    </w:p>
    <w:p w14:paraId="7FD7E2F3" w14:textId="1DBD25E7" w:rsidR="009F6E91" w:rsidRPr="00D427D8" w:rsidRDefault="009F6E91" w:rsidP="00141A76">
      <w:pPr>
        <w:pStyle w:val="Level3"/>
      </w:pPr>
      <w:r w:rsidRPr="00D427D8">
        <w:t>for the purposes of Article 7(1)(g) of the EU Securitisation Regulation and pursuant to its obligation to comply with the Securitisation Regulation (EU) Disclosure Requirements, the Servicer will, without delay, publish information in respect of any significant event such as (i) a material breach of the obligations laid down in the Transaction Documents, (ii) a change in the structural features that can materially impact the performance of the securitisation, (iii) a change in the risk characteristics of the Securitisation or the Receivables that can materially impact the performance of the securitisation, (iv) if the Securitisation ceases to meet the STS requirements or if competent authorities have taken remedial or administrative actions and (v) any material amendments to the Transaction Documents.</w:t>
      </w:r>
    </w:p>
    <w:bookmarkEnd w:id="326"/>
    <w:p w14:paraId="182A7B44" w14:textId="77777777" w:rsidR="009F6E91" w:rsidRPr="00D427D8" w:rsidRDefault="009F6E91" w:rsidP="00EF7333">
      <w:pPr>
        <w:pStyle w:val="Body1"/>
      </w:pPr>
      <w:r w:rsidRPr="00D427D8">
        <w:br w:type="page"/>
      </w:r>
    </w:p>
    <w:tbl>
      <w:tblPr>
        <w:tblW w:w="0" w:type="auto"/>
        <w:tblCellMar>
          <w:left w:w="10" w:type="dxa"/>
          <w:right w:w="10" w:type="dxa"/>
        </w:tblCellMar>
        <w:tblLook w:val="04A0" w:firstRow="1" w:lastRow="0" w:firstColumn="1" w:lastColumn="0" w:noHBand="0" w:noVBand="1"/>
      </w:tblPr>
      <w:tblGrid>
        <w:gridCol w:w="9071"/>
      </w:tblGrid>
      <w:tr w:rsidR="009F6E91" w:rsidRPr="00D427D8" w14:paraId="75F57FE5" w14:textId="77777777" w:rsidTr="00B51FD3">
        <w:tc>
          <w:tcPr>
            <w:tcW w:w="9071" w:type="dxa"/>
          </w:tcPr>
          <w:p w14:paraId="30C7A444" w14:textId="77777777" w:rsidR="009F6E91" w:rsidRPr="00D427D8" w:rsidRDefault="009F6E91" w:rsidP="00991ABA">
            <w:pPr>
              <w:spacing w:before="60" w:after="60"/>
              <w:jc w:val="center"/>
              <w:rPr>
                <w:b/>
                <w:szCs w:val="19"/>
              </w:rPr>
            </w:pPr>
            <w:r w:rsidRPr="00D427D8">
              <w:rPr>
                <w:b/>
                <w:szCs w:val="19"/>
              </w:rPr>
              <w:lastRenderedPageBreak/>
              <w:t>PARTIES</w:t>
            </w:r>
          </w:p>
        </w:tc>
      </w:tr>
      <w:tr w:rsidR="009F6E91" w:rsidRPr="00D427D8" w14:paraId="36D2FF27" w14:textId="77777777" w:rsidTr="00B51FD3">
        <w:tc>
          <w:tcPr>
            <w:tcW w:w="9071" w:type="dxa"/>
          </w:tcPr>
          <w:p w14:paraId="6638610F" w14:textId="77777777" w:rsidR="009F6E91" w:rsidRPr="00D427D8" w:rsidRDefault="009F6E91" w:rsidP="006C7111">
            <w:pPr>
              <w:spacing w:before="60" w:after="60"/>
              <w:jc w:val="center"/>
              <w:rPr>
                <w:b/>
                <w:bCs/>
                <w:szCs w:val="19"/>
              </w:rPr>
            </w:pPr>
            <w:r w:rsidRPr="00D427D8">
              <w:rPr>
                <w:b/>
                <w:szCs w:val="19"/>
              </w:rPr>
              <w:t>THE ISSUER</w:t>
            </w:r>
            <w:r w:rsidRPr="00D427D8">
              <w:rPr>
                <w:rFonts w:asciiTheme="minorHAnsi" w:hAnsiTheme="minorHAnsi" w:cstheme="minorHAnsi"/>
                <w:b/>
                <w:szCs w:val="19"/>
              </w:rPr>
              <w:br/>
            </w:r>
            <w:r w:rsidRPr="00D427D8">
              <w:rPr>
                <w:b/>
                <w:bCs/>
                <w:szCs w:val="19"/>
              </w:rPr>
              <w:t>ECARAT DE S.A., acting on behalf and for the account of its Compartment Lease 2025-1</w:t>
            </w:r>
          </w:p>
          <w:p w14:paraId="1BF079CF" w14:textId="77777777" w:rsidR="009F6E91" w:rsidRPr="00D427D8" w:rsidRDefault="009F6E91" w:rsidP="006C7111">
            <w:pPr>
              <w:spacing w:before="60" w:after="60"/>
              <w:jc w:val="center"/>
              <w:rPr>
                <w:szCs w:val="19"/>
              </w:rPr>
            </w:pPr>
            <w:r w:rsidRPr="00D427D8">
              <w:rPr>
                <w:szCs w:val="19"/>
              </w:rPr>
              <w:t>12C, rue Guillaume Kroll</w:t>
            </w:r>
          </w:p>
          <w:p w14:paraId="737DA940" w14:textId="77777777" w:rsidR="009F6E91" w:rsidRPr="00D427D8" w:rsidRDefault="009F6E91" w:rsidP="00A65706">
            <w:pPr>
              <w:spacing w:before="60" w:after="60"/>
              <w:jc w:val="center"/>
              <w:rPr>
                <w:b/>
                <w:szCs w:val="19"/>
              </w:rPr>
            </w:pPr>
            <w:r w:rsidRPr="00D427D8">
              <w:rPr>
                <w:szCs w:val="19"/>
              </w:rPr>
              <w:t>L-1882 Luxembourg</w:t>
            </w:r>
            <w:r w:rsidRPr="00D427D8">
              <w:rPr>
                <w:rFonts w:asciiTheme="minorHAnsi" w:hAnsiTheme="minorHAnsi" w:cstheme="minorHAnsi"/>
                <w:szCs w:val="19"/>
              </w:rPr>
              <w:br/>
            </w:r>
            <w:r w:rsidRPr="00D427D8">
              <w:rPr>
                <w:szCs w:val="19"/>
              </w:rPr>
              <w:t>Grand Duchy of Luxembourg</w:t>
            </w:r>
          </w:p>
        </w:tc>
      </w:tr>
      <w:tr w:rsidR="009F6E91" w:rsidRPr="00D427D8" w14:paraId="4FEF1C65" w14:textId="77777777" w:rsidTr="00B51FD3">
        <w:tc>
          <w:tcPr>
            <w:tcW w:w="9071" w:type="dxa"/>
          </w:tcPr>
          <w:p w14:paraId="57933B3B" w14:textId="77777777" w:rsidR="009F6E91" w:rsidRPr="00D427D8" w:rsidRDefault="009F6E91" w:rsidP="007F13A1">
            <w:pPr>
              <w:spacing w:before="60" w:after="60"/>
              <w:jc w:val="center"/>
              <w:rPr>
                <w:b/>
                <w:szCs w:val="19"/>
                <w:lang w:val="en-US"/>
              </w:rPr>
            </w:pPr>
            <w:r w:rsidRPr="00D427D8">
              <w:rPr>
                <w:b/>
                <w:szCs w:val="19"/>
                <w:lang w:val="en-US"/>
              </w:rPr>
              <w:t>The Corporate Services Provider</w:t>
            </w:r>
          </w:p>
          <w:p w14:paraId="26247B0F" w14:textId="4D0E2A1B" w:rsidR="009F6E91" w:rsidRPr="00D427D8" w:rsidRDefault="009C2F1E" w:rsidP="00AD7FE6">
            <w:pPr>
              <w:spacing w:before="60" w:after="60"/>
              <w:jc w:val="center"/>
              <w:rPr>
                <w:szCs w:val="19"/>
                <w:lang w:val="en-US"/>
              </w:rPr>
            </w:pPr>
            <w:r w:rsidRPr="00D427D8">
              <w:t>CSC Global Solutions (Luxembourg) S.à r.l.</w:t>
            </w:r>
            <w:r w:rsidR="00F93686" w:rsidRPr="00D427D8">
              <w:br/>
            </w:r>
            <w:r w:rsidR="009F6E91" w:rsidRPr="00D427D8">
              <w:rPr>
                <w:szCs w:val="19"/>
                <w:lang w:val="en-US"/>
              </w:rPr>
              <w:t>28 Boulevard F.W. Raiffeisen</w:t>
            </w:r>
          </w:p>
          <w:p w14:paraId="6091AEE3" w14:textId="73DD48FA" w:rsidR="009F6E91" w:rsidRPr="00D427D8" w:rsidRDefault="009F6E91" w:rsidP="00A65706">
            <w:pPr>
              <w:spacing w:before="60" w:after="60"/>
              <w:jc w:val="center"/>
              <w:rPr>
                <w:b/>
                <w:szCs w:val="19"/>
                <w:lang w:val="en-US"/>
              </w:rPr>
            </w:pPr>
            <w:r w:rsidRPr="00D427D8">
              <w:rPr>
                <w:szCs w:val="19"/>
                <w:lang w:val="en-US"/>
              </w:rPr>
              <w:t>L-2411 Luxembourg</w:t>
            </w:r>
            <w:r w:rsidR="00F93686" w:rsidRPr="00D427D8">
              <w:rPr>
                <w:szCs w:val="19"/>
                <w:lang w:val="en-US"/>
              </w:rPr>
              <w:br/>
            </w:r>
            <w:r w:rsidRPr="00D427D8">
              <w:rPr>
                <w:szCs w:val="19"/>
                <w:lang w:val="en-US"/>
              </w:rPr>
              <w:t>Grand Duchy of Luxembourg</w:t>
            </w:r>
          </w:p>
        </w:tc>
      </w:tr>
      <w:tr w:rsidR="009F6E91" w:rsidRPr="00D427D8" w14:paraId="76316705" w14:textId="77777777" w:rsidTr="00B51FD3">
        <w:tc>
          <w:tcPr>
            <w:tcW w:w="9071" w:type="dxa"/>
          </w:tcPr>
          <w:p w14:paraId="2321380B" w14:textId="77777777" w:rsidR="009F6E91" w:rsidRPr="00D427D8" w:rsidRDefault="009F6E91" w:rsidP="00793994">
            <w:pPr>
              <w:spacing w:before="60" w:after="60"/>
              <w:jc w:val="center"/>
              <w:rPr>
                <w:szCs w:val="19"/>
              </w:rPr>
            </w:pPr>
            <w:r w:rsidRPr="00D427D8">
              <w:rPr>
                <w:b/>
                <w:szCs w:val="19"/>
                <w:lang w:val="en-US"/>
              </w:rPr>
              <w:t>THE SELLER, THE SERVICER, THE LENDER AND THE SUBORDINATED LENDER</w:t>
            </w:r>
            <w:r w:rsidRPr="00D427D8">
              <w:rPr>
                <w:b/>
                <w:szCs w:val="19"/>
                <w:lang w:val="en-US"/>
              </w:rPr>
              <w:br/>
              <w:t>Stellantis Bank, German branch</w:t>
            </w:r>
            <w:r w:rsidRPr="00D427D8">
              <w:rPr>
                <w:rFonts w:asciiTheme="minorHAnsi" w:hAnsiTheme="minorHAnsi" w:cstheme="minorHAnsi"/>
                <w:b/>
                <w:szCs w:val="19"/>
                <w:lang w:val="en-US"/>
              </w:rPr>
              <w:br/>
            </w:r>
            <w:r w:rsidRPr="00D427D8">
              <w:rPr>
                <w:szCs w:val="19"/>
              </w:rPr>
              <w:t>Siemensstraße 10</w:t>
            </w:r>
          </w:p>
          <w:p w14:paraId="4C6FC04F" w14:textId="77777777" w:rsidR="009F6E91" w:rsidRPr="00D427D8" w:rsidRDefault="009F6E91" w:rsidP="00793994">
            <w:pPr>
              <w:spacing w:before="60" w:after="60"/>
              <w:jc w:val="center"/>
              <w:rPr>
                <w:szCs w:val="19"/>
              </w:rPr>
            </w:pPr>
            <w:r w:rsidRPr="00D427D8">
              <w:rPr>
                <w:szCs w:val="19"/>
              </w:rPr>
              <w:t>63263 Neu-Isenburg, Germany</w:t>
            </w:r>
          </w:p>
        </w:tc>
      </w:tr>
      <w:tr w:rsidR="009F6E91" w:rsidRPr="001C3D25" w14:paraId="16C34330" w14:textId="77777777" w:rsidTr="00B51FD3">
        <w:tc>
          <w:tcPr>
            <w:tcW w:w="9071" w:type="dxa"/>
          </w:tcPr>
          <w:p w14:paraId="604A203A" w14:textId="77777777" w:rsidR="009F6E91" w:rsidRPr="00D427D8" w:rsidRDefault="009F6E91" w:rsidP="003A4E1D">
            <w:pPr>
              <w:spacing w:before="60" w:after="60"/>
              <w:jc w:val="center"/>
              <w:rPr>
                <w:b/>
                <w:szCs w:val="19"/>
                <w:lang w:val="fr-FR"/>
              </w:rPr>
            </w:pPr>
            <w:r w:rsidRPr="00D427D8">
              <w:rPr>
                <w:b/>
                <w:szCs w:val="19"/>
                <w:lang w:val="fr-FR"/>
              </w:rPr>
              <w:t>THE ARRANGER</w:t>
            </w:r>
            <w:r w:rsidRPr="00D427D8">
              <w:rPr>
                <w:b/>
                <w:szCs w:val="19"/>
                <w:lang w:val="fr-FR"/>
              </w:rPr>
              <w:br/>
              <w:t>BNP Paribas</w:t>
            </w:r>
            <w:r w:rsidRPr="00D427D8">
              <w:rPr>
                <w:rFonts w:asciiTheme="minorHAnsi" w:hAnsiTheme="minorHAnsi" w:cstheme="minorHAnsi"/>
                <w:b/>
                <w:szCs w:val="19"/>
                <w:lang w:val="fr-FR"/>
              </w:rPr>
              <w:br/>
            </w:r>
            <w:r w:rsidRPr="00D427D8">
              <w:rPr>
                <w:szCs w:val="19"/>
                <w:lang w:val="fr-FR"/>
              </w:rPr>
              <w:t>16 boulevard des Italiens</w:t>
            </w:r>
            <w:r w:rsidRPr="00D427D8">
              <w:rPr>
                <w:szCs w:val="19"/>
                <w:lang w:val="fr-FR"/>
              </w:rPr>
              <w:br/>
              <w:t>75009 Paris, France</w:t>
            </w:r>
          </w:p>
        </w:tc>
      </w:tr>
      <w:tr w:rsidR="009F6E91" w:rsidRPr="00D427D8" w14:paraId="6DB44763" w14:textId="77777777" w:rsidTr="00B51FD3">
        <w:tc>
          <w:tcPr>
            <w:tcW w:w="9071" w:type="dxa"/>
          </w:tcPr>
          <w:p w14:paraId="5BF5546A" w14:textId="18499EEE" w:rsidR="009F6E91" w:rsidRPr="00D427D8" w:rsidRDefault="009F6E91" w:rsidP="00C84D23">
            <w:pPr>
              <w:spacing w:before="60" w:after="60"/>
              <w:jc w:val="center"/>
              <w:rPr>
                <w:szCs w:val="19"/>
                <w:lang w:val="en-US"/>
              </w:rPr>
            </w:pPr>
            <w:r w:rsidRPr="00D427D8">
              <w:rPr>
                <w:b/>
                <w:szCs w:val="19"/>
                <w:lang w:val="en-US"/>
              </w:rPr>
              <w:t>THE LEAD MANAGER</w:t>
            </w:r>
          </w:p>
        </w:tc>
      </w:tr>
      <w:tr w:rsidR="009F6E91" w:rsidRPr="001C3D25" w14:paraId="38587866" w14:textId="77777777" w:rsidTr="008559DB">
        <w:tc>
          <w:tcPr>
            <w:tcW w:w="9071" w:type="dxa"/>
          </w:tcPr>
          <w:p w14:paraId="38239BD9" w14:textId="77777777" w:rsidR="009F6E91" w:rsidRPr="00D427D8" w:rsidRDefault="009F6E91" w:rsidP="00A50451">
            <w:pPr>
              <w:spacing w:before="60" w:after="60"/>
              <w:jc w:val="center"/>
              <w:rPr>
                <w:szCs w:val="19"/>
                <w:lang w:val="fr-FR"/>
              </w:rPr>
            </w:pPr>
            <w:r w:rsidRPr="00D427D8">
              <w:rPr>
                <w:b/>
                <w:szCs w:val="19"/>
                <w:lang w:val="fr-FR"/>
              </w:rPr>
              <w:t>BNP Paribas</w:t>
            </w:r>
            <w:r w:rsidRPr="00D427D8">
              <w:rPr>
                <w:rFonts w:asciiTheme="minorHAnsi" w:hAnsiTheme="minorHAnsi" w:cstheme="minorHAnsi"/>
                <w:b/>
                <w:szCs w:val="19"/>
                <w:lang w:val="fr-FR"/>
              </w:rPr>
              <w:br/>
            </w:r>
            <w:r w:rsidRPr="00D427D8">
              <w:rPr>
                <w:szCs w:val="19"/>
                <w:lang w:val="fr-FR"/>
              </w:rPr>
              <w:t>16 boulevard des Italiens</w:t>
            </w:r>
            <w:r w:rsidRPr="00D427D8">
              <w:rPr>
                <w:szCs w:val="19"/>
                <w:lang w:val="fr-FR"/>
              </w:rPr>
              <w:br/>
              <w:t>75009 Paris, France</w:t>
            </w:r>
          </w:p>
          <w:p w14:paraId="491EA97A" w14:textId="5B62E068" w:rsidR="009F6E91" w:rsidRPr="00431511" w:rsidRDefault="009F6E91" w:rsidP="007F13A1">
            <w:pPr>
              <w:spacing w:before="60" w:after="60"/>
              <w:jc w:val="center"/>
              <w:rPr>
                <w:szCs w:val="19"/>
                <w:lang w:val="fr-FR"/>
              </w:rPr>
            </w:pPr>
          </w:p>
        </w:tc>
      </w:tr>
      <w:tr w:rsidR="009F6E91" w:rsidRPr="00D427D8" w14:paraId="3787749B" w14:textId="77777777" w:rsidTr="00B51FD3">
        <w:tc>
          <w:tcPr>
            <w:tcW w:w="9071" w:type="dxa"/>
          </w:tcPr>
          <w:p w14:paraId="350FBB0B" w14:textId="77777777" w:rsidR="009F6E91" w:rsidRPr="00D427D8" w:rsidRDefault="009F6E91" w:rsidP="00F43916">
            <w:pPr>
              <w:spacing w:before="60" w:after="60"/>
              <w:jc w:val="center"/>
              <w:rPr>
                <w:szCs w:val="19"/>
              </w:rPr>
            </w:pPr>
            <w:r w:rsidRPr="00D427D8">
              <w:rPr>
                <w:b/>
                <w:szCs w:val="19"/>
              </w:rPr>
              <w:t>THE COUNTERPARTY</w:t>
            </w:r>
          </w:p>
        </w:tc>
      </w:tr>
      <w:tr w:rsidR="009F6E91" w:rsidRPr="001C3D25" w14:paraId="1ABFB565" w14:textId="77777777" w:rsidTr="00B51FD3">
        <w:tc>
          <w:tcPr>
            <w:tcW w:w="9071" w:type="dxa"/>
          </w:tcPr>
          <w:p w14:paraId="62912F74" w14:textId="77777777" w:rsidR="009F6E91" w:rsidRPr="00D427D8" w:rsidRDefault="009F6E91" w:rsidP="00CC5484">
            <w:pPr>
              <w:spacing w:before="40"/>
              <w:jc w:val="center"/>
              <w:rPr>
                <w:szCs w:val="19"/>
                <w:lang w:val="fr-FR"/>
              </w:rPr>
            </w:pPr>
            <w:r w:rsidRPr="00D427D8">
              <w:rPr>
                <w:b/>
                <w:szCs w:val="19"/>
                <w:lang w:val="fr-FR"/>
              </w:rPr>
              <w:t>BNP Paribas</w:t>
            </w:r>
            <w:r w:rsidRPr="00D427D8">
              <w:rPr>
                <w:rFonts w:asciiTheme="minorHAnsi" w:hAnsiTheme="minorHAnsi" w:cstheme="minorHAnsi"/>
                <w:b/>
                <w:szCs w:val="19"/>
                <w:lang w:val="fr-FR"/>
              </w:rPr>
              <w:br/>
            </w:r>
            <w:r w:rsidRPr="00D427D8">
              <w:rPr>
                <w:szCs w:val="19"/>
                <w:lang w:val="fr-FR"/>
              </w:rPr>
              <w:t>16 boulevard des Italiens</w:t>
            </w:r>
            <w:r w:rsidRPr="00D427D8">
              <w:rPr>
                <w:szCs w:val="19"/>
                <w:lang w:val="fr-FR"/>
              </w:rPr>
              <w:br/>
              <w:t>75009 Paris, France</w:t>
            </w:r>
          </w:p>
          <w:p w14:paraId="76D66A7A" w14:textId="77777777" w:rsidR="009F6E91" w:rsidRPr="00D427D8" w:rsidRDefault="009F6E91" w:rsidP="00CC5484">
            <w:pPr>
              <w:spacing w:before="40"/>
              <w:jc w:val="center"/>
              <w:rPr>
                <w:rFonts w:asciiTheme="minorHAnsi" w:hAnsiTheme="minorHAnsi" w:cstheme="minorHAnsi"/>
                <w:szCs w:val="19"/>
                <w:lang w:val="fr-FR"/>
              </w:rPr>
            </w:pPr>
          </w:p>
        </w:tc>
      </w:tr>
      <w:tr w:rsidR="009F6E91" w:rsidRPr="00D427D8" w14:paraId="2D5BB8CA" w14:textId="77777777" w:rsidTr="00B51FD3">
        <w:tc>
          <w:tcPr>
            <w:tcW w:w="9071" w:type="dxa"/>
          </w:tcPr>
          <w:p w14:paraId="479EACE5" w14:textId="77777777" w:rsidR="009F6E91" w:rsidRPr="00D427D8" w:rsidRDefault="009F6E91" w:rsidP="00D84D62">
            <w:pPr>
              <w:spacing w:before="60" w:after="60"/>
              <w:jc w:val="center"/>
              <w:rPr>
                <w:b/>
                <w:szCs w:val="19"/>
                <w:lang w:val="en-US"/>
              </w:rPr>
            </w:pPr>
            <w:r w:rsidRPr="00D427D8">
              <w:rPr>
                <w:b/>
                <w:szCs w:val="19"/>
                <w:lang w:val="en-US"/>
              </w:rPr>
              <w:t>THE ACCOUNT BANK</w:t>
            </w:r>
            <w:r w:rsidRPr="00D427D8">
              <w:rPr>
                <w:rFonts w:asciiTheme="minorHAnsi" w:hAnsiTheme="minorHAnsi" w:cstheme="minorHAnsi"/>
                <w:b/>
                <w:szCs w:val="19"/>
                <w:lang w:val="en-US"/>
              </w:rPr>
              <w:br/>
            </w:r>
            <w:r w:rsidRPr="00D427D8">
              <w:rPr>
                <w:b/>
                <w:szCs w:val="19"/>
                <w:lang w:val="en-US"/>
              </w:rPr>
              <w:t>BNP Paribas, Germany Branch</w:t>
            </w:r>
            <w:r w:rsidRPr="00D427D8">
              <w:rPr>
                <w:rFonts w:asciiTheme="minorHAnsi" w:hAnsiTheme="minorHAnsi" w:cstheme="minorHAnsi"/>
                <w:b/>
                <w:szCs w:val="19"/>
                <w:lang w:val="en-US"/>
              </w:rPr>
              <w:br/>
            </w:r>
            <w:r w:rsidRPr="00D427D8">
              <w:rPr>
                <w:bCs/>
                <w:szCs w:val="19"/>
                <w:lang w:val="en-US"/>
              </w:rPr>
              <w:t>Senckenberganlage 19</w:t>
            </w:r>
            <w:r w:rsidRPr="00D427D8">
              <w:rPr>
                <w:rFonts w:asciiTheme="minorHAnsi" w:hAnsiTheme="minorHAnsi" w:cstheme="minorHAnsi"/>
                <w:bCs/>
                <w:szCs w:val="19"/>
                <w:lang w:val="en-US"/>
              </w:rPr>
              <w:br/>
            </w:r>
            <w:r w:rsidRPr="00D427D8">
              <w:rPr>
                <w:bCs/>
                <w:szCs w:val="19"/>
                <w:lang w:val="en-US"/>
              </w:rPr>
              <w:t>D-60325 Frankfurt, Germany</w:t>
            </w:r>
          </w:p>
        </w:tc>
      </w:tr>
      <w:tr w:rsidR="009F6E91" w:rsidRPr="00D427D8" w14:paraId="7B43A23D" w14:textId="77777777" w:rsidTr="00B51FD3">
        <w:tc>
          <w:tcPr>
            <w:tcW w:w="9071" w:type="dxa"/>
          </w:tcPr>
          <w:p w14:paraId="32CCF0EE" w14:textId="77777777" w:rsidR="009F6E91" w:rsidRPr="00D427D8" w:rsidRDefault="009F6E91" w:rsidP="00D84D62">
            <w:pPr>
              <w:spacing w:before="60" w:after="60"/>
              <w:jc w:val="center"/>
              <w:rPr>
                <w:szCs w:val="19"/>
              </w:rPr>
            </w:pPr>
            <w:r w:rsidRPr="00D427D8">
              <w:rPr>
                <w:b/>
                <w:szCs w:val="19"/>
                <w:lang w:val="en-US"/>
              </w:rPr>
              <w:t>THE PAYING AGENT</w:t>
            </w:r>
            <w:r w:rsidRPr="00D427D8">
              <w:rPr>
                <w:rFonts w:asciiTheme="minorHAnsi" w:hAnsiTheme="minorHAnsi" w:cstheme="minorHAnsi"/>
                <w:b/>
                <w:szCs w:val="19"/>
                <w:lang w:val="en-US"/>
              </w:rPr>
              <w:br/>
            </w:r>
            <w:r w:rsidRPr="00D427D8">
              <w:rPr>
                <w:b/>
                <w:bCs/>
                <w:szCs w:val="19"/>
              </w:rPr>
              <w:t>BNP Paribas, Luxembourg Branch</w:t>
            </w:r>
            <w:r w:rsidRPr="00D427D8">
              <w:rPr>
                <w:rFonts w:cs="Arial"/>
                <w:szCs w:val="19"/>
              </w:rPr>
              <w:br/>
            </w:r>
            <w:r w:rsidRPr="00D427D8">
              <w:rPr>
                <w:szCs w:val="19"/>
              </w:rPr>
              <w:t>60, avenue J. F. Kennedy</w:t>
            </w:r>
            <w:r w:rsidRPr="00D427D8">
              <w:rPr>
                <w:rFonts w:cs="Arial"/>
                <w:szCs w:val="19"/>
              </w:rPr>
              <w:br/>
            </w:r>
            <w:r w:rsidRPr="00D427D8">
              <w:rPr>
                <w:szCs w:val="19"/>
              </w:rPr>
              <w:t>L-1855 Luxembourg</w:t>
            </w:r>
            <w:r w:rsidRPr="00D427D8">
              <w:rPr>
                <w:rFonts w:cs="Arial"/>
                <w:szCs w:val="19"/>
              </w:rPr>
              <w:br/>
            </w:r>
            <w:r w:rsidRPr="00D427D8">
              <w:rPr>
                <w:szCs w:val="19"/>
              </w:rPr>
              <w:t>Grand Duchy of Luxembourg</w:t>
            </w:r>
          </w:p>
        </w:tc>
      </w:tr>
      <w:tr w:rsidR="009F6E91" w:rsidRPr="00D427D8" w14:paraId="6B53761C" w14:textId="77777777" w:rsidTr="00B51FD3">
        <w:tc>
          <w:tcPr>
            <w:tcW w:w="9071" w:type="dxa"/>
          </w:tcPr>
          <w:p w14:paraId="6CB3FECF" w14:textId="77777777" w:rsidR="009F6E91" w:rsidRPr="00D427D8" w:rsidRDefault="009F6E91" w:rsidP="00D84D62">
            <w:pPr>
              <w:spacing w:before="60" w:after="60"/>
              <w:jc w:val="center"/>
              <w:rPr>
                <w:b/>
                <w:szCs w:val="19"/>
                <w:lang w:val="en-US"/>
              </w:rPr>
            </w:pPr>
            <w:r w:rsidRPr="00D427D8">
              <w:rPr>
                <w:b/>
                <w:szCs w:val="19"/>
                <w:lang w:val="en-US"/>
              </w:rPr>
              <w:t>THE REPORTING AGENT AND THE CALCULATION AGENT</w:t>
            </w:r>
          </w:p>
          <w:p w14:paraId="504346C1" w14:textId="77777777" w:rsidR="009F6E91" w:rsidRPr="00D427D8" w:rsidRDefault="009F6E91" w:rsidP="00C4662F">
            <w:pPr>
              <w:jc w:val="center"/>
              <w:rPr>
                <w:b/>
                <w:szCs w:val="19"/>
                <w:lang w:val="fr-FR"/>
              </w:rPr>
            </w:pPr>
            <w:r w:rsidRPr="00D427D8">
              <w:rPr>
                <w:b/>
                <w:szCs w:val="19"/>
                <w:lang w:val="fr-FR"/>
              </w:rPr>
              <w:t>France Titrisation</w:t>
            </w:r>
          </w:p>
          <w:p w14:paraId="3FFE482F" w14:textId="77777777" w:rsidR="009F6E91" w:rsidRPr="00D427D8" w:rsidRDefault="009F6E91" w:rsidP="00C4662F">
            <w:pPr>
              <w:jc w:val="center"/>
              <w:rPr>
                <w:bCs/>
                <w:szCs w:val="19"/>
                <w:lang w:val="fr-FR"/>
              </w:rPr>
            </w:pPr>
            <w:r w:rsidRPr="00D427D8">
              <w:rPr>
                <w:bCs/>
                <w:szCs w:val="19"/>
                <w:lang w:val="fr-FR"/>
              </w:rPr>
              <w:t>9, Rue du Débarcadère</w:t>
            </w:r>
          </w:p>
          <w:p w14:paraId="19240666" w14:textId="77777777" w:rsidR="009F6E91" w:rsidRPr="00D427D8" w:rsidRDefault="009F6E91" w:rsidP="00C4662F">
            <w:pPr>
              <w:jc w:val="center"/>
              <w:rPr>
                <w:bCs/>
                <w:szCs w:val="19"/>
                <w:lang w:val="fr-FR"/>
              </w:rPr>
            </w:pPr>
            <w:r w:rsidRPr="00D427D8">
              <w:rPr>
                <w:bCs/>
                <w:szCs w:val="19"/>
                <w:lang w:val="fr-FR"/>
              </w:rPr>
              <w:t>93500 Pantin</w:t>
            </w:r>
          </w:p>
          <w:p w14:paraId="161629EF" w14:textId="77777777" w:rsidR="009F6E91" w:rsidRPr="00D427D8" w:rsidRDefault="009F6E91" w:rsidP="00C4662F">
            <w:pPr>
              <w:jc w:val="center"/>
              <w:rPr>
                <w:bCs/>
                <w:szCs w:val="19"/>
                <w:lang w:val="fr-FR"/>
              </w:rPr>
            </w:pPr>
            <w:r w:rsidRPr="00D427D8">
              <w:rPr>
                <w:bCs/>
                <w:szCs w:val="19"/>
                <w:lang w:val="fr-FR"/>
              </w:rPr>
              <w:t>France</w:t>
            </w:r>
          </w:p>
        </w:tc>
      </w:tr>
      <w:tr w:rsidR="009F6E91" w:rsidRPr="00D427D8" w14:paraId="3385E4B9" w14:textId="77777777" w:rsidTr="00B51FD3">
        <w:tc>
          <w:tcPr>
            <w:tcW w:w="9071" w:type="dxa"/>
          </w:tcPr>
          <w:p w14:paraId="7BE70A87" w14:textId="77777777" w:rsidR="009F6E91" w:rsidRPr="00D427D8" w:rsidRDefault="009F6E91" w:rsidP="00D84D62">
            <w:pPr>
              <w:spacing w:before="60" w:after="60"/>
              <w:jc w:val="center"/>
              <w:rPr>
                <w:b/>
                <w:szCs w:val="19"/>
                <w:lang w:val="en-US"/>
              </w:rPr>
            </w:pPr>
            <w:r w:rsidRPr="00D427D8">
              <w:rPr>
                <w:b/>
                <w:szCs w:val="19"/>
                <w:lang w:val="en-US"/>
              </w:rPr>
              <w:t>THE COLLATERAL AGENT</w:t>
            </w:r>
          </w:p>
          <w:p w14:paraId="698BCEB5" w14:textId="77777777" w:rsidR="009F6E91" w:rsidRPr="00D427D8" w:rsidRDefault="009F6E91" w:rsidP="00D84D62">
            <w:pPr>
              <w:spacing w:before="60" w:after="60"/>
              <w:jc w:val="center"/>
              <w:rPr>
                <w:b/>
                <w:szCs w:val="19"/>
                <w:lang w:val="de-DE"/>
              </w:rPr>
            </w:pPr>
            <w:r w:rsidRPr="00D427D8">
              <w:rPr>
                <w:b/>
                <w:bCs/>
                <w:szCs w:val="19"/>
                <w:lang w:val="de-DE"/>
              </w:rPr>
              <w:t>CSC Trustees GmbH</w:t>
            </w:r>
            <w:r w:rsidRPr="00D427D8">
              <w:rPr>
                <w:rFonts w:cs="Arial"/>
                <w:szCs w:val="19"/>
                <w:lang w:val="de-DE"/>
              </w:rPr>
              <w:br/>
            </w:r>
            <w:bookmarkStart w:id="328" w:name="_Hlk185358611"/>
            <w:r w:rsidRPr="00D427D8">
              <w:rPr>
                <w:bCs/>
                <w:szCs w:val="19"/>
                <w:lang w:val="de-DE"/>
              </w:rPr>
              <w:t>Eschersheimer Landstraße 14</w:t>
            </w:r>
            <w:r w:rsidRPr="00D427D8">
              <w:rPr>
                <w:bCs/>
                <w:szCs w:val="19"/>
                <w:lang w:val="de-DE"/>
              </w:rPr>
              <w:br/>
              <w:t>60322 Frankfurt am Main</w:t>
            </w:r>
            <w:r w:rsidRPr="00D427D8">
              <w:rPr>
                <w:bCs/>
                <w:szCs w:val="19"/>
                <w:lang w:val="de-DE"/>
              </w:rPr>
              <w:br/>
              <w:t>Germany</w:t>
            </w:r>
            <w:bookmarkEnd w:id="328"/>
          </w:p>
        </w:tc>
      </w:tr>
      <w:tr w:rsidR="009F6E91" w:rsidRPr="00D427D8" w14:paraId="3E5162C0" w14:textId="77777777" w:rsidTr="00B51FD3">
        <w:tc>
          <w:tcPr>
            <w:tcW w:w="9071" w:type="dxa"/>
          </w:tcPr>
          <w:p w14:paraId="32A4676C" w14:textId="77777777" w:rsidR="009F6E91" w:rsidRPr="00D427D8" w:rsidRDefault="009F6E91" w:rsidP="0066293A">
            <w:pPr>
              <w:spacing w:before="60" w:after="60"/>
              <w:jc w:val="center"/>
              <w:rPr>
                <w:b/>
                <w:szCs w:val="19"/>
                <w:lang w:val="en-US"/>
              </w:rPr>
            </w:pPr>
            <w:r w:rsidRPr="00D427D8">
              <w:rPr>
                <w:b/>
                <w:szCs w:val="19"/>
                <w:lang w:val="en-US"/>
              </w:rPr>
              <w:t>THE ER COLLATERAL AGENT</w:t>
            </w:r>
          </w:p>
          <w:p w14:paraId="68206862" w14:textId="77777777" w:rsidR="009F6E91" w:rsidRPr="00D427D8" w:rsidRDefault="009F6E91" w:rsidP="0066293A">
            <w:pPr>
              <w:spacing w:before="60" w:after="60"/>
              <w:jc w:val="center"/>
              <w:rPr>
                <w:b/>
                <w:szCs w:val="19"/>
              </w:rPr>
            </w:pPr>
            <w:r w:rsidRPr="00D427D8">
              <w:rPr>
                <w:b/>
                <w:bCs/>
                <w:szCs w:val="19"/>
              </w:rPr>
              <w:t>CSC Trustees Limited</w:t>
            </w:r>
            <w:r w:rsidRPr="00D427D8">
              <w:rPr>
                <w:rFonts w:cs="Arial"/>
                <w:szCs w:val="19"/>
              </w:rPr>
              <w:br/>
            </w:r>
            <w:bookmarkStart w:id="329" w:name="_Hlk185358639"/>
            <w:r w:rsidRPr="00D427D8">
              <w:rPr>
                <w:bCs/>
                <w:szCs w:val="19"/>
              </w:rPr>
              <w:t>10th Floor, 5 Churchill Place,</w:t>
            </w:r>
            <w:r w:rsidRPr="00D427D8">
              <w:rPr>
                <w:bCs/>
                <w:szCs w:val="19"/>
              </w:rPr>
              <w:br/>
            </w:r>
            <w:r w:rsidRPr="00D427D8">
              <w:rPr>
                <w:bCs/>
                <w:szCs w:val="19"/>
              </w:rPr>
              <w:lastRenderedPageBreak/>
              <w:t>London E14 5HU,</w:t>
            </w:r>
            <w:r w:rsidRPr="00D427D8">
              <w:rPr>
                <w:bCs/>
                <w:szCs w:val="19"/>
              </w:rPr>
              <w:br/>
              <w:t>United Kingdom</w:t>
            </w:r>
            <w:bookmarkEnd w:id="329"/>
          </w:p>
        </w:tc>
      </w:tr>
      <w:tr w:rsidR="009F6E91" w:rsidRPr="00D427D8" w14:paraId="46A67857" w14:textId="77777777" w:rsidTr="00B51FD3">
        <w:tc>
          <w:tcPr>
            <w:tcW w:w="9071" w:type="dxa"/>
          </w:tcPr>
          <w:p w14:paraId="53462FD9" w14:textId="1F128122" w:rsidR="009F6E91" w:rsidRPr="00D427D8" w:rsidRDefault="009F6E91" w:rsidP="00D84D62">
            <w:pPr>
              <w:spacing w:before="60" w:after="60"/>
              <w:jc w:val="center"/>
              <w:rPr>
                <w:b/>
                <w:szCs w:val="19"/>
                <w:lang w:val="en-US"/>
              </w:rPr>
            </w:pPr>
            <w:r w:rsidRPr="00D427D8">
              <w:rPr>
                <w:b/>
                <w:szCs w:val="19"/>
                <w:lang w:val="en-US"/>
              </w:rPr>
              <w:lastRenderedPageBreak/>
              <w:t>THE DATA PROTECTION TRUSTEE</w:t>
            </w:r>
            <w:r w:rsidRPr="00D427D8">
              <w:rPr>
                <w:rFonts w:asciiTheme="minorHAnsi" w:hAnsiTheme="minorHAnsi" w:cstheme="minorHAnsi"/>
                <w:b/>
                <w:szCs w:val="19"/>
                <w:lang w:val="en-US"/>
              </w:rPr>
              <w:br/>
            </w:r>
            <w:r w:rsidRPr="00D427D8">
              <w:rPr>
                <w:b/>
                <w:bCs/>
                <w:szCs w:val="19"/>
              </w:rPr>
              <w:t>BNP Paribas</w:t>
            </w:r>
            <w:r w:rsidRPr="00D427D8" w:rsidDel="004076FE">
              <w:rPr>
                <w:b/>
                <w:bCs/>
                <w:szCs w:val="19"/>
              </w:rPr>
              <w:t xml:space="preserve"> </w:t>
            </w:r>
            <w:r w:rsidR="00DB564D" w:rsidRPr="00DB564D">
              <w:rPr>
                <w:b/>
                <w:bCs/>
                <w:szCs w:val="19"/>
              </w:rPr>
              <w:t>(acting through its Securities Services business)</w:t>
            </w:r>
            <w:r w:rsidRPr="00D427D8">
              <w:rPr>
                <w:rFonts w:cs="Arial"/>
                <w:szCs w:val="19"/>
              </w:rPr>
              <w:br/>
            </w:r>
            <w:r w:rsidRPr="003B6A20">
              <w:rPr>
                <w:szCs w:val="19"/>
                <w:lang w:val="en-US"/>
              </w:rPr>
              <w:t>16 boulevard des Italiens</w:t>
            </w:r>
            <w:r w:rsidRPr="00D427D8">
              <w:rPr>
                <w:szCs w:val="19"/>
              </w:rPr>
              <w:br/>
              <w:t>75009 Paris</w:t>
            </w:r>
            <w:r w:rsidRPr="00D427D8">
              <w:rPr>
                <w:szCs w:val="19"/>
              </w:rPr>
              <w:br/>
              <w:t>France</w:t>
            </w:r>
          </w:p>
        </w:tc>
      </w:tr>
      <w:tr w:rsidR="009F6E91" w:rsidRPr="00D427D8" w14:paraId="3F63EFB4" w14:textId="77777777" w:rsidTr="00B51FD3">
        <w:tc>
          <w:tcPr>
            <w:tcW w:w="9071" w:type="dxa"/>
          </w:tcPr>
          <w:p w14:paraId="7B6379A5" w14:textId="77777777" w:rsidR="009F6E91" w:rsidRPr="00D427D8" w:rsidRDefault="009F6E91" w:rsidP="0018233B">
            <w:pPr>
              <w:spacing w:before="60" w:after="60"/>
              <w:jc w:val="center"/>
              <w:rPr>
                <w:b/>
                <w:szCs w:val="19"/>
                <w:lang w:val="en-US"/>
              </w:rPr>
            </w:pPr>
            <w:r w:rsidRPr="00D427D8">
              <w:rPr>
                <w:b/>
                <w:szCs w:val="19"/>
                <w:lang w:val="en-US"/>
              </w:rPr>
              <w:t>THE BACK-UP SERVICES FACILITATOR</w:t>
            </w:r>
          </w:p>
          <w:p w14:paraId="323E9931" w14:textId="77777777" w:rsidR="009F6E91" w:rsidRPr="00D427D8" w:rsidRDefault="009F6E91" w:rsidP="0018233B">
            <w:pPr>
              <w:spacing w:before="60" w:after="60"/>
              <w:jc w:val="center"/>
              <w:rPr>
                <w:szCs w:val="19"/>
              </w:rPr>
            </w:pPr>
            <w:r w:rsidRPr="00D427D8">
              <w:rPr>
                <w:b/>
                <w:bCs/>
                <w:szCs w:val="19"/>
              </w:rPr>
              <w:t>CSC Administrative Services (Netherlands) B.V</w:t>
            </w:r>
            <w:r w:rsidRPr="00D427D8">
              <w:rPr>
                <w:szCs w:val="19"/>
              </w:rPr>
              <w:t>.</w:t>
            </w:r>
          </w:p>
          <w:p w14:paraId="2687B628" w14:textId="77777777" w:rsidR="009F6E91" w:rsidRPr="00D427D8" w:rsidRDefault="009F6E91" w:rsidP="0018233B">
            <w:pPr>
              <w:spacing w:before="60" w:after="60"/>
              <w:jc w:val="center"/>
              <w:rPr>
                <w:b/>
                <w:szCs w:val="19"/>
                <w:lang w:val="en-US"/>
              </w:rPr>
            </w:pPr>
            <w:r w:rsidRPr="00D427D8">
              <w:rPr>
                <w:szCs w:val="19"/>
              </w:rPr>
              <w:t>Basisweg 10</w:t>
            </w:r>
            <w:r w:rsidRPr="00D427D8">
              <w:rPr>
                <w:rFonts w:cs="Arial"/>
                <w:szCs w:val="19"/>
              </w:rPr>
              <w:br/>
            </w:r>
            <w:r w:rsidRPr="00D427D8">
              <w:rPr>
                <w:szCs w:val="19"/>
              </w:rPr>
              <w:t>1043AP Amsterdam</w:t>
            </w:r>
            <w:r w:rsidRPr="00D427D8">
              <w:rPr>
                <w:rFonts w:cs="Arial"/>
                <w:szCs w:val="19"/>
              </w:rPr>
              <w:br/>
            </w:r>
            <w:r w:rsidRPr="00D427D8">
              <w:rPr>
                <w:szCs w:val="19"/>
              </w:rPr>
              <w:t>Netherlands</w:t>
            </w:r>
          </w:p>
        </w:tc>
      </w:tr>
    </w:tbl>
    <w:p w14:paraId="77EF97B1" w14:textId="77777777" w:rsidR="009F6E91" w:rsidRPr="00D427D8" w:rsidRDefault="009F6E91" w:rsidP="00EF7333">
      <w:pPr>
        <w:pStyle w:val="Body1"/>
      </w:pPr>
      <w:r w:rsidRPr="00D427D8">
        <w:br w:type="page"/>
      </w:r>
    </w:p>
    <w:tbl>
      <w:tblPr>
        <w:tblW w:w="0" w:type="auto"/>
        <w:tblCellMar>
          <w:left w:w="10" w:type="dxa"/>
          <w:right w:w="10" w:type="dxa"/>
        </w:tblCellMar>
        <w:tblLook w:val="04A0" w:firstRow="1" w:lastRow="0" w:firstColumn="1" w:lastColumn="0" w:noHBand="0" w:noVBand="1"/>
      </w:tblPr>
      <w:tblGrid>
        <w:gridCol w:w="4534"/>
        <w:gridCol w:w="6"/>
        <w:gridCol w:w="4531"/>
      </w:tblGrid>
      <w:tr w:rsidR="009F6E91" w:rsidRPr="00D427D8" w14:paraId="0A60616A" w14:textId="77777777" w:rsidTr="00B51FD3">
        <w:tc>
          <w:tcPr>
            <w:tcW w:w="9071" w:type="dxa"/>
            <w:gridSpan w:val="3"/>
          </w:tcPr>
          <w:p w14:paraId="3D9B5032" w14:textId="77777777" w:rsidR="009F6E91" w:rsidRPr="00D427D8" w:rsidRDefault="009F6E91" w:rsidP="004F1CE0">
            <w:pPr>
              <w:spacing w:before="60" w:after="60"/>
              <w:jc w:val="center"/>
              <w:rPr>
                <w:b/>
                <w:szCs w:val="19"/>
                <w:lang w:val="en-US"/>
              </w:rPr>
            </w:pPr>
            <w:r w:rsidRPr="00D427D8">
              <w:rPr>
                <w:b/>
                <w:szCs w:val="19"/>
              </w:rPr>
              <w:lastRenderedPageBreak/>
              <w:t xml:space="preserve">LEGAL ADVISERS TO </w:t>
            </w:r>
            <w:r w:rsidRPr="00D427D8">
              <w:rPr>
                <w:b/>
                <w:smallCaps/>
                <w:szCs w:val="19"/>
              </w:rPr>
              <w:t>STELLANTIS BANK, GERMAN BRANCH</w:t>
            </w:r>
          </w:p>
        </w:tc>
      </w:tr>
      <w:tr w:rsidR="009F6E91" w:rsidRPr="00D427D8" w14:paraId="3437960B" w14:textId="77777777" w:rsidTr="00B51FD3">
        <w:tc>
          <w:tcPr>
            <w:tcW w:w="4540" w:type="dxa"/>
            <w:gridSpan w:val="2"/>
          </w:tcPr>
          <w:p w14:paraId="2E85CB6B" w14:textId="77777777" w:rsidR="009F6E91" w:rsidRPr="00D427D8" w:rsidRDefault="009F6E91" w:rsidP="00BD22A4">
            <w:pPr>
              <w:spacing w:before="60" w:after="60"/>
              <w:jc w:val="center"/>
              <w:rPr>
                <w:i/>
                <w:szCs w:val="19"/>
              </w:rPr>
            </w:pPr>
            <w:r w:rsidRPr="00D427D8">
              <w:rPr>
                <w:i/>
                <w:szCs w:val="19"/>
              </w:rPr>
              <w:t>as to German law</w:t>
            </w:r>
          </w:p>
          <w:p w14:paraId="5DD98C47" w14:textId="77777777" w:rsidR="009F6E91" w:rsidRPr="00D427D8" w:rsidRDefault="009F6E91" w:rsidP="00BD22A4">
            <w:pPr>
              <w:spacing w:before="60" w:after="60"/>
              <w:jc w:val="center"/>
              <w:rPr>
                <w:szCs w:val="19"/>
                <w:lang w:val="en-US"/>
              </w:rPr>
            </w:pPr>
            <w:r w:rsidRPr="00D427D8">
              <w:rPr>
                <w:b/>
                <w:szCs w:val="19"/>
                <w:lang w:val="en-US"/>
              </w:rPr>
              <w:t>Hogan Lovells International LLP</w:t>
            </w:r>
            <w:r w:rsidRPr="00D427D8">
              <w:rPr>
                <w:rFonts w:asciiTheme="minorHAnsi" w:hAnsiTheme="minorHAnsi" w:cstheme="minorHAnsi"/>
                <w:b/>
                <w:szCs w:val="19"/>
                <w:lang w:val="en-US"/>
              </w:rPr>
              <w:br/>
            </w:r>
            <w:r w:rsidRPr="00D427D8">
              <w:rPr>
                <w:szCs w:val="19"/>
              </w:rPr>
              <w:t>Große Gallusstraße 18</w:t>
            </w:r>
            <w:r w:rsidRPr="00D427D8">
              <w:rPr>
                <w:szCs w:val="19"/>
              </w:rPr>
              <w:br/>
              <w:t>60312 Frankfurt am Main</w:t>
            </w:r>
            <w:r w:rsidRPr="00D427D8">
              <w:rPr>
                <w:szCs w:val="19"/>
                <w:lang w:val="en-US"/>
              </w:rPr>
              <w:br/>
              <w:t>Germany</w:t>
            </w:r>
          </w:p>
        </w:tc>
        <w:tc>
          <w:tcPr>
            <w:tcW w:w="4531" w:type="dxa"/>
          </w:tcPr>
          <w:p w14:paraId="7DE779C6" w14:textId="77777777" w:rsidR="009F6E91" w:rsidRPr="00D427D8" w:rsidRDefault="009F6E91" w:rsidP="004615C6">
            <w:pPr>
              <w:spacing w:before="60" w:after="60"/>
              <w:jc w:val="center"/>
              <w:rPr>
                <w:szCs w:val="19"/>
              </w:rPr>
            </w:pPr>
            <w:r w:rsidRPr="00D427D8">
              <w:rPr>
                <w:i/>
                <w:szCs w:val="19"/>
              </w:rPr>
              <w:t>as to French and English law</w:t>
            </w:r>
            <w:r w:rsidRPr="00D427D8">
              <w:rPr>
                <w:rFonts w:asciiTheme="minorHAnsi" w:hAnsiTheme="minorHAnsi" w:cstheme="minorHAnsi"/>
                <w:i/>
                <w:szCs w:val="19"/>
              </w:rPr>
              <w:br/>
            </w:r>
            <w:r w:rsidRPr="00D427D8">
              <w:rPr>
                <w:b/>
                <w:szCs w:val="19"/>
                <w:lang w:val="en-US"/>
              </w:rPr>
              <w:t>Hogan Lovells (Paris) LLP</w:t>
            </w:r>
            <w:r w:rsidRPr="00D427D8">
              <w:rPr>
                <w:rFonts w:asciiTheme="minorHAnsi" w:hAnsiTheme="minorHAnsi" w:cstheme="minorHAnsi"/>
                <w:b/>
                <w:szCs w:val="19"/>
                <w:lang w:val="en-US"/>
              </w:rPr>
              <w:br/>
            </w:r>
            <w:r w:rsidRPr="00D427D8">
              <w:rPr>
                <w:szCs w:val="19"/>
                <w:lang w:val="en-US"/>
              </w:rPr>
              <w:t>17 avenue Matignon</w:t>
            </w:r>
            <w:r w:rsidRPr="00D427D8">
              <w:rPr>
                <w:szCs w:val="19"/>
                <w:lang w:val="en-US"/>
              </w:rPr>
              <w:br/>
              <w:t>75008 Paris</w:t>
            </w:r>
            <w:r w:rsidRPr="00D427D8">
              <w:rPr>
                <w:szCs w:val="19"/>
                <w:lang w:val="en-US"/>
              </w:rPr>
              <w:br/>
              <w:t>France</w:t>
            </w:r>
          </w:p>
        </w:tc>
      </w:tr>
      <w:tr w:rsidR="009F6E91" w:rsidRPr="00D427D8" w14:paraId="3E53FD25" w14:textId="77777777" w:rsidTr="00B51FD3">
        <w:tc>
          <w:tcPr>
            <w:tcW w:w="9071" w:type="dxa"/>
            <w:gridSpan w:val="3"/>
          </w:tcPr>
          <w:p w14:paraId="5383FA3D" w14:textId="77777777" w:rsidR="009F6E91" w:rsidRPr="00D427D8" w:rsidRDefault="009F6E91" w:rsidP="00793994">
            <w:pPr>
              <w:spacing w:before="60" w:after="60"/>
              <w:jc w:val="center"/>
              <w:rPr>
                <w:bCs/>
                <w:i/>
                <w:iCs/>
                <w:szCs w:val="19"/>
              </w:rPr>
            </w:pPr>
            <w:r w:rsidRPr="00D427D8">
              <w:rPr>
                <w:bCs/>
                <w:i/>
                <w:iCs/>
                <w:szCs w:val="19"/>
              </w:rPr>
              <w:t>as to Luxembourg law</w:t>
            </w:r>
          </w:p>
          <w:p w14:paraId="0923D2A0" w14:textId="77777777" w:rsidR="009F6E91" w:rsidRPr="00D427D8" w:rsidRDefault="009F6E91" w:rsidP="004E317B">
            <w:pPr>
              <w:spacing w:before="60" w:after="60"/>
              <w:jc w:val="center"/>
              <w:rPr>
                <w:b/>
                <w:szCs w:val="19"/>
              </w:rPr>
            </w:pPr>
            <w:r w:rsidRPr="00D427D8">
              <w:rPr>
                <w:b/>
                <w:szCs w:val="19"/>
              </w:rPr>
              <w:t>Hogan Lovells (Luxembourg) LLP</w:t>
            </w:r>
            <w:r w:rsidRPr="00D427D8">
              <w:rPr>
                <w:rFonts w:asciiTheme="minorHAnsi" w:hAnsiTheme="minorHAnsi" w:cstheme="minorHAnsi"/>
                <w:b/>
                <w:szCs w:val="19"/>
              </w:rPr>
              <w:br/>
            </w:r>
            <w:r w:rsidRPr="00D427D8">
              <w:rPr>
                <w:bCs/>
                <w:szCs w:val="19"/>
              </w:rPr>
              <w:t>52, Boulevard Marcel Cahen</w:t>
            </w:r>
            <w:r w:rsidRPr="00D427D8">
              <w:rPr>
                <w:bCs/>
                <w:szCs w:val="19"/>
              </w:rPr>
              <w:br/>
              <w:t>L-1311 Luxembourg</w:t>
            </w:r>
            <w:r w:rsidRPr="00D427D8">
              <w:rPr>
                <w:rFonts w:asciiTheme="minorHAnsi" w:hAnsiTheme="minorHAnsi" w:cstheme="minorHAnsi"/>
                <w:bCs/>
                <w:szCs w:val="19"/>
              </w:rPr>
              <w:br/>
            </w:r>
            <w:r w:rsidRPr="00D427D8">
              <w:rPr>
                <w:bCs/>
                <w:szCs w:val="19"/>
              </w:rPr>
              <w:t>Grand Duchy of Luxembourg</w:t>
            </w:r>
          </w:p>
        </w:tc>
      </w:tr>
      <w:tr w:rsidR="009F6E91" w:rsidRPr="00D427D8" w14:paraId="61CF42B2" w14:textId="77777777" w:rsidTr="00B51FD3">
        <w:tc>
          <w:tcPr>
            <w:tcW w:w="9071" w:type="dxa"/>
            <w:gridSpan w:val="3"/>
          </w:tcPr>
          <w:p w14:paraId="3723570C" w14:textId="119DC2C4" w:rsidR="009F6E91" w:rsidRPr="00D427D8" w:rsidRDefault="009F6E91" w:rsidP="00F9659F">
            <w:pPr>
              <w:spacing w:before="60" w:after="60"/>
              <w:jc w:val="center"/>
              <w:rPr>
                <w:b/>
                <w:szCs w:val="19"/>
              </w:rPr>
            </w:pPr>
            <w:r w:rsidRPr="00D427D8">
              <w:rPr>
                <w:b/>
                <w:szCs w:val="19"/>
              </w:rPr>
              <w:t>LEGAL ADVISERS TO THE ARRANGER AND THE LEAD MANAGER</w:t>
            </w:r>
          </w:p>
        </w:tc>
      </w:tr>
      <w:tr w:rsidR="009F6E91" w:rsidRPr="00D427D8" w14:paraId="09C3FF5A" w14:textId="77777777" w:rsidTr="00B51FD3">
        <w:trPr>
          <w:trHeight w:val="57"/>
        </w:trPr>
        <w:tc>
          <w:tcPr>
            <w:tcW w:w="4534" w:type="dxa"/>
          </w:tcPr>
          <w:p w14:paraId="673E909C" w14:textId="77777777" w:rsidR="009F6E91" w:rsidRPr="006708E7" w:rsidRDefault="009F6E91" w:rsidP="003C3997">
            <w:pPr>
              <w:spacing w:before="60" w:after="60"/>
              <w:jc w:val="center"/>
              <w:rPr>
                <w:i/>
                <w:szCs w:val="18"/>
                <w:lang w:val="en-US"/>
              </w:rPr>
            </w:pPr>
            <w:r w:rsidRPr="006708E7">
              <w:rPr>
                <w:i/>
                <w:szCs w:val="18"/>
                <w:lang w:val="en-US"/>
              </w:rPr>
              <w:t>as to German law</w:t>
            </w:r>
          </w:p>
          <w:p w14:paraId="44EB946B" w14:textId="007891E4" w:rsidR="006708E7" w:rsidRPr="00176794" w:rsidRDefault="006708E7" w:rsidP="006708E7">
            <w:pPr>
              <w:spacing w:before="60" w:after="60"/>
              <w:jc w:val="center"/>
              <w:rPr>
                <w:szCs w:val="19"/>
                <w:lang w:val="en-US"/>
              </w:rPr>
            </w:pPr>
            <w:r w:rsidRPr="003B6A20">
              <w:rPr>
                <w:b/>
                <w:bCs/>
                <w:szCs w:val="19"/>
                <w:lang w:val="en-US"/>
              </w:rPr>
              <w:t>Clifford Chance Partnerschaft mbB</w:t>
            </w:r>
            <w:r w:rsidRPr="00176794">
              <w:rPr>
                <w:szCs w:val="19"/>
                <w:lang w:val="en-US"/>
              </w:rPr>
              <w:br/>
              <w:t>Junghofstraße 14</w:t>
            </w:r>
            <w:r w:rsidRPr="00176794">
              <w:rPr>
                <w:szCs w:val="19"/>
                <w:lang w:val="en-US"/>
              </w:rPr>
              <w:br/>
              <w:t>60311 Frankfurt am Main</w:t>
            </w:r>
            <w:r w:rsidRPr="00176794">
              <w:rPr>
                <w:szCs w:val="19"/>
                <w:lang w:val="en-US"/>
              </w:rPr>
              <w:br/>
              <w:t>Federal Republic of Germany</w:t>
            </w:r>
          </w:p>
          <w:p w14:paraId="663EAABA" w14:textId="6C459C69" w:rsidR="009F6E91" w:rsidRPr="006708E7" w:rsidRDefault="009F6E91" w:rsidP="003C3997">
            <w:pPr>
              <w:spacing w:before="60" w:after="60"/>
              <w:jc w:val="center"/>
              <w:rPr>
                <w:i/>
                <w:szCs w:val="19"/>
                <w:lang w:val="en-US"/>
              </w:rPr>
            </w:pPr>
          </w:p>
        </w:tc>
        <w:tc>
          <w:tcPr>
            <w:tcW w:w="4537" w:type="dxa"/>
            <w:gridSpan w:val="2"/>
          </w:tcPr>
          <w:p w14:paraId="26729321" w14:textId="6E7FA78E" w:rsidR="004A70D0" w:rsidRPr="00D427D8" w:rsidRDefault="004A70D0" w:rsidP="003C3997">
            <w:pPr>
              <w:spacing w:before="60" w:after="60"/>
              <w:jc w:val="center"/>
              <w:rPr>
                <w:i/>
                <w:szCs w:val="18"/>
              </w:rPr>
            </w:pPr>
            <w:r w:rsidRPr="00D427D8">
              <w:rPr>
                <w:i/>
                <w:szCs w:val="18"/>
              </w:rPr>
              <w:t xml:space="preserve">as to English law </w:t>
            </w:r>
          </w:p>
          <w:p w14:paraId="5BE42D6A" w14:textId="3008D08D" w:rsidR="006708E7" w:rsidRPr="003B6A20" w:rsidRDefault="006708E7" w:rsidP="006708E7">
            <w:pPr>
              <w:spacing w:before="60" w:after="60"/>
              <w:jc w:val="center"/>
              <w:rPr>
                <w:szCs w:val="19"/>
                <w:lang w:val="en-US"/>
              </w:rPr>
            </w:pPr>
            <w:r w:rsidRPr="003B6A20">
              <w:rPr>
                <w:b/>
                <w:bCs/>
                <w:szCs w:val="19"/>
                <w:lang w:val="en-US"/>
              </w:rPr>
              <w:t>Clifford Chance Partnerschaft mbB</w:t>
            </w:r>
            <w:r>
              <w:rPr>
                <w:szCs w:val="19"/>
                <w:lang w:val="en-US"/>
              </w:rPr>
              <w:br/>
            </w:r>
            <w:r w:rsidRPr="003B6A20">
              <w:rPr>
                <w:szCs w:val="19"/>
                <w:lang w:val="en-US"/>
              </w:rPr>
              <w:t>Lenbachplatz 1</w:t>
            </w:r>
            <w:r>
              <w:rPr>
                <w:szCs w:val="19"/>
                <w:lang w:val="en-US"/>
              </w:rPr>
              <w:br/>
            </w:r>
            <w:r w:rsidRPr="003B6A20">
              <w:rPr>
                <w:szCs w:val="19"/>
                <w:lang w:val="en-US"/>
              </w:rPr>
              <w:t>80333 München</w:t>
            </w:r>
            <w:r>
              <w:rPr>
                <w:szCs w:val="19"/>
                <w:lang w:val="en-US"/>
              </w:rPr>
              <w:br/>
            </w:r>
            <w:r w:rsidRPr="003B6A20">
              <w:rPr>
                <w:szCs w:val="19"/>
                <w:lang w:val="en-US"/>
              </w:rPr>
              <w:t>Federal Republic of Germany</w:t>
            </w:r>
          </w:p>
          <w:p w14:paraId="6A34E1B6" w14:textId="458E65B9" w:rsidR="009F6E91" w:rsidRPr="00D427D8" w:rsidRDefault="009F6E91" w:rsidP="003C3997">
            <w:pPr>
              <w:spacing w:before="60" w:after="60"/>
              <w:jc w:val="center"/>
              <w:rPr>
                <w:i/>
                <w:szCs w:val="19"/>
              </w:rPr>
            </w:pPr>
          </w:p>
        </w:tc>
      </w:tr>
      <w:tr w:rsidR="009F6E91" w:rsidRPr="00D427D8" w14:paraId="70D645BF" w14:textId="77777777" w:rsidTr="00B51FD3">
        <w:trPr>
          <w:trHeight w:val="57"/>
        </w:trPr>
        <w:tc>
          <w:tcPr>
            <w:tcW w:w="4534" w:type="dxa"/>
          </w:tcPr>
          <w:p w14:paraId="3F27D951" w14:textId="77777777" w:rsidR="009F6E91" w:rsidRPr="00D427D8" w:rsidRDefault="009F6E91" w:rsidP="003C3997">
            <w:pPr>
              <w:spacing w:before="60" w:after="60"/>
              <w:jc w:val="center"/>
              <w:rPr>
                <w:i/>
                <w:szCs w:val="18"/>
              </w:rPr>
            </w:pPr>
            <w:r w:rsidRPr="00D427D8">
              <w:rPr>
                <w:i/>
                <w:szCs w:val="18"/>
              </w:rPr>
              <w:t>as to Luxembourg law</w:t>
            </w:r>
          </w:p>
          <w:p w14:paraId="76C8C60C" w14:textId="02E15489" w:rsidR="009F6E91" w:rsidRPr="00D427D8" w:rsidRDefault="006708E7" w:rsidP="003C3997">
            <w:pPr>
              <w:spacing w:before="60" w:after="60"/>
              <w:jc w:val="center"/>
              <w:rPr>
                <w:i/>
                <w:szCs w:val="18"/>
                <w:lang w:val="en-US"/>
              </w:rPr>
            </w:pPr>
            <w:r w:rsidRPr="003B6A20">
              <w:rPr>
                <w:b/>
                <w:bCs/>
                <w:szCs w:val="19"/>
              </w:rPr>
              <w:t>Clifford Chance</w:t>
            </w:r>
            <w:r>
              <w:rPr>
                <w:szCs w:val="19"/>
              </w:rPr>
              <w:br/>
            </w:r>
            <w:r w:rsidRPr="006708E7">
              <w:rPr>
                <w:szCs w:val="19"/>
              </w:rPr>
              <w:t>10 boulevard G.D. Charlotte</w:t>
            </w:r>
            <w:r>
              <w:rPr>
                <w:szCs w:val="19"/>
              </w:rPr>
              <w:br/>
            </w:r>
            <w:r w:rsidRPr="006708E7">
              <w:rPr>
                <w:szCs w:val="19"/>
              </w:rPr>
              <w:t>B.P. 1147</w:t>
            </w:r>
            <w:r>
              <w:rPr>
                <w:szCs w:val="19"/>
              </w:rPr>
              <w:br/>
            </w:r>
            <w:r w:rsidRPr="006708E7">
              <w:rPr>
                <w:szCs w:val="19"/>
              </w:rPr>
              <w:t>L-1330 Luxembourg</w:t>
            </w:r>
            <w:r>
              <w:rPr>
                <w:szCs w:val="19"/>
              </w:rPr>
              <w:br/>
            </w:r>
            <w:r w:rsidRPr="006708E7">
              <w:rPr>
                <w:szCs w:val="19"/>
              </w:rPr>
              <w:t>Grand Duchy of Luxembourg</w:t>
            </w:r>
          </w:p>
        </w:tc>
        <w:tc>
          <w:tcPr>
            <w:tcW w:w="4537" w:type="dxa"/>
            <w:gridSpan w:val="2"/>
          </w:tcPr>
          <w:p w14:paraId="579E5795" w14:textId="324BEB39" w:rsidR="004A70D0" w:rsidRPr="00D427D8" w:rsidRDefault="004A70D0" w:rsidP="004A70D0">
            <w:pPr>
              <w:spacing w:before="60" w:after="60"/>
              <w:jc w:val="center"/>
              <w:rPr>
                <w:i/>
                <w:szCs w:val="18"/>
              </w:rPr>
            </w:pPr>
            <w:r w:rsidRPr="00D427D8">
              <w:rPr>
                <w:i/>
                <w:szCs w:val="18"/>
              </w:rPr>
              <w:t>as to French law</w:t>
            </w:r>
          </w:p>
          <w:p w14:paraId="2C7C05C9" w14:textId="5980F975" w:rsidR="006708E7" w:rsidRPr="006708E7" w:rsidRDefault="006708E7" w:rsidP="006708E7">
            <w:pPr>
              <w:spacing w:before="60" w:after="60"/>
              <w:jc w:val="center"/>
              <w:rPr>
                <w:szCs w:val="19"/>
                <w:lang w:val="de-DE"/>
              </w:rPr>
            </w:pPr>
            <w:r w:rsidRPr="003B6A20">
              <w:rPr>
                <w:b/>
                <w:bCs/>
                <w:szCs w:val="19"/>
              </w:rPr>
              <w:t>Clifford Chance Europe LLP</w:t>
            </w:r>
            <w:r>
              <w:rPr>
                <w:szCs w:val="19"/>
              </w:rPr>
              <w:br/>
            </w:r>
            <w:r w:rsidRPr="006708E7">
              <w:rPr>
                <w:szCs w:val="19"/>
              </w:rPr>
              <w:t>1 Rue d'Astorg</w:t>
            </w:r>
            <w:r>
              <w:rPr>
                <w:szCs w:val="19"/>
              </w:rPr>
              <w:br/>
            </w:r>
            <w:r w:rsidRPr="006708E7">
              <w:rPr>
                <w:szCs w:val="19"/>
              </w:rPr>
              <w:t xml:space="preserve"> CS 60058</w:t>
            </w:r>
            <w:r>
              <w:rPr>
                <w:szCs w:val="19"/>
              </w:rPr>
              <w:br/>
            </w:r>
            <w:r w:rsidRPr="006708E7">
              <w:rPr>
                <w:szCs w:val="19"/>
              </w:rPr>
              <w:t>75377 Paris Cedex 08</w:t>
            </w:r>
            <w:r>
              <w:rPr>
                <w:szCs w:val="19"/>
              </w:rPr>
              <w:br/>
            </w:r>
            <w:r w:rsidRPr="006708E7">
              <w:rPr>
                <w:szCs w:val="19"/>
              </w:rPr>
              <w:t>France</w:t>
            </w:r>
          </w:p>
          <w:p w14:paraId="2CF6BD0C" w14:textId="77777777" w:rsidR="006708E7" w:rsidRPr="006708E7" w:rsidRDefault="006708E7" w:rsidP="006708E7">
            <w:pPr>
              <w:spacing w:before="60" w:after="60"/>
              <w:jc w:val="center"/>
              <w:rPr>
                <w:szCs w:val="19"/>
                <w:lang w:val="de-DE"/>
              </w:rPr>
            </w:pPr>
            <w:r w:rsidRPr="006708E7">
              <w:rPr>
                <w:szCs w:val="19"/>
              </w:rPr>
              <w:t> </w:t>
            </w:r>
          </w:p>
          <w:p w14:paraId="5AA46C29" w14:textId="1974B595" w:rsidR="009F6E91" w:rsidRPr="00D427D8" w:rsidRDefault="009F6E91" w:rsidP="003C3997">
            <w:pPr>
              <w:spacing w:before="60" w:after="60"/>
              <w:jc w:val="center"/>
              <w:rPr>
                <w:i/>
                <w:szCs w:val="18"/>
              </w:rPr>
            </w:pPr>
          </w:p>
        </w:tc>
      </w:tr>
      <w:tr w:rsidR="009F6E91" w:rsidRPr="00D427D8" w14:paraId="06082EF4" w14:textId="77777777" w:rsidTr="0066293A">
        <w:trPr>
          <w:trHeight w:val="581"/>
        </w:trPr>
        <w:tc>
          <w:tcPr>
            <w:tcW w:w="9071" w:type="dxa"/>
            <w:gridSpan w:val="3"/>
          </w:tcPr>
          <w:p w14:paraId="673E9CF5" w14:textId="77777777" w:rsidR="009F6E91" w:rsidRPr="00D427D8" w:rsidRDefault="009F6E91" w:rsidP="00793994">
            <w:pPr>
              <w:spacing w:before="60" w:after="60"/>
              <w:jc w:val="center"/>
              <w:rPr>
                <w:b/>
                <w:bCs/>
                <w:szCs w:val="19"/>
              </w:rPr>
            </w:pPr>
            <w:r w:rsidRPr="00D427D8">
              <w:rPr>
                <w:b/>
                <w:bCs/>
                <w:szCs w:val="19"/>
              </w:rPr>
              <w:t>The auditor of the Issuer</w:t>
            </w:r>
          </w:p>
          <w:p w14:paraId="6818447C" w14:textId="77777777" w:rsidR="009F6E91" w:rsidRPr="00D427D8" w:rsidRDefault="009F6E91" w:rsidP="00793994">
            <w:pPr>
              <w:spacing w:before="60" w:after="60"/>
              <w:jc w:val="center"/>
              <w:rPr>
                <w:szCs w:val="19"/>
              </w:rPr>
            </w:pPr>
            <w:r w:rsidRPr="00D427D8">
              <w:rPr>
                <w:b/>
                <w:bCs/>
                <w:lang w:val="en-US"/>
              </w:rPr>
              <w:t xml:space="preserve">Ernst &amp; Young S.A. </w:t>
            </w:r>
            <w:r w:rsidRPr="00D427D8">
              <w:rPr>
                <w:lang w:val="en-US"/>
              </w:rPr>
              <w:br/>
              <w:t>35E avenue John F. Kennedy</w:t>
            </w:r>
            <w:r w:rsidRPr="00D427D8">
              <w:rPr>
                <w:lang w:val="en-US"/>
              </w:rPr>
              <w:br/>
              <w:t>L-1855 Luxembourg</w:t>
            </w:r>
            <w:r w:rsidRPr="00D427D8">
              <w:rPr>
                <w:lang w:val="en-US"/>
              </w:rPr>
              <w:br/>
              <w:t>Grand Duchy of Luxembourg</w:t>
            </w:r>
          </w:p>
        </w:tc>
      </w:tr>
    </w:tbl>
    <w:p w14:paraId="4A9CB4D9" w14:textId="77777777" w:rsidR="009F6E91" w:rsidRPr="003F0272" w:rsidRDefault="009F6E91" w:rsidP="009F6E91">
      <w:pPr>
        <w:pStyle w:val="Body1"/>
      </w:pPr>
      <w:r w:rsidRPr="00D427D8">
        <w:t># 4128-1992-6098</w:t>
      </w:r>
    </w:p>
    <w:sectPr w:rsidR="009F6E91" w:rsidRPr="003F0272" w:rsidSect="008D071E">
      <w:footerReference w:type="first" r:id="rId38"/>
      <w:pgSz w:w="11907" w:h="16840" w:code="9"/>
      <w:pgMar w:top="851" w:right="1418" w:bottom="992"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61F68" w14:textId="77777777" w:rsidR="002260EF" w:rsidRDefault="002260EF" w:rsidP="009F6E91">
      <w:pPr>
        <w:spacing w:line="240" w:lineRule="auto"/>
      </w:pPr>
      <w:r>
        <w:separator/>
      </w:r>
    </w:p>
  </w:endnote>
  <w:endnote w:type="continuationSeparator" w:id="0">
    <w:p w14:paraId="5E4802B4" w14:textId="77777777" w:rsidR="002260EF" w:rsidRDefault="002260EF" w:rsidP="009F6E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Arial Bold">
    <w:altName w:val="Times New Roman"/>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2BCE" w14:textId="77777777" w:rsidR="00AC5E78" w:rsidRDefault="00AC5E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07F0" w14:textId="69947730" w:rsidR="009F6E91" w:rsidRPr="00CE624A" w:rsidRDefault="008305FF" w:rsidP="000D191A">
    <w:pPr>
      <w:tabs>
        <w:tab w:val="center" w:pos="7513"/>
        <w:tab w:val="right" w:pos="15026"/>
      </w:tabs>
      <w:spacing w:after="240"/>
      <w:rPr>
        <w:sz w:val="16"/>
        <w:szCs w:val="16"/>
      </w:rPr>
    </w:pPr>
    <w:sdt>
      <w:sdtPr>
        <w:rPr>
          <w:sz w:val="16"/>
          <w:szCs w:val="16"/>
        </w:rPr>
        <w:alias w:val="DocID"/>
        <w:tag w:val="DocID"/>
        <w:id w:val="-1910142154"/>
        <w:text/>
      </w:sdtPr>
      <w:sdtEndPr/>
      <w:sdtContent>
        <w:r>
          <w:rPr>
            <w:sz w:val="16"/>
            <w:szCs w:val="16"/>
          </w:rPr>
          <w:t>\\1080220 4128-1992-6098 v18</w:t>
        </w:r>
      </w:sdtContent>
    </w:sdt>
    <w:sdt>
      <w:sdtPr>
        <w:rPr>
          <w:sz w:val="16"/>
          <w:szCs w:val="16"/>
        </w:rPr>
        <w:alias w:val="Firm name"/>
        <w:tag w:val="FirmName"/>
        <w:id w:val="-97021838"/>
        <w:text/>
      </w:sdtPr>
      <w:sdtEndPr/>
      <w:sdtContent>
        <w:r w:rsidR="009F6E91">
          <w:rPr>
            <w:szCs w:val="16"/>
          </w:rPr>
          <w:t>Hogan Lovells</w:t>
        </w:r>
      </w:sdtContent>
    </w:sdt>
  </w:p>
  <w:p w14:paraId="792A3EF4" w14:textId="77777777" w:rsidR="009F6E91" w:rsidRDefault="009F6E9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D6D3" w14:textId="3DD96604" w:rsidR="00B55863" w:rsidRPr="00CE624A" w:rsidRDefault="008305FF" w:rsidP="000D191A">
    <w:pPr>
      <w:tabs>
        <w:tab w:val="center" w:pos="7513"/>
        <w:tab w:val="right" w:pos="15026"/>
      </w:tabs>
      <w:spacing w:after="240"/>
      <w:rPr>
        <w:sz w:val="16"/>
        <w:szCs w:val="16"/>
      </w:rPr>
    </w:pPr>
    <w:sdt>
      <w:sdtPr>
        <w:rPr>
          <w:sz w:val="16"/>
          <w:szCs w:val="16"/>
        </w:rPr>
        <w:alias w:val="DocID"/>
        <w:tag w:val="DocID"/>
        <w:id w:val="1236285820"/>
        <w:text/>
      </w:sdtPr>
      <w:sdtEndPr/>
      <w:sdtContent>
        <w:r>
          <w:rPr>
            <w:sz w:val="16"/>
            <w:szCs w:val="16"/>
          </w:rPr>
          <w:t>\\1080220 4128-1992-6098 v18</w:t>
        </w:r>
      </w:sdtContent>
    </w:sdt>
    <w:sdt>
      <w:sdtPr>
        <w:rPr>
          <w:sz w:val="16"/>
          <w:szCs w:val="16"/>
        </w:rPr>
        <w:alias w:val="Firm name"/>
        <w:tag w:val="FirmName"/>
        <w:id w:val="-1391106441"/>
        <w:text/>
      </w:sdtPr>
      <w:sdtEndPr/>
      <w:sdtContent>
        <w:r w:rsidR="008907B5">
          <w:rPr>
            <w:szCs w:val="16"/>
          </w:rPr>
          <w:t>Hogan Lovells</w:t>
        </w:r>
      </w:sdtContent>
    </w:sdt>
  </w:p>
  <w:p w14:paraId="4B884F5E" w14:textId="77777777" w:rsidR="00B55863" w:rsidRDefault="00B558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383E" w14:textId="77777777" w:rsidR="00AC5E78" w:rsidRDefault="00AC5E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27A3" w14:textId="77777777" w:rsidR="00AC5E78" w:rsidRDefault="00AC5E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2EC1" w14:textId="77777777" w:rsidR="009F6E91" w:rsidRPr="004478E9" w:rsidRDefault="009F6E91" w:rsidP="004478E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4329" w14:textId="739F67E1" w:rsidR="009F6E91" w:rsidRPr="00CE624A" w:rsidRDefault="008305FF" w:rsidP="000D191A">
    <w:pPr>
      <w:tabs>
        <w:tab w:val="center" w:pos="7513"/>
        <w:tab w:val="right" w:pos="15026"/>
      </w:tabs>
      <w:spacing w:after="240"/>
      <w:rPr>
        <w:sz w:val="16"/>
        <w:szCs w:val="16"/>
      </w:rPr>
    </w:pPr>
    <w:sdt>
      <w:sdtPr>
        <w:rPr>
          <w:sz w:val="16"/>
          <w:szCs w:val="16"/>
        </w:rPr>
        <w:alias w:val="DocID"/>
        <w:tag w:val="DocID"/>
        <w:id w:val="-355726482"/>
        <w:text/>
      </w:sdtPr>
      <w:sdtEndPr/>
      <w:sdtContent>
        <w:r>
          <w:rPr>
            <w:sz w:val="16"/>
            <w:szCs w:val="16"/>
          </w:rPr>
          <w:t>\\1080220 4128-1992-6098 v18</w:t>
        </w:r>
      </w:sdtContent>
    </w:sdt>
    <w:sdt>
      <w:sdtPr>
        <w:rPr>
          <w:sz w:val="16"/>
          <w:szCs w:val="16"/>
        </w:rPr>
        <w:alias w:val="Firm name"/>
        <w:tag w:val="FirmName"/>
        <w:id w:val="-1113435216"/>
        <w:text/>
      </w:sdtPr>
      <w:sdtEndPr/>
      <w:sdtContent>
        <w:r w:rsidR="009F6E91">
          <w:rPr>
            <w:szCs w:val="16"/>
          </w:rPr>
          <w:t>Hogan Lovells</w:t>
        </w:r>
      </w:sdtContent>
    </w:sdt>
  </w:p>
  <w:p w14:paraId="2AC1634C" w14:textId="77777777" w:rsidR="009F6E91" w:rsidRDefault="009F6E9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87B2" w14:textId="37DAC788" w:rsidR="009F6E91" w:rsidRPr="00CE624A" w:rsidRDefault="008305FF" w:rsidP="000D191A">
    <w:pPr>
      <w:tabs>
        <w:tab w:val="center" w:pos="7513"/>
        <w:tab w:val="right" w:pos="15026"/>
      </w:tabs>
      <w:spacing w:after="240"/>
      <w:rPr>
        <w:sz w:val="16"/>
        <w:szCs w:val="16"/>
      </w:rPr>
    </w:pPr>
    <w:sdt>
      <w:sdtPr>
        <w:rPr>
          <w:sz w:val="16"/>
          <w:szCs w:val="16"/>
        </w:rPr>
        <w:alias w:val="DocID"/>
        <w:tag w:val="DocID"/>
        <w:id w:val="-534503587"/>
        <w:text/>
      </w:sdtPr>
      <w:sdtEndPr/>
      <w:sdtContent>
        <w:r>
          <w:rPr>
            <w:sz w:val="16"/>
            <w:szCs w:val="16"/>
          </w:rPr>
          <w:t>\\1080220 4128-1992-6098 v18</w:t>
        </w:r>
      </w:sdtContent>
    </w:sdt>
    <w:sdt>
      <w:sdtPr>
        <w:rPr>
          <w:sz w:val="16"/>
          <w:szCs w:val="16"/>
        </w:rPr>
        <w:alias w:val="Firm name"/>
        <w:tag w:val="FirmName"/>
        <w:id w:val="1955283955"/>
        <w:text/>
      </w:sdtPr>
      <w:sdtEndPr/>
      <w:sdtContent>
        <w:r w:rsidR="009F6E91">
          <w:rPr>
            <w:szCs w:val="16"/>
          </w:rPr>
          <w:t>Hogan Lovells</w:t>
        </w:r>
      </w:sdtContent>
    </w:sdt>
  </w:p>
  <w:p w14:paraId="05D77CFA" w14:textId="77777777" w:rsidR="009F6E91" w:rsidRDefault="009F6E9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3B21F" w14:textId="77777777" w:rsidR="009F6E91" w:rsidRDefault="009F6E9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7CEA" w14:textId="5370AF31" w:rsidR="009F6E91" w:rsidRPr="00BC3C5B" w:rsidRDefault="008305FF" w:rsidP="00BC3C5B">
    <w:pPr>
      <w:spacing w:after="240"/>
    </w:pPr>
    <w:sdt>
      <w:sdtPr>
        <w:alias w:val="DocID"/>
        <w:tag w:val="DocID"/>
        <w:id w:val="-36426964"/>
        <w:placeholder>
          <w:docPart w:val="4073AB9EE414479790C82EA0502152C5"/>
        </w:placeholder>
        <w:text/>
      </w:sdtPr>
      <w:sdtEndPr/>
      <w:sdtContent>
        <w:r>
          <w:t>\\1080220 4128-1992-6098 v18</w:t>
        </w:r>
      </w:sdtContent>
    </w:sdt>
    <w:sdt>
      <w:sdtPr>
        <w:alias w:val="Firm name"/>
        <w:tag w:val="FirmName"/>
        <w:id w:val="2127578954"/>
        <w:placeholder>
          <w:docPart w:val="4073AB9EE414479790C82EA0502152C5"/>
        </w:placeholder>
        <w:text/>
      </w:sdtPr>
      <w:sdtEndPr/>
      <w:sdtContent>
        <w:r w:rsidR="009F6E91">
          <w:t>Hogan Lovells</w:t>
        </w:r>
      </w:sdtContent>
    </w:sdt>
  </w:p>
  <w:p w14:paraId="3E02C911" w14:textId="77777777" w:rsidR="009F6E91" w:rsidRDefault="009F6E9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D70E" w14:textId="161D822A" w:rsidR="009F6E91" w:rsidRPr="00CE624A" w:rsidRDefault="008305FF" w:rsidP="000D191A">
    <w:pPr>
      <w:tabs>
        <w:tab w:val="center" w:pos="7513"/>
        <w:tab w:val="right" w:pos="15026"/>
      </w:tabs>
      <w:spacing w:after="240"/>
      <w:rPr>
        <w:sz w:val="16"/>
        <w:szCs w:val="16"/>
      </w:rPr>
    </w:pPr>
    <w:sdt>
      <w:sdtPr>
        <w:rPr>
          <w:sz w:val="16"/>
          <w:szCs w:val="16"/>
        </w:rPr>
        <w:alias w:val="DocID"/>
        <w:tag w:val="DocID"/>
        <w:id w:val="-1931039606"/>
        <w:text/>
      </w:sdtPr>
      <w:sdtEndPr/>
      <w:sdtContent>
        <w:r>
          <w:rPr>
            <w:sz w:val="16"/>
            <w:szCs w:val="16"/>
          </w:rPr>
          <w:t>\\1080220 4128-1992-6098 v18</w:t>
        </w:r>
      </w:sdtContent>
    </w:sdt>
    <w:sdt>
      <w:sdtPr>
        <w:rPr>
          <w:sz w:val="16"/>
          <w:szCs w:val="16"/>
        </w:rPr>
        <w:alias w:val="Firm name"/>
        <w:tag w:val="FirmName"/>
        <w:id w:val="-1871455357"/>
        <w:text/>
      </w:sdtPr>
      <w:sdtEndPr/>
      <w:sdtContent>
        <w:r w:rsidR="009F6E91">
          <w:rPr>
            <w:szCs w:val="16"/>
          </w:rPr>
          <w:t>Hogan Lovells</w:t>
        </w:r>
      </w:sdtContent>
    </w:sdt>
  </w:p>
  <w:p w14:paraId="1ECD29F3" w14:textId="77777777" w:rsidR="009F6E91" w:rsidRDefault="009F6E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D40A6" w14:textId="77777777" w:rsidR="002260EF" w:rsidRDefault="002260EF" w:rsidP="009F6E91">
      <w:pPr>
        <w:spacing w:line="240" w:lineRule="auto"/>
      </w:pPr>
      <w:r>
        <w:separator/>
      </w:r>
    </w:p>
  </w:footnote>
  <w:footnote w:type="continuationSeparator" w:id="0">
    <w:p w14:paraId="71A5112F" w14:textId="77777777" w:rsidR="002260EF" w:rsidRDefault="002260EF" w:rsidP="009F6E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3B24" w14:textId="77777777" w:rsidR="00AC5E78" w:rsidRDefault="00AC5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099754"/>
      <w:docPartObj>
        <w:docPartGallery w:val="Page Numbers (Top of Page)"/>
        <w:docPartUnique/>
      </w:docPartObj>
    </w:sdtPr>
    <w:sdtEndPr/>
    <w:sdtContent>
      <w:p w14:paraId="3152FE1B" w14:textId="7B894B77" w:rsidR="001F6E0B" w:rsidRDefault="001F6E0B">
        <w:pPr>
          <w:pStyle w:val="Header"/>
          <w:jc w:val="center"/>
        </w:pPr>
        <w:r>
          <w:fldChar w:fldCharType="begin"/>
        </w:r>
        <w:r>
          <w:instrText>PAGE   \* MERGEFORMAT</w:instrText>
        </w:r>
        <w:r>
          <w:fldChar w:fldCharType="separate"/>
        </w:r>
        <w:r>
          <w:rPr>
            <w:lang w:val="de-DE"/>
          </w:rPr>
          <w:t>2</w:t>
        </w:r>
        <w:r>
          <w:fldChar w:fldCharType="end"/>
        </w:r>
      </w:p>
    </w:sdtContent>
  </w:sdt>
  <w:p w14:paraId="077B1FC3" w14:textId="77777777" w:rsidR="0040282B" w:rsidRDefault="004028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01E1" w14:textId="77777777" w:rsidR="009F6E91" w:rsidRPr="00D57BEE" w:rsidRDefault="009F6E91" w:rsidP="00027BDE">
    <w:pPr>
      <w:tabs>
        <w:tab w:val="center" w:pos="4536"/>
        <w:tab w:val="right" w:pos="9072"/>
      </w:tabs>
      <w:jc w:val="right"/>
      <w:rPr>
        <w:b/>
        <w:i/>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472554"/>
      <w:docPartObj>
        <w:docPartGallery w:val="Page Numbers (Top of Page)"/>
        <w:docPartUnique/>
      </w:docPartObj>
    </w:sdtPr>
    <w:sdtEndPr/>
    <w:sdtContent>
      <w:p w14:paraId="2207E2DA" w14:textId="78887490" w:rsidR="00CA277D" w:rsidRDefault="00CA277D">
        <w:pPr>
          <w:pStyle w:val="Header"/>
          <w:jc w:val="center"/>
        </w:pPr>
        <w:r>
          <w:t xml:space="preserve">- </w:t>
        </w:r>
        <w:r>
          <w:fldChar w:fldCharType="begin"/>
        </w:r>
        <w:r>
          <w:instrText xml:space="preserve"> PAGE  \* MERGEFORMAT </w:instrText>
        </w:r>
        <w:r>
          <w:fldChar w:fldCharType="separate"/>
        </w:r>
        <w:r>
          <w:rPr>
            <w:noProof/>
          </w:rPr>
          <w:t>4</w:t>
        </w:r>
        <w:r>
          <w:fldChar w:fldCharType="end"/>
        </w:r>
        <w:r>
          <w:t xml:space="preserve"> -</w:t>
        </w:r>
      </w:p>
      <w:p w14:paraId="23969393" w14:textId="6BDC2BC7" w:rsidR="00CA277D" w:rsidRDefault="008305FF">
        <w:pPr>
          <w:pStyle w:val="Header"/>
          <w:jc w:val="left"/>
        </w:pPr>
      </w:p>
    </w:sdtContent>
  </w:sdt>
  <w:p w14:paraId="5833CA1F" w14:textId="77777777" w:rsidR="00CA277D" w:rsidRPr="00D57BEE" w:rsidRDefault="00CA277D" w:rsidP="00027BDE">
    <w:pPr>
      <w:tabs>
        <w:tab w:val="center" w:pos="4536"/>
        <w:tab w:val="right" w:pos="9072"/>
      </w:tabs>
      <w:jc w:val="right"/>
      <w:rPr>
        <w:b/>
        <w: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38"/>
    <w:multiLevelType w:val="multilevel"/>
    <w:tmpl w:val="E2BCC730"/>
    <w:name w:val="CustomListNum2"/>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3"/>
      <w:numFmt w:val="lowerLetter"/>
      <w:lvlText w:val="(%3)"/>
      <w:lvlJc w:val="left"/>
      <w:pPr>
        <w:tabs>
          <w:tab w:val="num" w:pos="1417"/>
        </w:tabs>
        <w:ind w:left="1417" w:hanging="708"/>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lowerRoman"/>
      <w:lvlText w:val="(%4)"/>
      <w:lvlJc w:val="left"/>
      <w:pPr>
        <w:tabs>
          <w:tab w:val="num" w:pos="2978"/>
        </w:tabs>
        <w:ind w:left="2978" w:hanging="709"/>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27B4BDC"/>
    <w:multiLevelType w:val="singleLevel"/>
    <w:tmpl w:val="2B96836A"/>
    <w:lvl w:ilvl="0">
      <w:start w:val="1"/>
      <w:numFmt w:val="bullet"/>
      <w:lvlText w:val=""/>
      <w:lvlJc w:val="left"/>
      <w:pPr>
        <w:tabs>
          <w:tab w:val="num" w:pos="709"/>
        </w:tabs>
        <w:ind w:left="709" w:hanging="709"/>
      </w:pPr>
      <w:rPr>
        <w:rFonts w:ascii="Symbol" w:hAnsi="Symbol" w:hint="default"/>
      </w:rPr>
    </w:lvl>
  </w:abstractNum>
  <w:abstractNum w:abstractNumId="2" w15:restartNumberingAfterBreak="0">
    <w:nsid w:val="047235B3"/>
    <w:multiLevelType w:val="singleLevel"/>
    <w:tmpl w:val="304AEF24"/>
    <w:lvl w:ilvl="0">
      <w:start w:val="1"/>
      <w:numFmt w:val="bullet"/>
      <w:lvlText w:val=""/>
      <w:lvlJc w:val="left"/>
      <w:pPr>
        <w:tabs>
          <w:tab w:val="num" w:pos="709"/>
        </w:tabs>
        <w:ind w:left="709" w:hanging="709"/>
      </w:pPr>
      <w:rPr>
        <w:rFonts w:ascii="Symbol" w:hAnsi="Symbol" w:hint="default"/>
      </w:rPr>
    </w:lvl>
  </w:abstractNum>
  <w:abstractNum w:abstractNumId="3" w15:restartNumberingAfterBreak="0">
    <w:nsid w:val="060C36D8"/>
    <w:multiLevelType w:val="singleLevel"/>
    <w:tmpl w:val="C61E0152"/>
    <w:lvl w:ilvl="0">
      <w:start w:val="1"/>
      <w:numFmt w:val="bullet"/>
      <w:lvlText w:val=""/>
      <w:lvlJc w:val="left"/>
      <w:pPr>
        <w:tabs>
          <w:tab w:val="num" w:pos="709"/>
        </w:tabs>
        <w:ind w:left="709" w:hanging="709"/>
      </w:pPr>
      <w:rPr>
        <w:rFonts w:ascii="Symbol" w:hAnsi="Symbol" w:hint="default"/>
      </w:rPr>
    </w:lvl>
  </w:abstractNum>
  <w:abstractNum w:abstractNumId="4" w15:restartNumberingAfterBreak="0">
    <w:nsid w:val="0FE74F7D"/>
    <w:multiLevelType w:val="multilevel"/>
    <w:tmpl w:val="457E5C66"/>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709"/>
        </w:tabs>
        <w:ind w:left="709" w:hanging="709"/>
      </w:pPr>
      <w:rPr>
        <w:rFonts w:hint="default"/>
      </w:rPr>
    </w:lvl>
    <w:lvl w:ilvl="3">
      <w:start w:val="1"/>
      <w:numFmt w:val="lowerRoman"/>
      <w:pStyle w:val="Level4"/>
      <w:lvlText w:val="(%4)"/>
      <w:lvlJc w:val="left"/>
      <w:pPr>
        <w:tabs>
          <w:tab w:val="num" w:pos="1418"/>
        </w:tabs>
        <w:ind w:left="1418" w:hanging="709"/>
      </w:pPr>
      <w:rPr>
        <w:rFonts w:ascii="Arial" w:hAnsi="Arial" w:cs="Arial" w:hint="default"/>
        <w:b w:val="0"/>
      </w:rPr>
    </w:lvl>
    <w:lvl w:ilvl="4">
      <w:start w:val="1"/>
      <w:numFmt w:val="decimal"/>
      <w:pStyle w:val="Level5"/>
      <w:lvlText w:val="(%5)"/>
      <w:lvlJc w:val="left"/>
      <w:pPr>
        <w:tabs>
          <w:tab w:val="num" w:pos="2126"/>
        </w:tabs>
        <w:ind w:left="2126" w:hanging="708"/>
      </w:pPr>
      <w:rPr>
        <w:rFonts w:ascii="Arial" w:hAnsi="Arial" w:cs="Arial" w:hint="default"/>
        <w:b w:val="0"/>
      </w:rPr>
    </w:lvl>
    <w:lvl w:ilvl="5">
      <w:start w:val="1"/>
      <w:numFmt w:val="upperLetter"/>
      <w:pStyle w:val="Level6"/>
      <w:lvlText w:val="(%6)"/>
      <w:lvlJc w:val="left"/>
      <w:pPr>
        <w:tabs>
          <w:tab w:val="num" w:pos="3544"/>
        </w:tabs>
        <w:ind w:left="3544" w:hanging="709"/>
      </w:pPr>
      <w:rPr>
        <w:rFonts w:hint="default"/>
      </w:rPr>
    </w:lvl>
    <w:lvl w:ilvl="6">
      <w:start w:val="1"/>
      <w:numFmt w:val="upperRoman"/>
      <w:pStyle w:val="Level7"/>
      <w:lvlText w:val="(%7)"/>
      <w:lvlJc w:val="left"/>
      <w:pPr>
        <w:tabs>
          <w:tab w:val="num" w:pos="4253"/>
        </w:tabs>
        <w:ind w:left="4253" w:hanging="709"/>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73B5547"/>
    <w:multiLevelType w:val="hybridMultilevel"/>
    <w:tmpl w:val="A888E40E"/>
    <w:name w:val="Recitals"/>
    <w:lvl w:ilvl="0" w:tplc="3050F75C">
      <w:start w:val="1"/>
      <w:numFmt w:val="upperLetter"/>
      <w:pStyle w:val="Recitals"/>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998034E"/>
    <w:multiLevelType w:val="hybridMultilevel"/>
    <w:tmpl w:val="B78E76CA"/>
    <w:name w:val="TOC 4"/>
    <w:lvl w:ilvl="0" w:tplc="ED349F5A">
      <w:start w:val="1"/>
      <w:numFmt w:val="decimal"/>
      <w:pStyle w:val="TOC4"/>
      <w:lvlText w:val="%1."/>
      <w:lvlJc w:val="left"/>
      <w:pPr>
        <w:ind w:left="360" w:hanging="360"/>
      </w:pPr>
      <w:rPr>
        <w:b/>
        <w:i w:val="0"/>
        <w:sz w:val="21"/>
      </w:rPr>
    </w:lvl>
    <w:lvl w:ilvl="1" w:tplc="08090019" w:tentative="1">
      <w:start w:val="1"/>
      <w:numFmt w:val="lowerLetter"/>
      <w:lvlText w:val="%2."/>
      <w:lvlJc w:val="left"/>
      <w:pPr>
        <w:ind w:left="3566" w:hanging="360"/>
      </w:pPr>
    </w:lvl>
    <w:lvl w:ilvl="2" w:tplc="0809001B" w:tentative="1">
      <w:start w:val="1"/>
      <w:numFmt w:val="lowerRoman"/>
      <w:lvlText w:val="%3."/>
      <w:lvlJc w:val="right"/>
      <w:pPr>
        <w:ind w:left="4286" w:hanging="180"/>
      </w:pPr>
    </w:lvl>
    <w:lvl w:ilvl="3" w:tplc="0809000F" w:tentative="1">
      <w:start w:val="1"/>
      <w:numFmt w:val="decimal"/>
      <w:lvlText w:val="%4."/>
      <w:lvlJc w:val="left"/>
      <w:pPr>
        <w:ind w:left="5006" w:hanging="360"/>
      </w:pPr>
    </w:lvl>
    <w:lvl w:ilvl="4" w:tplc="08090019" w:tentative="1">
      <w:start w:val="1"/>
      <w:numFmt w:val="lowerLetter"/>
      <w:lvlText w:val="%5."/>
      <w:lvlJc w:val="left"/>
      <w:pPr>
        <w:ind w:left="5726" w:hanging="360"/>
      </w:pPr>
    </w:lvl>
    <w:lvl w:ilvl="5" w:tplc="0809001B" w:tentative="1">
      <w:start w:val="1"/>
      <w:numFmt w:val="lowerRoman"/>
      <w:lvlText w:val="%6."/>
      <w:lvlJc w:val="right"/>
      <w:pPr>
        <w:ind w:left="6446" w:hanging="180"/>
      </w:pPr>
    </w:lvl>
    <w:lvl w:ilvl="6" w:tplc="0809000F" w:tentative="1">
      <w:start w:val="1"/>
      <w:numFmt w:val="decimal"/>
      <w:lvlText w:val="%7."/>
      <w:lvlJc w:val="left"/>
      <w:pPr>
        <w:ind w:left="7166" w:hanging="360"/>
      </w:pPr>
    </w:lvl>
    <w:lvl w:ilvl="7" w:tplc="08090019" w:tentative="1">
      <w:start w:val="1"/>
      <w:numFmt w:val="lowerLetter"/>
      <w:lvlText w:val="%8."/>
      <w:lvlJc w:val="left"/>
      <w:pPr>
        <w:ind w:left="7886" w:hanging="360"/>
      </w:pPr>
    </w:lvl>
    <w:lvl w:ilvl="8" w:tplc="0809001B" w:tentative="1">
      <w:start w:val="1"/>
      <w:numFmt w:val="lowerRoman"/>
      <w:lvlText w:val="%9."/>
      <w:lvlJc w:val="right"/>
      <w:pPr>
        <w:ind w:left="8606" w:hanging="180"/>
      </w:pPr>
    </w:lvl>
  </w:abstractNum>
  <w:abstractNum w:abstractNumId="7" w15:restartNumberingAfterBreak="0">
    <w:nsid w:val="1D796BDC"/>
    <w:multiLevelType w:val="singleLevel"/>
    <w:tmpl w:val="3990BF82"/>
    <w:lvl w:ilvl="0">
      <w:start w:val="1"/>
      <w:numFmt w:val="bullet"/>
      <w:lvlText w:val=""/>
      <w:lvlJc w:val="left"/>
      <w:pPr>
        <w:tabs>
          <w:tab w:val="num" w:pos="709"/>
        </w:tabs>
        <w:ind w:left="709" w:hanging="709"/>
      </w:pPr>
      <w:rPr>
        <w:rFonts w:ascii="Symbol" w:hAnsi="Symbol" w:hint="default"/>
      </w:rPr>
    </w:lvl>
  </w:abstractNum>
  <w:abstractNum w:abstractNumId="8"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Heading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36A4299"/>
    <w:multiLevelType w:val="multilevel"/>
    <w:tmpl w:val="05EA2F5C"/>
    <w:name w:val="SchCustomListNum2"/>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lowerLetter"/>
      <w:lvlText w:val="(%5)"/>
      <w:lvlJc w:val="left"/>
      <w:pPr>
        <w:tabs>
          <w:tab w:val="num" w:pos="1418"/>
        </w:tabs>
        <w:ind w:left="1418" w:hanging="709"/>
      </w:pPr>
      <w:rPr>
        <w:rFonts w:ascii="Arial" w:hAnsi="Arial" w:cs="Arial" w:hint="default"/>
        <w:b w:val="0"/>
      </w:rPr>
    </w:lvl>
    <w:lvl w:ilvl="5">
      <w:start w:val="1"/>
      <w:numFmt w:val="lowerRoman"/>
      <w:lvlText w:val="(%6)"/>
      <w:lvlJc w:val="left"/>
      <w:pPr>
        <w:tabs>
          <w:tab w:val="num" w:pos="2126"/>
        </w:tabs>
        <w:ind w:left="2126" w:hanging="708"/>
      </w:pPr>
    </w:lvl>
    <w:lvl w:ilvl="6">
      <w:start w:val="1"/>
      <w:numFmt w:val="decimal"/>
      <w:lvlText w:val="(%7)"/>
      <w:lvlJc w:val="left"/>
      <w:pPr>
        <w:tabs>
          <w:tab w:val="num" w:pos="2835"/>
        </w:tabs>
        <w:ind w:left="2835" w:hanging="709"/>
      </w:pPr>
    </w:lvl>
    <w:lvl w:ilvl="7">
      <w:start w:val="1"/>
      <w:numFmt w:val="none"/>
      <w:lvlText w:val=""/>
      <w:lvlJc w:val="left"/>
      <w:pPr>
        <w:tabs>
          <w:tab w:val="num" w:pos="0"/>
        </w:tabs>
        <w:ind w:left="0" w:firstLine="0"/>
      </w:pPr>
    </w:lvl>
    <w:lvl w:ilvl="8">
      <w:start w:val="1"/>
      <w:numFmt w:val="none"/>
      <w:lvlText w:val=""/>
      <w:lvlJc w:val="left"/>
      <w:pPr>
        <w:ind w:left="0" w:firstLine="0"/>
      </w:pPr>
    </w:lvl>
  </w:abstractNum>
  <w:abstractNum w:abstractNumId="10" w15:restartNumberingAfterBreak="0">
    <w:nsid w:val="3170605F"/>
    <w:multiLevelType w:val="multilevel"/>
    <w:tmpl w:val="05EA2F5C"/>
    <w:name w:val="SchCustomListNum"/>
    <w:styleLink w:val="SchCustomList"/>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lvlText w:val="%3."/>
      <w:lvlJc w:val="left"/>
      <w:pPr>
        <w:tabs>
          <w:tab w:val="num" w:pos="709"/>
        </w:tabs>
        <w:ind w:left="709" w:hanging="709"/>
      </w:pPr>
      <w:rPr>
        <w:rFonts w:ascii="Arial" w:hAnsi="Arial" w:cs="Arial" w:hint="default"/>
        <w:b w:val="0"/>
      </w:rPr>
    </w:lvl>
    <w:lvl w:ilvl="3">
      <w:start w:val="1"/>
      <w:numFmt w:val="decimal"/>
      <w:lvlText w:val="%3.%4"/>
      <w:lvlJc w:val="left"/>
      <w:pPr>
        <w:tabs>
          <w:tab w:val="num" w:pos="709"/>
        </w:tabs>
        <w:ind w:left="709" w:hanging="709"/>
      </w:pPr>
      <w:rPr>
        <w:rFonts w:ascii="Arial" w:hAnsi="Arial" w:cs="Arial" w:hint="default"/>
        <w:b w:val="0"/>
      </w:rPr>
    </w:lvl>
    <w:lvl w:ilvl="4">
      <w:start w:val="1"/>
      <w:numFmt w:val="lowerLetter"/>
      <w:lvlText w:val="(%5)"/>
      <w:lvlJc w:val="left"/>
      <w:pPr>
        <w:tabs>
          <w:tab w:val="num" w:pos="1418"/>
        </w:tabs>
        <w:ind w:left="1418" w:hanging="709"/>
      </w:pPr>
      <w:rPr>
        <w:rFonts w:ascii="Arial" w:hAnsi="Arial" w:cs="Arial" w:hint="default"/>
        <w:b w:val="0"/>
      </w:rPr>
    </w:lvl>
    <w:lvl w:ilvl="5">
      <w:start w:val="1"/>
      <w:numFmt w:val="lowerRoman"/>
      <w:lvlText w:val="(%6)"/>
      <w:lvlJc w:val="left"/>
      <w:pPr>
        <w:tabs>
          <w:tab w:val="num" w:pos="2126"/>
        </w:tabs>
        <w:ind w:left="2126" w:hanging="708"/>
      </w:pPr>
      <w:rPr>
        <w:rFonts w:hint="default"/>
      </w:rPr>
    </w:lvl>
    <w:lvl w:ilvl="6">
      <w:start w:val="1"/>
      <w:numFmt w:val="decimal"/>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1" w15:restartNumberingAfterBreak="0">
    <w:nsid w:val="339D4CF0"/>
    <w:multiLevelType w:val="multilevel"/>
    <w:tmpl w:val="9E0000A2"/>
    <w:name w:val="SchCustomListNum3"/>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2" w15:restartNumberingAfterBreak="0">
    <w:nsid w:val="351B1BD7"/>
    <w:multiLevelType w:val="singleLevel"/>
    <w:tmpl w:val="ACEAFD42"/>
    <w:lvl w:ilvl="0">
      <w:start w:val="1"/>
      <w:numFmt w:val="bullet"/>
      <w:lvlText w:val=""/>
      <w:lvlJc w:val="left"/>
      <w:pPr>
        <w:tabs>
          <w:tab w:val="num" w:pos="709"/>
        </w:tabs>
        <w:ind w:left="709" w:hanging="709"/>
      </w:pPr>
      <w:rPr>
        <w:rFonts w:ascii="Symbol" w:hAnsi="Symbol" w:hint="default"/>
      </w:rPr>
    </w:lvl>
  </w:abstractNum>
  <w:abstractNum w:abstractNumId="13" w15:restartNumberingAfterBreak="0">
    <w:nsid w:val="37D47B52"/>
    <w:multiLevelType w:val="singleLevel"/>
    <w:tmpl w:val="2262712A"/>
    <w:lvl w:ilvl="0">
      <w:start w:val="1"/>
      <w:numFmt w:val="bullet"/>
      <w:lvlText w:val=""/>
      <w:lvlJc w:val="left"/>
      <w:pPr>
        <w:tabs>
          <w:tab w:val="num" w:pos="709"/>
        </w:tabs>
        <w:ind w:left="709" w:hanging="709"/>
      </w:pPr>
      <w:rPr>
        <w:rFonts w:ascii="Symbol" w:hAnsi="Symbol" w:hint="default"/>
      </w:rPr>
    </w:lvl>
  </w:abstractNum>
  <w:abstractNum w:abstractNumId="14" w15:restartNumberingAfterBreak="0">
    <w:nsid w:val="39733166"/>
    <w:multiLevelType w:val="hybridMultilevel"/>
    <w:tmpl w:val="3C865FF6"/>
    <w:name w:val="Parties"/>
    <w:lvl w:ilvl="0" w:tplc="DAC69E5A">
      <w:start w:val="1"/>
      <w:numFmt w:val="decimal"/>
      <w:pStyle w:val="Parties"/>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971441B"/>
    <w:multiLevelType w:val="singleLevel"/>
    <w:tmpl w:val="F1E6A3FE"/>
    <w:lvl w:ilvl="0">
      <w:start w:val="1"/>
      <w:numFmt w:val="bullet"/>
      <w:lvlText w:val=""/>
      <w:lvlJc w:val="left"/>
      <w:pPr>
        <w:tabs>
          <w:tab w:val="num" w:pos="709"/>
        </w:tabs>
        <w:ind w:left="709" w:hanging="709"/>
      </w:pPr>
      <w:rPr>
        <w:rFonts w:ascii="Symbol" w:hAnsi="Symbol" w:hint="default"/>
      </w:rPr>
    </w:lvl>
  </w:abstractNum>
  <w:abstractNum w:abstractNumId="16" w15:restartNumberingAfterBreak="0">
    <w:nsid w:val="4A5A1441"/>
    <w:multiLevelType w:val="multilevel"/>
    <w:tmpl w:val="95906336"/>
    <w:name w:val="CustomListNum"/>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Roman"/>
      <w:lvlText w:val="(%4)"/>
      <w:lvlJc w:val="left"/>
      <w:pPr>
        <w:tabs>
          <w:tab w:val="num" w:pos="2978"/>
        </w:tabs>
        <w:ind w:left="2978" w:hanging="709"/>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C5B0DDD"/>
    <w:multiLevelType w:val="singleLevel"/>
    <w:tmpl w:val="BCF8E800"/>
    <w:lvl w:ilvl="0">
      <w:start w:val="1"/>
      <w:numFmt w:val="bullet"/>
      <w:lvlText w:val=""/>
      <w:lvlJc w:val="left"/>
      <w:pPr>
        <w:tabs>
          <w:tab w:val="num" w:pos="709"/>
        </w:tabs>
        <w:ind w:left="709" w:hanging="709"/>
      </w:pPr>
      <w:rPr>
        <w:rFonts w:ascii="Symbol" w:hAnsi="Symbol" w:hint="default"/>
      </w:rPr>
    </w:lvl>
  </w:abstractNum>
  <w:abstractNum w:abstractNumId="18" w15:restartNumberingAfterBreak="0">
    <w:nsid w:val="509D5EF6"/>
    <w:multiLevelType w:val="singleLevel"/>
    <w:tmpl w:val="63681D6A"/>
    <w:lvl w:ilvl="0">
      <w:start w:val="1"/>
      <w:numFmt w:val="bullet"/>
      <w:lvlText w:val=""/>
      <w:lvlJc w:val="left"/>
      <w:pPr>
        <w:tabs>
          <w:tab w:val="num" w:pos="709"/>
        </w:tabs>
        <w:ind w:left="709" w:hanging="709"/>
      </w:pPr>
      <w:rPr>
        <w:rFonts w:ascii="Symbol" w:hAnsi="Symbol" w:hint="default"/>
      </w:rPr>
    </w:lvl>
  </w:abstractNum>
  <w:abstractNum w:abstractNumId="19" w15:restartNumberingAfterBreak="0">
    <w:nsid w:val="597E0EDD"/>
    <w:multiLevelType w:val="singleLevel"/>
    <w:tmpl w:val="80B0657C"/>
    <w:lvl w:ilvl="0">
      <w:start w:val="1"/>
      <w:numFmt w:val="bullet"/>
      <w:lvlText w:val=""/>
      <w:lvlJc w:val="left"/>
      <w:pPr>
        <w:tabs>
          <w:tab w:val="num" w:pos="709"/>
        </w:tabs>
        <w:ind w:left="709" w:hanging="709"/>
      </w:pPr>
      <w:rPr>
        <w:rFonts w:ascii="Symbol" w:hAnsi="Symbol" w:hint="default"/>
      </w:rPr>
    </w:lvl>
  </w:abstractNum>
  <w:abstractNum w:abstractNumId="20" w15:restartNumberingAfterBreak="0">
    <w:nsid w:val="65E70C0D"/>
    <w:multiLevelType w:val="hybridMultilevel"/>
    <w:tmpl w:val="B6A0A0E4"/>
    <w:lvl w:ilvl="0" w:tplc="04070001">
      <w:start w:val="1"/>
      <w:numFmt w:val="bullet"/>
      <w:lvlText w:val=""/>
      <w:lvlJc w:val="left"/>
      <w:pPr>
        <w:ind w:left="731" w:hanging="360"/>
      </w:pPr>
      <w:rPr>
        <w:rFonts w:ascii="Symbol" w:hAnsi="Symbol" w:hint="default"/>
      </w:rPr>
    </w:lvl>
    <w:lvl w:ilvl="1" w:tplc="04070003" w:tentative="1">
      <w:start w:val="1"/>
      <w:numFmt w:val="bullet"/>
      <w:lvlText w:val="o"/>
      <w:lvlJc w:val="left"/>
      <w:pPr>
        <w:ind w:left="1451" w:hanging="360"/>
      </w:pPr>
      <w:rPr>
        <w:rFonts w:ascii="Courier New" w:hAnsi="Courier New" w:cs="Courier New" w:hint="default"/>
      </w:rPr>
    </w:lvl>
    <w:lvl w:ilvl="2" w:tplc="04070005" w:tentative="1">
      <w:start w:val="1"/>
      <w:numFmt w:val="bullet"/>
      <w:lvlText w:val=""/>
      <w:lvlJc w:val="left"/>
      <w:pPr>
        <w:ind w:left="2171" w:hanging="360"/>
      </w:pPr>
      <w:rPr>
        <w:rFonts w:ascii="Wingdings" w:hAnsi="Wingdings" w:hint="default"/>
      </w:rPr>
    </w:lvl>
    <w:lvl w:ilvl="3" w:tplc="04070001" w:tentative="1">
      <w:start w:val="1"/>
      <w:numFmt w:val="bullet"/>
      <w:lvlText w:val=""/>
      <w:lvlJc w:val="left"/>
      <w:pPr>
        <w:ind w:left="2891" w:hanging="360"/>
      </w:pPr>
      <w:rPr>
        <w:rFonts w:ascii="Symbol" w:hAnsi="Symbol" w:hint="default"/>
      </w:rPr>
    </w:lvl>
    <w:lvl w:ilvl="4" w:tplc="04070003" w:tentative="1">
      <w:start w:val="1"/>
      <w:numFmt w:val="bullet"/>
      <w:lvlText w:val="o"/>
      <w:lvlJc w:val="left"/>
      <w:pPr>
        <w:ind w:left="3611" w:hanging="360"/>
      </w:pPr>
      <w:rPr>
        <w:rFonts w:ascii="Courier New" w:hAnsi="Courier New" w:cs="Courier New" w:hint="default"/>
      </w:rPr>
    </w:lvl>
    <w:lvl w:ilvl="5" w:tplc="04070005" w:tentative="1">
      <w:start w:val="1"/>
      <w:numFmt w:val="bullet"/>
      <w:lvlText w:val=""/>
      <w:lvlJc w:val="left"/>
      <w:pPr>
        <w:ind w:left="4331" w:hanging="360"/>
      </w:pPr>
      <w:rPr>
        <w:rFonts w:ascii="Wingdings" w:hAnsi="Wingdings" w:hint="default"/>
      </w:rPr>
    </w:lvl>
    <w:lvl w:ilvl="6" w:tplc="04070001" w:tentative="1">
      <w:start w:val="1"/>
      <w:numFmt w:val="bullet"/>
      <w:lvlText w:val=""/>
      <w:lvlJc w:val="left"/>
      <w:pPr>
        <w:ind w:left="5051" w:hanging="360"/>
      </w:pPr>
      <w:rPr>
        <w:rFonts w:ascii="Symbol" w:hAnsi="Symbol" w:hint="default"/>
      </w:rPr>
    </w:lvl>
    <w:lvl w:ilvl="7" w:tplc="04070003" w:tentative="1">
      <w:start w:val="1"/>
      <w:numFmt w:val="bullet"/>
      <w:lvlText w:val="o"/>
      <w:lvlJc w:val="left"/>
      <w:pPr>
        <w:ind w:left="5771" w:hanging="360"/>
      </w:pPr>
      <w:rPr>
        <w:rFonts w:ascii="Courier New" w:hAnsi="Courier New" w:cs="Courier New" w:hint="default"/>
      </w:rPr>
    </w:lvl>
    <w:lvl w:ilvl="8" w:tplc="04070005" w:tentative="1">
      <w:start w:val="1"/>
      <w:numFmt w:val="bullet"/>
      <w:lvlText w:val=""/>
      <w:lvlJc w:val="left"/>
      <w:pPr>
        <w:ind w:left="6491" w:hanging="360"/>
      </w:pPr>
      <w:rPr>
        <w:rFonts w:ascii="Wingdings" w:hAnsi="Wingdings" w:hint="default"/>
      </w:rPr>
    </w:lvl>
  </w:abstractNum>
  <w:abstractNum w:abstractNumId="21" w15:restartNumberingAfterBreak="0">
    <w:nsid w:val="6F515894"/>
    <w:multiLevelType w:val="multilevel"/>
    <w:tmpl w:val="B03A4F8A"/>
    <w:name w:val="DefHead3"/>
    <w:lvl w:ilvl="0">
      <w:start w:val="1"/>
      <w:numFmt w:val="none"/>
      <w:pStyle w:val="DefHead"/>
      <w:suff w:val="nothing"/>
      <w:lvlText w:val=""/>
      <w:lvlJc w:val="left"/>
      <w:pPr>
        <w:ind w:left="709" w:firstLine="0"/>
      </w:pPr>
      <w:rPr>
        <w:rFonts w:hint="default"/>
      </w:rPr>
    </w:lvl>
    <w:lvl w:ilvl="1">
      <w:start w:val="1"/>
      <w:numFmt w:val="lowerLetter"/>
      <w:pStyle w:val="DefLevel1"/>
      <w:lvlText w:val="(%2)"/>
      <w:lvlJc w:val="left"/>
      <w:pPr>
        <w:tabs>
          <w:tab w:val="num" w:pos="1418"/>
        </w:tabs>
        <w:ind w:left="1418" w:hanging="709"/>
      </w:pPr>
      <w:rPr>
        <w:rFonts w:hint="default"/>
      </w:rPr>
    </w:lvl>
    <w:lvl w:ilvl="2">
      <w:start w:val="1"/>
      <w:numFmt w:val="lowerRoman"/>
      <w:pStyle w:val="DefLevel2"/>
      <w:lvlText w:val="(%3)"/>
      <w:lvlJc w:val="left"/>
      <w:pPr>
        <w:tabs>
          <w:tab w:val="num" w:pos="2126"/>
        </w:tabs>
        <w:ind w:left="2126" w:hanging="708"/>
      </w:pPr>
      <w:rPr>
        <w:rFonts w:hint="default"/>
      </w:rPr>
    </w:lvl>
    <w:lvl w:ilvl="3">
      <w:start w:val="1"/>
      <w:numFmt w:val="decimal"/>
      <w:pStyle w:val="DefLevel3"/>
      <w:lvlText w:val="(%4)"/>
      <w:lvlJc w:val="left"/>
      <w:pPr>
        <w:tabs>
          <w:tab w:val="num" w:pos="2835"/>
        </w:tabs>
        <w:ind w:left="2835" w:hanging="709"/>
      </w:pPr>
      <w:rPr>
        <w:rFonts w:hint="default"/>
      </w:rPr>
    </w:lvl>
    <w:lvl w:ilvl="4">
      <w:start w:val="1"/>
      <w:numFmt w:val="upperLetter"/>
      <w:pStyle w:val="DefLevel4"/>
      <w:lvlText w:val="(%5)"/>
      <w:lvlJc w:val="left"/>
      <w:pPr>
        <w:tabs>
          <w:tab w:val="num" w:pos="3544"/>
        </w:tabs>
        <w:ind w:left="3544" w:hanging="709"/>
      </w:pPr>
      <w:rPr>
        <w:rFonts w:hint="default"/>
      </w:rPr>
    </w:lvl>
    <w:lvl w:ilvl="5">
      <w:start w:val="1"/>
      <w:numFmt w:val="upperRoman"/>
      <w:pStyle w:val="DefLevel5"/>
      <w:lvlText w:val="(%6)"/>
      <w:lvlJc w:val="left"/>
      <w:pPr>
        <w:tabs>
          <w:tab w:val="num" w:pos="4253"/>
        </w:tabs>
        <w:ind w:left="4253" w:hanging="709"/>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87917F6"/>
    <w:multiLevelType w:val="singleLevel"/>
    <w:tmpl w:val="81D691E2"/>
    <w:lvl w:ilvl="0">
      <w:start w:val="1"/>
      <w:numFmt w:val="bullet"/>
      <w:lvlText w:val=""/>
      <w:lvlJc w:val="left"/>
      <w:pPr>
        <w:tabs>
          <w:tab w:val="num" w:pos="709"/>
        </w:tabs>
        <w:ind w:left="709" w:hanging="709"/>
      </w:pPr>
      <w:rPr>
        <w:rFonts w:ascii="Symbol" w:hAnsi="Symbol" w:hint="default"/>
      </w:rPr>
    </w:lvl>
  </w:abstractNum>
  <w:abstractNum w:abstractNumId="23" w15:restartNumberingAfterBreak="0">
    <w:nsid w:val="7E98617F"/>
    <w:multiLevelType w:val="hybridMultilevel"/>
    <w:tmpl w:val="540CA5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63082732">
    <w:abstractNumId w:val="10"/>
  </w:num>
  <w:num w:numId="2" w16cid:durableId="308479670">
    <w:abstractNumId w:val="8"/>
  </w:num>
  <w:num w:numId="3" w16cid:durableId="677005806">
    <w:abstractNumId w:val="14"/>
  </w:num>
  <w:num w:numId="4" w16cid:durableId="1956716681">
    <w:abstractNumId w:val="5"/>
  </w:num>
  <w:num w:numId="5" w16cid:durableId="1294402606">
    <w:abstractNumId w:val="6"/>
  </w:num>
  <w:num w:numId="6" w16cid:durableId="18226966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63579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99585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2900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256884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229969">
    <w:abstractNumId w:val="4"/>
  </w:num>
  <w:num w:numId="12" w16cid:durableId="18065064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99444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5587675">
    <w:abstractNumId w:val="18"/>
  </w:num>
  <w:num w:numId="15" w16cid:durableId="382406602">
    <w:abstractNumId w:val="22"/>
  </w:num>
  <w:num w:numId="16" w16cid:durableId="909769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05208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08211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84616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964569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16020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186269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41142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17591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958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967971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88576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8949940">
    <w:abstractNumId w:val="13"/>
  </w:num>
  <w:num w:numId="29" w16cid:durableId="8464849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17559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45142335">
    <w:abstractNumId w:val="21"/>
  </w:num>
  <w:num w:numId="32" w16cid:durableId="270741931">
    <w:abstractNumId w:val="11"/>
  </w:num>
  <w:num w:numId="33" w16cid:durableId="455368117">
    <w:abstractNumId w:val="12"/>
  </w:num>
  <w:num w:numId="34" w16cid:durableId="1490637465">
    <w:abstractNumId w:val="1"/>
  </w:num>
  <w:num w:numId="35" w16cid:durableId="2021197302">
    <w:abstractNumId w:val="19"/>
  </w:num>
  <w:num w:numId="36" w16cid:durableId="610555048">
    <w:abstractNumId w:val="2"/>
  </w:num>
  <w:num w:numId="37" w16cid:durableId="1772238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6117176">
    <w:abstractNumId w:val="7"/>
  </w:num>
  <w:num w:numId="39" w16cid:durableId="2108497459">
    <w:abstractNumId w:val="15"/>
  </w:num>
  <w:num w:numId="40" w16cid:durableId="1456756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90328455">
    <w:abstractNumId w:val="17"/>
  </w:num>
  <w:num w:numId="42" w16cid:durableId="300577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9434581">
    <w:abstractNumId w:val="3"/>
  </w:num>
  <w:num w:numId="44" w16cid:durableId="1514415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652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639477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07360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637419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44588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029536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060404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387620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65055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528030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784054">
    <w:abstractNumId w:val="20"/>
  </w:num>
  <w:num w:numId="56" w16cid:durableId="19507696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98312337">
    <w:abstractNumId w:val="23"/>
  </w:num>
  <w:num w:numId="58" w16cid:durableId="9457260">
    <w:abstractNumId w:val="4"/>
    <w:lvlOverride w:ilvl="0">
      <w:startOverride w:val="2"/>
    </w:lvlOverride>
  </w:num>
  <w:num w:numId="59" w16cid:durableId="3651087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38069532">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 "/>
    <w:docVar w:name="ndGeneratedStampLocation" w:val="None"/>
    <w:docVar w:name="NetDocs_AuthorID" w:val="1080220"/>
    <w:docVar w:name="NetDocs_AuthorName" w:val="1080220"/>
    <w:docVar w:name="NetDocs_CabinetID" w:val="NG-D3AJFPW7"/>
    <w:docVar w:name="NetDocs_CabinetName" w:val="NG-D3AJFPW7"/>
    <w:docVar w:name="NetDocs_ClientID" w:val="772229"/>
    <w:docVar w:name="NetDocs_DocID" w:val="4128-1992-6098"/>
    <w:docVar w:name="NetDocs_DocName" w:val="ECARAT 2025-1 Prospectus.docx"/>
    <w:docVar w:name="NetDocs_DocPath" w:val="C:\Users\oebelsse\ND Office Echo\EU-HXEYU218\ECARAT 2025-1 Prospectus 4128-1992-6098 v.18.docx"/>
    <w:docVar w:name="NetDocs_DocumentType" w:val="OTH"/>
    <w:docVar w:name="NetDocs_MatterID" w:val="000004"/>
    <w:docVar w:name="NetDocs_PracticeArea" w:val="1118"/>
    <w:docVar w:name="NetDocs_PracticeGroup" w:val="1000"/>
    <w:docVar w:name="NetDocs_Version" w:val="18"/>
  </w:docVars>
  <w:rsids>
    <w:rsidRoot w:val="002544C4"/>
    <w:rsid w:val="00000889"/>
    <w:rsid w:val="000010A8"/>
    <w:rsid w:val="00001155"/>
    <w:rsid w:val="000013F4"/>
    <w:rsid w:val="0000191B"/>
    <w:rsid w:val="00001EED"/>
    <w:rsid w:val="00001EFF"/>
    <w:rsid w:val="00001F81"/>
    <w:rsid w:val="00002016"/>
    <w:rsid w:val="00002215"/>
    <w:rsid w:val="00002CA5"/>
    <w:rsid w:val="00002F65"/>
    <w:rsid w:val="00003434"/>
    <w:rsid w:val="000035DA"/>
    <w:rsid w:val="00003842"/>
    <w:rsid w:val="00003B33"/>
    <w:rsid w:val="00003EAB"/>
    <w:rsid w:val="00003FB1"/>
    <w:rsid w:val="0000415B"/>
    <w:rsid w:val="00004FCF"/>
    <w:rsid w:val="0000553D"/>
    <w:rsid w:val="0000567B"/>
    <w:rsid w:val="00005A08"/>
    <w:rsid w:val="00005B7D"/>
    <w:rsid w:val="000060E2"/>
    <w:rsid w:val="00006CB0"/>
    <w:rsid w:val="00006DD5"/>
    <w:rsid w:val="00007864"/>
    <w:rsid w:val="000078CB"/>
    <w:rsid w:val="00007A2F"/>
    <w:rsid w:val="00010221"/>
    <w:rsid w:val="00010394"/>
    <w:rsid w:val="000104A6"/>
    <w:rsid w:val="000108A6"/>
    <w:rsid w:val="00010984"/>
    <w:rsid w:val="000110D4"/>
    <w:rsid w:val="00011C82"/>
    <w:rsid w:val="00011CDB"/>
    <w:rsid w:val="00012022"/>
    <w:rsid w:val="00012A87"/>
    <w:rsid w:val="00012F63"/>
    <w:rsid w:val="00013087"/>
    <w:rsid w:val="00013D84"/>
    <w:rsid w:val="000144F3"/>
    <w:rsid w:val="0001462B"/>
    <w:rsid w:val="000146E0"/>
    <w:rsid w:val="00014ECF"/>
    <w:rsid w:val="00015045"/>
    <w:rsid w:val="00015198"/>
    <w:rsid w:val="000154A6"/>
    <w:rsid w:val="00015606"/>
    <w:rsid w:val="00015701"/>
    <w:rsid w:val="0001599B"/>
    <w:rsid w:val="00015ED9"/>
    <w:rsid w:val="0001674A"/>
    <w:rsid w:val="00016DC0"/>
    <w:rsid w:val="0001706F"/>
    <w:rsid w:val="00020043"/>
    <w:rsid w:val="00020CDD"/>
    <w:rsid w:val="00020F03"/>
    <w:rsid w:val="00021330"/>
    <w:rsid w:val="000213B9"/>
    <w:rsid w:val="00021827"/>
    <w:rsid w:val="0002198C"/>
    <w:rsid w:val="00022093"/>
    <w:rsid w:val="000221DC"/>
    <w:rsid w:val="000226B2"/>
    <w:rsid w:val="000228A1"/>
    <w:rsid w:val="00022EF7"/>
    <w:rsid w:val="000231F4"/>
    <w:rsid w:val="000237B7"/>
    <w:rsid w:val="00023A77"/>
    <w:rsid w:val="00023DD8"/>
    <w:rsid w:val="00023F48"/>
    <w:rsid w:val="0002475C"/>
    <w:rsid w:val="00024A97"/>
    <w:rsid w:val="00024EA5"/>
    <w:rsid w:val="00025019"/>
    <w:rsid w:val="00025237"/>
    <w:rsid w:val="0002525C"/>
    <w:rsid w:val="00025294"/>
    <w:rsid w:val="000254D9"/>
    <w:rsid w:val="00025523"/>
    <w:rsid w:val="0002572C"/>
    <w:rsid w:val="00025847"/>
    <w:rsid w:val="000258B2"/>
    <w:rsid w:val="00025EC3"/>
    <w:rsid w:val="000260F6"/>
    <w:rsid w:val="00026258"/>
    <w:rsid w:val="000262D1"/>
    <w:rsid w:val="00026FF9"/>
    <w:rsid w:val="000270A3"/>
    <w:rsid w:val="000279F5"/>
    <w:rsid w:val="00027BDE"/>
    <w:rsid w:val="00027C8A"/>
    <w:rsid w:val="00027CF6"/>
    <w:rsid w:val="00027D3A"/>
    <w:rsid w:val="00030110"/>
    <w:rsid w:val="00030735"/>
    <w:rsid w:val="0003085C"/>
    <w:rsid w:val="00030A37"/>
    <w:rsid w:val="00030A3A"/>
    <w:rsid w:val="00030F49"/>
    <w:rsid w:val="00031414"/>
    <w:rsid w:val="0003143C"/>
    <w:rsid w:val="000319C3"/>
    <w:rsid w:val="00031E65"/>
    <w:rsid w:val="0003209D"/>
    <w:rsid w:val="000338A5"/>
    <w:rsid w:val="0003398B"/>
    <w:rsid w:val="00033CA3"/>
    <w:rsid w:val="000342DC"/>
    <w:rsid w:val="000348E6"/>
    <w:rsid w:val="00034926"/>
    <w:rsid w:val="00034A4D"/>
    <w:rsid w:val="00035980"/>
    <w:rsid w:val="00035E8D"/>
    <w:rsid w:val="00035FC1"/>
    <w:rsid w:val="00036047"/>
    <w:rsid w:val="00036203"/>
    <w:rsid w:val="00036398"/>
    <w:rsid w:val="00037834"/>
    <w:rsid w:val="00037A03"/>
    <w:rsid w:val="00037E8E"/>
    <w:rsid w:val="000401BF"/>
    <w:rsid w:val="00040E28"/>
    <w:rsid w:val="00040F6D"/>
    <w:rsid w:val="00041450"/>
    <w:rsid w:val="00041BAF"/>
    <w:rsid w:val="000420D4"/>
    <w:rsid w:val="00042788"/>
    <w:rsid w:val="00042945"/>
    <w:rsid w:val="00042A5E"/>
    <w:rsid w:val="00042FD6"/>
    <w:rsid w:val="000431DD"/>
    <w:rsid w:val="0004372D"/>
    <w:rsid w:val="000438B9"/>
    <w:rsid w:val="00043C6D"/>
    <w:rsid w:val="00044120"/>
    <w:rsid w:val="00044CBC"/>
    <w:rsid w:val="00044DD4"/>
    <w:rsid w:val="00044F16"/>
    <w:rsid w:val="00045000"/>
    <w:rsid w:val="0004544B"/>
    <w:rsid w:val="0004552F"/>
    <w:rsid w:val="00045A2C"/>
    <w:rsid w:val="00045AC1"/>
    <w:rsid w:val="00046072"/>
    <w:rsid w:val="00046E62"/>
    <w:rsid w:val="00047B55"/>
    <w:rsid w:val="00047DD3"/>
    <w:rsid w:val="00050009"/>
    <w:rsid w:val="00050964"/>
    <w:rsid w:val="00050BD7"/>
    <w:rsid w:val="00051883"/>
    <w:rsid w:val="00051944"/>
    <w:rsid w:val="000520CA"/>
    <w:rsid w:val="00052123"/>
    <w:rsid w:val="00053DA0"/>
    <w:rsid w:val="00055D0F"/>
    <w:rsid w:val="00055D38"/>
    <w:rsid w:val="000563A4"/>
    <w:rsid w:val="00056835"/>
    <w:rsid w:val="00056856"/>
    <w:rsid w:val="00056C9E"/>
    <w:rsid w:val="000570F1"/>
    <w:rsid w:val="0006015D"/>
    <w:rsid w:val="00060167"/>
    <w:rsid w:val="000605EF"/>
    <w:rsid w:val="000606EF"/>
    <w:rsid w:val="00060E29"/>
    <w:rsid w:val="00061073"/>
    <w:rsid w:val="00061A45"/>
    <w:rsid w:val="00061A95"/>
    <w:rsid w:val="00062052"/>
    <w:rsid w:val="000624DB"/>
    <w:rsid w:val="00062907"/>
    <w:rsid w:val="00062B36"/>
    <w:rsid w:val="00062C31"/>
    <w:rsid w:val="00062C6C"/>
    <w:rsid w:val="00062D1B"/>
    <w:rsid w:val="00062EC4"/>
    <w:rsid w:val="00062FA3"/>
    <w:rsid w:val="00063289"/>
    <w:rsid w:val="00063924"/>
    <w:rsid w:val="00063BE5"/>
    <w:rsid w:val="00064213"/>
    <w:rsid w:val="00065019"/>
    <w:rsid w:val="00065EF0"/>
    <w:rsid w:val="0006639A"/>
    <w:rsid w:val="00066FB0"/>
    <w:rsid w:val="00067204"/>
    <w:rsid w:val="00067356"/>
    <w:rsid w:val="0006767B"/>
    <w:rsid w:val="00067C59"/>
    <w:rsid w:val="000701C6"/>
    <w:rsid w:val="0007032E"/>
    <w:rsid w:val="00070C1D"/>
    <w:rsid w:val="000715B6"/>
    <w:rsid w:val="000717B7"/>
    <w:rsid w:val="00071C1D"/>
    <w:rsid w:val="00071E3B"/>
    <w:rsid w:val="000723ED"/>
    <w:rsid w:val="00072C59"/>
    <w:rsid w:val="00073068"/>
    <w:rsid w:val="000734B3"/>
    <w:rsid w:val="00073953"/>
    <w:rsid w:val="00074970"/>
    <w:rsid w:val="00075066"/>
    <w:rsid w:val="0007554A"/>
    <w:rsid w:val="00076068"/>
    <w:rsid w:val="000768EC"/>
    <w:rsid w:val="00076A65"/>
    <w:rsid w:val="00076D92"/>
    <w:rsid w:val="0007728B"/>
    <w:rsid w:val="000772AC"/>
    <w:rsid w:val="000776ED"/>
    <w:rsid w:val="0007782D"/>
    <w:rsid w:val="00080D57"/>
    <w:rsid w:val="00080F31"/>
    <w:rsid w:val="000814DA"/>
    <w:rsid w:val="0008162C"/>
    <w:rsid w:val="00081666"/>
    <w:rsid w:val="00081720"/>
    <w:rsid w:val="00081A36"/>
    <w:rsid w:val="00082095"/>
    <w:rsid w:val="000829EC"/>
    <w:rsid w:val="00082C77"/>
    <w:rsid w:val="00083659"/>
    <w:rsid w:val="000836A7"/>
    <w:rsid w:val="00083E3D"/>
    <w:rsid w:val="00084562"/>
    <w:rsid w:val="00084921"/>
    <w:rsid w:val="00084C60"/>
    <w:rsid w:val="00084DAC"/>
    <w:rsid w:val="00085E16"/>
    <w:rsid w:val="000863C7"/>
    <w:rsid w:val="00086C3E"/>
    <w:rsid w:val="0008704A"/>
    <w:rsid w:val="000872C5"/>
    <w:rsid w:val="0008772F"/>
    <w:rsid w:val="000901BB"/>
    <w:rsid w:val="000903CA"/>
    <w:rsid w:val="00090E8D"/>
    <w:rsid w:val="0009179B"/>
    <w:rsid w:val="00091813"/>
    <w:rsid w:val="00091A99"/>
    <w:rsid w:val="00091BD1"/>
    <w:rsid w:val="00091EBD"/>
    <w:rsid w:val="000921CF"/>
    <w:rsid w:val="00092606"/>
    <w:rsid w:val="00092678"/>
    <w:rsid w:val="000926EF"/>
    <w:rsid w:val="00092AB0"/>
    <w:rsid w:val="00092C10"/>
    <w:rsid w:val="00092D3F"/>
    <w:rsid w:val="00093909"/>
    <w:rsid w:val="00093F65"/>
    <w:rsid w:val="00094078"/>
    <w:rsid w:val="0009432E"/>
    <w:rsid w:val="0009443A"/>
    <w:rsid w:val="00094A32"/>
    <w:rsid w:val="00095023"/>
    <w:rsid w:val="000951EF"/>
    <w:rsid w:val="0009541F"/>
    <w:rsid w:val="000959A5"/>
    <w:rsid w:val="00095F82"/>
    <w:rsid w:val="000964A2"/>
    <w:rsid w:val="00096800"/>
    <w:rsid w:val="00096C13"/>
    <w:rsid w:val="00096CDA"/>
    <w:rsid w:val="00096F41"/>
    <w:rsid w:val="00097571"/>
    <w:rsid w:val="0009762E"/>
    <w:rsid w:val="00097E22"/>
    <w:rsid w:val="000A01B2"/>
    <w:rsid w:val="000A061F"/>
    <w:rsid w:val="000A083E"/>
    <w:rsid w:val="000A0901"/>
    <w:rsid w:val="000A0C28"/>
    <w:rsid w:val="000A0FD6"/>
    <w:rsid w:val="000A11CF"/>
    <w:rsid w:val="000A171E"/>
    <w:rsid w:val="000A179F"/>
    <w:rsid w:val="000A1E1D"/>
    <w:rsid w:val="000A2258"/>
    <w:rsid w:val="000A2A86"/>
    <w:rsid w:val="000A2EBB"/>
    <w:rsid w:val="000A3140"/>
    <w:rsid w:val="000A4A56"/>
    <w:rsid w:val="000A4B7F"/>
    <w:rsid w:val="000A4E2A"/>
    <w:rsid w:val="000A5450"/>
    <w:rsid w:val="000A5CC9"/>
    <w:rsid w:val="000A5CEF"/>
    <w:rsid w:val="000A5E6E"/>
    <w:rsid w:val="000A65FE"/>
    <w:rsid w:val="000A6825"/>
    <w:rsid w:val="000A7292"/>
    <w:rsid w:val="000A7590"/>
    <w:rsid w:val="000B060A"/>
    <w:rsid w:val="000B0708"/>
    <w:rsid w:val="000B07D5"/>
    <w:rsid w:val="000B11FC"/>
    <w:rsid w:val="000B1A34"/>
    <w:rsid w:val="000B1EAB"/>
    <w:rsid w:val="000B20C0"/>
    <w:rsid w:val="000B241D"/>
    <w:rsid w:val="000B2925"/>
    <w:rsid w:val="000B2C02"/>
    <w:rsid w:val="000B2D36"/>
    <w:rsid w:val="000B362D"/>
    <w:rsid w:val="000B3744"/>
    <w:rsid w:val="000B3F49"/>
    <w:rsid w:val="000B41B4"/>
    <w:rsid w:val="000B4EAB"/>
    <w:rsid w:val="000B58D9"/>
    <w:rsid w:val="000B624D"/>
    <w:rsid w:val="000B68F7"/>
    <w:rsid w:val="000B7236"/>
    <w:rsid w:val="000B72EA"/>
    <w:rsid w:val="000B72FD"/>
    <w:rsid w:val="000B764E"/>
    <w:rsid w:val="000B780D"/>
    <w:rsid w:val="000B7B10"/>
    <w:rsid w:val="000C018E"/>
    <w:rsid w:val="000C0650"/>
    <w:rsid w:val="000C065A"/>
    <w:rsid w:val="000C0A2D"/>
    <w:rsid w:val="000C0EB3"/>
    <w:rsid w:val="000C135C"/>
    <w:rsid w:val="000C1974"/>
    <w:rsid w:val="000C1BE1"/>
    <w:rsid w:val="000C1FF3"/>
    <w:rsid w:val="000C278B"/>
    <w:rsid w:val="000C27FC"/>
    <w:rsid w:val="000C300A"/>
    <w:rsid w:val="000C3424"/>
    <w:rsid w:val="000C3FF4"/>
    <w:rsid w:val="000C445C"/>
    <w:rsid w:val="000C4B50"/>
    <w:rsid w:val="000C4D69"/>
    <w:rsid w:val="000C510A"/>
    <w:rsid w:val="000C5534"/>
    <w:rsid w:val="000C5759"/>
    <w:rsid w:val="000C58B9"/>
    <w:rsid w:val="000C6022"/>
    <w:rsid w:val="000C618D"/>
    <w:rsid w:val="000C63F7"/>
    <w:rsid w:val="000C6608"/>
    <w:rsid w:val="000C6702"/>
    <w:rsid w:val="000C681D"/>
    <w:rsid w:val="000C6963"/>
    <w:rsid w:val="000C7138"/>
    <w:rsid w:val="000C7541"/>
    <w:rsid w:val="000C7BCA"/>
    <w:rsid w:val="000C7C9D"/>
    <w:rsid w:val="000C7CCE"/>
    <w:rsid w:val="000D0CC5"/>
    <w:rsid w:val="000D0E23"/>
    <w:rsid w:val="000D0FBD"/>
    <w:rsid w:val="000D1070"/>
    <w:rsid w:val="000D18AC"/>
    <w:rsid w:val="000D191A"/>
    <w:rsid w:val="000D1E45"/>
    <w:rsid w:val="000D2140"/>
    <w:rsid w:val="000D2B81"/>
    <w:rsid w:val="000D3D64"/>
    <w:rsid w:val="000D3ED9"/>
    <w:rsid w:val="000D4965"/>
    <w:rsid w:val="000D4C09"/>
    <w:rsid w:val="000D5501"/>
    <w:rsid w:val="000D58E7"/>
    <w:rsid w:val="000D59AE"/>
    <w:rsid w:val="000D61BF"/>
    <w:rsid w:val="000D6385"/>
    <w:rsid w:val="000D675E"/>
    <w:rsid w:val="000D6A6B"/>
    <w:rsid w:val="000D73B5"/>
    <w:rsid w:val="000D77B5"/>
    <w:rsid w:val="000D781B"/>
    <w:rsid w:val="000D7A8E"/>
    <w:rsid w:val="000D7B30"/>
    <w:rsid w:val="000D7D30"/>
    <w:rsid w:val="000D7DDC"/>
    <w:rsid w:val="000E0495"/>
    <w:rsid w:val="000E0598"/>
    <w:rsid w:val="000E06F3"/>
    <w:rsid w:val="000E0DDD"/>
    <w:rsid w:val="000E13E7"/>
    <w:rsid w:val="000E165C"/>
    <w:rsid w:val="000E212E"/>
    <w:rsid w:val="000E291C"/>
    <w:rsid w:val="000E29E7"/>
    <w:rsid w:val="000E2B6F"/>
    <w:rsid w:val="000E3320"/>
    <w:rsid w:val="000E334B"/>
    <w:rsid w:val="000E33DA"/>
    <w:rsid w:val="000E3622"/>
    <w:rsid w:val="000E3CB4"/>
    <w:rsid w:val="000E3CF5"/>
    <w:rsid w:val="000E3E07"/>
    <w:rsid w:val="000E3EC0"/>
    <w:rsid w:val="000E41A9"/>
    <w:rsid w:val="000E4284"/>
    <w:rsid w:val="000E4D60"/>
    <w:rsid w:val="000E4F0F"/>
    <w:rsid w:val="000E5591"/>
    <w:rsid w:val="000E5695"/>
    <w:rsid w:val="000E57DE"/>
    <w:rsid w:val="000E5B7E"/>
    <w:rsid w:val="000E71C4"/>
    <w:rsid w:val="000E74B4"/>
    <w:rsid w:val="000E79D0"/>
    <w:rsid w:val="000E7D9F"/>
    <w:rsid w:val="000F069E"/>
    <w:rsid w:val="000F0BC4"/>
    <w:rsid w:val="000F0C7B"/>
    <w:rsid w:val="000F109D"/>
    <w:rsid w:val="000F1ADF"/>
    <w:rsid w:val="000F1F79"/>
    <w:rsid w:val="000F2520"/>
    <w:rsid w:val="000F27B1"/>
    <w:rsid w:val="000F298A"/>
    <w:rsid w:val="000F2E15"/>
    <w:rsid w:val="000F435A"/>
    <w:rsid w:val="000F4463"/>
    <w:rsid w:val="000F46B1"/>
    <w:rsid w:val="000F4A07"/>
    <w:rsid w:val="000F5288"/>
    <w:rsid w:val="000F52AC"/>
    <w:rsid w:val="000F5902"/>
    <w:rsid w:val="000F5B82"/>
    <w:rsid w:val="000F5B93"/>
    <w:rsid w:val="000F6337"/>
    <w:rsid w:val="000F6F9A"/>
    <w:rsid w:val="000F70A1"/>
    <w:rsid w:val="000F7831"/>
    <w:rsid w:val="000F793B"/>
    <w:rsid w:val="000F7E01"/>
    <w:rsid w:val="00100027"/>
    <w:rsid w:val="0010043D"/>
    <w:rsid w:val="00100522"/>
    <w:rsid w:val="00100632"/>
    <w:rsid w:val="00100974"/>
    <w:rsid w:val="001009B4"/>
    <w:rsid w:val="00100A5C"/>
    <w:rsid w:val="00100FE5"/>
    <w:rsid w:val="001016D6"/>
    <w:rsid w:val="00101A53"/>
    <w:rsid w:val="00101F78"/>
    <w:rsid w:val="00102263"/>
    <w:rsid w:val="00102577"/>
    <w:rsid w:val="00102787"/>
    <w:rsid w:val="00102821"/>
    <w:rsid w:val="00102876"/>
    <w:rsid w:val="00102A98"/>
    <w:rsid w:val="00102EA8"/>
    <w:rsid w:val="00103159"/>
    <w:rsid w:val="0010318D"/>
    <w:rsid w:val="0010379B"/>
    <w:rsid w:val="00103AEF"/>
    <w:rsid w:val="00103B2A"/>
    <w:rsid w:val="00103D8C"/>
    <w:rsid w:val="00103E2F"/>
    <w:rsid w:val="001041F0"/>
    <w:rsid w:val="001044EC"/>
    <w:rsid w:val="001046B3"/>
    <w:rsid w:val="00104AD9"/>
    <w:rsid w:val="001056C3"/>
    <w:rsid w:val="001059C2"/>
    <w:rsid w:val="00105C37"/>
    <w:rsid w:val="0010650A"/>
    <w:rsid w:val="0010686E"/>
    <w:rsid w:val="00106EBF"/>
    <w:rsid w:val="00107141"/>
    <w:rsid w:val="001071EB"/>
    <w:rsid w:val="00107311"/>
    <w:rsid w:val="00107563"/>
    <w:rsid w:val="001105EE"/>
    <w:rsid w:val="00110691"/>
    <w:rsid w:val="00110D85"/>
    <w:rsid w:val="001113B9"/>
    <w:rsid w:val="0011175E"/>
    <w:rsid w:val="001117A2"/>
    <w:rsid w:val="001122E8"/>
    <w:rsid w:val="0011283A"/>
    <w:rsid w:val="001135FD"/>
    <w:rsid w:val="00113DBA"/>
    <w:rsid w:val="00113FBD"/>
    <w:rsid w:val="00115095"/>
    <w:rsid w:val="00115433"/>
    <w:rsid w:val="00115DE1"/>
    <w:rsid w:val="00115F43"/>
    <w:rsid w:val="00116205"/>
    <w:rsid w:val="0011634C"/>
    <w:rsid w:val="0011678D"/>
    <w:rsid w:val="001168C9"/>
    <w:rsid w:val="00116A12"/>
    <w:rsid w:val="00117535"/>
    <w:rsid w:val="00117866"/>
    <w:rsid w:val="00117869"/>
    <w:rsid w:val="001179AA"/>
    <w:rsid w:val="00117DB5"/>
    <w:rsid w:val="00117F89"/>
    <w:rsid w:val="00120390"/>
    <w:rsid w:val="00120B49"/>
    <w:rsid w:val="001213C6"/>
    <w:rsid w:val="00121883"/>
    <w:rsid w:val="00121B66"/>
    <w:rsid w:val="0012248C"/>
    <w:rsid w:val="00122882"/>
    <w:rsid w:val="00122B2A"/>
    <w:rsid w:val="00122F92"/>
    <w:rsid w:val="001234EC"/>
    <w:rsid w:val="00123899"/>
    <w:rsid w:val="001238A1"/>
    <w:rsid w:val="00123BC1"/>
    <w:rsid w:val="00123DC2"/>
    <w:rsid w:val="001246E1"/>
    <w:rsid w:val="001249C3"/>
    <w:rsid w:val="00124EF3"/>
    <w:rsid w:val="001255DB"/>
    <w:rsid w:val="0012573F"/>
    <w:rsid w:val="00125823"/>
    <w:rsid w:val="00125A2C"/>
    <w:rsid w:val="00125F0E"/>
    <w:rsid w:val="0012606E"/>
    <w:rsid w:val="00126271"/>
    <w:rsid w:val="001263A3"/>
    <w:rsid w:val="0012694F"/>
    <w:rsid w:val="00126D51"/>
    <w:rsid w:val="00126EFC"/>
    <w:rsid w:val="0012709F"/>
    <w:rsid w:val="001273AA"/>
    <w:rsid w:val="00127443"/>
    <w:rsid w:val="00127CAF"/>
    <w:rsid w:val="00127E62"/>
    <w:rsid w:val="00127F8F"/>
    <w:rsid w:val="001300DA"/>
    <w:rsid w:val="001307A3"/>
    <w:rsid w:val="0013158A"/>
    <w:rsid w:val="001321B3"/>
    <w:rsid w:val="00133708"/>
    <w:rsid w:val="0013377C"/>
    <w:rsid w:val="0013394E"/>
    <w:rsid w:val="001343CD"/>
    <w:rsid w:val="001346E3"/>
    <w:rsid w:val="00134AE3"/>
    <w:rsid w:val="00134B2E"/>
    <w:rsid w:val="00134EA5"/>
    <w:rsid w:val="00135048"/>
    <w:rsid w:val="0013528E"/>
    <w:rsid w:val="00135932"/>
    <w:rsid w:val="00135C8A"/>
    <w:rsid w:val="00135F38"/>
    <w:rsid w:val="00136110"/>
    <w:rsid w:val="001362F7"/>
    <w:rsid w:val="001366A6"/>
    <w:rsid w:val="00136770"/>
    <w:rsid w:val="001374C2"/>
    <w:rsid w:val="001375AD"/>
    <w:rsid w:val="00137D08"/>
    <w:rsid w:val="001401A0"/>
    <w:rsid w:val="00140922"/>
    <w:rsid w:val="00140F07"/>
    <w:rsid w:val="001413CD"/>
    <w:rsid w:val="00141A76"/>
    <w:rsid w:val="00141DC8"/>
    <w:rsid w:val="001422BE"/>
    <w:rsid w:val="00142A15"/>
    <w:rsid w:val="00142C9A"/>
    <w:rsid w:val="001431CF"/>
    <w:rsid w:val="0014353B"/>
    <w:rsid w:val="0014365D"/>
    <w:rsid w:val="00144855"/>
    <w:rsid w:val="00144B74"/>
    <w:rsid w:val="00145080"/>
    <w:rsid w:val="0014531B"/>
    <w:rsid w:val="00145715"/>
    <w:rsid w:val="00145999"/>
    <w:rsid w:val="00145A81"/>
    <w:rsid w:val="00145D45"/>
    <w:rsid w:val="001467FE"/>
    <w:rsid w:val="00146A75"/>
    <w:rsid w:val="001470D2"/>
    <w:rsid w:val="0014714C"/>
    <w:rsid w:val="001476DC"/>
    <w:rsid w:val="00147A5A"/>
    <w:rsid w:val="00147EA5"/>
    <w:rsid w:val="001508AE"/>
    <w:rsid w:val="0015139C"/>
    <w:rsid w:val="00151433"/>
    <w:rsid w:val="001514CA"/>
    <w:rsid w:val="00151673"/>
    <w:rsid w:val="00151C32"/>
    <w:rsid w:val="001524FE"/>
    <w:rsid w:val="00152604"/>
    <w:rsid w:val="001529C2"/>
    <w:rsid w:val="00153508"/>
    <w:rsid w:val="00153515"/>
    <w:rsid w:val="001537EA"/>
    <w:rsid w:val="00153A1A"/>
    <w:rsid w:val="00154167"/>
    <w:rsid w:val="001544A9"/>
    <w:rsid w:val="00154BEC"/>
    <w:rsid w:val="00154EC4"/>
    <w:rsid w:val="001552EE"/>
    <w:rsid w:val="001556C9"/>
    <w:rsid w:val="0015588D"/>
    <w:rsid w:val="00155D7C"/>
    <w:rsid w:val="00156612"/>
    <w:rsid w:val="00156772"/>
    <w:rsid w:val="001568A8"/>
    <w:rsid w:val="00156ADA"/>
    <w:rsid w:val="00156D8E"/>
    <w:rsid w:val="00156D95"/>
    <w:rsid w:val="00157190"/>
    <w:rsid w:val="001572D8"/>
    <w:rsid w:val="001573C9"/>
    <w:rsid w:val="00160292"/>
    <w:rsid w:val="00160343"/>
    <w:rsid w:val="0016041C"/>
    <w:rsid w:val="0016079F"/>
    <w:rsid w:val="00160A30"/>
    <w:rsid w:val="00160A4C"/>
    <w:rsid w:val="0016139E"/>
    <w:rsid w:val="001615AF"/>
    <w:rsid w:val="00161D3E"/>
    <w:rsid w:val="00161FB3"/>
    <w:rsid w:val="001621CD"/>
    <w:rsid w:val="00162815"/>
    <w:rsid w:val="001629C3"/>
    <w:rsid w:val="001629E4"/>
    <w:rsid w:val="00162C78"/>
    <w:rsid w:val="001639D1"/>
    <w:rsid w:val="00163C7A"/>
    <w:rsid w:val="001641AC"/>
    <w:rsid w:val="0016429F"/>
    <w:rsid w:val="001644C5"/>
    <w:rsid w:val="001644FD"/>
    <w:rsid w:val="00164A05"/>
    <w:rsid w:val="00164EF6"/>
    <w:rsid w:val="00165849"/>
    <w:rsid w:val="00165CD6"/>
    <w:rsid w:val="0016610F"/>
    <w:rsid w:val="001667C9"/>
    <w:rsid w:val="001669F8"/>
    <w:rsid w:val="00166A58"/>
    <w:rsid w:val="00166CE3"/>
    <w:rsid w:val="00166EFD"/>
    <w:rsid w:val="00167299"/>
    <w:rsid w:val="0016789C"/>
    <w:rsid w:val="00167E4C"/>
    <w:rsid w:val="001705FC"/>
    <w:rsid w:val="00171041"/>
    <w:rsid w:val="00171178"/>
    <w:rsid w:val="001715BA"/>
    <w:rsid w:val="00171665"/>
    <w:rsid w:val="0017248C"/>
    <w:rsid w:val="00172906"/>
    <w:rsid w:val="00172AEE"/>
    <w:rsid w:val="00172CED"/>
    <w:rsid w:val="00172ECA"/>
    <w:rsid w:val="0017303E"/>
    <w:rsid w:val="0017318D"/>
    <w:rsid w:val="00173190"/>
    <w:rsid w:val="00173B1E"/>
    <w:rsid w:val="0017470D"/>
    <w:rsid w:val="00174BA6"/>
    <w:rsid w:val="00174ED2"/>
    <w:rsid w:val="00175848"/>
    <w:rsid w:val="00175A88"/>
    <w:rsid w:val="00176794"/>
    <w:rsid w:val="001768AE"/>
    <w:rsid w:val="00176DB5"/>
    <w:rsid w:val="00177229"/>
    <w:rsid w:val="00177ACC"/>
    <w:rsid w:val="00177B50"/>
    <w:rsid w:val="00177C3F"/>
    <w:rsid w:val="00177DF4"/>
    <w:rsid w:val="0018008E"/>
    <w:rsid w:val="001809F1"/>
    <w:rsid w:val="00181744"/>
    <w:rsid w:val="001820C8"/>
    <w:rsid w:val="0018233B"/>
    <w:rsid w:val="00183492"/>
    <w:rsid w:val="0018395D"/>
    <w:rsid w:val="00183A1D"/>
    <w:rsid w:val="00183E5C"/>
    <w:rsid w:val="0018401A"/>
    <w:rsid w:val="00184612"/>
    <w:rsid w:val="00184744"/>
    <w:rsid w:val="0018510B"/>
    <w:rsid w:val="00185542"/>
    <w:rsid w:val="00186062"/>
    <w:rsid w:val="00186068"/>
    <w:rsid w:val="001861DA"/>
    <w:rsid w:val="001866EB"/>
    <w:rsid w:val="00186746"/>
    <w:rsid w:val="001870FE"/>
    <w:rsid w:val="001872D4"/>
    <w:rsid w:val="00187ED2"/>
    <w:rsid w:val="00190508"/>
    <w:rsid w:val="00190AE7"/>
    <w:rsid w:val="00190B98"/>
    <w:rsid w:val="001911A4"/>
    <w:rsid w:val="001913C1"/>
    <w:rsid w:val="00191546"/>
    <w:rsid w:val="00191BD2"/>
    <w:rsid w:val="00191CBF"/>
    <w:rsid w:val="001922E3"/>
    <w:rsid w:val="00192874"/>
    <w:rsid w:val="00192A4B"/>
    <w:rsid w:val="00192AF7"/>
    <w:rsid w:val="00192E23"/>
    <w:rsid w:val="001930DA"/>
    <w:rsid w:val="001936A7"/>
    <w:rsid w:val="0019378E"/>
    <w:rsid w:val="00193792"/>
    <w:rsid w:val="00193928"/>
    <w:rsid w:val="00193C7F"/>
    <w:rsid w:val="00193D53"/>
    <w:rsid w:val="0019424E"/>
    <w:rsid w:val="00194354"/>
    <w:rsid w:val="0019437C"/>
    <w:rsid w:val="00195153"/>
    <w:rsid w:val="00195237"/>
    <w:rsid w:val="00195736"/>
    <w:rsid w:val="00195F51"/>
    <w:rsid w:val="0019603E"/>
    <w:rsid w:val="0019639C"/>
    <w:rsid w:val="001963D7"/>
    <w:rsid w:val="0019641A"/>
    <w:rsid w:val="0019652D"/>
    <w:rsid w:val="001965C2"/>
    <w:rsid w:val="001969D3"/>
    <w:rsid w:val="001969E4"/>
    <w:rsid w:val="00197EB4"/>
    <w:rsid w:val="001A0764"/>
    <w:rsid w:val="001A079A"/>
    <w:rsid w:val="001A0855"/>
    <w:rsid w:val="001A0E41"/>
    <w:rsid w:val="001A16A5"/>
    <w:rsid w:val="001A1921"/>
    <w:rsid w:val="001A195B"/>
    <w:rsid w:val="001A1B23"/>
    <w:rsid w:val="001A1E27"/>
    <w:rsid w:val="001A1E31"/>
    <w:rsid w:val="001A1F86"/>
    <w:rsid w:val="001A22BF"/>
    <w:rsid w:val="001A23C8"/>
    <w:rsid w:val="001A3077"/>
    <w:rsid w:val="001A4517"/>
    <w:rsid w:val="001A47E9"/>
    <w:rsid w:val="001A481F"/>
    <w:rsid w:val="001A4A6F"/>
    <w:rsid w:val="001A4B71"/>
    <w:rsid w:val="001A4F6A"/>
    <w:rsid w:val="001A4FEE"/>
    <w:rsid w:val="001A55EF"/>
    <w:rsid w:val="001A561C"/>
    <w:rsid w:val="001A5687"/>
    <w:rsid w:val="001A57BE"/>
    <w:rsid w:val="001A587B"/>
    <w:rsid w:val="001A58B6"/>
    <w:rsid w:val="001A5D9A"/>
    <w:rsid w:val="001A5E67"/>
    <w:rsid w:val="001A6114"/>
    <w:rsid w:val="001A6253"/>
    <w:rsid w:val="001A6504"/>
    <w:rsid w:val="001A6BD5"/>
    <w:rsid w:val="001A6C12"/>
    <w:rsid w:val="001A6D71"/>
    <w:rsid w:val="001A7150"/>
    <w:rsid w:val="001A7484"/>
    <w:rsid w:val="001B07E2"/>
    <w:rsid w:val="001B09DE"/>
    <w:rsid w:val="001B0B28"/>
    <w:rsid w:val="001B0F94"/>
    <w:rsid w:val="001B1183"/>
    <w:rsid w:val="001B132E"/>
    <w:rsid w:val="001B1A33"/>
    <w:rsid w:val="001B1B49"/>
    <w:rsid w:val="001B21E6"/>
    <w:rsid w:val="001B23AB"/>
    <w:rsid w:val="001B2428"/>
    <w:rsid w:val="001B2667"/>
    <w:rsid w:val="001B26B4"/>
    <w:rsid w:val="001B2AF9"/>
    <w:rsid w:val="001B2D1F"/>
    <w:rsid w:val="001B335B"/>
    <w:rsid w:val="001B34BD"/>
    <w:rsid w:val="001B3E38"/>
    <w:rsid w:val="001B4276"/>
    <w:rsid w:val="001B42AB"/>
    <w:rsid w:val="001B447E"/>
    <w:rsid w:val="001B4952"/>
    <w:rsid w:val="001B4A4D"/>
    <w:rsid w:val="001B4F9F"/>
    <w:rsid w:val="001B518E"/>
    <w:rsid w:val="001B5EEE"/>
    <w:rsid w:val="001B60A0"/>
    <w:rsid w:val="001B620A"/>
    <w:rsid w:val="001B643B"/>
    <w:rsid w:val="001B6654"/>
    <w:rsid w:val="001B6920"/>
    <w:rsid w:val="001B6C80"/>
    <w:rsid w:val="001B6D78"/>
    <w:rsid w:val="001B74A3"/>
    <w:rsid w:val="001C022D"/>
    <w:rsid w:val="001C043D"/>
    <w:rsid w:val="001C0664"/>
    <w:rsid w:val="001C090F"/>
    <w:rsid w:val="001C0B9B"/>
    <w:rsid w:val="001C1080"/>
    <w:rsid w:val="001C10AC"/>
    <w:rsid w:val="001C215C"/>
    <w:rsid w:val="001C22A9"/>
    <w:rsid w:val="001C289B"/>
    <w:rsid w:val="001C2AAA"/>
    <w:rsid w:val="001C2CC9"/>
    <w:rsid w:val="001C2D61"/>
    <w:rsid w:val="001C2F1B"/>
    <w:rsid w:val="001C3695"/>
    <w:rsid w:val="001C3A22"/>
    <w:rsid w:val="001C3D25"/>
    <w:rsid w:val="001C4552"/>
    <w:rsid w:val="001C4733"/>
    <w:rsid w:val="001C52AF"/>
    <w:rsid w:val="001C54CC"/>
    <w:rsid w:val="001C5702"/>
    <w:rsid w:val="001C5996"/>
    <w:rsid w:val="001C5E9D"/>
    <w:rsid w:val="001C641E"/>
    <w:rsid w:val="001C69D0"/>
    <w:rsid w:val="001C69E0"/>
    <w:rsid w:val="001C6E66"/>
    <w:rsid w:val="001C7497"/>
    <w:rsid w:val="001C7544"/>
    <w:rsid w:val="001C76EE"/>
    <w:rsid w:val="001C7823"/>
    <w:rsid w:val="001C7A03"/>
    <w:rsid w:val="001C7B45"/>
    <w:rsid w:val="001D0F35"/>
    <w:rsid w:val="001D1544"/>
    <w:rsid w:val="001D15C2"/>
    <w:rsid w:val="001D205B"/>
    <w:rsid w:val="001D2642"/>
    <w:rsid w:val="001D34D9"/>
    <w:rsid w:val="001D36E0"/>
    <w:rsid w:val="001D3848"/>
    <w:rsid w:val="001D3B88"/>
    <w:rsid w:val="001D4377"/>
    <w:rsid w:val="001D49AB"/>
    <w:rsid w:val="001D4EEF"/>
    <w:rsid w:val="001D5531"/>
    <w:rsid w:val="001D5B8E"/>
    <w:rsid w:val="001D5C30"/>
    <w:rsid w:val="001D616E"/>
    <w:rsid w:val="001D62E8"/>
    <w:rsid w:val="001D6342"/>
    <w:rsid w:val="001D6AB6"/>
    <w:rsid w:val="001D6BAD"/>
    <w:rsid w:val="001D6BF1"/>
    <w:rsid w:val="001D6F7C"/>
    <w:rsid w:val="001D7459"/>
    <w:rsid w:val="001D75AA"/>
    <w:rsid w:val="001D76F9"/>
    <w:rsid w:val="001E0C9F"/>
    <w:rsid w:val="001E11E1"/>
    <w:rsid w:val="001E1746"/>
    <w:rsid w:val="001E1C2A"/>
    <w:rsid w:val="001E24C8"/>
    <w:rsid w:val="001E2B02"/>
    <w:rsid w:val="001E2C69"/>
    <w:rsid w:val="001E2EF5"/>
    <w:rsid w:val="001E3072"/>
    <w:rsid w:val="001E35DD"/>
    <w:rsid w:val="001E38ED"/>
    <w:rsid w:val="001E3AD1"/>
    <w:rsid w:val="001E3AFC"/>
    <w:rsid w:val="001E3E1E"/>
    <w:rsid w:val="001E3FAF"/>
    <w:rsid w:val="001E45CC"/>
    <w:rsid w:val="001E46AF"/>
    <w:rsid w:val="001E4C9E"/>
    <w:rsid w:val="001E5CA2"/>
    <w:rsid w:val="001E6869"/>
    <w:rsid w:val="001E6B8F"/>
    <w:rsid w:val="001E7156"/>
    <w:rsid w:val="001E7A81"/>
    <w:rsid w:val="001F0397"/>
    <w:rsid w:val="001F0459"/>
    <w:rsid w:val="001F0614"/>
    <w:rsid w:val="001F09B6"/>
    <w:rsid w:val="001F1883"/>
    <w:rsid w:val="001F1BFF"/>
    <w:rsid w:val="001F1FB7"/>
    <w:rsid w:val="001F1FD8"/>
    <w:rsid w:val="001F21FC"/>
    <w:rsid w:val="001F22D4"/>
    <w:rsid w:val="001F23BA"/>
    <w:rsid w:val="001F2DCC"/>
    <w:rsid w:val="001F2F25"/>
    <w:rsid w:val="001F3E96"/>
    <w:rsid w:val="001F3F77"/>
    <w:rsid w:val="001F43B4"/>
    <w:rsid w:val="001F4BD8"/>
    <w:rsid w:val="001F4C09"/>
    <w:rsid w:val="001F500A"/>
    <w:rsid w:val="001F5145"/>
    <w:rsid w:val="001F5152"/>
    <w:rsid w:val="001F548F"/>
    <w:rsid w:val="001F555B"/>
    <w:rsid w:val="001F57AA"/>
    <w:rsid w:val="001F5878"/>
    <w:rsid w:val="001F6249"/>
    <w:rsid w:val="001F661F"/>
    <w:rsid w:val="001F68BD"/>
    <w:rsid w:val="001F699C"/>
    <w:rsid w:val="001F6C85"/>
    <w:rsid w:val="001F6E0B"/>
    <w:rsid w:val="001F7400"/>
    <w:rsid w:val="001F7824"/>
    <w:rsid w:val="001F78C5"/>
    <w:rsid w:val="001F7C4C"/>
    <w:rsid w:val="0020054D"/>
    <w:rsid w:val="00200A5D"/>
    <w:rsid w:val="00200BD3"/>
    <w:rsid w:val="00201A8B"/>
    <w:rsid w:val="0020210E"/>
    <w:rsid w:val="002024EA"/>
    <w:rsid w:val="0020354E"/>
    <w:rsid w:val="0020370E"/>
    <w:rsid w:val="00203AAA"/>
    <w:rsid w:val="00203D71"/>
    <w:rsid w:val="0020446F"/>
    <w:rsid w:val="002044C6"/>
    <w:rsid w:val="002047C5"/>
    <w:rsid w:val="00204B0F"/>
    <w:rsid w:val="00205119"/>
    <w:rsid w:val="002051E6"/>
    <w:rsid w:val="0020530B"/>
    <w:rsid w:val="00206481"/>
    <w:rsid w:val="002069D6"/>
    <w:rsid w:val="00207506"/>
    <w:rsid w:val="00207865"/>
    <w:rsid w:val="002079A6"/>
    <w:rsid w:val="002079BF"/>
    <w:rsid w:val="00207E36"/>
    <w:rsid w:val="002105E4"/>
    <w:rsid w:val="00210C8C"/>
    <w:rsid w:val="00210FC3"/>
    <w:rsid w:val="0021173B"/>
    <w:rsid w:val="00211DA1"/>
    <w:rsid w:val="0021293D"/>
    <w:rsid w:val="00212E76"/>
    <w:rsid w:val="00212ECB"/>
    <w:rsid w:val="00212F0D"/>
    <w:rsid w:val="002133BA"/>
    <w:rsid w:val="00213531"/>
    <w:rsid w:val="00213866"/>
    <w:rsid w:val="002138C2"/>
    <w:rsid w:val="00214433"/>
    <w:rsid w:val="0021448F"/>
    <w:rsid w:val="00214FB9"/>
    <w:rsid w:val="0021519D"/>
    <w:rsid w:val="00215550"/>
    <w:rsid w:val="002155F0"/>
    <w:rsid w:val="002156F0"/>
    <w:rsid w:val="002157A2"/>
    <w:rsid w:val="00215FEC"/>
    <w:rsid w:val="00216B43"/>
    <w:rsid w:val="00216F3F"/>
    <w:rsid w:val="0021793C"/>
    <w:rsid w:val="00217AE3"/>
    <w:rsid w:val="002208B4"/>
    <w:rsid w:val="00220914"/>
    <w:rsid w:val="00220CD9"/>
    <w:rsid w:val="00220F27"/>
    <w:rsid w:val="00220F31"/>
    <w:rsid w:val="002215CE"/>
    <w:rsid w:val="00221EA9"/>
    <w:rsid w:val="00222105"/>
    <w:rsid w:val="00222381"/>
    <w:rsid w:val="002226DC"/>
    <w:rsid w:val="002228C1"/>
    <w:rsid w:val="00222960"/>
    <w:rsid w:val="0022339D"/>
    <w:rsid w:val="002235C7"/>
    <w:rsid w:val="002237D9"/>
    <w:rsid w:val="002238DF"/>
    <w:rsid w:val="00223999"/>
    <w:rsid w:val="00225252"/>
    <w:rsid w:val="002253EF"/>
    <w:rsid w:val="00225502"/>
    <w:rsid w:val="002256FE"/>
    <w:rsid w:val="002258F2"/>
    <w:rsid w:val="002259C1"/>
    <w:rsid w:val="00225CC4"/>
    <w:rsid w:val="002260EF"/>
    <w:rsid w:val="0022649F"/>
    <w:rsid w:val="00226CE6"/>
    <w:rsid w:val="00226F48"/>
    <w:rsid w:val="00226FFC"/>
    <w:rsid w:val="00227005"/>
    <w:rsid w:val="00227B67"/>
    <w:rsid w:val="00227CC3"/>
    <w:rsid w:val="00227DDC"/>
    <w:rsid w:val="00227F3D"/>
    <w:rsid w:val="00230625"/>
    <w:rsid w:val="00230716"/>
    <w:rsid w:val="00230827"/>
    <w:rsid w:val="00230C88"/>
    <w:rsid w:val="00230CA9"/>
    <w:rsid w:val="002311F4"/>
    <w:rsid w:val="00231201"/>
    <w:rsid w:val="00231272"/>
    <w:rsid w:val="002313DD"/>
    <w:rsid w:val="00231870"/>
    <w:rsid w:val="0023190C"/>
    <w:rsid w:val="00233738"/>
    <w:rsid w:val="00233849"/>
    <w:rsid w:val="00234D39"/>
    <w:rsid w:val="00234D8B"/>
    <w:rsid w:val="00234F56"/>
    <w:rsid w:val="002351FB"/>
    <w:rsid w:val="00235DEC"/>
    <w:rsid w:val="002369B3"/>
    <w:rsid w:val="00236CEB"/>
    <w:rsid w:val="00237048"/>
    <w:rsid w:val="00237B61"/>
    <w:rsid w:val="002400A5"/>
    <w:rsid w:val="002408F8"/>
    <w:rsid w:val="00240CC8"/>
    <w:rsid w:val="00240E26"/>
    <w:rsid w:val="00240F42"/>
    <w:rsid w:val="00240FFB"/>
    <w:rsid w:val="00241C07"/>
    <w:rsid w:val="00241D06"/>
    <w:rsid w:val="00241ED0"/>
    <w:rsid w:val="00241F64"/>
    <w:rsid w:val="00241FC1"/>
    <w:rsid w:val="0024235D"/>
    <w:rsid w:val="00242BA1"/>
    <w:rsid w:val="00242D74"/>
    <w:rsid w:val="002430A6"/>
    <w:rsid w:val="0024319A"/>
    <w:rsid w:val="002431D4"/>
    <w:rsid w:val="00243563"/>
    <w:rsid w:val="0024365B"/>
    <w:rsid w:val="00243818"/>
    <w:rsid w:val="00243B1B"/>
    <w:rsid w:val="00244087"/>
    <w:rsid w:val="00244457"/>
    <w:rsid w:val="002444F0"/>
    <w:rsid w:val="00244823"/>
    <w:rsid w:val="002448A7"/>
    <w:rsid w:val="00244F9F"/>
    <w:rsid w:val="002451C8"/>
    <w:rsid w:val="00245836"/>
    <w:rsid w:val="002465C1"/>
    <w:rsid w:val="002469FA"/>
    <w:rsid w:val="00246AB1"/>
    <w:rsid w:val="0024713A"/>
    <w:rsid w:val="0024739E"/>
    <w:rsid w:val="00247E76"/>
    <w:rsid w:val="0025006F"/>
    <w:rsid w:val="002500E9"/>
    <w:rsid w:val="0025014D"/>
    <w:rsid w:val="00250434"/>
    <w:rsid w:val="002504BE"/>
    <w:rsid w:val="0025064A"/>
    <w:rsid w:val="00250C00"/>
    <w:rsid w:val="002515C2"/>
    <w:rsid w:val="002516EA"/>
    <w:rsid w:val="002516EE"/>
    <w:rsid w:val="00251815"/>
    <w:rsid w:val="0025196A"/>
    <w:rsid w:val="00251B33"/>
    <w:rsid w:val="00251C2B"/>
    <w:rsid w:val="00252010"/>
    <w:rsid w:val="002521F1"/>
    <w:rsid w:val="00252BDE"/>
    <w:rsid w:val="00252CB4"/>
    <w:rsid w:val="002537B6"/>
    <w:rsid w:val="00253A90"/>
    <w:rsid w:val="00253DDC"/>
    <w:rsid w:val="00253FD3"/>
    <w:rsid w:val="002544C4"/>
    <w:rsid w:val="00254651"/>
    <w:rsid w:val="00254D4A"/>
    <w:rsid w:val="00254D6D"/>
    <w:rsid w:val="00254D73"/>
    <w:rsid w:val="00255B76"/>
    <w:rsid w:val="00256608"/>
    <w:rsid w:val="00256819"/>
    <w:rsid w:val="002568BE"/>
    <w:rsid w:val="0025691B"/>
    <w:rsid w:val="0025785D"/>
    <w:rsid w:val="002579DF"/>
    <w:rsid w:val="00257FA4"/>
    <w:rsid w:val="00260DB1"/>
    <w:rsid w:val="002611BD"/>
    <w:rsid w:val="00261293"/>
    <w:rsid w:val="00261424"/>
    <w:rsid w:val="00261CCE"/>
    <w:rsid w:val="00261E80"/>
    <w:rsid w:val="0026296C"/>
    <w:rsid w:val="00262B04"/>
    <w:rsid w:val="00262E41"/>
    <w:rsid w:val="00262EB4"/>
    <w:rsid w:val="0026301F"/>
    <w:rsid w:val="0026315D"/>
    <w:rsid w:val="0026343C"/>
    <w:rsid w:val="00263628"/>
    <w:rsid w:val="00263A38"/>
    <w:rsid w:val="002644C9"/>
    <w:rsid w:val="00264A6F"/>
    <w:rsid w:val="00264DFC"/>
    <w:rsid w:val="0026592C"/>
    <w:rsid w:val="00265DC1"/>
    <w:rsid w:val="002663FD"/>
    <w:rsid w:val="00266403"/>
    <w:rsid w:val="00266ABE"/>
    <w:rsid w:val="00266C6C"/>
    <w:rsid w:val="00266CB1"/>
    <w:rsid w:val="002672F0"/>
    <w:rsid w:val="00267572"/>
    <w:rsid w:val="002678F2"/>
    <w:rsid w:val="00267C35"/>
    <w:rsid w:val="00267F91"/>
    <w:rsid w:val="0027001B"/>
    <w:rsid w:val="0027059F"/>
    <w:rsid w:val="002706A4"/>
    <w:rsid w:val="002706B1"/>
    <w:rsid w:val="00270703"/>
    <w:rsid w:val="00270F1D"/>
    <w:rsid w:val="00271073"/>
    <w:rsid w:val="002710F2"/>
    <w:rsid w:val="00271159"/>
    <w:rsid w:val="002711F0"/>
    <w:rsid w:val="002713AD"/>
    <w:rsid w:val="00271746"/>
    <w:rsid w:val="00271966"/>
    <w:rsid w:val="00272098"/>
    <w:rsid w:val="002720EE"/>
    <w:rsid w:val="00272EAF"/>
    <w:rsid w:val="002730D2"/>
    <w:rsid w:val="00273A03"/>
    <w:rsid w:val="00273C22"/>
    <w:rsid w:val="0027419E"/>
    <w:rsid w:val="002746D8"/>
    <w:rsid w:val="00274944"/>
    <w:rsid w:val="00274E45"/>
    <w:rsid w:val="002750E3"/>
    <w:rsid w:val="002752CA"/>
    <w:rsid w:val="0027535A"/>
    <w:rsid w:val="0027570D"/>
    <w:rsid w:val="00275C1D"/>
    <w:rsid w:val="00275F00"/>
    <w:rsid w:val="002766D6"/>
    <w:rsid w:val="00277138"/>
    <w:rsid w:val="002774E6"/>
    <w:rsid w:val="00277621"/>
    <w:rsid w:val="00277AE6"/>
    <w:rsid w:val="0028035D"/>
    <w:rsid w:val="00280444"/>
    <w:rsid w:val="00280C45"/>
    <w:rsid w:val="00280F54"/>
    <w:rsid w:val="0028103B"/>
    <w:rsid w:val="002817AE"/>
    <w:rsid w:val="002822C7"/>
    <w:rsid w:val="002831D3"/>
    <w:rsid w:val="002834A5"/>
    <w:rsid w:val="00283A1D"/>
    <w:rsid w:val="002845C4"/>
    <w:rsid w:val="00284A21"/>
    <w:rsid w:val="00284B55"/>
    <w:rsid w:val="00284B7B"/>
    <w:rsid w:val="00284C8F"/>
    <w:rsid w:val="00284EA4"/>
    <w:rsid w:val="00285106"/>
    <w:rsid w:val="0028532E"/>
    <w:rsid w:val="00285343"/>
    <w:rsid w:val="00285572"/>
    <w:rsid w:val="00285606"/>
    <w:rsid w:val="002856E8"/>
    <w:rsid w:val="00285A0B"/>
    <w:rsid w:val="002866D3"/>
    <w:rsid w:val="0028678C"/>
    <w:rsid w:val="00286A0F"/>
    <w:rsid w:val="00286CEA"/>
    <w:rsid w:val="00287817"/>
    <w:rsid w:val="00287B53"/>
    <w:rsid w:val="00287CEA"/>
    <w:rsid w:val="00287CF7"/>
    <w:rsid w:val="00290572"/>
    <w:rsid w:val="0029064A"/>
    <w:rsid w:val="0029106E"/>
    <w:rsid w:val="0029180F"/>
    <w:rsid w:val="00291AF4"/>
    <w:rsid w:val="0029258E"/>
    <w:rsid w:val="00292BD4"/>
    <w:rsid w:val="002934EB"/>
    <w:rsid w:val="002936EA"/>
    <w:rsid w:val="002938A2"/>
    <w:rsid w:val="002939FB"/>
    <w:rsid w:val="00293BC4"/>
    <w:rsid w:val="002947A0"/>
    <w:rsid w:val="00295412"/>
    <w:rsid w:val="00295A6B"/>
    <w:rsid w:val="002960FB"/>
    <w:rsid w:val="002966AD"/>
    <w:rsid w:val="002966F4"/>
    <w:rsid w:val="00296DBD"/>
    <w:rsid w:val="002971FE"/>
    <w:rsid w:val="00297334"/>
    <w:rsid w:val="002973A2"/>
    <w:rsid w:val="00297449"/>
    <w:rsid w:val="00297A82"/>
    <w:rsid w:val="00297B95"/>
    <w:rsid w:val="00297D50"/>
    <w:rsid w:val="002A0034"/>
    <w:rsid w:val="002A00BA"/>
    <w:rsid w:val="002A03D0"/>
    <w:rsid w:val="002A0C33"/>
    <w:rsid w:val="002A0E51"/>
    <w:rsid w:val="002A1224"/>
    <w:rsid w:val="002A128F"/>
    <w:rsid w:val="002A24BB"/>
    <w:rsid w:val="002A2571"/>
    <w:rsid w:val="002A2AFF"/>
    <w:rsid w:val="002A2B7F"/>
    <w:rsid w:val="002A3867"/>
    <w:rsid w:val="002A3B8F"/>
    <w:rsid w:val="002A4099"/>
    <w:rsid w:val="002A4A02"/>
    <w:rsid w:val="002A572F"/>
    <w:rsid w:val="002A5B32"/>
    <w:rsid w:val="002A5D36"/>
    <w:rsid w:val="002A6218"/>
    <w:rsid w:val="002A625A"/>
    <w:rsid w:val="002A6C23"/>
    <w:rsid w:val="002A6F4D"/>
    <w:rsid w:val="002A7175"/>
    <w:rsid w:val="002A7515"/>
    <w:rsid w:val="002A76CE"/>
    <w:rsid w:val="002B009B"/>
    <w:rsid w:val="002B047D"/>
    <w:rsid w:val="002B064B"/>
    <w:rsid w:val="002B0821"/>
    <w:rsid w:val="002B0839"/>
    <w:rsid w:val="002B09F8"/>
    <w:rsid w:val="002B0A2A"/>
    <w:rsid w:val="002B0AAF"/>
    <w:rsid w:val="002B0D50"/>
    <w:rsid w:val="002B0E75"/>
    <w:rsid w:val="002B1249"/>
    <w:rsid w:val="002B1390"/>
    <w:rsid w:val="002B1AB7"/>
    <w:rsid w:val="002B20FD"/>
    <w:rsid w:val="002B21C5"/>
    <w:rsid w:val="002B254D"/>
    <w:rsid w:val="002B2684"/>
    <w:rsid w:val="002B329E"/>
    <w:rsid w:val="002B3C11"/>
    <w:rsid w:val="002B3C23"/>
    <w:rsid w:val="002B3DBC"/>
    <w:rsid w:val="002B40A0"/>
    <w:rsid w:val="002B43C6"/>
    <w:rsid w:val="002B4453"/>
    <w:rsid w:val="002B4F4A"/>
    <w:rsid w:val="002B53C1"/>
    <w:rsid w:val="002B5640"/>
    <w:rsid w:val="002B5A0F"/>
    <w:rsid w:val="002B60A6"/>
    <w:rsid w:val="002B65E7"/>
    <w:rsid w:val="002B676F"/>
    <w:rsid w:val="002B6C6A"/>
    <w:rsid w:val="002B702A"/>
    <w:rsid w:val="002B7224"/>
    <w:rsid w:val="002B760A"/>
    <w:rsid w:val="002B7742"/>
    <w:rsid w:val="002B78FA"/>
    <w:rsid w:val="002B7D5E"/>
    <w:rsid w:val="002C0919"/>
    <w:rsid w:val="002C0B79"/>
    <w:rsid w:val="002C0CF5"/>
    <w:rsid w:val="002C0DE9"/>
    <w:rsid w:val="002C0F7E"/>
    <w:rsid w:val="002C154C"/>
    <w:rsid w:val="002C1909"/>
    <w:rsid w:val="002C1ED2"/>
    <w:rsid w:val="002C1FC3"/>
    <w:rsid w:val="002C2183"/>
    <w:rsid w:val="002C2AF8"/>
    <w:rsid w:val="002C3176"/>
    <w:rsid w:val="002C3977"/>
    <w:rsid w:val="002C3D16"/>
    <w:rsid w:val="002C41C9"/>
    <w:rsid w:val="002C4CB5"/>
    <w:rsid w:val="002C5778"/>
    <w:rsid w:val="002C5A1E"/>
    <w:rsid w:val="002C653D"/>
    <w:rsid w:val="002C6547"/>
    <w:rsid w:val="002C6598"/>
    <w:rsid w:val="002C6621"/>
    <w:rsid w:val="002C68ED"/>
    <w:rsid w:val="002C6B21"/>
    <w:rsid w:val="002C6CE4"/>
    <w:rsid w:val="002C7512"/>
    <w:rsid w:val="002C766E"/>
    <w:rsid w:val="002C79E5"/>
    <w:rsid w:val="002C7AFC"/>
    <w:rsid w:val="002C7FA9"/>
    <w:rsid w:val="002D1570"/>
    <w:rsid w:val="002D16A9"/>
    <w:rsid w:val="002D224F"/>
    <w:rsid w:val="002D2278"/>
    <w:rsid w:val="002D25A9"/>
    <w:rsid w:val="002D27B4"/>
    <w:rsid w:val="002D2838"/>
    <w:rsid w:val="002D2B3C"/>
    <w:rsid w:val="002D2EB1"/>
    <w:rsid w:val="002D3244"/>
    <w:rsid w:val="002D344E"/>
    <w:rsid w:val="002D34EE"/>
    <w:rsid w:val="002D36C1"/>
    <w:rsid w:val="002D3DEF"/>
    <w:rsid w:val="002D4617"/>
    <w:rsid w:val="002D498F"/>
    <w:rsid w:val="002D4C56"/>
    <w:rsid w:val="002D5346"/>
    <w:rsid w:val="002D5455"/>
    <w:rsid w:val="002D6070"/>
    <w:rsid w:val="002D6180"/>
    <w:rsid w:val="002D6E60"/>
    <w:rsid w:val="002D700B"/>
    <w:rsid w:val="002D7356"/>
    <w:rsid w:val="002D7797"/>
    <w:rsid w:val="002D77A8"/>
    <w:rsid w:val="002D77E0"/>
    <w:rsid w:val="002E009E"/>
    <w:rsid w:val="002E013D"/>
    <w:rsid w:val="002E028D"/>
    <w:rsid w:val="002E05F4"/>
    <w:rsid w:val="002E0C55"/>
    <w:rsid w:val="002E1100"/>
    <w:rsid w:val="002E1164"/>
    <w:rsid w:val="002E1614"/>
    <w:rsid w:val="002E1E87"/>
    <w:rsid w:val="002E255B"/>
    <w:rsid w:val="002E285C"/>
    <w:rsid w:val="002E2A3F"/>
    <w:rsid w:val="002E2CEB"/>
    <w:rsid w:val="002E33E9"/>
    <w:rsid w:val="002E3829"/>
    <w:rsid w:val="002E38F3"/>
    <w:rsid w:val="002E40ED"/>
    <w:rsid w:val="002E45AD"/>
    <w:rsid w:val="002E550D"/>
    <w:rsid w:val="002E588E"/>
    <w:rsid w:val="002E5C75"/>
    <w:rsid w:val="002E6443"/>
    <w:rsid w:val="002E697C"/>
    <w:rsid w:val="002E6C3B"/>
    <w:rsid w:val="002E6C90"/>
    <w:rsid w:val="002E6E2B"/>
    <w:rsid w:val="002E70D0"/>
    <w:rsid w:val="002E714F"/>
    <w:rsid w:val="002E732E"/>
    <w:rsid w:val="002E75CC"/>
    <w:rsid w:val="002E7AFD"/>
    <w:rsid w:val="002E7CDD"/>
    <w:rsid w:val="002F023A"/>
    <w:rsid w:val="002F03AF"/>
    <w:rsid w:val="002F04DC"/>
    <w:rsid w:val="002F08A8"/>
    <w:rsid w:val="002F0979"/>
    <w:rsid w:val="002F0B53"/>
    <w:rsid w:val="002F0D06"/>
    <w:rsid w:val="002F1558"/>
    <w:rsid w:val="002F1AE0"/>
    <w:rsid w:val="002F1B56"/>
    <w:rsid w:val="002F1D12"/>
    <w:rsid w:val="002F20B7"/>
    <w:rsid w:val="002F22B6"/>
    <w:rsid w:val="002F2CEA"/>
    <w:rsid w:val="002F2E23"/>
    <w:rsid w:val="002F330C"/>
    <w:rsid w:val="002F3CC9"/>
    <w:rsid w:val="002F42B9"/>
    <w:rsid w:val="002F453A"/>
    <w:rsid w:val="002F49B2"/>
    <w:rsid w:val="002F5418"/>
    <w:rsid w:val="002F55DC"/>
    <w:rsid w:val="002F58C3"/>
    <w:rsid w:val="002F5CC9"/>
    <w:rsid w:val="002F5EBB"/>
    <w:rsid w:val="002F6249"/>
    <w:rsid w:val="002F632A"/>
    <w:rsid w:val="002F65D3"/>
    <w:rsid w:val="002F6A8D"/>
    <w:rsid w:val="002F6BE1"/>
    <w:rsid w:val="002F6DA4"/>
    <w:rsid w:val="002F703D"/>
    <w:rsid w:val="002F7D13"/>
    <w:rsid w:val="003007A9"/>
    <w:rsid w:val="00300E5E"/>
    <w:rsid w:val="0030216B"/>
    <w:rsid w:val="00302817"/>
    <w:rsid w:val="0030287E"/>
    <w:rsid w:val="003029A5"/>
    <w:rsid w:val="00302CE2"/>
    <w:rsid w:val="00302FDC"/>
    <w:rsid w:val="00303796"/>
    <w:rsid w:val="0030507B"/>
    <w:rsid w:val="003052F3"/>
    <w:rsid w:val="0030624F"/>
    <w:rsid w:val="0030632E"/>
    <w:rsid w:val="00306F41"/>
    <w:rsid w:val="003070A2"/>
    <w:rsid w:val="00307496"/>
    <w:rsid w:val="00307BFE"/>
    <w:rsid w:val="00307D3F"/>
    <w:rsid w:val="00310002"/>
    <w:rsid w:val="003103BD"/>
    <w:rsid w:val="003103EC"/>
    <w:rsid w:val="003105F2"/>
    <w:rsid w:val="0031096E"/>
    <w:rsid w:val="00310ABC"/>
    <w:rsid w:val="00310BD5"/>
    <w:rsid w:val="00310C42"/>
    <w:rsid w:val="00310D07"/>
    <w:rsid w:val="00310DB7"/>
    <w:rsid w:val="00310E9B"/>
    <w:rsid w:val="00311BBB"/>
    <w:rsid w:val="0031208E"/>
    <w:rsid w:val="00312133"/>
    <w:rsid w:val="0031247B"/>
    <w:rsid w:val="003126E6"/>
    <w:rsid w:val="0031289C"/>
    <w:rsid w:val="00312F08"/>
    <w:rsid w:val="00313215"/>
    <w:rsid w:val="003139AB"/>
    <w:rsid w:val="0031427B"/>
    <w:rsid w:val="0031441B"/>
    <w:rsid w:val="00314C71"/>
    <w:rsid w:val="0031577C"/>
    <w:rsid w:val="003159C6"/>
    <w:rsid w:val="00315AEE"/>
    <w:rsid w:val="00315B38"/>
    <w:rsid w:val="00315EA6"/>
    <w:rsid w:val="00316476"/>
    <w:rsid w:val="00316CCE"/>
    <w:rsid w:val="00316CD6"/>
    <w:rsid w:val="00317303"/>
    <w:rsid w:val="00317BAF"/>
    <w:rsid w:val="00317C2D"/>
    <w:rsid w:val="00317C64"/>
    <w:rsid w:val="003210D6"/>
    <w:rsid w:val="003219DD"/>
    <w:rsid w:val="00322059"/>
    <w:rsid w:val="003222C5"/>
    <w:rsid w:val="00322476"/>
    <w:rsid w:val="003231F3"/>
    <w:rsid w:val="0032335E"/>
    <w:rsid w:val="003233AC"/>
    <w:rsid w:val="003239A6"/>
    <w:rsid w:val="0032432D"/>
    <w:rsid w:val="003245FE"/>
    <w:rsid w:val="0032489B"/>
    <w:rsid w:val="00324908"/>
    <w:rsid w:val="00324DE9"/>
    <w:rsid w:val="0032513F"/>
    <w:rsid w:val="003252A0"/>
    <w:rsid w:val="003259B4"/>
    <w:rsid w:val="003259F6"/>
    <w:rsid w:val="00325AFE"/>
    <w:rsid w:val="00325E49"/>
    <w:rsid w:val="00326663"/>
    <w:rsid w:val="003266AC"/>
    <w:rsid w:val="00326BE6"/>
    <w:rsid w:val="00326E53"/>
    <w:rsid w:val="00327E3E"/>
    <w:rsid w:val="003301F2"/>
    <w:rsid w:val="0033032C"/>
    <w:rsid w:val="003303B1"/>
    <w:rsid w:val="00330AD2"/>
    <w:rsid w:val="00330C40"/>
    <w:rsid w:val="0033130C"/>
    <w:rsid w:val="00331566"/>
    <w:rsid w:val="003316C9"/>
    <w:rsid w:val="0033210A"/>
    <w:rsid w:val="00333162"/>
    <w:rsid w:val="0033341B"/>
    <w:rsid w:val="003339FD"/>
    <w:rsid w:val="00333A00"/>
    <w:rsid w:val="00333A89"/>
    <w:rsid w:val="00334082"/>
    <w:rsid w:val="003349D9"/>
    <w:rsid w:val="00334AAB"/>
    <w:rsid w:val="00334B48"/>
    <w:rsid w:val="00334EE2"/>
    <w:rsid w:val="00335273"/>
    <w:rsid w:val="00335EF9"/>
    <w:rsid w:val="0033634D"/>
    <w:rsid w:val="00336C52"/>
    <w:rsid w:val="00336D21"/>
    <w:rsid w:val="00336E15"/>
    <w:rsid w:val="003370A5"/>
    <w:rsid w:val="003370F1"/>
    <w:rsid w:val="003373BD"/>
    <w:rsid w:val="003375BD"/>
    <w:rsid w:val="00337714"/>
    <w:rsid w:val="00337957"/>
    <w:rsid w:val="00337BDB"/>
    <w:rsid w:val="00337EF6"/>
    <w:rsid w:val="00340262"/>
    <w:rsid w:val="00340602"/>
    <w:rsid w:val="00340F0D"/>
    <w:rsid w:val="003411CA"/>
    <w:rsid w:val="0034184C"/>
    <w:rsid w:val="00341A6D"/>
    <w:rsid w:val="00341C17"/>
    <w:rsid w:val="00341CFC"/>
    <w:rsid w:val="00341D67"/>
    <w:rsid w:val="003421F6"/>
    <w:rsid w:val="003422BF"/>
    <w:rsid w:val="00343604"/>
    <w:rsid w:val="00343F78"/>
    <w:rsid w:val="003444F2"/>
    <w:rsid w:val="00344E14"/>
    <w:rsid w:val="00344E42"/>
    <w:rsid w:val="00345329"/>
    <w:rsid w:val="003457C6"/>
    <w:rsid w:val="003458C6"/>
    <w:rsid w:val="00346004"/>
    <w:rsid w:val="003460B7"/>
    <w:rsid w:val="00346104"/>
    <w:rsid w:val="00346204"/>
    <w:rsid w:val="003474B4"/>
    <w:rsid w:val="003476B7"/>
    <w:rsid w:val="003476DE"/>
    <w:rsid w:val="00347994"/>
    <w:rsid w:val="00347EA5"/>
    <w:rsid w:val="003503C0"/>
    <w:rsid w:val="003504E3"/>
    <w:rsid w:val="00350A2A"/>
    <w:rsid w:val="00350E6B"/>
    <w:rsid w:val="00351863"/>
    <w:rsid w:val="00351E0C"/>
    <w:rsid w:val="00352039"/>
    <w:rsid w:val="00352295"/>
    <w:rsid w:val="0035229B"/>
    <w:rsid w:val="003528E0"/>
    <w:rsid w:val="00352B49"/>
    <w:rsid w:val="00353277"/>
    <w:rsid w:val="003534CC"/>
    <w:rsid w:val="00353607"/>
    <w:rsid w:val="003538F2"/>
    <w:rsid w:val="0035391F"/>
    <w:rsid w:val="00353C20"/>
    <w:rsid w:val="00354458"/>
    <w:rsid w:val="0035450D"/>
    <w:rsid w:val="00354C97"/>
    <w:rsid w:val="00354E54"/>
    <w:rsid w:val="00355751"/>
    <w:rsid w:val="0035587C"/>
    <w:rsid w:val="00355D0F"/>
    <w:rsid w:val="00356064"/>
    <w:rsid w:val="00356065"/>
    <w:rsid w:val="00356F97"/>
    <w:rsid w:val="0035707A"/>
    <w:rsid w:val="003570A5"/>
    <w:rsid w:val="003574FF"/>
    <w:rsid w:val="003575CD"/>
    <w:rsid w:val="00357C66"/>
    <w:rsid w:val="0036024A"/>
    <w:rsid w:val="00360B17"/>
    <w:rsid w:val="00360B9D"/>
    <w:rsid w:val="00361152"/>
    <w:rsid w:val="00361A53"/>
    <w:rsid w:val="00361E14"/>
    <w:rsid w:val="00362176"/>
    <w:rsid w:val="00362315"/>
    <w:rsid w:val="00362D12"/>
    <w:rsid w:val="00362D59"/>
    <w:rsid w:val="003632A2"/>
    <w:rsid w:val="003633E4"/>
    <w:rsid w:val="00364199"/>
    <w:rsid w:val="003641BC"/>
    <w:rsid w:val="00364391"/>
    <w:rsid w:val="003647A1"/>
    <w:rsid w:val="00364EF1"/>
    <w:rsid w:val="00365463"/>
    <w:rsid w:val="0036552C"/>
    <w:rsid w:val="00365A0E"/>
    <w:rsid w:val="00365CE6"/>
    <w:rsid w:val="00365E36"/>
    <w:rsid w:val="00365E6B"/>
    <w:rsid w:val="00366F40"/>
    <w:rsid w:val="00367F7B"/>
    <w:rsid w:val="00367FC4"/>
    <w:rsid w:val="003701D7"/>
    <w:rsid w:val="00370743"/>
    <w:rsid w:val="003707BA"/>
    <w:rsid w:val="0037082F"/>
    <w:rsid w:val="003709E4"/>
    <w:rsid w:val="00370A96"/>
    <w:rsid w:val="00370D26"/>
    <w:rsid w:val="0037181C"/>
    <w:rsid w:val="00371A39"/>
    <w:rsid w:val="00371A6E"/>
    <w:rsid w:val="00371EE0"/>
    <w:rsid w:val="00372413"/>
    <w:rsid w:val="00372542"/>
    <w:rsid w:val="0037273C"/>
    <w:rsid w:val="00372C6F"/>
    <w:rsid w:val="00372DAD"/>
    <w:rsid w:val="00373188"/>
    <w:rsid w:val="0037358B"/>
    <w:rsid w:val="00373AC3"/>
    <w:rsid w:val="0037415A"/>
    <w:rsid w:val="003744B4"/>
    <w:rsid w:val="00374FA5"/>
    <w:rsid w:val="00375476"/>
    <w:rsid w:val="00375AD1"/>
    <w:rsid w:val="00375DAA"/>
    <w:rsid w:val="00375F75"/>
    <w:rsid w:val="003769FB"/>
    <w:rsid w:val="00376AD7"/>
    <w:rsid w:val="00376B73"/>
    <w:rsid w:val="00376BFB"/>
    <w:rsid w:val="00377328"/>
    <w:rsid w:val="0037792A"/>
    <w:rsid w:val="00377A22"/>
    <w:rsid w:val="00377BFA"/>
    <w:rsid w:val="00377C4F"/>
    <w:rsid w:val="00377EE3"/>
    <w:rsid w:val="0038080F"/>
    <w:rsid w:val="00380BC8"/>
    <w:rsid w:val="00380ECE"/>
    <w:rsid w:val="00381342"/>
    <w:rsid w:val="00381544"/>
    <w:rsid w:val="0038158B"/>
    <w:rsid w:val="00381FFB"/>
    <w:rsid w:val="0038237F"/>
    <w:rsid w:val="00382AAE"/>
    <w:rsid w:val="00382CFA"/>
    <w:rsid w:val="0038315B"/>
    <w:rsid w:val="003838E8"/>
    <w:rsid w:val="00383AF7"/>
    <w:rsid w:val="00383F78"/>
    <w:rsid w:val="0038415C"/>
    <w:rsid w:val="00384730"/>
    <w:rsid w:val="003847AB"/>
    <w:rsid w:val="0038487F"/>
    <w:rsid w:val="0038496A"/>
    <w:rsid w:val="00384F02"/>
    <w:rsid w:val="00385585"/>
    <w:rsid w:val="003855B8"/>
    <w:rsid w:val="00386753"/>
    <w:rsid w:val="00386962"/>
    <w:rsid w:val="00386F66"/>
    <w:rsid w:val="0038700D"/>
    <w:rsid w:val="0038710C"/>
    <w:rsid w:val="0038786A"/>
    <w:rsid w:val="0039050B"/>
    <w:rsid w:val="00390795"/>
    <w:rsid w:val="00391316"/>
    <w:rsid w:val="0039148E"/>
    <w:rsid w:val="003921C4"/>
    <w:rsid w:val="00392305"/>
    <w:rsid w:val="0039230F"/>
    <w:rsid w:val="00392777"/>
    <w:rsid w:val="00392831"/>
    <w:rsid w:val="00392BEC"/>
    <w:rsid w:val="00393E8B"/>
    <w:rsid w:val="00394218"/>
    <w:rsid w:val="00394309"/>
    <w:rsid w:val="0039436A"/>
    <w:rsid w:val="00394B34"/>
    <w:rsid w:val="00394BBA"/>
    <w:rsid w:val="00394F12"/>
    <w:rsid w:val="003951E3"/>
    <w:rsid w:val="0039521B"/>
    <w:rsid w:val="003952AA"/>
    <w:rsid w:val="0039556D"/>
    <w:rsid w:val="0039575B"/>
    <w:rsid w:val="00396DCE"/>
    <w:rsid w:val="00396F17"/>
    <w:rsid w:val="00397393"/>
    <w:rsid w:val="00397C3F"/>
    <w:rsid w:val="003A026F"/>
    <w:rsid w:val="003A05AF"/>
    <w:rsid w:val="003A0786"/>
    <w:rsid w:val="003A1165"/>
    <w:rsid w:val="003A17A5"/>
    <w:rsid w:val="003A1A32"/>
    <w:rsid w:val="003A1FA3"/>
    <w:rsid w:val="003A21D4"/>
    <w:rsid w:val="003A2358"/>
    <w:rsid w:val="003A2688"/>
    <w:rsid w:val="003A2904"/>
    <w:rsid w:val="003A302A"/>
    <w:rsid w:val="003A31B2"/>
    <w:rsid w:val="003A3A3A"/>
    <w:rsid w:val="003A3AA8"/>
    <w:rsid w:val="003A3F6D"/>
    <w:rsid w:val="003A40D8"/>
    <w:rsid w:val="003A43E0"/>
    <w:rsid w:val="003A48EB"/>
    <w:rsid w:val="003A4906"/>
    <w:rsid w:val="003A49C7"/>
    <w:rsid w:val="003A4E1D"/>
    <w:rsid w:val="003A53C1"/>
    <w:rsid w:val="003A544D"/>
    <w:rsid w:val="003A5952"/>
    <w:rsid w:val="003A5BB5"/>
    <w:rsid w:val="003A5FA5"/>
    <w:rsid w:val="003A623C"/>
    <w:rsid w:val="003A66AC"/>
    <w:rsid w:val="003A69E3"/>
    <w:rsid w:val="003A7158"/>
    <w:rsid w:val="003A78C3"/>
    <w:rsid w:val="003B0087"/>
    <w:rsid w:val="003B052A"/>
    <w:rsid w:val="003B08BC"/>
    <w:rsid w:val="003B0C1B"/>
    <w:rsid w:val="003B0DB2"/>
    <w:rsid w:val="003B1053"/>
    <w:rsid w:val="003B1105"/>
    <w:rsid w:val="003B1B51"/>
    <w:rsid w:val="003B1B70"/>
    <w:rsid w:val="003B1D72"/>
    <w:rsid w:val="003B1FB1"/>
    <w:rsid w:val="003B1FB9"/>
    <w:rsid w:val="003B29DC"/>
    <w:rsid w:val="003B38C9"/>
    <w:rsid w:val="003B3CF2"/>
    <w:rsid w:val="003B414D"/>
    <w:rsid w:val="003B4753"/>
    <w:rsid w:val="003B4E2C"/>
    <w:rsid w:val="003B4EF1"/>
    <w:rsid w:val="003B5031"/>
    <w:rsid w:val="003B5234"/>
    <w:rsid w:val="003B53ED"/>
    <w:rsid w:val="003B59A2"/>
    <w:rsid w:val="003B5A3E"/>
    <w:rsid w:val="003B6119"/>
    <w:rsid w:val="003B649B"/>
    <w:rsid w:val="003B679B"/>
    <w:rsid w:val="003B6A20"/>
    <w:rsid w:val="003B7038"/>
    <w:rsid w:val="003C0097"/>
    <w:rsid w:val="003C01F7"/>
    <w:rsid w:val="003C0386"/>
    <w:rsid w:val="003C0416"/>
    <w:rsid w:val="003C07D6"/>
    <w:rsid w:val="003C07FE"/>
    <w:rsid w:val="003C0842"/>
    <w:rsid w:val="003C0AC1"/>
    <w:rsid w:val="003C14C1"/>
    <w:rsid w:val="003C17BD"/>
    <w:rsid w:val="003C18F7"/>
    <w:rsid w:val="003C1A60"/>
    <w:rsid w:val="003C1A91"/>
    <w:rsid w:val="003C1E6F"/>
    <w:rsid w:val="003C22A0"/>
    <w:rsid w:val="003C2A93"/>
    <w:rsid w:val="003C2C28"/>
    <w:rsid w:val="003C31B6"/>
    <w:rsid w:val="003C3207"/>
    <w:rsid w:val="003C365A"/>
    <w:rsid w:val="003C3997"/>
    <w:rsid w:val="003C461F"/>
    <w:rsid w:val="003C4640"/>
    <w:rsid w:val="003C502A"/>
    <w:rsid w:val="003C5112"/>
    <w:rsid w:val="003C544A"/>
    <w:rsid w:val="003C55B8"/>
    <w:rsid w:val="003C61D3"/>
    <w:rsid w:val="003C74B7"/>
    <w:rsid w:val="003C771F"/>
    <w:rsid w:val="003C7851"/>
    <w:rsid w:val="003C7E6F"/>
    <w:rsid w:val="003D040F"/>
    <w:rsid w:val="003D04BE"/>
    <w:rsid w:val="003D0806"/>
    <w:rsid w:val="003D0C90"/>
    <w:rsid w:val="003D0CAB"/>
    <w:rsid w:val="003D12CC"/>
    <w:rsid w:val="003D12FC"/>
    <w:rsid w:val="003D17CF"/>
    <w:rsid w:val="003D19AA"/>
    <w:rsid w:val="003D1A18"/>
    <w:rsid w:val="003D1DB3"/>
    <w:rsid w:val="003D1F8D"/>
    <w:rsid w:val="003D216D"/>
    <w:rsid w:val="003D28F6"/>
    <w:rsid w:val="003D2AFF"/>
    <w:rsid w:val="003D3693"/>
    <w:rsid w:val="003D3D7B"/>
    <w:rsid w:val="003D3F99"/>
    <w:rsid w:val="003D41B0"/>
    <w:rsid w:val="003D442E"/>
    <w:rsid w:val="003D45A6"/>
    <w:rsid w:val="003D49EC"/>
    <w:rsid w:val="003D4A52"/>
    <w:rsid w:val="003D528C"/>
    <w:rsid w:val="003D530B"/>
    <w:rsid w:val="003D599E"/>
    <w:rsid w:val="003D5E8B"/>
    <w:rsid w:val="003D5EDE"/>
    <w:rsid w:val="003D5FD5"/>
    <w:rsid w:val="003D636D"/>
    <w:rsid w:val="003D6388"/>
    <w:rsid w:val="003D64C1"/>
    <w:rsid w:val="003D6710"/>
    <w:rsid w:val="003D67A0"/>
    <w:rsid w:val="003D6ABB"/>
    <w:rsid w:val="003D6C38"/>
    <w:rsid w:val="003D7138"/>
    <w:rsid w:val="003D76FB"/>
    <w:rsid w:val="003D7819"/>
    <w:rsid w:val="003D7C82"/>
    <w:rsid w:val="003E0016"/>
    <w:rsid w:val="003E00DB"/>
    <w:rsid w:val="003E0596"/>
    <w:rsid w:val="003E06D2"/>
    <w:rsid w:val="003E0BD7"/>
    <w:rsid w:val="003E172A"/>
    <w:rsid w:val="003E19E7"/>
    <w:rsid w:val="003E2827"/>
    <w:rsid w:val="003E2B30"/>
    <w:rsid w:val="003E3276"/>
    <w:rsid w:val="003E3665"/>
    <w:rsid w:val="003E39FA"/>
    <w:rsid w:val="003E3AD5"/>
    <w:rsid w:val="003E3C4E"/>
    <w:rsid w:val="003E3F3C"/>
    <w:rsid w:val="003E4347"/>
    <w:rsid w:val="003E4559"/>
    <w:rsid w:val="003E4D76"/>
    <w:rsid w:val="003E58A1"/>
    <w:rsid w:val="003E59C1"/>
    <w:rsid w:val="003E59CA"/>
    <w:rsid w:val="003E5D1C"/>
    <w:rsid w:val="003E6BDF"/>
    <w:rsid w:val="003E7108"/>
    <w:rsid w:val="003E72EB"/>
    <w:rsid w:val="003E7364"/>
    <w:rsid w:val="003E7521"/>
    <w:rsid w:val="003E752F"/>
    <w:rsid w:val="003E7692"/>
    <w:rsid w:val="003E7CDF"/>
    <w:rsid w:val="003E7DDB"/>
    <w:rsid w:val="003F0272"/>
    <w:rsid w:val="003F0671"/>
    <w:rsid w:val="003F0955"/>
    <w:rsid w:val="003F17F5"/>
    <w:rsid w:val="003F1B02"/>
    <w:rsid w:val="003F2043"/>
    <w:rsid w:val="003F241B"/>
    <w:rsid w:val="003F2640"/>
    <w:rsid w:val="003F281D"/>
    <w:rsid w:val="003F2AE0"/>
    <w:rsid w:val="003F2B44"/>
    <w:rsid w:val="003F2B97"/>
    <w:rsid w:val="003F2BB8"/>
    <w:rsid w:val="003F3AAC"/>
    <w:rsid w:val="003F4764"/>
    <w:rsid w:val="003F503C"/>
    <w:rsid w:val="003F5050"/>
    <w:rsid w:val="003F562E"/>
    <w:rsid w:val="003F5C62"/>
    <w:rsid w:val="003F5DF2"/>
    <w:rsid w:val="003F6351"/>
    <w:rsid w:val="003F6440"/>
    <w:rsid w:val="003F68FC"/>
    <w:rsid w:val="003F6FAD"/>
    <w:rsid w:val="003F71AE"/>
    <w:rsid w:val="003F783C"/>
    <w:rsid w:val="003F7B1C"/>
    <w:rsid w:val="003F7DD0"/>
    <w:rsid w:val="003F7DF6"/>
    <w:rsid w:val="00400193"/>
    <w:rsid w:val="004006F2"/>
    <w:rsid w:val="00400788"/>
    <w:rsid w:val="00400B63"/>
    <w:rsid w:val="00400C2F"/>
    <w:rsid w:val="0040163D"/>
    <w:rsid w:val="00401BA4"/>
    <w:rsid w:val="00401BE1"/>
    <w:rsid w:val="0040276B"/>
    <w:rsid w:val="004027F4"/>
    <w:rsid w:val="0040282B"/>
    <w:rsid w:val="004028B8"/>
    <w:rsid w:val="00403996"/>
    <w:rsid w:val="00404200"/>
    <w:rsid w:val="0040443F"/>
    <w:rsid w:val="00404AD1"/>
    <w:rsid w:val="00404B22"/>
    <w:rsid w:val="00404FB0"/>
    <w:rsid w:val="004055D9"/>
    <w:rsid w:val="0040637D"/>
    <w:rsid w:val="004068AD"/>
    <w:rsid w:val="00406951"/>
    <w:rsid w:val="00406E5E"/>
    <w:rsid w:val="004072E6"/>
    <w:rsid w:val="0040749F"/>
    <w:rsid w:val="004076FE"/>
    <w:rsid w:val="00407909"/>
    <w:rsid w:val="00407A6C"/>
    <w:rsid w:val="00407ABF"/>
    <w:rsid w:val="00407F1E"/>
    <w:rsid w:val="0041016C"/>
    <w:rsid w:val="004108CA"/>
    <w:rsid w:val="00410C76"/>
    <w:rsid w:val="0041152D"/>
    <w:rsid w:val="00412209"/>
    <w:rsid w:val="00412314"/>
    <w:rsid w:val="00412C6B"/>
    <w:rsid w:val="00413D26"/>
    <w:rsid w:val="004140DA"/>
    <w:rsid w:val="004140E3"/>
    <w:rsid w:val="00414795"/>
    <w:rsid w:val="004149CD"/>
    <w:rsid w:val="0041508B"/>
    <w:rsid w:val="00415E7B"/>
    <w:rsid w:val="0041602F"/>
    <w:rsid w:val="0041611E"/>
    <w:rsid w:val="00416389"/>
    <w:rsid w:val="004163A0"/>
    <w:rsid w:val="00416808"/>
    <w:rsid w:val="004169E7"/>
    <w:rsid w:val="00416A0A"/>
    <w:rsid w:val="00417CEF"/>
    <w:rsid w:val="00420627"/>
    <w:rsid w:val="0042092A"/>
    <w:rsid w:val="00420CF3"/>
    <w:rsid w:val="0042144A"/>
    <w:rsid w:val="00421A54"/>
    <w:rsid w:val="00421A62"/>
    <w:rsid w:val="00421C61"/>
    <w:rsid w:val="00422441"/>
    <w:rsid w:val="00422BE0"/>
    <w:rsid w:val="004232A5"/>
    <w:rsid w:val="00423F00"/>
    <w:rsid w:val="00424BF7"/>
    <w:rsid w:val="00424E09"/>
    <w:rsid w:val="00425559"/>
    <w:rsid w:val="00425BC0"/>
    <w:rsid w:val="00426203"/>
    <w:rsid w:val="00426B6E"/>
    <w:rsid w:val="00426F3E"/>
    <w:rsid w:val="00427167"/>
    <w:rsid w:val="00427871"/>
    <w:rsid w:val="004278ED"/>
    <w:rsid w:val="00427980"/>
    <w:rsid w:val="00427F6E"/>
    <w:rsid w:val="0043013B"/>
    <w:rsid w:val="004302B9"/>
    <w:rsid w:val="0043037A"/>
    <w:rsid w:val="0043059A"/>
    <w:rsid w:val="0043076B"/>
    <w:rsid w:val="0043088B"/>
    <w:rsid w:val="00430F6C"/>
    <w:rsid w:val="004314DB"/>
    <w:rsid w:val="00431511"/>
    <w:rsid w:val="004318BF"/>
    <w:rsid w:val="004319F8"/>
    <w:rsid w:val="00431FD3"/>
    <w:rsid w:val="004323B9"/>
    <w:rsid w:val="004331AA"/>
    <w:rsid w:val="004334E4"/>
    <w:rsid w:val="00434220"/>
    <w:rsid w:val="004347F3"/>
    <w:rsid w:val="00434B1C"/>
    <w:rsid w:val="00434F34"/>
    <w:rsid w:val="004352F3"/>
    <w:rsid w:val="004354A7"/>
    <w:rsid w:val="004358F4"/>
    <w:rsid w:val="00435E5E"/>
    <w:rsid w:val="00436B0E"/>
    <w:rsid w:val="00436BAD"/>
    <w:rsid w:val="0043707A"/>
    <w:rsid w:val="00437547"/>
    <w:rsid w:val="0044037F"/>
    <w:rsid w:val="004404FE"/>
    <w:rsid w:val="00440677"/>
    <w:rsid w:val="00440F7E"/>
    <w:rsid w:val="004417F8"/>
    <w:rsid w:val="004428DC"/>
    <w:rsid w:val="004431E0"/>
    <w:rsid w:val="00443352"/>
    <w:rsid w:val="0044340D"/>
    <w:rsid w:val="00443582"/>
    <w:rsid w:val="00443666"/>
    <w:rsid w:val="00443A82"/>
    <w:rsid w:val="00443C4F"/>
    <w:rsid w:val="00443CDE"/>
    <w:rsid w:val="004442EB"/>
    <w:rsid w:val="004445E6"/>
    <w:rsid w:val="00444CF9"/>
    <w:rsid w:val="00444CFE"/>
    <w:rsid w:val="00444D23"/>
    <w:rsid w:val="00445100"/>
    <w:rsid w:val="004451D4"/>
    <w:rsid w:val="00445F9D"/>
    <w:rsid w:val="004461F2"/>
    <w:rsid w:val="00446403"/>
    <w:rsid w:val="0044653A"/>
    <w:rsid w:val="00447278"/>
    <w:rsid w:val="00447433"/>
    <w:rsid w:val="0044781A"/>
    <w:rsid w:val="004478E9"/>
    <w:rsid w:val="0044795D"/>
    <w:rsid w:val="00447A2C"/>
    <w:rsid w:val="0045155D"/>
    <w:rsid w:val="004515D1"/>
    <w:rsid w:val="00451794"/>
    <w:rsid w:val="00451A90"/>
    <w:rsid w:val="00451D6E"/>
    <w:rsid w:val="00451EA6"/>
    <w:rsid w:val="00451FA9"/>
    <w:rsid w:val="00452B6E"/>
    <w:rsid w:val="00453048"/>
    <w:rsid w:val="0045310E"/>
    <w:rsid w:val="0045330A"/>
    <w:rsid w:val="004535A4"/>
    <w:rsid w:val="00453814"/>
    <w:rsid w:val="00453C26"/>
    <w:rsid w:val="00453CD4"/>
    <w:rsid w:val="00453D74"/>
    <w:rsid w:val="00454011"/>
    <w:rsid w:val="0045437B"/>
    <w:rsid w:val="0045439B"/>
    <w:rsid w:val="0045462E"/>
    <w:rsid w:val="004549D7"/>
    <w:rsid w:val="00454FFC"/>
    <w:rsid w:val="00455134"/>
    <w:rsid w:val="0045513F"/>
    <w:rsid w:val="00455420"/>
    <w:rsid w:val="004560FB"/>
    <w:rsid w:val="00456DE8"/>
    <w:rsid w:val="00456FAE"/>
    <w:rsid w:val="004571EE"/>
    <w:rsid w:val="004574EA"/>
    <w:rsid w:val="00457A6A"/>
    <w:rsid w:val="00457ECD"/>
    <w:rsid w:val="00457F4B"/>
    <w:rsid w:val="004603F2"/>
    <w:rsid w:val="00460539"/>
    <w:rsid w:val="004606D8"/>
    <w:rsid w:val="004609A1"/>
    <w:rsid w:val="00460AC7"/>
    <w:rsid w:val="00460C04"/>
    <w:rsid w:val="00460CC3"/>
    <w:rsid w:val="00460EC7"/>
    <w:rsid w:val="0046112F"/>
    <w:rsid w:val="004611B6"/>
    <w:rsid w:val="004615C6"/>
    <w:rsid w:val="00462189"/>
    <w:rsid w:val="00462413"/>
    <w:rsid w:val="00463611"/>
    <w:rsid w:val="0046376D"/>
    <w:rsid w:val="00463B01"/>
    <w:rsid w:val="00463DEB"/>
    <w:rsid w:val="00465649"/>
    <w:rsid w:val="0046676E"/>
    <w:rsid w:val="00466A38"/>
    <w:rsid w:val="00466DEF"/>
    <w:rsid w:val="0046721E"/>
    <w:rsid w:val="004679A0"/>
    <w:rsid w:val="00470049"/>
    <w:rsid w:val="0047067A"/>
    <w:rsid w:val="0047070A"/>
    <w:rsid w:val="00470B6C"/>
    <w:rsid w:val="00470E6D"/>
    <w:rsid w:val="00470F01"/>
    <w:rsid w:val="00471D2E"/>
    <w:rsid w:val="00471E7F"/>
    <w:rsid w:val="0047275C"/>
    <w:rsid w:val="00472A70"/>
    <w:rsid w:val="00472C36"/>
    <w:rsid w:val="00472E71"/>
    <w:rsid w:val="004733E8"/>
    <w:rsid w:val="00473680"/>
    <w:rsid w:val="00474065"/>
    <w:rsid w:val="004742AD"/>
    <w:rsid w:val="00474301"/>
    <w:rsid w:val="004744D4"/>
    <w:rsid w:val="004744F2"/>
    <w:rsid w:val="004744F7"/>
    <w:rsid w:val="00474EFD"/>
    <w:rsid w:val="0047567D"/>
    <w:rsid w:val="00475A8C"/>
    <w:rsid w:val="00475BA3"/>
    <w:rsid w:val="004761CC"/>
    <w:rsid w:val="00476FCA"/>
    <w:rsid w:val="00480320"/>
    <w:rsid w:val="00480566"/>
    <w:rsid w:val="0048097E"/>
    <w:rsid w:val="00480CC9"/>
    <w:rsid w:val="00481663"/>
    <w:rsid w:val="004818E8"/>
    <w:rsid w:val="00481A6C"/>
    <w:rsid w:val="00482CDD"/>
    <w:rsid w:val="00483665"/>
    <w:rsid w:val="00483833"/>
    <w:rsid w:val="00483EE9"/>
    <w:rsid w:val="00484822"/>
    <w:rsid w:val="004849D1"/>
    <w:rsid w:val="00484E74"/>
    <w:rsid w:val="00485364"/>
    <w:rsid w:val="00485515"/>
    <w:rsid w:val="00486017"/>
    <w:rsid w:val="004866BB"/>
    <w:rsid w:val="00486920"/>
    <w:rsid w:val="00486AE9"/>
    <w:rsid w:val="00487294"/>
    <w:rsid w:val="004872ED"/>
    <w:rsid w:val="00487662"/>
    <w:rsid w:val="00487F81"/>
    <w:rsid w:val="00490B3A"/>
    <w:rsid w:val="00490E9E"/>
    <w:rsid w:val="0049100D"/>
    <w:rsid w:val="0049109A"/>
    <w:rsid w:val="004911B9"/>
    <w:rsid w:val="00491611"/>
    <w:rsid w:val="00491615"/>
    <w:rsid w:val="00491BEC"/>
    <w:rsid w:val="00491BF3"/>
    <w:rsid w:val="00491D85"/>
    <w:rsid w:val="00492483"/>
    <w:rsid w:val="00492517"/>
    <w:rsid w:val="00492583"/>
    <w:rsid w:val="00493987"/>
    <w:rsid w:val="00493C7C"/>
    <w:rsid w:val="00493F3C"/>
    <w:rsid w:val="00493F79"/>
    <w:rsid w:val="0049418C"/>
    <w:rsid w:val="00494361"/>
    <w:rsid w:val="00494387"/>
    <w:rsid w:val="0049466F"/>
    <w:rsid w:val="0049488E"/>
    <w:rsid w:val="00494A69"/>
    <w:rsid w:val="00494D49"/>
    <w:rsid w:val="00495438"/>
    <w:rsid w:val="004954FC"/>
    <w:rsid w:val="00495A75"/>
    <w:rsid w:val="00495A94"/>
    <w:rsid w:val="00495B93"/>
    <w:rsid w:val="0049639E"/>
    <w:rsid w:val="004965A0"/>
    <w:rsid w:val="00496CAA"/>
    <w:rsid w:val="00497706"/>
    <w:rsid w:val="00497A2F"/>
    <w:rsid w:val="004A00B6"/>
    <w:rsid w:val="004A0568"/>
    <w:rsid w:val="004A0C34"/>
    <w:rsid w:val="004A0C39"/>
    <w:rsid w:val="004A1F43"/>
    <w:rsid w:val="004A1F8C"/>
    <w:rsid w:val="004A21D4"/>
    <w:rsid w:val="004A274B"/>
    <w:rsid w:val="004A297F"/>
    <w:rsid w:val="004A2BC5"/>
    <w:rsid w:val="004A2E50"/>
    <w:rsid w:val="004A33C1"/>
    <w:rsid w:val="004A358F"/>
    <w:rsid w:val="004A38E2"/>
    <w:rsid w:val="004A43CF"/>
    <w:rsid w:val="004A4442"/>
    <w:rsid w:val="004A450A"/>
    <w:rsid w:val="004A4F87"/>
    <w:rsid w:val="004A4F8B"/>
    <w:rsid w:val="004A572E"/>
    <w:rsid w:val="004A63B5"/>
    <w:rsid w:val="004A63E5"/>
    <w:rsid w:val="004A6740"/>
    <w:rsid w:val="004A6ECB"/>
    <w:rsid w:val="004A6FD5"/>
    <w:rsid w:val="004A70D0"/>
    <w:rsid w:val="004A72BC"/>
    <w:rsid w:val="004A7455"/>
    <w:rsid w:val="004A7F14"/>
    <w:rsid w:val="004B0557"/>
    <w:rsid w:val="004B05D7"/>
    <w:rsid w:val="004B0FE3"/>
    <w:rsid w:val="004B153D"/>
    <w:rsid w:val="004B163C"/>
    <w:rsid w:val="004B1681"/>
    <w:rsid w:val="004B179C"/>
    <w:rsid w:val="004B17E3"/>
    <w:rsid w:val="004B1856"/>
    <w:rsid w:val="004B1D36"/>
    <w:rsid w:val="004B2409"/>
    <w:rsid w:val="004B248B"/>
    <w:rsid w:val="004B35ED"/>
    <w:rsid w:val="004B3A25"/>
    <w:rsid w:val="004B3D7B"/>
    <w:rsid w:val="004B4437"/>
    <w:rsid w:val="004B4B42"/>
    <w:rsid w:val="004B4F00"/>
    <w:rsid w:val="004B52B9"/>
    <w:rsid w:val="004B5462"/>
    <w:rsid w:val="004B5910"/>
    <w:rsid w:val="004B5D10"/>
    <w:rsid w:val="004B6081"/>
    <w:rsid w:val="004B6BC6"/>
    <w:rsid w:val="004B710C"/>
    <w:rsid w:val="004B7217"/>
    <w:rsid w:val="004B728B"/>
    <w:rsid w:val="004B787B"/>
    <w:rsid w:val="004B7D1F"/>
    <w:rsid w:val="004C02F0"/>
    <w:rsid w:val="004C045C"/>
    <w:rsid w:val="004C0AFF"/>
    <w:rsid w:val="004C0B58"/>
    <w:rsid w:val="004C0DC4"/>
    <w:rsid w:val="004C0FE9"/>
    <w:rsid w:val="004C1283"/>
    <w:rsid w:val="004C135E"/>
    <w:rsid w:val="004C1950"/>
    <w:rsid w:val="004C1ADB"/>
    <w:rsid w:val="004C1C83"/>
    <w:rsid w:val="004C250C"/>
    <w:rsid w:val="004C273D"/>
    <w:rsid w:val="004C28D7"/>
    <w:rsid w:val="004C2D6C"/>
    <w:rsid w:val="004C3903"/>
    <w:rsid w:val="004C3FE4"/>
    <w:rsid w:val="004C41B8"/>
    <w:rsid w:val="004C41FA"/>
    <w:rsid w:val="004C4641"/>
    <w:rsid w:val="004C49C9"/>
    <w:rsid w:val="004C49D4"/>
    <w:rsid w:val="004C51F5"/>
    <w:rsid w:val="004C6040"/>
    <w:rsid w:val="004C64C4"/>
    <w:rsid w:val="004C6B8C"/>
    <w:rsid w:val="004C6CEE"/>
    <w:rsid w:val="004C6DBF"/>
    <w:rsid w:val="004C7EED"/>
    <w:rsid w:val="004D0032"/>
    <w:rsid w:val="004D013B"/>
    <w:rsid w:val="004D07EA"/>
    <w:rsid w:val="004D0B64"/>
    <w:rsid w:val="004D0ED4"/>
    <w:rsid w:val="004D106F"/>
    <w:rsid w:val="004D1806"/>
    <w:rsid w:val="004D18D9"/>
    <w:rsid w:val="004D1927"/>
    <w:rsid w:val="004D1D59"/>
    <w:rsid w:val="004D2A13"/>
    <w:rsid w:val="004D3052"/>
    <w:rsid w:val="004D39CE"/>
    <w:rsid w:val="004D4037"/>
    <w:rsid w:val="004D468A"/>
    <w:rsid w:val="004D4749"/>
    <w:rsid w:val="004D4D8D"/>
    <w:rsid w:val="004D4EE4"/>
    <w:rsid w:val="004D54A3"/>
    <w:rsid w:val="004D54C7"/>
    <w:rsid w:val="004D56E4"/>
    <w:rsid w:val="004D5C1B"/>
    <w:rsid w:val="004D604B"/>
    <w:rsid w:val="004D761B"/>
    <w:rsid w:val="004E0257"/>
    <w:rsid w:val="004E0AE8"/>
    <w:rsid w:val="004E163D"/>
    <w:rsid w:val="004E1968"/>
    <w:rsid w:val="004E1A4A"/>
    <w:rsid w:val="004E1F5E"/>
    <w:rsid w:val="004E29F6"/>
    <w:rsid w:val="004E317B"/>
    <w:rsid w:val="004E32E1"/>
    <w:rsid w:val="004E37B4"/>
    <w:rsid w:val="004E37D0"/>
    <w:rsid w:val="004E3C34"/>
    <w:rsid w:val="004E4DB0"/>
    <w:rsid w:val="004E4E56"/>
    <w:rsid w:val="004E4F3E"/>
    <w:rsid w:val="004E5009"/>
    <w:rsid w:val="004E5195"/>
    <w:rsid w:val="004E5502"/>
    <w:rsid w:val="004E5775"/>
    <w:rsid w:val="004E584C"/>
    <w:rsid w:val="004E5D12"/>
    <w:rsid w:val="004E6296"/>
    <w:rsid w:val="004E6665"/>
    <w:rsid w:val="004E6A11"/>
    <w:rsid w:val="004E6DA8"/>
    <w:rsid w:val="004E78C9"/>
    <w:rsid w:val="004E79D8"/>
    <w:rsid w:val="004E7B4A"/>
    <w:rsid w:val="004E7D35"/>
    <w:rsid w:val="004F003F"/>
    <w:rsid w:val="004F012E"/>
    <w:rsid w:val="004F1327"/>
    <w:rsid w:val="004F1330"/>
    <w:rsid w:val="004F17A7"/>
    <w:rsid w:val="004F1941"/>
    <w:rsid w:val="004F1BB4"/>
    <w:rsid w:val="004F1CE0"/>
    <w:rsid w:val="004F28EE"/>
    <w:rsid w:val="004F2CE3"/>
    <w:rsid w:val="004F30CB"/>
    <w:rsid w:val="004F39D3"/>
    <w:rsid w:val="004F3D3F"/>
    <w:rsid w:val="004F3DA8"/>
    <w:rsid w:val="004F431E"/>
    <w:rsid w:val="004F4D6B"/>
    <w:rsid w:val="004F5385"/>
    <w:rsid w:val="004F5597"/>
    <w:rsid w:val="004F5905"/>
    <w:rsid w:val="004F5DEF"/>
    <w:rsid w:val="004F5F74"/>
    <w:rsid w:val="004F637E"/>
    <w:rsid w:val="004F6A64"/>
    <w:rsid w:val="004F6BA6"/>
    <w:rsid w:val="004F6CBE"/>
    <w:rsid w:val="004F7CDF"/>
    <w:rsid w:val="004F7E50"/>
    <w:rsid w:val="00500310"/>
    <w:rsid w:val="005009FB"/>
    <w:rsid w:val="00500C26"/>
    <w:rsid w:val="00500C7F"/>
    <w:rsid w:val="0050123E"/>
    <w:rsid w:val="00501C8B"/>
    <w:rsid w:val="0050242D"/>
    <w:rsid w:val="00502FDB"/>
    <w:rsid w:val="00503332"/>
    <w:rsid w:val="0050383B"/>
    <w:rsid w:val="00503906"/>
    <w:rsid w:val="00503E17"/>
    <w:rsid w:val="00503E37"/>
    <w:rsid w:val="005045A9"/>
    <w:rsid w:val="00504A2B"/>
    <w:rsid w:val="00505380"/>
    <w:rsid w:val="005054D2"/>
    <w:rsid w:val="005056EA"/>
    <w:rsid w:val="00505C94"/>
    <w:rsid w:val="00505D05"/>
    <w:rsid w:val="00505D48"/>
    <w:rsid w:val="00505F1F"/>
    <w:rsid w:val="00506081"/>
    <w:rsid w:val="00506138"/>
    <w:rsid w:val="005061FE"/>
    <w:rsid w:val="0050670D"/>
    <w:rsid w:val="00506716"/>
    <w:rsid w:val="0050687D"/>
    <w:rsid w:val="00506E06"/>
    <w:rsid w:val="005074F3"/>
    <w:rsid w:val="0050790B"/>
    <w:rsid w:val="00507946"/>
    <w:rsid w:val="005104B1"/>
    <w:rsid w:val="0051084D"/>
    <w:rsid w:val="00510A3B"/>
    <w:rsid w:val="005116A3"/>
    <w:rsid w:val="00511879"/>
    <w:rsid w:val="00511AE4"/>
    <w:rsid w:val="00512421"/>
    <w:rsid w:val="005132F2"/>
    <w:rsid w:val="00513315"/>
    <w:rsid w:val="0051343E"/>
    <w:rsid w:val="00513642"/>
    <w:rsid w:val="0051371D"/>
    <w:rsid w:val="005140A2"/>
    <w:rsid w:val="00514361"/>
    <w:rsid w:val="00514746"/>
    <w:rsid w:val="00514819"/>
    <w:rsid w:val="00514C35"/>
    <w:rsid w:val="00514D8D"/>
    <w:rsid w:val="00515216"/>
    <w:rsid w:val="0051563D"/>
    <w:rsid w:val="00515A02"/>
    <w:rsid w:val="00516761"/>
    <w:rsid w:val="0051695C"/>
    <w:rsid w:val="00517F39"/>
    <w:rsid w:val="005204B2"/>
    <w:rsid w:val="00520BFC"/>
    <w:rsid w:val="00520F5F"/>
    <w:rsid w:val="0052146A"/>
    <w:rsid w:val="005214BB"/>
    <w:rsid w:val="00521AF9"/>
    <w:rsid w:val="00521D74"/>
    <w:rsid w:val="00522001"/>
    <w:rsid w:val="00522607"/>
    <w:rsid w:val="0052286C"/>
    <w:rsid w:val="005228A2"/>
    <w:rsid w:val="005237B6"/>
    <w:rsid w:val="00523B91"/>
    <w:rsid w:val="00524D88"/>
    <w:rsid w:val="005253C1"/>
    <w:rsid w:val="00525403"/>
    <w:rsid w:val="005258CD"/>
    <w:rsid w:val="00525C7B"/>
    <w:rsid w:val="0052665E"/>
    <w:rsid w:val="00526BA1"/>
    <w:rsid w:val="0052701C"/>
    <w:rsid w:val="0052736C"/>
    <w:rsid w:val="00527381"/>
    <w:rsid w:val="00527431"/>
    <w:rsid w:val="0052768B"/>
    <w:rsid w:val="005276AF"/>
    <w:rsid w:val="00527C71"/>
    <w:rsid w:val="00530709"/>
    <w:rsid w:val="00530735"/>
    <w:rsid w:val="0053078E"/>
    <w:rsid w:val="00530A2D"/>
    <w:rsid w:val="00530BEF"/>
    <w:rsid w:val="00530F5F"/>
    <w:rsid w:val="005310CE"/>
    <w:rsid w:val="00531943"/>
    <w:rsid w:val="00531A25"/>
    <w:rsid w:val="00531F1A"/>
    <w:rsid w:val="00532535"/>
    <w:rsid w:val="00532734"/>
    <w:rsid w:val="00532739"/>
    <w:rsid w:val="00533079"/>
    <w:rsid w:val="005334A7"/>
    <w:rsid w:val="00533627"/>
    <w:rsid w:val="00533AE0"/>
    <w:rsid w:val="005344D2"/>
    <w:rsid w:val="00535493"/>
    <w:rsid w:val="0053568E"/>
    <w:rsid w:val="00535BA7"/>
    <w:rsid w:val="00536324"/>
    <w:rsid w:val="005367A5"/>
    <w:rsid w:val="00536864"/>
    <w:rsid w:val="0053693E"/>
    <w:rsid w:val="00536956"/>
    <w:rsid w:val="00536BB7"/>
    <w:rsid w:val="00536D93"/>
    <w:rsid w:val="00536FF9"/>
    <w:rsid w:val="005405BD"/>
    <w:rsid w:val="005407B1"/>
    <w:rsid w:val="00540857"/>
    <w:rsid w:val="00540B6B"/>
    <w:rsid w:val="00540BF8"/>
    <w:rsid w:val="00540C36"/>
    <w:rsid w:val="00540F0D"/>
    <w:rsid w:val="0054132B"/>
    <w:rsid w:val="00541E82"/>
    <w:rsid w:val="00541F65"/>
    <w:rsid w:val="00541F7C"/>
    <w:rsid w:val="0054232F"/>
    <w:rsid w:val="0054233B"/>
    <w:rsid w:val="0054240D"/>
    <w:rsid w:val="005427ED"/>
    <w:rsid w:val="0054281E"/>
    <w:rsid w:val="0054296F"/>
    <w:rsid w:val="0054305F"/>
    <w:rsid w:val="005435A8"/>
    <w:rsid w:val="005435AD"/>
    <w:rsid w:val="00543982"/>
    <w:rsid w:val="00543B2C"/>
    <w:rsid w:val="005440AC"/>
    <w:rsid w:val="0054429B"/>
    <w:rsid w:val="005446D2"/>
    <w:rsid w:val="00544C48"/>
    <w:rsid w:val="00544D56"/>
    <w:rsid w:val="00544D5D"/>
    <w:rsid w:val="00544D73"/>
    <w:rsid w:val="00544E01"/>
    <w:rsid w:val="005459F5"/>
    <w:rsid w:val="00545C32"/>
    <w:rsid w:val="00546B3B"/>
    <w:rsid w:val="00546BED"/>
    <w:rsid w:val="00546E8D"/>
    <w:rsid w:val="00546ECB"/>
    <w:rsid w:val="00546EDD"/>
    <w:rsid w:val="00547141"/>
    <w:rsid w:val="00547518"/>
    <w:rsid w:val="00547BB0"/>
    <w:rsid w:val="00547D77"/>
    <w:rsid w:val="00547D7B"/>
    <w:rsid w:val="0055031E"/>
    <w:rsid w:val="00550AE2"/>
    <w:rsid w:val="00551044"/>
    <w:rsid w:val="0055167A"/>
    <w:rsid w:val="00551B17"/>
    <w:rsid w:val="00551B41"/>
    <w:rsid w:val="00551DA7"/>
    <w:rsid w:val="00552113"/>
    <w:rsid w:val="0055214C"/>
    <w:rsid w:val="005522A7"/>
    <w:rsid w:val="005527C4"/>
    <w:rsid w:val="00552953"/>
    <w:rsid w:val="00552C29"/>
    <w:rsid w:val="00552DFE"/>
    <w:rsid w:val="005540B4"/>
    <w:rsid w:val="00554478"/>
    <w:rsid w:val="0055476C"/>
    <w:rsid w:val="00554D5E"/>
    <w:rsid w:val="00554E84"/>
    <w:rsid w:val="00554F94"/>
    <w:rsid w:val="00554FD8"/>
    <w:rsid w:val="005552CE"/>
    <w:rsid w:val="00555422"/>
    <w:rsid w:val="00555C54"/>
    <w:rsid w:val="005562FD"/>
    <w:rsid w:val="0055684A"/>
    <w:rsid w:val="00557667"/>
    <w:rsid w:val="0055767A"/>
    <w:rsid w:val="005576B6"/>
    <w:rsid w:val="005577DE"/>
    <w:rsid w:val="00557990"/>
    <w:rsid w:val="00557B9F"/>
    <w:rsid w:val="00557DA4"/>
    <w:rsid w:val="00560233"/>
    <w:rsid w:val="005603A6"/>
    <w:rsid w:val="00560450"/>
    <w:rsid w:val="00560ADA"/>
    <w:rsid w:val="0056101D"/>
    <w:rsid w:val="00561690"/>
    <w:rsid w:val="00562081"/>
    <w:rsid w:val="00562294"/>
    <w:rsid w:val="00562F1E"/>
    <w:rsid w:val="0056340F"/>
    <w:rsid w:val="00563601"/>
    <w:rsid w:val="0056392C"/>
    <w:rsid w:val="00563AF1"/>
    <w:rsid w:val="00563D29"/>
    <w:rsid w:val="00563F4E"/>
    <w:rsid w:val="00564720"/>
    <w:rsid w:val="00564FE7"/>
    <w:rsid w:val="00565A87"/>
    <w:rsid w:val="005661FE"/>
    <w:rsid w:val="00566627"/>
    <w:rsid w:val="005668A2"/>
    <w:rsid w:val="005668D9"/>
    <w:rsid w:val="00566CC5"/>
    <w:rsid w:val="00567350"/>
    <w:rsid w:val="00567D13"/>
    <w:rsid w:val="005706CA"/>
    <w:rsid w:val="00570C6A"/>
    <w:rsid w:val="00570CDF"/>
    <w:rsid w:val="00570E72"/>
    <w:rsid w:val="005710C0"/>
    <w:rsid w:val="00571FA7"/>
    <w:rsid w:val="00572284"/>
    <w:rsid w:val="0057239A"/>
    <w:rsid w:val="00572ED9"/>
    <w:rsid w:val="00572F40"/>
    <w:rsid w:val="00572F96"/>
    <w:rsid w:val="00573968"/>
    <w:rsid w:val="00573C81"/>
    <w:rsid w:val="00573D30"/>
    <w:rsid w:val="00573EE1"/>
    <w:rsid w:val="00574337"/>
    <w:rsid w:val="005744A7"/>
    <w:rsid w:val="0057525F"/>
    <w:rsid w:val="005754BE"/>
    <w:rsid w:val="00575877"/>
    <w:rsid w:val="00575F3A"/>
    <w:rsid w:val="005767A0"/>
    <w:rsid w:val="005769C7"/>
    <w:rsid w:val="005769E0"/>
    <w:rsid w:val="00576A54"/>
    <w:rsid w:val="00577112"/>
    <w:rsid w:val="00577562"/>
    <w:rsid w:val="0058026F"/>
    <w:rsid w:val="0058040E"/>
    <w:rsid w:val="0058061C"/>
    <w:rsid w:val="00580964"/>
    <w:rsid w:val="005815CC"/>
    <w:rsid w:val="00581923"/>
    <w:rsid w:val="00581B51"/>
    <w:rsid w:val="005827C4"/>
    <w:rsid w:val="00582FD8"/>
    <w:rsid w:val="0058329C"/>
    <w:rsid w:val="0058344F"/>
    <w:rsid w:val="0058375E"/>
    <w:rsid w:val="00583877"/>
    <w:rsid w:val="00583B93"/>
    <w:rsid w:val="00584483"/>
    <w:rsid w:val="00584FD9"/>
    <w:rsid w:val="005851E1"/>
    <w:rsid w:val="005851E6"/>
    <w:rsid w:val="0058533D"/>
    <w:rsid w:val="00585373"/>
    <w:rsid w:val="00585374"/>
    <w:rsid w:val="00585644"/>
    <w:rsid w:val="00585927"/>
    <w:rsid w:val="00585B83"/>
    <w:rsid w:val="00586325"/>
    <w:rsid w:val="00586639"/>
    <w:rsid w:val="00586FF1"/>
    <w:rsid w:val="00590F1E"/>
    <w:rsid w:val="0059105A"/>
    <w:rsid w:val="00592252"/>
    <w:rsid w:val="00592773"/>
    <w:rsid w:val="00592BD6"/>
    <w:rsid w:val="0059347F"/>
    <w:rsid w:val="005940C8"/>
    <w:rsid w:val="0059421D"/>
    <w:rsid w:val="00594300"/>
    <w:rsid w:val="005943C1"/>
    <w:rsid w:val="00594561"/>
    <w:rsid w:val="0059460F"/>
    <w:rsid w:val="00594794"/>
    <w:rsid w:val="00594AC0"/>
    <w:rsid w:val="00595377"/>
    <w:rsid w:val="00595722"/>
    <w:rsid w:val="005958E5"/>
    <w:rsid w:val="005959F0"/>
    <w:rsid w:val="00595ED8"/>
    <w:rsid w:val="005966BB"/>
    <w:rsid w:val="00596751"/>
    <w:rsid w:val="00596BD5"/>
    <w:rsid w:val="00596EC6"/>
    <w:rsid w:val="005974B3"/>
    <w:rsid w:val="00597581"/>
    <w:rsid w:val="0059775F"/>
    <w:rsid w:val="00597AB3"/>
    <w:rsid w:val="005A0721"/>
    <w:rsid w:val="005A09BE"/>
    <w:rsid w:val="005A0A6B"/>
    <w:rsid w:val="005A0D64"/>
    <w:rsid w:val="005A102E"/>
    <w:rsid w:val="005A1410"/>
    <w:rsid w:val="005A1A59"/>
    <w:rsid w:val="005A2820"/>
    <w:rsid w:val="005A2CE4"/>
    <w:rsid w:val="005A3032"/>
    <w:rsid w:val="005A313E"/>
    <w:rsid w:val="005A39F2"/>
    <w:rsid w:val="005A3FFA"/>
    <w:rsid w:val="005A4AD3"/>
    <w:rsid w:val="005A4B91"/>
    <w:rsid w:val="005A4C49"/>
    <w:rsid w:val="005A4D93"/>
    <w:rsid w:val="005A5313"/>
    <w:rsid w:val="005A53F7"/>
    <w:rsid w:val="005A55B3"/>
    <w:rsid w:val="005A5E5C"/>
    <w:rsid w:val="005A5E86"/>
    <w:rsid w:val="005A63EF"/>
    <w:rsid w:val="005A679F"/>
    <w:rsid w:val="005A67D0"/>
    <w:rsid w:val="005A6A47"/>
    <w:rsid w:val="005A6D9F"/>
    <w:rsid w:val="005A6E2C"/>
    <w:rsid w:val="005A73CD"/>
    <w:rsid w:val="005A7649"/>
    <w:rsid w:val="005A7A79"/>
    <w:rsid w:val="005A7C04"/>
    <w:rsid w:val="005B03D0"/>
    <w:rsid w:val="005B0430"/>
    <w:rsid w:val="005B0E36"/>
    <w:rsid w:val="005B173F"/>
    <w:rsid w:val="005B19F9"/>
    <w:rsid w:val="005B233C"/>
    <w:rsid w:val="005B2739"/>
    <w:rsid w:val="005B2DD3"/>
    <w:rsid w:val="005B33ED"/>
    <w:rsid w:val="005B3639"/>
    <w:rsid w:val="005B38AC"/>
    <w:rsid w:val="005B3C3D"/>
    <w:rsid w:val="005B4227"/>
    <w:rsid w:val="005B42A1"/>
    <w:rsid w:val="005B4438"/>
    <w:rsid w:val="005B489D"/>
    <w:rsid w:val="005B4EC6"/>
    <w:rsid w:val="005B50F9"/>
    <w:rsid w:val="005B5310"/>
    <w:rsid w:val="005B5836"/>
    <w:rsid w:val="005B62C1"/>
    <w:rsid w:val="005B63B4"/>
    <w:rsid w:val="005B6475"/>
    <w:rsid w:val="005B6837"/>
    <w:rsid w:val="005B6B42"/>
    <w:rsid w:val="005B79DE"/>
    <w:rsid w:val="005B7CD4"/>
    <w:rsid w:val="005B7D77"/>
    <w:rsid w:val="005B7EA8"/>
    <w:rsid w:val="005B7FDE"/>
    <w:rsid w:val="005C036B"/>
    <w:rsid w:val="005C058B"/>
    <w:rsid w:val="005C08D1"/>
    <w:rsid w:val="005C0910"/>
    <w:rsid w:val="005C0A1B"/>
    <w:rsid w:val="005C0E88"/>
    <w:rsid w:val="005C0F67"/>
    <w:rsid w:val="005C14EE"/>
    <w:rsid w:val="005C1BC5"/>
    <w:rsid w:val="005C1DB3"/>
    <w:rsid w:val="005C1E53"/>
    <w:rsid w:val="005C27B0"/>
    <w:rsid w:val="005C2D03"/>
    <w:rsid w:val="005C2DAA"/>
    <w:rsid w:val="005C3F62"/>
    <w:rsid w:val="005C45BD"/>
    <w:rsid w:val="005C470B"/>
    <w:rsid w:val="005C48BD"/>
    <w:rsid w:val="005C4A67"/>
    <w:rsid w:val="005C4C64"/>
    <w:rsid w:val="005C506F"/>
    <w:rsid w:val="005C58DF"/>
    <w:rsid w:val="005C6110"/>
    <w:rsid w:val="005C6915"/>
    <w:rsid w:val="005C7BE6"/>
    <w:rsid w:val="005D08E7"/>
    <w:rsid w:val="005D0D3A"/>
    <w:rsid w:val="005D0D61"/>
    <w:rsid w:val="005D1071"/>
    <w:rsid w:val="005D123E"/>
    <w:rsid w:val="005D1DF0"/>
    <w:rsid w:val="005D274C"/>
    <w:rsid w:val="005D2AEA"/>
    <w:rsid w:val="005D2AF4"/>
    <w:rsid w:val="005D2BBC"/>
    <w:rsid w:val="005D2C3C"/>
    <w:rsid w:val="005D2D4C"/>
    <w:rsid w:val="005D2FC0"/>
    <w:rsid w:val="005D30AE"/>
    <w:rsid w:val="005D30B3"/>
    <w:rsid w:val="005D3A11"/>
    <w:rsid w:val="005D3B52"/>
    <w:rsid w:val="005D3EC4"/>
    <w:rsid w:val="005D4118"/>
    <w:rsid w:val="005D41A5"/>
    <w:rsid w:val="005D4389"/>
    <w:rsid w:val="005D4F24"/>
    <w:rsid w:val="005D5563"/>
    <w:rsid w:val="005D5A2B"/>
    <w:rsid w:val="005D6B0D"/>
    <w:rsid w:val="005D7009"/>
    <w:rsid w:val="005D7023"/>
    <w:rsid w:val="005D7242"/>
    <w:rsid w:val="005D7645"/>
    <w:rsid w:val="005D7669"/>
    <w:rsid w:val="005D7A96"/>
    <w:rsid w:val="005D7B77"/>
    <w:rsid w:val="005D7BD2"/>
    <w:rsid w:val="005D7C4C"/>
    <w:rsid w:val="005E0260"/>
    <w:rsid w:val="005E0434"/>
    <w:rsid w:val="005E0498"/>
    <w:rsid w:val="005E08AA"/>
    <w:rsid w:val="005E08CC"/>
    <w:rsid w:val="005E0B2E"/>
    <w:rsid w:val="005E0E6E"/>
    <w:rsid w:val="005E0F20"/>
    <w:rsid w:val="005E1649"/>
    <w:rsid w:val="005E195A"/>
    <w:rsid w:val="005E196E"/>
    <w:rsid w:val="005E2F4F"/>
    <w:rsid w:val="005E3043"/>
    <w:rsid w:val="005E30F1"/>
    <w:rsid w:val="005E31B3"/>
    <w:rsid w:val="005E38B1"/>
    <w:rsid w:val="005E4070"/>
    <w:rsid w:val="005E43D7"/>
    <w:rsid w:val="005E46A3"/>
    <w:rsid w:val="005E4EA0"/>
    <w:rsid w:val="005E510D"/>
    <w:rsid w:val="005E5592"/>
    <w:rsid w:val="005E5E19"/>
    <w:rsid w:val="005E5E83"/>
    <w:rsid w:val="005E5F1D"/>
    <w:rsid w:val="005E6055"/>
    <w:rsid w:val="005E62C0"/>
    <w:rsid w:val="005E6E38"/>
    <w:rsid w:val="005E71C9"/>
    <w:rsid w:val="005E7E1C"/>
    <w:rsid w:val="005F022D"/>
    <w:rsid w:val="005F0494"/>
    <w:rsid w:val="005F0A79"/>
    <w:rsid w:val="005F1137"/>
    <w:rsid w:val="005F1152"/>
    <w:rsid w:val="005F14B8"/>
    <w:rsid w:val="005F2314"/>
    <w:rsid w:val="005F2AB2"/>
    <w:rsid w:val="005F2CE4"/>
    <w:rsid w:val="005F30A9"/>
    <w:rsid w:val="005F317A"/>
    <w:rsid w:val="005F343B"/>
    <w:rsid w:val="005F3701"/>
    <w:rsid w:val="005F38E1"/>
    <w:rsid w:val="005F4835"/>
    <w:rsid w:val="005F49E1"/>
    <w:rsid w:val="005F4F42"/>
    <w:rsid w:val="005F4FC1"/>
    <w:rsid w:val="005F63F8"/>
    <w:rsid w:val="005F6973"/>
    <w:rsid w:val="005F6DA7"/>
    <w:rsid w:val="005F716F"/>
    <w:rsid w:val="005F71AB"/>
    <w:rsid w:val="005F7A48"/>
    <w:rsid w:val="005F7D2B"/>
    <w:rsid w:val="005F7DDE"/>
    <w:rsid w:val="005F7F08"/>
    <w:rsid w:val="005F7F63"/>
    <w:rsid w:val="00601232"/>
    <w:rsid w:val="00601906"/>
    <w:rsid w:val="0060190E"/>
    <w:rsid w:val="00602419"/>
    <w:rsid w:val="0060290E"/>
    <w:rsid w:val="006029B7"/>
    <w:rsid w:val="00603535"/>
    <w:rsid w:val="00604069"/>
    <w:rsid w:val="00604828"/>
    <w:rsid w:val="00605560"/>
    <w:rsid w:val="00605E23"/>
    <w:rsid w:val="006069B1"/>
    <w:rsid w:val="00606AB8"/>
    <w:rsid w:val="00606E71"/>
    <w:rsid w:val="0060708E"/>
    <w:rsid w:val="0060744E"/>
    <w:rsid w:val="00610455"/>
    <w:rsid w:val="006108B7"/>
    <w:rsid w:val="00610999"/>
    <w:rsid w:val="00610B15"/>
    <w:rsid w:val="00610CAD"/>
    <w:rsid w:val="006118A7"/>
    <w:rsid w:val="00611923"/>
    <w:rsid w:val="00611AEA"/>
    <w:rsid w:val="00611EAB"/>
    <w:rsid w:val="00611EF7"/>
    <w:rsid w:val="00611F80"/>
    <w:rsid w:val="00612856"/>
    <w:rsid w:val="00612A8D"/>
    <w:rsid w:val="00612D9D"/>
    <w:rsid w:val="00613528"/>
    <w:rsid w:val="006138C4"/>
    <w:rsid w:val="00613A37"/>
    <w:rsid w:val="00613A8E"/>
    <w:rsid w:val="00613DF1"/>
    <w:rsid w:val="00613F7F"/>
    <w:rsid w:val="0061446E"/>
    <w:rsid w:val="00614623"/>
    <w:rsid w:val="00614727"/>
    <w:rsid w:val="00614DA5"/>
    <w:rsid w:val="0061536D"/>
    <w:rsid w:val="00615387"/>
    <w:rsid w:val="00615676"/>
    <w:rsid w:val="00615756"/>
    <w:rsid w:val="00615BA7"/>
    <w:rsid w:val="00615CC3"/>
    <w:rsid w:val="00616546"/>
    <w:rsid w:val="006165E6"/>
    <w:rsid w:val="00616FEB"/>
    <w:rsid w:val="006174F8"/>
    <w:rsid w:val="00617608"/>
    <w:rsid w:val="0061785A"/>
    <w:rsid w:val="00617869"/>
    <w:rsid w:val="006178B4"/>
    <w:rsid w:val="006178FB"/>
    <w:rsid w:val="00617E35"/>
    <w:rsid w:val="00617F43"/>
    <w:rsid w:val="00617FB0"/>
    <w:rsid w:val="0062010F"/>
    <w:rsid w:val="00620586"/>
    <w:rsid w:val="00620C7F"/>
    <w:rsid w:val="006212CF"/>
    <w:rsid w:val="0062169F"/>
    <w:rsid w:val="00621772"/>
    <w:rsid w:val="00621A73"/>
    <w:rsid w:val="00621D61"/>
    <w:rsid w:val="006222D6"/>
    <w:rsid w:val="006233A5"/>
    <w:rsid w:val="00623AB4"/>
    <w:rsid w:val="00623D3B"/>
    <w:rsid w:val="00623FEF"/>
    <w:rsid w:val="006240F9"/>
    <w:rsid w:val="00624331"/>
    <w:rsid w:val="00624B20"/>
    <w:rsid w:val="00624B21"/>
    <w:rsid w:val="00625648"/>
    <w:rsid w:val="00625BC0"/>
    <w:rsid w:val="0062602D"/>
    <w:rsid w:val="00626BB9"/>
    <w:rsid w:val="00626FDC"/>
    <w:rsid w:val="00627156"/>
    <w:rsid w:val="00627494"/>
    <w:rsid w:val="006300EB"/>
    <w:rsid w:val="0063021E"/>
    <w:rsid w:val="0063023E"/>
    <w:rsid w:val="0063033F"/>
    <w:rsid w:val="00630F96"/>
    <w:rsid w:val="00631605"/>
    <w:rsid w:val="006316AA"/>
    <w:rsid w:val="006316AB"/>
    <w:rsid w:val="00631B5E"/>
    <w:rsid w:val="00631BD1"/>
    <w:rsid w:val="00631D33"/>
    <w:rsid w:val="00631DA1"/>
    <w:rsid w:val="00631E53"/>
    <w:rsid w:val="0063200E"/>
    <w:rsid w:val="00632159"/>
    <w:rsid w:val="006323D9"/>
    <w:rsid w:val="00632A8A"/>
    <w:rsid w:val="00632BBC"/>
    <w:rsid w:val="00632F0B"/>
    <w:rsid w:val="00632F0D"/>
    <w:rsid w:val="00633403"/>
    <w:rsid w:val="0063376D"/>
    <w:rsid w:val="00633E8A"/>
    <w:rsid w:val="00634246"/>
    <w:rsid w:val="006343A6"/>
    <w:rsid w:val="0063458A"/>
    <w:rsid w:val="0063484C"/>
    <w:rsid w:val="00634E18"/>
    <w:rsid w:val="006357A8"/>
    <w:rsid w:val="006366F3"/>
    <w:rsid w:val="00636785"/>
    <w:rsid w:val="006367C7"/>
    <w:rsid w:val="00636D83"/>
    <w:rsid w:val="00636DC5"/>
    <w:rsid w:val="00636E1C"/>
    <w:rsid w:val="00636E40"/>
    <w:rsid w:val="00637494"/>
    <w:rsid w:val="00637AA3"/>
    <w:rsid w:val="00637CE7"/>
    <w:rsid w:val="00640DF8"/>
    <w:rsid w:val="00640E79"/>
    <w:rsid w:val="00640E7B"/>
    <w:rsid w:val="0064182E"/>
    <w:rsid w:val="00641981"/>
    <w:rsid w:val="00641CEE"/>
    <w:rsid w:val="00642435"/>
    <w:rsid w:val="00642BBE"/>
    <w:rsid w:val="006436DF"/>
    <w:rsid w:val="00643946"/>
    <w:rsid w:val="00643D18"/>
    <w:rsid w:val="006440C1"/>
    <w:rsid w:val="00644997"/>
    <w:rsid w:val="006453B5"/>
    <w:rsid w:val="006456AA"/>
    <w:rsid w:val="00645DF5"/>
    <w:rsid w:val="00645EFD"/>
    <w:rsid w:val="00646120"/>
    <w:rsid w:val="0064721D"/>
    <w:rsid w:val="006472CB"/>
    <w:rsid w:val="0064739F"/>
    <w:rsid w:val="00647E16"/>
    <w:rsid w:val="00647EC8"/>
    <w:rsid w:val="00650256"/>
    <w:rsid w:val="006505F7"/>
    <w:rsid w:val="0065074F"/>
    <w:rsid w:val="00650F40"/>
    <w:rsid w:val="00651054"/>
    <w:rsid w:val="006515D0"/>
    <w:rsid w:val="00651B6C"/>
    <w:rsid w:val="0065242B"/>
    <w:rsid w:val="006526C1"/>
    <w:rsid w:val="00652F4F"/>
    <w:rsid w:val="00653FF5"/>
    <w:rsid w:val="00654360"/>
    <w:rsid w:val="00654472"/>
    <w:rsid w:val="006548EA"/>
    <w:rsid w:val="00654BF5"/>
    <w:rsid w:val="00654BFF"/>
    <w:rsid w:val="00654F5E"/>
    <w:rsid w:val="006551EA"/>
    <w:rsid w:val="00655241"/>
    <w:rsid w:val="00655AEC"/>
    <w:rsid w:val="00655FE4"/>
    <w:rsid w:val="006560AC"/>
    <w:rsid w:val="00656BD5"/>
    <w:rsid w:val="00656CAD"/>
    <w:rsid w:val="00656E2E"/>
    <w:rsid w:val="00657561"/>
    <w:rsid w:val="006575A2"/>
    <w:rsid w:val="006606B2"/>
    <w:rsid w:val="00660A90"/>
    <w:rsid w:val="00660B11"/>
    <w:rsid w:val="0066110B"/>
    <w:rsid w:val="00661387"/>
    <w:rsid w:val="006618F9"/>
    <w:rsid w:val="00661912"/>
    <w:rsid w:val="00661BB3"/>
    <w:rsid w:val="00662177"/>
    <w:rsid w:val="006626CB"/>
    <w:rsid w:val="0066283E"/>
    <w:rsid w:val="00662876"/>
    <w:rsid w:val="0066293A"/>
    <w:rsid w:val="00662F33"/>
    <w:rsid w:val="006632CD"/>
    <w:rsid w:val="006638D8"/>
    <w:rsid w:val="0066412A"/>
    <w:rsid w:val="00664876"/>
    <w:rsid w:val="00664A61"/>
    <w:rsid w:val="00664C71"/>
    <w:rsid w:val="006651E5"/>
    <w:rsid w:val="00665A5B"/>
    <w:rsid w:val="0066631D"/>
    <w:rsid w:val="00666949"/>
    <w:rsid w:val="00667000"/>
    <w:rsid w:val="006671B6"/>
    <w:rsid w:val="00667D68"/>
    <w:rsid w:val="00667E58"/>
    <w:rsid w:val="00667F48"/>
    <w:rsid w:val="00670288"/>
    <w:rsid w:val="00670587"/>
    <w:rsid w:val="006708E7"/>
    <w:rsid w:val="00671263"/>
    <w:rsid w:val="00671861"/>
    <w:rsid w:val="0067278F"/>
    <w:rsid w:val="00672D04"/>
    <w:rsid w:val="00672D51"/>
    <w:rsid w:val="00674273"/>
    <w:rsid w:val="0067463F"/>
    <w:rsid w:val="00676732"/>
    <w:rsid w:val="0067707F"/>
    <w:rsid w:val="00677293"/>
    <w:rsid w:val="0067792E"/>
    <w:rsid w:val="00677C55"/>
    <w:rsid w:val="00677D2F"/>
    <w:rsid w:val="00680298"/>
    <w:rsid w:val="006806B5"/>
    <w:rsid w:val="00680DE0"/>
    <w:rsid w:val="006814DC"/>
    <w:rsid w:val="00681BEC"/>
    <w:rsid w:val="00681DA8"/>
    <w:rsid w:val="0068286F"/>
    <w:rsid w:val="00682B04"/>
    <w:rsid w:val="00682B1C"/>
    <w:rsid w:val="00682BC3"/>
    <w:rsid w:val="006833BA"/>
    <w:rsid w:val="0068363A"/>
    <w:rsid w:val="00683747"/>
    <w:rsid w:val="00683975"/>
    <w:rsid w:val="006839AA"/>
    <w:rsid w:val="00683EF2"/>
    <w:rsid w:val="0068417D"/>
    <w:rsid w:val="00684970"/>
    <w:rsid w:val="00684E30"/>
    <w:rsid w:val="006860CA"/>
    <w:rsid w:val="00686800"/>
    <w:rsid w:val="00687250"/>
    <w:rsid w:val="0068787E"/>
    <w:rsid w:val="00687A33"/>
    <w:rsid w:val="00687B28"/>
    <w:rsid w:val="0069016C"/>
    <w:rsid w:val="0069027F"/>
    <w:rsid w:val="006902F1"/>
    <w:rsid w:val="00690856"/>
    <w:rsid w:val="006909B3"/>
    <w:rsid w:val="00690B80"/>
    <w:rsid w:val="00690DA7"/>
    <w:rsid w:val="006913D4"/>
    <w:rsid w:val="00691A84"/>
    <w:rsid w:val="00691C2C"/>
    <w:rsid w:val="00691E31"/>
    <w:rsid w:val="0069246A"/>
    <w:rsid w:val="00692586"/>
    <w:rsid w:val="00692DF4"/>
    <w:rsid w:val="006930C7"/>
    <w:rsid w:val="00693738"/>
    <w:rsid w:val="0069438B"/>
    <w:rsid w:val="00695862"/>
    <w:rsid w:val="00695D3F"/>
    <w:rsid w:val="00695D87"/>
    <w:rsid w:val="0069643B"/>
    <w:rsid w:val="00696923"/>
    <w:rsid w:val="00697143"/>
    <w:rsid w:val="006972FB"/>
    <w:rsid w:val="006976A0"/>
    <w:rsid w:val="00697878"/>
    <w:rsid w:val="006A0105"/>
    <w:rsid w:val="006A0492"/>
    <w:rsid w:val="006A0ADA"/>
    <w:rsid w:val="006A1103"/>
    <w:rsid w:val="006A141D"/>
    <w:rsid w:val="006A1810"/>
    <w:rsid w:val="006A1901"/>
    <w:rsid w:val="006A1AF4"/>
    <w:rsid w:val="006A2058"/>
    <w:rsid w:val="006A3BA7"/>
    <w:rsid w:val="006A3BB1"/>
    <w:rsid w:val="006A40F4"/>
    <w:rsid w:val="006A4F1D"/>
    <w:rsid w:val="006A523F"/>
    <w:rsid w:val="006A585F"/>
    <w:rsid w:val="006A5BB4"/>
    <w:rsid w:val="006A5BC3"/>
    <w:rsid w:val="006A6150"/>
    <w:rsid w:val="006A61B1"/>
    <w:rsid w:val="006A62EA"/>
    <w:rsid w:val="006A64DA"/>
    <w:rsid w:val="006A683C"/>
    <w:rsid w:val="006A6D80"/>
    <w:rsid w:val="006A6FC8"/>
    <w:rsid w:val="006A7540"/>
    <w:rsid w:val="006A76AC"/>
    <w:rsid w:val="006A7940"/>
    <w:rsid w:val="006B07CB"/>
    <w:rsid w:val="006B0ED3"/>
    <w:rsid w:val="006B13F2"/>
    <w:rsid w:val="006B1798"/>
    <w:rsid w:val="006B17E5"/>
    <w:rsid w:val="006B1BA0"/>
    <w:rsid w:val="006B1FDA"/>
    <w:rsid w:val="006B248B"/>
    <w:rsid w:val="006B2527"/>
    <w:rsid w:val="006B3A9F"/>
    <w:rsid w:val="006B3AC7"/>
    <w:rsid w:val="006B3E66"/>
    <w:rsid w:val="006B4240"/>
    <w:rsid w:val="006B468F"/>
    <w:rsid w:val="006B4988"/>
    <w:rsid w:val="006B4BDD"/>
    <w:rsid w:val="006B4D44"/>
    <w:rsid w:val="006B504C"/>
    <w:rsid w:val="006B5B79"/>
    <w:rsid w:val="006B60A2"/>
    <w:rsid w:val="006B63EE"/>
    <w:rsid w:val="006B66B0"/>
    <w:rsid w:val="006B6921"/>
    <w:rsid w:val="006B699E"/>
    <w:rsid w:val="006B71F3"/>
    <w:rsid w:val="006B7278"/>
    <w:rsid w:val="006B747F"/>
    <w:rsid w:val="006B7724"/>
    <w:rsid w:val="006C0004"/>
    <w:rsid w:val="006C0881"/>
    <w:rsid w:val="006C0CA5"/>
    <w:rsid w:val="006C0D09"/>
    <w:rsid w:val="006C0D30"/>
    <w:rsid w:val="006C1294"/>
    <w:rsid w:val="006C1415"/>
    <w:rsid w:val="006C2A3B"/>
    <w:rsid w:val="006C2A93"/>
    <w:rsid w:val="006C2FCF"/>
    <w:rsid w:val="006C3548"/>
    <w:rsid w:val="006C402E"/>
    <w:rsid w:val="006C42F8"/>
    <w:rsid w:val="006C60AC"/>
    <w:rsid w:val="006C60F3"/>
    <w:rsid w:val="006C6420"/>
    <w:rsid w:val="006C6F94"/>
    <w:rsid w:val="006C7018"/>
    <w:rsid w:val="006C7045"/>
    <w:rsid w:val="006C7111"/>
    <w:rsid w:val="006C7419"/>
    <w:rsid w:val="006C744A"/>
    <w:rsid w:val="006C75C2"/>
    <w:rsid w:val="006C7D27"/>
    <w:rsid w:val="006C7EEB"/>
    <w:rsid w:val="006D0454"/>
    <w:rsid w:val="006D05C5"/>
    <w:rsid w:val="006D0A55"/>
    <w:rsid w:val="006D0E6B"/>
    <w:rsid w:val="006D150D"/>
    <w:rsid w:val="006D1942"/>
    <w:rsid w:val="006D36BD"/>
    <w:rsid w:val="006D4CFB"/>
    <w:rsid w:val="006D4CFF"/>
    <w:rsid w:val="006D5AAF"/>
    <w:rsid w:val="006D5E02"/>
    <w:rsid w:val="006D64CA"/>
    <w:rsid w:val="006D6C49"/>
    <w:rsid w:val="006D6E1C"/>
    <w:rsid w:val="006D751D"/>
    <w:rsid w:val="006E0029"/>
    <w:rsid w:val="006E05B3"/>
    <w:rsid w:val="006E11D4"/>
    <w:rsid w:val="006E147D"/>
    <w:rsid w:val="006E1521"/>
    <w:rsid w:val="006E160D"/>
    <w:rsid w:val="006E1B29"/>
    <w:rsid w:val="006E1EA1"/>
    <w:rsid w:val="006E21BD"/>
    <w:rsid w:val="006E22F6"/>
    <w:rsid w:val="006E239A"/>
    <w:rsid w:val="006E248D"/>
    <w:rsid w:val="006E30CF"/>
    <w:rsid w:val="006E31FC"/>
    <w:rsid w:val="006E3D90"/>
    <w:rsid w:val="006E449C"/>
    <w:rsid w:val="006E46A8"/>
    <w:rsid w:val="006E4B04"/>
    <w:rsid w:val="006E50C2"/>
    <w:rsid w:val="006E54B7"/>
    <w:rsid w:val="006E58A2"/>
    <w:rsid w:val="006E6305"/>
    <w:rsid w:val="006E75A9"/>
    <w:rsid w:val="006E7ABF"/>
    <w:rsid w:val="006F0049"/>
    <w:rsid w:val="006F0CDD"/>
    <w:rsid w:val="006F2B70"/>
    <w:rsid w:val="006F2BBA"/>
    <w:rsid w:val="006F2BC0"/>
    <w:rsid w:val="006F2DBA"/>
    <w:rsid w:val="006F2F34"/>
    <w:rsid w:val="006F32BD"/>
    <w:rsid w:val="006F362B"/>
    <w:rsid w:val="006F3BF8"/>
    <w:rsid w:val="006F3CD3"/>
    <w:rsid w:val="006F4CDB"/>
    <w:rsid w:val="006F4ED2"/>
    <w:rsid w:val="006F4FFC"/>
    <w:rsid w:val="006F5984"/>
    <w:rsid w:val="006F5CD6"/>
    <w:rsid w:val="006F5D15"/>
    <w:rsid w:val="006F6874"/>
    <w:rsid w:val="006F6BF8"/>
    <w:rsid w:val="006F6F39"/>
    <w:rsid w:val="006F7085"/>
    <w:rsid w:val="006F7415"/>
    <w:rsid w:val="00700ADD"/>
    <w:rsid w:val="00700B3B"/>
    <w:rsid w:val="00700BD4"/>
    <w:rsid w:val="00700E36"/>
    <w:rsid w:val="00700ED8"/>
    <w:rsid w:val="00700F41"/>
    <w:rsid w:val="00701221"/>
    <w:rsid w:val="00701382"/>
    <w:rsid w:val="007013E1"/>
    <w:rsid w:val="00701BB9"/>
    <w:rsid w:val="00701E78"/>
    <w:rsid w:val="007023C5"/>
    <w:rsid w:val="007027E9"/>
    <w:rsid w:val="00702E44"/>
    <w:rsid w:val="0070323F"/>
    <w:rsid w:val="00703C17"/>
    <w:rsid w:val="00703FDA"/>
    <w:rsid w:val="00704081"/>
    <w:rsid w:val="007053F7"/>
    <w:rsid w:val="0070556A"/>
    <w:rsid w:val="00705E42"/>
    <w:rsid w:val="007062F7"/>
    <w:rsid w:val="00706BA4"/>
    <w:rsid w:val="00706EF4"/>
    <w:rsid w:val="00707242"/>
    <w:rsid w:val="007073A9"/>
    <w:rsid w:val="007076F0"/>
    <w:rsid w:val="00707934"/>
    <w:rsid w:val="00707BC0"/>
    <w:rsid w:val="00707DF4"/>
    <w:rsid w:val="00710750"/>
    <w:rsid w:val="00710933"/>
    <w:rsid w:val="0071107C"/>
    <w:rsid w:val="00711C2B"/>
    <w:rsid w:val="0071222D"/>
    <w:rsid w:val="0071263C"/>
    <w:rsid w:val="007134DE"/>
    <w:rsid w:val="007139FC"/>
    <w:rsid w:val="00713CCB"/>
    <w:rsid w:val="00713EEC"/>
    <w:rsid w:val="0071404F"/>
    <w:rsid w:val="0071414C"/>
    <w:rsid w:val="00714273"/>
    <w:rsid w:val="00714928"/>
    <w:rsid w:val="00714D63"/>
    <w:rsid w:val="007151E9"/>
    <w:rsid w:val="007158AB"/>
    <w:rsid w:val="007159BC"/>
    <w:rsid w:val="00715C87"/>
    <w:rsid w:val="00715D9B"/>
    <w:rsid w:val="00716F3D"/>
    <w:rsid w:val="00717183"/>
    <w:rsid w:val="0071721F"/>
    <w:rsid w:val="0071771F"/>
    <w:rsid w:val="007202C2"/>
    <w:rsid w:val="00720332"/>
    <w:rsid w:val="00720CDB"/>
    <w:rsid w:val="00721D2B"/>
    <w:rsid w:val="00722500"/>
    <w:rsid w:val="0072289E"/>
    <w:rsid w:val="007229B9"/>
    <w:rsid w:val="00722D60"/>
    <w:rsid w:val="00722F27"/>
    <w:rsid w:val="00723530"/>
    <w:rsid w:val="00723630"/>
    <w:rsid w:val="0072395F"/>
    <w:rsid w:val="007239D7"/>
    <w:rsid w:val="00724647"/>
    <w:rsid w:val="00724C59"/>
    <w:rsid w:val="00724C9E"/>
    <w:rsid w:val="00724D33"/>
    <w:rsid w:val="00724F23"/>
    <w:rsid w:val="007259CB"/>
    <w:rsid w:val="00725A55"/>
    <w:rsid w:val="00725FEC"/>
    <w:rsid w:val="007265F3"/>
    <w:rsid w:val="00726698"/>
    <w:rsid w:val="00726724"/>
    <w:rsid w:val="00727385"/>
    <w:rsid w:val="00730F5F"/>
    <w:rsid w:val="00731094"/>
    <w:rsid w:val="00731329"/>
    <w:rsid w:val="007314C1"/>
    <w:rsid w:val="00731A8C"/>
    <w:rsid w:val="00731E42"/>
    <w:rsid w:val="00732236"/>
    <w:rsid w:val="00732B2E"/>
    <w:rsid w:val="00732C70"/>
    <w:rsid w:val="007333D9"/>
    <w:rsid w:val="0073396B"/>
    <w:rsid w:val="0073442E"/>
    <w:rsid w:val="007348D4"/>
    <w:rsid w:val="00735E12"/>
    <w:rsid w:val="007365A0"/>
    <w:rsid w:val="007369EB"/>
    <w:rsid w:val="00736C10"/>
    <w:rsid w:val="00737212"/>
    <w:rsid w:val="00737272"/>
    <w:rsid w:val="007374F0"/>
    <w:rsid w:val="00737D0D"/>
    <w:rsid w:val="00740A5A"/>
    <w:rsid w:val="00741037"/>
    <w:rsid w:val="007411BD"/>
    <w:rsid w:val="00741485"/>
    <w:rsid w:val="00741831"/>
    <w:rsid w:val="00741A7F"/>
    <w:rsid w:val="00741F9C"/>
    <w:rsid w:val="00742741"/>
    <w:rsid w:val="0074285B"/>
    <w:rsid w:val="00742BC0"/>
    <w:rsid w:val="00742C69"/>
    <w:rsid w:val="00744055"/>
    <w:rsid w:val="007440F8"/>
    <w:rsid w:val="0074445F"/>
    <w:rsid w:val="007444F4"/>
    <w:rsid w:val="0074485B"/>
    <w:rsid w:val="00745A16"/>
    <w:rsid w:val="00745B72"/>
    <w:rsid w:val="00745D41"/>
    <w:rsid w:val="007468F8"/>
    <w:rsid w:val="00746B3A"/>
    <w:rsid w:val="00746CF4"/>
    <w:rsid w:val="00747186"/>
    <w:rsid w:val="007477BF"/>
    <w:rsid w:val="00747FCD"/>
    <w:rsid w:val="007503A7"/>
    <w:rsid w:val="0075067E"/>
    <w:rsid w:val="00750A82"/>
    <w:rsid w:val="00750CBD"/>
    <w:rsid w:val="00750F43"/>
    <w:rsid w:val="00751037"/>
    <w:rsid w:val="0075156E"/>
    <w:rsid w:val="00751FE1"/>
    <w:rsid w:val="00752074"/>
    <w:rsid w:val="0075230E"/>
    <w:rsid w:val="0075249E"/>
    <w:rsid w:val="0075254E"/>
    <w:rsid w:val="00752D77"/>
    <w:rsid w:val="007533DB"/>
    <w:rsid w:val="00753A14"/>
    <w:rsid w:val="00753A7F"/>
    <w:rsid w:val="00753B8E"/>
    <w:rsid w:val="0075409B"/>
    <w:rsid w:val="007546D5"/>
    <w:rsid w:val="007546E8"/>
    <w:rsid w:val="00754836"/>
    <w:rsid w:val="00754B4F"/>
    <w:rsid w:val="00754E8A"/>
    <w:rsid w:val="00754FCE"/>
    <w:rsid w:val="00755A72"/>
    <w:rsid w:val="00755E3E"/>
    <w:rsid w:val="0075659E"/>
    <w:rsid w:val="0075664D"/>
    <w:rsid w:val="00756771"/>
    <w:rsid w:val="00756B1E"/>
    <w:rsid w:val="00756C7C"/>
    <w:rsid w:val="00756CD4"/>
    <w:rsid w:val="007572E2"/>
    <w:rsid w:val="00757770"/>
    <w:rsid w:val="00757E5E"/>
    <w:rsid w:val="007606E4"/>
    <w:rsid w:val="0076087E"/>
    <w:rsid w:val="00760F71"/>
    <w:rsid w:val="007610B1"/>
    <w:rsid w:val="007614EE"/>
    <w:rsid w:val="00761862"/>
    <w:rsid w:val="00761A0F"/>
    <w:rsid w:val="00761CAE"/>
    <w:rsid w:val="00762D2B"/>
    <w:rsid w:val="00763FFB"/>
    <w:rsid w:val="007642D7"/>
    <w:rsid w:val="00764416"/>
    <w:rsid w:val="00764572"/>
    <w:rsid w:val="007658EE"/>
    <w:rsid w:val="007659B0"/>
    <w:rsid w:val="007659F6"/>
    <w:rsid w:val="00765F2A"/>
    <w:rsid w:val="007663A0"/>
    <w:rsid w:val="00766F74"/>
    <w:rsid w:val="00767A57"/>
    <w:rsid w:val="00771094"/>
    <w:rsid w:val="007711CC"/>
    <w:rsid w:val="00771249"/>
    <w:rsid w:val="007712C6"/>
    <w:rsid w:val="00771E9A"/>
    <w:rsid w:val="0077220F"/>
    <w:rsid w:val="00772277"/>
    <w:rsid w:val="0077243C"/>
    <w:rsid w:val="007725AA"/>
    <w:rsid w:val="00773ADA"/>
    <w:rsid w:val="0077435F"/>
    <w:rsid w:val="00774659"/>
    <w:rsid w:val="00774AA2"/>
    <w:rsid w:val="0077576D"/>
    <w:rsid w:val="007759C2"/>
    <w:rsid w:val="00775BB2"/>
    <w:rsid w:val="00775BE4"/>
    <w:rsid w:val="00775E03"/>
    <w:rsid w:val="0077678C"/>
    <w:rsid w:val="00776D3B"/>
    <w:rsid w:val="00777077"/>
    <w:rsid w:val="00777251"/>
    <w:rsid w:val="007773FA"/>
    <w:rsid w:val="007774A4"/>
    <w:rsid w:val="00777A3A"/>
    <w:rsid w:val="00777DF0"/>
    <w:rsid w:val="00777F6B"/>
    <w:rsid w:val="00780052"/>
    <w:rsid w:val="007805AE"/>
    <w:rsid w:val="00780616"/>
    <w:rsid w:val="0078082A"/>
    <w:rsid w:val="007808BB"/>
    <w:rsid w:val="0078138D"/>
    <w:rsid w:val="00781CB2"/>
    <w:rsid w:val="00781D25"/>
    <w:rsid w:val="00781F9C"/>
    <w:rsid w:val="007820AE"/>
    <w:rsid w:val="007823A5"/>
    <w:rsid w:val="007828D5"/>
    <w:rsid w:val="00782A8C"/>
    <w:rsid w:val="00782ADC"/>
    <w:rsid w:val="00782C73"/>
    <w:rsid w:val="00782DF6"/>
    <w:rsid w:val="00783314"/>
    <w:rsid w:val="00783AC3"/>
    <w:rsid w:val="0078459B"/>
    <w:rsid w:val="00784931"/>
    <w:rsid w:val="007849E7"/>
    <w:rsid w:val="00784F70"/>
    <w:rsid w:val="00784FC8"/>
    <w:rsid w:val="007850E1"/>
    <w:rsid w:val="0078510A"/>
    <w:rsid w:val="0078541C"/>
    <w:rsid w:val="0078544D"/>
    <w:rsid w:val="00785EF9"/>
    <w:rsid w:val="00785F6F"/>
    <w:rsid w:val="007862F2"/>
    <w:rsid w:val="00786A8E"/>
    <w:rsid w:val="00786D57"/>
    <w:rsid w:val="007879EA"/>
    <w:rsid w:val="00787B54"/>
    <w:rsid w:val="00787C5D"/>
    <w:rsid w:val="00790859"/>
    <w:rsid w:val="00790898"/>
    <w:rsid w:val="00790DBF"/>
    <w:rsid w:val="007910F9"/>
    <w:rsid w:val="007911B4"/>
    <w:rsid w:val="007911BC"/>
    <w:rsid w:val="00791681"/>
    <w:rsid w:val="00791A6B"/>
    <w:rsid w:val="00791F78"/>
    <w:rsid w:val="00792384"/>
    <w:rsid w:val="007927E5"/>
    <w:rsid w:val="00792B6F"/>
    <w:rsid w:val="00792C21"/>
    <w:rsid w:val="00792FE4"/>
    <w:rsid w:val="00793715"/>
    <w:rsid w:val="0079379F"/>
    <w:rsid w:val="00793994"/>
    <w:rsid w:val="00793A23"/>
    <w:rsid w:val="00793CDA"/>
    <w:rsid w:val="00794746"/>
    <w:rsid w:val="007948FF"/>
    <w:rsid w:val="007955FB"/>
    <w:rsid w:val="00796315"/>
    <w:rsid w:val="00796C15"/>
    <w:rsid w:val="00797259"/>
    <w:rsid w:val="007A04FE"/>
    <w:rsid w:val="007A09D1"/>
    <w:rsid w:val="007A0FE6"/>
    <w:rsid w:val="007A1711"/>
    <w:rsid w:val="007A1C91"/>
    <w:rsid w:val="007A1D77"/>
    <w:rsid w:val="007A1FC6"/>
    <w:rsid w:val="007A200A"/>
    <w:rsid w:val="007A2385"/>
    <w:rsid w:val="007A3619"/>
    <w:rsid w:val="007A3AEA"/>
    <w:rsid w:val="007A3B4A"/>
    <w:rsid w:val="007A442D"/>
    <w:rsid w:val="007A4B44"/>
    <w:rsid w:val="007A4C0C"/>
    <w:rsid w:val="007A4D6A"/>
    <w:rsid w:val="007A56EF"/>
    <w:rsid w:val="007A5787"/>
    <w:rsid w:val="007A5862"/>
    <w:rsid w:val="007A6DA7"/>
    <w:rsid w:val="007A73FB"/>
    <w:rsid w:val="007A745B"/>
    <w:rsid w:val="007A77A3"/>
    <w:rsid w:val="007A77EF"/>
    <w:rsid w:val="007A7863"/>
    <w:rsid w:val="007B00BC"/>
    <w:rsid w:val="007B0562"/>
    <w:rsid w:val="007B0588"/>
    <w:rsid w:val="007B06EE"/>
    <w:rsid w:val="007B0868"/>
    <w:rsid w:val="007B0B38"/>
    <w:rsid w:val="007B1373"/>
    <w:rsid w:val="007B13AA"/>
    <w:rsid w:val="007B13C5"/>
    <w:rsid w:val="007B159D"/>
    <w:rsid w:val="007B1764"/>
    <w:rsid w:val="007B17DC"/>
    <w:rsid w:val="007B1A8B"/>
    <w:rsid w:val="007B1F06"/>
    <w:rsid w:val="007B236A"/>
    <w:rsid w:val="007B2A98"/>
    <w:rsid w:val="007B363F"/>
    <w:rsid w:val="007B37E6"/>
    <w:rsid w:val="007B3EBA"/>
    <w:rsid w:val="007B4597"/>
    <w:rsid w:val="007B497C"/>
    <w:rsid w:val="007B4BAA"/>
    <w:rsid w:val="007B4CB0"/>
    <w:rsid w:val="007B50B6"/>
    <w:rsid w:val="007B52CE"/>
    <w:rsid w:val="007B5508"/>
    <w:rsid w:val="007B5669"/>
    <w:rsid w:val="007B63D9"/>
    <w:rsid w:val="007B67B3"/>
    <w:rsid w:val="007B7024"/>
    <w:rsid w:val="007B7221"/>
    <w:rsid w:val="007B7CCD"/>
    <w:rsid w:val="007C0D82"/>
    <w:rsid w:val="007C12B1"/>
    <w:rsid w:val="007C1856"/>
    <w:rsid w:val="007C1C77"/>
    <w:rsid w:val="007C1EB3"/>
    <w:rsid w:val="007C2478"/>
    <w:rsid w:val="007C25F7"/>
    <w:rsid w:val="007C26AA"/>
    <w:rsid w:val="007C2923"/>
    <w:rsid w:val="007C3810"/>
    <w:rsid w:val="007C390B"/>
    <w:rsid w:val="007C3D1F"/>
    <w:rsid w:val="007C3E8D"/>
    <w:rsid w:val="007C4048"/>
    <w:rsid w:val="007C4337"/>
    <w:rsid w:val="007C4F5E"/>
    <w:rsid w:val="007C5569"/>
    <w:rsid w:val="007C58E0"/>
    <w:rsid w:val="007C5FE0"/>
    <w:rsid w:val="007C6F6B"/>
    <w:rsid w:val="007C7597"/>
    <w:rsid w:val="007C76B5"/>
    <w:rsid w:val="007C7750"/>
    <w:rsid w:val="007C7859"/>
    <w:rsid w:val="007D00E2"/>
    <w:rsid w:val="007D01D3"/>
    <w:rsid w:val="007D0312"/>
    <w:rsid w:val="007D0F1A"/>
    <w:rsid w:val="007D10E8"/>
    <w:rsid w:val="007D14BA"/>
    <w:rsid w:val="007D14D6"/>
    <w:rsid w:val="007D1C99"/>
    <w:rsid w:val="007D227E"/>
    <w:rsid w:val="007D2293"/>
    <w:rsid w:val="007D2586"/>
    <w:rsid w:val="007D2D25"/>
    <w:rsid w:val="007D2DF5"/>
    <w:rsid w:val="007D336D"/>
    <w:rsid w:val="007D33F4"/>
    <w:rsid w:val="007D3401"/>
    <w:rsid w:val="007D3FE1"/>
    <w:rsid w:val="007D4683"/>
    <w:rsid w:val="007D4826"/>
    <w:rsid w:val="007D4A5C"/>
    <w:rsid w:val="007D4C5B"/>
    <w:rsid w:val="007D4DA2"/>
    <w:rsid w:val="007D4DE6"/>
    <w:rsid w:val="007D54C9"/>
    <w:rsid w:val="007D565E"/>
    <w:rsid w:val="007D58B4"/>
    <w:rsid w:val="007D58E8"/>
    <w:rsid w:val="007D63D4"/>
    <w:rsid w:val="007D6434"/>
    <w:rsid w:val="007D69C9"/>
    <w:rsid w:val="007D73D3"/>
    <w:rsid w:val="007D7400"/>
    <w:rsid w:val="007D77D9"/>
    <w:rsid w:val="007D7803"/>
    <w:rsid w:val="007D7AE5"/>
    <w:rsid w:val="007D7AF6"/>
    <w:rsid w:val="007D7E4F"/>
    <w:rsid w:val="007E027F"/>
    <w:rsid w:val="007E0ECD"/>
    <w:rsid w:val="007E0FB5"/>
    <w:rsid w:val="007E1447"/>
    <w:rsid w:val="007E1A04"/>
    <w:rsid w:val="007E1E9F"/>
    <w:rsid w:val="007E1FDE"/>
    <w:rsid w:val="007E2296"/>
    <w:rsid w:val="007E2F73"/>
    <w:rsid w:val="007E2F89"/>
    <w:rsid w:val="007E3033"/>
    <w:rsid w:val="007E33BE"/>
    <w:rsid w:val="007E4E83"/>
    <w:rsid w:val="007E4FE4"/>
    <w:rsid w:val="007E57F1"/>
    <w:rsid w:val="007E59B9"/>
    <w:rsid w:val="007E5E7C"/>
    <w:rsid w:val="007E5EA3"/>
    <w:rsid w:val="007E6619"/>
    <w:rsid w:val="007E6AA8"/>
    <w:rsid w:val="007E6F0C"/>
    <w:rsid w:val="007E73C7"/>
    <w:rsid w:val="007E7C65"/>
    <w:rsid w:val="007F0339"/>
    <w:rsid w:val="007F05C8"/>
    <w:rsid w:val="007F1196"/>
    <w:rsid w:val="007F11D6"/>
    <w:rsid w:val="007F13A1"/>
    <w:rsid w:val="007F14EB"/>
    <w:rsid w:val="007F164E"/>
    <w:rsid w:val="007F16DA"/>
    <w:rsid w:val="007F17C3"/>
    <w:rsid w:val="007F1BB5"/>
    <w:rsid w:val="007F1FC9"/>
    <w:rsid w:val="007F232D"/>
    <w:rsid w:val="007F2443"/>
    <w:rsid w:val="007F2AE7"/>
    <w:rsid w:val="007F2CE6"/>
    <w:rsid w:val="007F328A"/>
    <w:rsid w:val="007F388F"/>
    <w:rsid w:val="007F3F42"/>
    <w:rsid w:val="007F3FEF"/>
    <w:rsid w:val="007F451F"/>
    <w:rsid w:val="007F47A9"/>
    <w:rsid w:val="007F47AF"/>
    <w:rsid w:val="007F4854"/>
    <w:rsid w:val="007F48FF"/>
    <w:rsid w:val="007F496F"/>
    <w:rsid w:val="007F4BE8"/>
    <w:rsid w:val="007F4F46"/>
    <w:rsid w:val="007F5198"/>
    <w:rsid w:val="007F5B40"/>
    <w:rsid w:val="007F5CB3"/>
    <w:rsid w:val="007F6083"/>
    <w:rsid w:val="007F6741"/>
    <w:rsid w:val="007F6F0E"/>
    <w:rsid w:val="007F75BC"/>
    <w:rsid w:val="007F796C"/>
    <w:rsid w:val="007F7BEE"/>
    <w:rsid w:val="007F7F66"/>
    <w:rsid w:val="00800042"/>
    <w:rsid w:val="00800EBB"/>
    <w:rsid w:val="00801026"/>
    <w:rsid w:val="00801B3C"/>
    <w:rsid w:val="00802142"/>
    <w:rsid w:val="00802214"/>
    <w:rsid w:val="00802339"/>
    <w:rsid w:val="00802499"/>
    <w:rsid w:val="00802570"/>
    <w:rsid w:val="00802607"/>
    <w:rsid w:val="00802700"/>
    <w:rsid w:val="00803646"/>
    <w:rsid w:val="00803EA0"/>
    <w:rsid w:val="00804019"/>
    <w:rsid w:val="00804752"/>
    <w:rsid w:val="00804836"/>
    <w:rsid w:val="0080484F"/>
    <w:rsid w:val="008049B4"/>
    <w:rsid w:val="00804A3F"/>
    <w:rsid w:val="00804CCA"/>
    <w:rsid w:val="0080502D"/>
    <w:rsid w:val="00805473"/>
    <w:rsid w:val="008055F3"/>
    <w:rsid w:val="00805629"/>
    <w:rsid w:val="00805794"/>
    <w:rsid w:val="00805AE6"/>
    <w:rsid w:val="00805F58"/>
    <w:rsid w:val="008063FB"/>
    <w:rsid w:val="00806A15"/>
    <w:rsid w:val="008074F3"/>
    <w:rsid w:val="008077F1"/>
    <w:rsid w:val="00807AF0"/>
    <w:rsid w:val="00807CC2"/>
    <w:rsid w:val="00810529"/>
    <w:rsid w:val="008106B3"/>
    <w:rsid w:val="00810A77"/>
    <w:rsid w:val="00810A7C"/>
    <w:rsid w:val="00811089"/>
    <w:rsid w:val="00812B5D"/>
    <w:rsid w:val="00812B7F"/>
    <w:rsid w:val="00813711"/>
    <w:rsid w:val="008146D0"/>
    <w:rsid w:val="008147AA"/>
    <w:rsid w:val="00814CD5"/>
    <w:rsid w:val="00814FB1"/>
    <w:rsid w:val="008151E2"/>
    <w:rsid w:val="008152B4"/>
    <w:rsid w:val="00815442"/>
    <w:rsid w:val="008157A0"/>
    <w:rsid w:val="00815E03"/>
    <w:rsid w:val="0081652A"/>
    <w:rsid w:val="008165EB"/>
    <w:rsid w:val="00816BFC"/>
    <w:rsid w:val="00816CFB"/>
    <w:rsid w:val="008170D3"/>
    <w:rsid w:val="00817499"/>
    <w:rsid w:val="008176E4"/>
    <w:rsid w:val="0081770A"/>
    <w:rsid w:val="0081785B"/>
    <w:rsid w:val="00817BBF"/>
    <w:rsid w:val="00817D1A"/>
    <w:rsid w:val="00820558"/>
    <w:rsid w:val="00820944"/>
    <w:rsid w:val="0082098A"/>
    <w:rsid w:val="00820BC3"/>
    <w:rsid w:val="00820D86"/>
    <w:rsid w:val="00820ED3"/>
    <w:rsid w:val="00821080"/>
    <w:rsid w:val="0082118E"/>
    <w:rsid w:val="00821206"/>
    <w:rsid w:val="008217CC"/>
    <w:rsid w:val="00821D86"/>
    <w:rsid w:val="00821FA1"/>
    <w:rsid w:val="00822161"/>
    <w:rsid w:val="008221CC"/>
    <w:rsid w:val="00822317"/>
    <w:rsid w:val="008226BF"/>
    <w:rsid w:val="008229A0"/>
    <w:rsid w:val="00823555"/>
    <w:rsid w:val="008238FE"/>
    <w:rsid w:val="00823BFF"/>
    <w:rsid w:val="008243E9"/>
    <w:rsid w:val="00824417"/>
    <w:rsid w:val="008245E0"/>
    <w:rsid w:val="0082484D"/>
    <w:rsid w:val="00824851"/>
    <w:rsid w:val="008257A5"/>
    <w:rsid w:val="00826150"/>
    <w:rsid w:val="00826CBE"/>
    <w:rsid w:val="00826EDF"/>
    <w:rsid w:val="00826F03"/>
    <w:rsid w:val="00826FD7"/>
    <w:rsid w:val="00827962"/>
    <w:rsid w:val="008300A5"/>
    <w:rsid w:val="008305D6"/>
    <w:rsid w:val="008305FF"/>
    <w:rsid w:val="00830DE7"/>
    <w:rsid w:val="008313C8"/>
    <w:rsid w:val="008315A4"/>
    <w:rsid w:val="00831796"/>
    <w:rsid w:val="008317A1"/>
    <w:rsid w:val="00832529"/>
    <w:rsid w:val="00832547"/>
    <w:rsid w:val="00832820"/>
    <w:rsid w:val="008330D7"/>
    <w:rsid w:val="008331A4"/>
    <w:rsid w:val="00833359"/>
    <w:rsid w:val="00833855"/>
    <w:rsid w:val="00833E3A"/>
    <w:rsid w:val="00835E43"/>
    <w:rsid w:val="0083628A"/>
    <w:rsid w:val="00836B4B"/>
    <w:rsid w:val="00836C70"/>
    <w:rsid w:val="00836D13"/>
    <w:rsid w:val="00836F33"/>
    <w:rsid w:val="00837082"/>
    <w:rsid w:val="00837418"/>
    <w:rsid w:val="008411B6"/>
    <w:rsid w:val="00841B90"/>
    <w:rsid w:val="00841DDD"/>
    <w:rsid w:val="00841E57"/>
    <w:rsid w:val="0084273C"/>
    <w:rsid w:val="00842754"/>
    <w:rsid w:val="00842D0B"/>
    <w:rsid w:val="00843821"/>
    <w:rsid w:val="00843D54"/>
    <w:rsid w:val="00843FC2"/>
    <w:rsid w:val="0084402B"/>
    <w:rsid w:val="00844673"/>
    <w:rsid w:val="0084497D"/>
    <w:rsid w:val="008450D7"/>
    <w:rsid w:val="00845133"/>
    <w:rsid w:val="0084533D"/>
    <w:rsid w:val="00845415"/>
    <w:rsid w:val="0084559E"/>
    <w:rsid w:val="00845D8D"/>
    <w:rsid w:val="00845DC2"/>
    <w:rsid w:val="00846092"/>
    <w:rsid w:val="00846303"/>
    <w:rsid w:val="00846D2D"/>
    <w:rsid w:val="00846D61"/>
    <w:rsid w:val="00846E77"/>
    <w:rsid w:val="0084703C"/>
    <w:rsid w:val="008476E0"/>
    <w:rsid w:val="00847889"/>
    <w:rsid w:val="008479E7"/>
    <w:rsid w:val="00847AF9"/>
    <w:rsid w:val="00850128"/>
    <w:rsid w:val="008504BF"/>
    <w:rsid w:val="0085084A"/>
    <w:rsid w:val="00850BE9"/>
    <w:rsid w:val="00850C48"/>
    <w:rsid w:val="00850EBB"/>
    <w:rsid w:val="00851061"/>
    <w:rsid w:val="00851179"/>
    <w:rsid w:val="008512E6"/>
    <w:rsid w:val="00851398"/>
    <w:rsid w:val="00851D7D"/>
    <w:rsid w:val="00851DD4"/>
    <w:rsid w:val="00851FA2"/>
    <w:rsid w:val="0085220D"/>
    <w:rsid w:val="00852527"/>
    <w:rsid w:val="008529B6"/>
    <w:rsid w:val="00852B49"/>
    <w:rsid w:val="00852BB8"/>
    <w:rsid w:val="00852E89"/>
    <w:rsid w:val="0085330F"/>
    <w:rsid w:val="008538B4"/>
    <w:rsid w:val="0085399C"/>
    <w:rsid w:val="00853BA1"/>
    <w:rsid w:val="00853C83"/>
    <w:rsid w:val="00853F8E"/>
    <w:rsid w:val="00854477"/>
    <w:rsid w:val="0085462F"/>
    <w:rsid w:val="00854D08"/>
    <w:rsid w:val="00855192"/>
    <w:rsid w:val="008555B2"/>
    <w:rsid w:val="008558D6"/>
    <w:rsid w:val="008559DB"/>
    <w:rsid w:val="00855A49"/>
    <w:rsid w:val="00855DE8"/>
    <w:rsid w:val="00856084"/>
    <w:rsid w:val="00856394"/>
    <w:rsid w:val="00856897"/>
    <w:rsid w:val="008569C7"/>
    <w:rsid w:val="00856C43"/>
    <w:rsid w:val="00856D44"/>
    <w:rsid w:val="00856DFA"/>
    <w:rsid w:val="00857179"/>
    <w:rsid w:val="008571D6"/>
    <w:rsid w:val="00857200"/>
    <w:rsid w:val="00857ABB"/>
    <w:rsid w:val="0086019F"/>
    <w:rsid w:val="0086020C"/>
    <w:rsid w:val="008606EB"/>
    <w:rsid w:val="00860BE3"/>
    <w:rsid w:val="00860D36"/>
    <w:rsid w:val="00860E09"/>
    <w:rsid w:val="008612D9"/>
    <w:rsid w:val="00861D2F"/>
    <w:rsid w:val="00861FBA"/>
    <w:rsid w:val="00861FC9"/>
    <w:rsid w:val="008625D2"/>
    <w:rsid w:val="00863279"/>
    <w:rsid w:val="0086437D"/>
    <w:rsid w:val="008646C9"/>
    <w:rsid w:val="00864ACD"/>
    <w:rsid w:val="008660FF"/>
    <w:rsid w:val="008666FF"/>
    <w:rsid w:val="00866F14"/>
    <w:rsid w:val="00867006"/>
    <w:rsid w:val="008671D0"/>
    <w:rsid w:val="008674B6"/>
    <w:rsid w:val="00867A01"/>
    <w:rsid w:val="0087013C"/>
    <w:rsid w:val="008706EC"/>
    <w:rsid w:val="008707FF"/>
    <w:rsid w:val="0087088F"/>
    <w:rsid w:val="008708C0"/>
    <w:rsid w:val="00870E2F"/>
    <w:rsid w:val="008712C7"/>
    <w:rsid w:val="008715CD"/>
    <w:rsid w:val="0087178E"/>
    <w:rsid w:val="008719C7"/>
    <w:rsid w:val="0087220E"/>
    <w:rsid w:val="008735BF"/>
    <w:rsid w:val="008738FE"/>
    <w:rsid w:val="008739A0"/>
    <w:rsid w:val="008740E6"/>
    <w:rsid w:val="0087431A"/>
    <w:rsid w:val="00874817"/>
    <w:rsid w:val="00874F64"/>
    <w:rsid w:val="00875086"/>
    <w:rsid w:val="00876524"/>
    <w:rsid w:val="0087692B"/>
    <w:rsid w:val="00876C23"/>
    <w:rsid w:val="00876F25"/>
    <w:rsid w:val="00877282"/>
    <w:rsid w:val="008773E6"/>
    <w:rsid w:val="008779AD"/>
    <w:rsid w:val="00877FD7"/>
    <w:rsid w:val="008803D1"/>
    <w:rsid w:val="00880607"/>
    <w:rsid w:val="008806C5"/>
    <w:rsid w:val="00880A97"/>
    <w:rsid w:val="008814DE"/>
    <w:rsid w:val="00881802"/>
    <w:rsid w:val="00881B52"/>
    <w:rsid w:val="00881C6F"/>
    <w:rsid w:val="00881FCC"/>
    <w:rsid w:val="00882507"/>
    <w:rsid w:val="00882683"/>
    <w:rsid w:val="008826C0"/>
    <w:rsid w:val="00882B8C"/>
    <w:rsid w:val="00882FA4"/>
    <w:rsid w:val="0088305D"/>
    <w:rsid w:val="00883176"/>
    <w:rsid w:val="008833E6"/>
    <w:rsid w:val="00883D68"/>
    <w:rsid w:val="00884624"/>
    <w:rsid w:val="0088551E"/>
    <w:rsid w:val="0088562C"/>
    <w:rsid w:val="008857DC"/>
    <w:rsid w:val="00885C58"/>
    <w:rsid w:val="008869C9"/>
    <w:rsid w:val="008869E7"/>
    <w:rsid w:val="00886C9C"/>
    <w:rsid w:val="00887972"/>
    <w:rsid w:val="008900E3"/>
    <w:rsid w:val="00890451"/>
    <w:rsid w:val="008907B5"/>
    <w:rsid w:val="008907D9"/>
    <w:rsid w:val="008912A1"/>
    <w:rsid w:val="00891358"/>
    <w:rsid w:val="008913CA"/>
    <w:rsid w:val="00891564"/>
    <w:rsid w:val="008917FC"/>
    <w:rsid w:val="008922AC"/>
    <w:rsid w:val="00892646"/>
    <w:rsid w:val="0089291B"/>
    <w:rsid w:val="00892D76"/>
    <w:rsid w:val="00892F51"/>
    <w:rsid w:val="008931A1"/>
    <w:rsid w:val="00893FCB"/>
    <w:rsid w:val="00894689"/>
    <w:rsid w:val="00894AA8"/>
    <w:rsid w:val="00894B9B"/>
    <w:rsid w:val="0089508B"/>
    <w:rsid w:val="0089510C"/>
    <w:rsid w:val="00895635"/>
    <w:rsid w:val="008961DC"/>
    <w:rsid w:val="008963FA"/>
    <w:rsid w:val="00896D2C"/>
    <w:rsid w:val="00896D5E"/>
    <w:rsid w:val="008972CF"/>
    <w:rsid w:val="0089752B"/>
    <w:rsid w:val="008975D2"/>
    <w:rsid w:val="00897AAC"/>
    <w:rsid w:val="008A007C"/>
    <w:rsid w:val="008A0139"/>
    <w:rsid w:val="008A0158"/>
    <w:rsid w:val="008A04E2"/>
    <w:rsid w:val="008A1A0B"/>
    <w:rsid w:val="008A21E5"/>
    <w:rsid w:val="008A22CD"/>
    <w:rsid w:val="008A2780"/>
    <w:rsid w:val="008A29EE"/>
    <w:rsid w:val="008A2C40"/>
    <w:rsid w:val="008A31CD"/>
    <w:rsid w:val="008A3577"/>
    <w:rsid w:val="008A3A95"/>
    <w:rsid w:val="008A3EF7"/>
    <w:rsid w:val="008A44E6"/>
    <w:rsid w:val="008A4BE0"/>
    <w:rsid w:val="008A4C4A"/>
    <w:rsid w:val="008A4FE9"/>
    <w:rsid w:val="008A510F"/>
    <w:rsid w:val="008A567F"/>
    <w:rsid w:val="008A59F7"/>
    <w:rsid w:val="008A5BB8"/>
    <w:rsid w:val="008A5E83"/>
    <w:rsid w:val="008A646E"/>
    <w:rsid w:val="008A6607"/>
    <w:rsid w:val="008A6CB2"/>
    <w:rsid w:val="008B02DE"/>
    <w:rsid w:val="008B060D"/>
    <w:rsid w:val="008B0647"/>
    <w:rsid w:val="008B0ACA"/>
    <w:rsid w:val="008B0C7D"/>
    <w:rsid w:val="008B1038"/>
    <w:rsid w:val="008B1202"/>
    <w:rsid w:val="008B142C"/>
    <w:rsid w:val="008B16A6"/>
    <w:rsid w:val="008B1EFB"/>
    <w:rsid w:val="008B25AC"/>
    <w:rsid w:val="008B2806"/>
    <w:rsid w:val="008B2BEB"/>
    <w:rsid w:val="008B3694"/>
    <w:rsid w:val="008B3BA3"/>
    <w:rsid w:val="008B3FB9"/>
    <w:rsid w:val="008B4420"/>
    <w:rsid w:val="008B44E3"/>
    <w:rsid w:val="008B4642"/>
    <w:rsid w:val="008B4794"/>
    <w:rsid w:val="008B59E2"/>
    <w:rsid w:val="008B5B38"/>
    <w:rsid w:val="008B5DC2"/>
    <w:rsid w:val="008B602A"/>
    <w:rsid w:val="008B61FD"/>
    <w:rsid w:val="008B6327"/>
    <w:rsid w:val="008B6AFC"/>
    <w:rsid w:val="008B70D8"/>
    <w:rsid w:val="008B70E6"/>
    <w:rsid w:val="008B71E7"/>
    <w:rsid w:val="008B7719"/>
    <w:rsid w:val="008C043F"/>
    <w:rsid w:val="008C0FF0"/>
    <w:rsid w:val="008C11B9"/>
    <w:rsid w:val="008C122F"/>
    <w:rsid w:val="008C12F5"/>
    <w:rsid w:val="008C15DB"/>
    <w:rsid w:val="008C171A"/>
    <w:rsid w:val="008C26A0"/>
    <w:rsid w:val="008C2FEA"/>
    <w:rsid w:val="008C397F"/>
    <w:rsid w:val="008C3F24"/>
    <w:rsid w:val="008C416F"/>
    <w:rsid w:val="008C41A6"/>
    <w:rsid w:val="008C4579"/>
    <w:rsid w:val="008C4B03"/>
    <w:rsid w:val="008C52F1"/>
    <w:rsid w:val="008C53E9"/>
    <w:rsid w:val="008C5EAE"/>
    <w:rsid w:val="008C610E"/>
    <w:rsid w:val="008C61BF"/>
    <w:rsid w:val="008C64B3"/>
    <w:rsid w:val="008C6E18"/>
    <w:rsid w:val="008C727E"/>
    <w:rsid w:val="008C753A"/>
    <w:rsid w:val="008C77D5"/>
    <w:rsid w:val="008D071E"/>
    <w:rsid w:val="008D091F"/>
    <w:rsid w:val="008D119B"/>
    <w:rsid w:val="008D1408"/>
    <w:rsid w:val="008D14CC"/>
    <w:rsid w:val="008D1A23"/>
    <w:rsid w:val="008D1D24"/>
    <w:rsid w:val="008D2108"/>
    <w:rsid w:val="008D2925"/>
    <w:rsid w:val="008D2982"/>
    <w:rsid w:val="008D308E"/>
    <w:rsid w:val="008D34F1"/>
    <w:rsid w:val="008D352F"/>
    <w:rsid w:val="008D382F"/>
    <w:rsid w:val="008D4134"/>
    <w:rsid w:val="008D44D4"/>
    <w:rsid w:val="008D46F2"/>
    <w:rsid w:val="008D5788"/>
    <w:rsid w:val="008D5ACB"/>
    <w:rsid w:val="008D5CA1"/>
    <w:rsid w:val="008D7228"/>
    <w:rsid w:val="008D7C26"/>
    <w:rsid w:val="008D7CD8"/>
    <w:rsid w:val="008E0365"/>
    <w:rsid w:val="008E03B6"/>
    <w:rsid w:val="008E0660"/>
    <w:rsid w:val="008E0AEB"/>
    <w:rsid w:val="008E0B63"/>
    <w:rsid w:val="008E0F5D"/>
    <w:rsid w:val="008E1647"/>
    <w:rsid w:val="008E1D62"/>
    <w:rsid w:val="008E1DDC"/>
    <w:rsid w:val="008E2850"/>
    <w:rsid w:val="008E29F4"/>
    <w:rsid w:val="008E360D"/>
    <w:rsid w:val="008E363E"/>
    <w:rsid w:val="008E37C8"/>
    <w:rsid w:val="008E41EE"/>
    <w:rsid w:val="008E4445"/>
    <w:rsid w:val="008E4FBC"/>
    <w:rsid w:val="008E6588"/>
    <w:rsid w:val="008E7943"/>
    <w:rsid w:val="008F025C"/>
    <w:rsid w:val="008F059A"/>
    <w:rsid w:val="008F0817"/>
    <w:rsid w:val="008F0975"/>
    <w:rsid w:val="008F1099"/>
    <w:rsid w:val="008F15B0"/>
    <w:rsid w:val="008F1909"/>
    <w:rsid w:val="008F30EC"/>
    <w:rsid w:val="008F32E3"/>
    <w:rsid w:val="008F342C"/>
    <w:rsid w:val="008F3CD4"/>
    <w:rsid w:val="008F40D1"/>
    <w:rsid w:val="008F42F1"/>
    <w:rsid w:val="008F4364"/>
    <w:rsid w:val="008F4AF0"/>
    <w:rsid w:val="008F50F1"/>
    <w:rsid w:val="008F54B3"/>
    <w:rsid w:val="008F58EC"/>
    <w:rsid w:val="008F5C66"/>
    <w:rsid w:val="008F5D41"/>
    <w:rsid w:val="008F68B8"/>
    <w:rsid w:val="008F6B58"/>
    <w:rsid w:val="008F6FE7"/>
    <w:rsid w:val="009007C2"/>
    <w:rsid w:val="00900B59"/>
    <w:rsid w:val="00901071"/>
    <w:rsid w:val="00901D29"/>
    <w:rsid w:val="0090214F"/>
    <w:rsid w:val="009029F2"/>
    <w:rsid w:val="00902A2C"/>
    <w:rsid w:val="00902FDD"/>
    <w:rsid w:val="0090345A"/>
    <w:rsid w:val="00903965"/>
    <w:rsid w:val="00903A30"/>
    <w:rsid w:val="009049B7"/>
    <w:rsid w:val="00904B54"/>
    <w:rsid w:val="00904E96"/>
    <w:rsid w:val="00904F57"/>
    <w:rsid w:val="009059D5"/>
    <w:rsid w:val="00905A13"/>
    <w:rsid w:val="009062C7"/>
    <w:rsid w:val="00906563"/>
    <w:rsid w:val="009067F3"/>
    <w:rsid w:val="00906C28"/>
    <w:rsid w:val="009071D7"/>
    <w:rsid w:val="009073C1"/>
    <w:rsid w:val="0091011C"/>
    <w:rsid w:val="0091023D"/>
    <w:rsid w:val="00910A1A"/>
    <w:rsid w:val="00910FDC"/>
    <w:rsid w:val="009111FF"/>
    <w:rsid w:val="009116B7"/>
    <w:rsid w:val="00911B48"/>
    <w:rsid w:val="0091264A"/>
    <w:rsid w:val="00912A03"/>
    <w:rsid w:val="00912CB7"/>
    <w:rsid w:val="00912DF8"/>
    <w:rsid w:val="00913057"/>
    <w:rsid w:val="009130F9"/>
    <w:rsid w:val="00913121"/>
    <w:rsid w:val="00913801"/>
    <w:rsid w:val="00913999"/>
    <w:rsid w:val="009140C2"/>
    <w:rsid w:val="0091430F"/>
    <w:rsid w:val="00914377"/>
    <w:rsid w:val="00914556"/>
    <w:rsid w:val="00914FF3"/>
    <w:rsid w:val="00915001"/>
    <w:rsid w:val="0091515E"/>
    <w:rsid w:val="00915322"/>
    <w:rsid w:val="00915455"/>
    <w:rsid w:val="00916443"/>
    <w:rsid w:val="00916465"/>
    <w:rsid w:val="00916ACD"/>
    <w:rsid w:val="00916D4A"/>
    <w:rsid w:val="00917242"/>
    <w:rsid w:val="0091753C"/>
    <w:rsid w:val="00917663"/>
    <w:rsid w:val="009176DA"/>
    <w:rsid w:val="0091786C"/>
    <w:rsid w:val="00917AF0"/>
    <w:rsid w:val="00917F23"/>
    <w:rsid w:val="00917F7D"/>
    <w:rsid w:val="00920273"/>
    <w:rsid w:val="0092056B"/>
    <w:rsid w:val="0092071E"/>
    <w:rsid w:val="00920837"/>
    <w:rsid w:val="00920EF3"/>
    <w:rsid w:val="00920F95"/>
    <w:rsid w:val="009211E0"/>
    <w:rsid w:val="00921C8B"/>
    <w:rsid w:val="00921D01"/>
    <w:rsid w:val="00921F12"/>
    <w:rsid w:val="00922272"/>
    <w:rsid w:val="0092301C"/>
    <w:rsid w:val="0092308E"/>
    <w:rsid w:val="0092324C"/>
    <w:rsid w:val="0092362E"/>
    <w:rsid w:val="0092388C"/>
    <w:rsid w:val="00923D66"/>
    <w:rsid w:val="0092413F"/>
    <w:rsid w:val="00924E7A"/>
    <w:rsid w:val="00925350"/>
    <w:rsid w:val="00925927"/>
    <w:rsid w:val="009259D2"/>
    <w:rsid w:val="00925AFF"/>
    <w:rsid w:val="00925EEB"/>
    <w:rsid w:val="0092652F"/>
    <w:rsid w:val="00926A40"/>
    <w:rsid w:val="00926C3A"/>
    <w:rsid w:val="0092762C"/>
    <w:rsid w:val="00927AA7"/>
    <w:rsid w:val="00930188"/>
    <w:rsid w:val="00930E6C"/>
    <w:rsid w:val="009315AC"/>
    <w:rsid w:val="0093166A"/>
    <w:rsid w:val="009317B2"/>
    <w:rsid w:val="009318B9"/>
    <w:rsid w:val="00931E29"/>
    <w:rsid w:val="009328DC"/>
    <w:rsid w:val="00932923"/>
    <w:rsid w:val="0093330F"/>
    <w:rsid w:val="00933664"/>
    <w:rsid w:val="009337F5"/>
    <w:rsid w:val="00933AC5"/>
    <w:rsid w:val="00933D9E"/>
    <w:rsid w:val="009340DE"/>
    <w:rsid w:val="0093489F"/>
    <w:rsid w:val="009349DB"/>
    <w:rsid w:val="00934BC3"/>
    <w:rsid w:val="00934DA1"/>
    <w:rsid w:val="00934E7E"/>
    <w:rsid w:val="009352E4"/>
    <w:rsid w:val="00935367"/>
    <w:rsid w:val="00936E0B"/>
    <w:rsid w:val="00936F78"/>
    <w:rsid w:val="00937859"/>
    <w:rsid w:val="009379BC"/>
    <w:rsid w:val="00937CC1"/>
    <w:rsid w:val="00937DC7"/>
    <w:rsid w:val="00937EBE"/>
    <w:rsid w:val="009409C5"/>
    <w:rsid w:val="00940E1F"/>
    <w:rsid w:val="00940F85"/>
    <w:rsid w:val="00941CAD"/>
    <w:rsid w:val="00942651"/>
    <w:rsid w:val="00942CAC"/>
    <w:rsid w:val="00942F41"/>
    <w:rsid w:val="00942F9F"/>
    <w:rsid w:val="0094310C"/>
    <w:rsid w:val="00943EC6"/>
    <w:rsid w:val="00944787"/>
    <w:rsid w:val="00944BA4"/>
    <w:rsid w:val="00944D14"/>
    <w:rsid w:val="00945449"/>
    <w:rsid w:val="00945984"/>
    <w:rsid w:val="00945A81"/>
    <w:rsid w:val="009462DA"/>
    <w:rsid w:val="00946B42"/>
    <w:rsid w:val="00947102"/>
    <w:rsid w:val="00947406"/>
    <w:rsid w:val="00947788"/>
    <w:rsid w:val="00950339"/>
    <w:rsid w:val="00950891"/>
    <w:rsid w:val="00950B8D"/>
    <w:rsid w:val="009510C1"/>
    <w:rsid w:val="00951374"/>
    <w:rsid w:val="0095152E"/>
    <w:rsid w:val="009515B0"/>
    <w:rsid w:val="009515B3"/>
    <w:rsid w:val="00951CCC"/>
    <w:rsid w:val="009526AA"/>
    <w:rsid w:val="009529A2"/>
    <w:rsid w:val="00952D3A"/>
    <w:rsid w:val="00952F01"/>
    <w:rsid w:val="00953837"/>
    <w:rsid w:val="009539FF"/>
    <w:rsid w:val="00953AD9"/>
    <w:rsid w:val="0095472A"/>
    <w:rsid w:val="009547E3"/>
    <w:rsid w:val="00954938"/>
    <w:rsid w:val="00954C4A"/>
    <w:rsid w:val="00955933"/>
    <w:rsid w:val="00955CA0"/>
    <w:rsid w:val="00955F0E"/>
    <w:rsid w:val="00956771"/>
    <w:rsid w:val="00956783"/>
    <w:rsid w:val="009568C9"/>
    <w:rsid w:val="009569C8"/>
    <w:rsid w:val="00957028"/>
    <w:rsid w:val="009570CF"/>
    <w:rsid w:val="00957358"/>
    <w:rsid w:val="009576B6"/>
    <w:rsid w:val="00957B42"/>
    <w:rsid w:val="00957EE1"/>
    <w:rsid w:val="00957FDA"/>
    <w:rsid w:val="0096028B"/>
    <w:rsid w:val="0096086F"/>
    <w:rsid w:val="00960B24"/>
    <w:rsid w:val="00960EA5"/>
    <w:rsid w:val="00960FCC"/>
    <w:rsid w:val="00960FE3"/>
    <w:rsid w:val="0096100B"/>
    <w:rsid w:val="0096160B"/>
    <w:rsid w:val="00961E79"/>
    <w:rsid w:val="009625CD"/>
    <w:rsid w:val="009629F3"/>
    <w:rsid w:val="00962C85"/>
    <w:rsid w:val="00962F58"/>
    <w:rsid w:val="00963419"/>
    <w:rsid w:val="009637FF"/>
    <w:rsid w:val="009638A0"/>
    <w:rsid w:val="00963911"/>
    <w:rsid w:val="0096401D"/>
    <w:rsid w:val="009641C9"/>
    <w:rsid w:val="0096461D"/>
    <w:rsid w:val="00964689"/>
    <w:rsid w:val="009647D6"/>
    <w:rsid w:val="009648B8"/>
    <w:rsid w:val="00964985"/>
    <w:rsid w:val="00964E8D"/>
    <w:rsid w:val="00965157"/>
    <w:rsid w:val="009653CA"/>
    <w:rsid w:val="00965707"/>
    <w:rsid w:val="0096575C"/>
    <w:rsid w:val="00965769"/>
    <w:rsid w:val="00965929"/>
    <w:rsid w:val="00965E80"/>
    <w:rsid w:val="00965EA5"/>
    <w:rsid w:val="009666A2"/>
    <w:rsid w:val="00966A7F"/>
    <w:rsid w:val="00966F93"/>
    <w:rsid w:val="009671C8"/>
    <w:rsid w:val="00967F2B"/>
    <w:rsid w:val="009704A4"/>
    <w:rsid w:val="00970868"/>
    <w:rsid w:val="009708B2"/>
    <w:rsid w:val="00970991"/>
    <w:rsid w:val="00971063"/>
    <w:rsid w:val="00971CBE"/>
    <w:rsid w:val="00971DE8"/>
    <w:rsid w:val="00971E01"/>
    <w:rsid w:val="00972236"/>
    <w:rsid w:val="00972454"/>
    <w:rsid w:val="009724A1"/>
    <w:rsid w:val="009726C0"/>
    <w:rsid w:val="00972AF9"/>
    <w:rsid w:val="00972E54"/>
    <w:rsid w:val="009745F7"/>
    <w:rsid w:val="00974879"/>
    <w:rsid w:val="00974B12"/>
    <w:rsid w:val="009751AB"/>
    <w:rsid w:val="009751AC"/>
    <w:rsid w:val="0097543C"/>
    <w:rsid w:val="00975504"/>
    <w:rsid w:val="0097597D"/>
    <w:rsid w:val="009761E8"/>
    <w:rsid w:val="00977663"/>
    <w:rsid w:val="00977933"/>
    <w:rsid w:val="009779D5"/>
    <w:rsid w:val="00977B5F"/>
    <w:rsid w:val="00977FF7"/>
    <w:rsid w:val="00980250"/>
    <w:rsid w:val="00980902"/>
    <w:rsid w:val="0098094C"/>
    <w:rsid w:val="00980971"/>
    <w:rsid w:val="00981892"/>
    <w:rsid w:val="00981967"/>
    <w:rsid w:val="009819AD"/>
    <w:rsid w:val="00981A5A"/>
    <w:rsid w:val="00981E5A"/>
    <w:rsid w:val="00981F2E"/>
    <w:rsid w:val="00981F98"/>
    <w:rsid w:val="00982043"/>
    <w:rsid w:val="009825A4"/>
    <w:rsid w:val="009827AF"/>
    <w:rsid w:val="00982AF2"/>
    <w:rsid w:val="00982DE9"/>
    <w:rsid w:val="009830E3"/>
    <w:rsid w:val="00983830"/>
    <w:rsid w:val="0098394E"/>
    <w:rsid w:val="00983BE9"/>
    <w:rsid w:val="00983D7C"/>
    <w:rsid w:val="00983E46"/>
    <w:rsid w:val="0098439B"/>
    <w:rsid w:val="00984562"/>
    <w:rsid w:val="00984607"/>
    <w:rsid w:val="009846E6"/>
    <w:rsid w:val="00984804"/>
    <w:rsid w:val="00984BEC"/>
    <w:rsid w:val="00984E34"/>
    <w:rsid w:val="00984F91"/>
    <w:rsid w:val="00985156"/>
    <w:rsid w:val="009856EA"/>
    <w:rsid w:val="0098596E"/>
    <w:rsid w:val="00985BD9"/>
    <w:rsid w:val="00985BE8"/>
    <w:rsid w:val="00985BF2"/>
    <w:rsid w:val="00985C13"/>
    <w:rsid w:val="00986050"/>
    <w:rsid w:val="009867A6"/>
    <w:rsid w:val="009869B2"/>
    <w:rsid w:val="00986A47"/>
    <w:rsid w:val="009877C1"/>
    <w:rsid w:val="009878F6"/>
    <w:rsid w:val="00987C4C"/>
    <w:rsid w:val="009900D3"/>
    <w:rsid w:val="00990322"/>
    <w:rsid w:val="009906C7"/>
    <w:rsid w:val="009908DC"/>
    <w:rsid w:val="00991472"/>
    <w:rsid w:val="00991913"/>
    <w:rsid w:val="00991ABA"/>
    <w:rsid w:val="0099226A"/>
    <w:rsid w:val="00992456"/>
    <w:rsid w:val="00992DDA"/>
    <w:rsid w:val="009935E8"/>
    <w:rsid w:val="009935EF"/>
    <w:rsid w:val="0099370A"/>
    <w:rsid w:val="009938C8"/>
    <w:rsid w:val="00993AC8"/>
    <w:rsid w:val="00993F5D"/>
    <w:rsid w:val="00994500"/>
    <w:rsid w:val="009946F6"/>
    <w:rsid w:val="0099507F"/>
    <w:rsid w:val="00995449"/>
    <w:rsid w:val="00995ABE"/>
    <w:rsid w:val="00995B4B"/>
    <w:rsid w:val="00995F39"/>
    <w:rsid w:val="00996129"/>
    <w:rsid w:val="00996358"/>
    <w:rsid w:val="00996E40"/>
    <w:rsid w:val="00996EB7"/>
    <w:rsid w:val="009970EF"/>
    <w:rsid w:val="0099710D"/>
    <w:rsid w:val="00997168"/>
    <w:rsid w:val="009972E4"/>
    <w:rsid w:val="009975A8"/>
    <w:rsid w:val="009978AA"/>
    <w:rsid w:val="00997A4E"/>
    <w:rsid w:val="00997C33"/>
    <w:rsid w:val="00997D9A"/>
    <w:rsid w:val="009A013B"/>
    <w:rsid w:val="009A04A2"/>
    <w:rsid w:val="009A056B"/>
    <w:rsid w:val="009A0950"/>
    <w:rsid w:val="009A09AC"/>
    <w:rsid w:val="009A0EDF"/>
    <w:rsid w:val="009A0F3C"/>
    <w:rsid w:val="009A0FD2"/>
    <w:rsid w:val="009A1381"/>
    <w:rsid w:val="009A1452"/>
    <w:rsid w:val="009A1636"/>
    <w:rsid w:val="009A1D2A"/>
    <w:rsid w:val="009A1F3C"/>
    <w:rsid w:val="009A2740"/>
    <w:rsid w:val="009A277C"/>
    <w:rsid w:val="009A2CE4"/>
    <w:rsid w:val="009A3019"/>
    <w:rsid w:val="009A3149"/>
    <w:rsid w:val="009A3381"/>
    <w:rsid w:val="009A3EF9"/>
    <w:rsid w:val="009A44F3"/>
    <w:rsid w:val="009A45FF"/>
    <w:rsid w:val="009A4683"/>
    <w:rsid w:val="009A474C"/>
    <w:rsid w:val="009A476F"/>
    <w:rsid w:val="009A49E0"/>
    <w:rsid w:val="009A4C8E"/>
    <w:rsid w:val="009A4CAC"/>
    <w:rsid w:val="009A5145"/>
    <w:rsid w:val="009A5755"/>
    <w:rsid w:val="009A591E"/>
    <w:rsid w:val="009A6030"/>
    <w:rsid w:val="009A64A0"/>
    <w:rsid w:val="009A6C76"/>
    <w:rsid w:val="009A7184"/>
    <w:rsid w:val="009A72A1"/>
    <w:rsid w:val="009A7D4B"/>
    <w:rsid w:val="009A7FD4"/>
    <w:rsid w:val="009A7FD5"/>
    <w:rsid w:val="009B0069"/>
    <w:rsid w:val="009B0187"/>
    <w:rsid w:val="009B0307"/>
    <w:rsid w:val="009B04B3"/>
    <w:rsid w:val="009B08A4"/>
    <w:rsid w:val="009B0BA9"/>
    <w:rsid w:val="009B103F"/>
    <w:rsid w:val="009B1482"/>
    <w:rsid w:val="009B1E72"/>
    <w:rsid w:val="009B1FDB"/>
    <w:rsid w:val="009B2578"/>
    <w:rsid w:val="009B2F07"/>
    <w:rsid w:val="009B30AA"/>
    <w:rsid w:val="009B329F"/>
    <w:rsid w:val="009B33A5"/>
    <w:rsid w:val="009B34B3"/>
    <w:rsid w:val="009B3737"/>
    <w:rsid w:val="009B389D"/>
    <w:rsid w:val="009B390C"/>
    <w:rsid w:val="009B3B82"/>
    <w:rsid w:val="009B4267"/>
    <w:rsid w:val="009B439E"/>
    <w:rsid w:val="009B45EE"/>
    <w:rsid w:val="009B4657"/>
    <w:rsid w:val="009B4B05"/>
    <w:rsid w:val="009B5398"/>
    <w:rsid w:val="009B5A4B"/>
    <w:rsid w:val="009B6716"/>
    <w:rsid w:val="009B6CD1"/>
    <w:rsid w:val="009B6EB5"/>
    <w:rsid w:val="009B6F19"/>
    <w:rsid w:val="009B6F40"/>
    <w:rsid w:val="009B705C"/>
    <w:rsid w:val="009B7096"/>
    <w:rsid w:val="009B7A2A"/>
    <w:rsid w:val="009B7AB0"/>
    <w:rsid w:val="009B7B0B"/>
    <w:rsid w:val="009B7FC4"/>
    <w:rsid w:val="009C01DB"/>
    <w:rsid w:val="009C087D"/>
    <w:rsid w:val="009C0A9E"/>
    <w:rsid w:val="009C0AE6"/>
    <w:rsid w:val="009C0DAD"/>
    <w:rsid w:val="009C146A"/>
    <w:rsid w:val="009C1DCA"/>
    <w:rsid w:val="009C1DEB"/>
    <w:rsid w:val="009C1FFB"/>
    <w:rsid w:val="009C240F"/>
    <w:rsid w:val="009C25F0"/>
    <w:rsid w:val="009C2EFB"/>
    <w:rsid w:val="009C2F1E"/>
    <w:rsid w:val="009C38AA"/>
    <w:rsid w:val="009C445E"/>
    <w:rsid w:val="009C44DD"/>
    <w:rsid w:val="009C4FD6"/>
    <w:rsid w:val="009C50CE"/>
    <w:rsid w:val="009C54C5"/>
    <w:rsid w:val="009C5A69"/>
    <w:rsid w:val="009C5F8A"/>
    <w:rsid w:val="009C67E0"/>
    <w:rsid w:val="009C6A1A"/>
    <w:rsid w:val="009C6EC8"/>
    <w:rsid w:val="009C766A"/>
    <w:rsid w:val="009C76E9"/>
    <w:rsid w:val="009C7788"/>
    <w:rsid w:val="009D0190"/>
    <w:rsid w:val="009D05B5"/>
    <w:rsid w:val="009D0E67"/>
    <w:rsid w:val="009D0EF6"/>
    <w:rsid w:val="009D10CD"/>
    <w:rsid w:val="009D16E8"/>
    <w:rsid w:val="009D1AE1"/>
    <w:rsid w:val="009D1CB7"/>
    <w:rsid w:val="009D24F1"/>
    <w:rsid w:val="009D34D4"/>
    <w:rsid w:val="009D3530"/>
    <w:rsid w:val="009D398D"/>
    <w:rsid w:val="009D3DC3"/>
    <w:rsid w:val="009D403C"/>
    <w:rsid w:val="009D41F0"/>
    <w:rsid w:val="009D4403"/>
    <w:rsid w:val="009D465B"/>
    <w:rsid w:val="009D4853"/>
    <w:rsid w:val="009D4B5E"/>
    <w:rsid w:val="009D5314"/>
    <w:rsid w:val="009D5E43"/>
    <w:rsid w:val="009D65BD"/>
    <w:rsid w:val="009D7505"/>
    <w:rsid w:val="009D796A"/>
    <w:rsid w:val="009D7DD0"/>
    <w:rsid w:val="009E0540"/>
    <w:rsid w:val="009E0D60"/>
    <w:rsid w:val="009E0DF9"/>
    <w:rsid w:val="009E0DFC"/>
    <w:rsid w:val="009E10C3"/>
    <w:rsid w:val="009E122C"/>
    <w:rsid w:val="009E19FB"/>
    <w:rsid w:val="009E1D83"/>
    <w:rsid w:val="009E1E03"/>
    <w:rsid w:val="009E1ED2"/>
    <w:rsid w:val="009E2070"/>
    <w:rsid w:val="009E2787"/>
    <w:rsid w:val="009E28A5"/>
    <w:rsid w:val="009E28B6"/>
    <w:rsid w:val="009E2AF9"/>
    <w:rsid w:val="009E2BA2"/>
    <w:rsid w:val="009E2C6B"/>
    <w:rsid w:val="009E2E93"/>
    <w:rsid w:val="009E35CB"/>
    <w:rsid w:val="009E4AF3"/>
    <w:rsid w:val="009E4B80"/>
    <w:rsid w:val="009E4E61"/>
    <w:rsid w:val="009E5624"/>
    <w:rsid w:val="009E5BF7"/>
    <w:rsid w:val="009E5E77"/>
    <w:rsid w:val="009E5F8C"/>
    <w:rsid w:val="009E6385"/>
    <w:rsid w:val="009E6415"/>
    <w:rsid w:val="009E654A"/>
    <w:rsid w:val="009E6F0A"/>
    <w:rsid w:val="009E708B"/>
    <w:rsid w:val="009E73F1"/>
    <w:rsid w:val="009E74FE"/>
    <w:rsid w:val="009E797A"/>
    <w:rsid w:val="009E7DB9"/>
    <w:rsid w:val="009F01B1"/>
    <w:rsid w:val="009F0307"/>
    <w:rsid w:val="009F07F0"/>
    <w:rsid w:val="009F0933"/>
    <w:rsid w:val="009F126A"/>
    <w:rsid w:val="009F1332"/>
    <w:rsid w:val="009F1679"/>
    <w:rsid w:val="009F16CA"/>
    <w:rsid w:val="009F177F"/>
    <w:rsid w:val="009F2296"/>
    <w:rsid w:val="009F25E8"/>
    <w:rsid w:val="009F27A6"/>
    <w:rsid w:val="009F2E77"/>
    <w:rsid w:val="009F356C"/>
    <w:rsid w:val="009F3664"/>
    <w:rsid w:val="009F3A78"/>
    <w:rsid w:val="009F407B"/>
    <w:rsid w:val="009F44CC"/>
    <w:rsid w:val="009F4868"/>
    <w:rsid w:val="009F4CF5"/>
    <w:rsid w:val="009F4F32"/>
    <w:rsid w:val="009F5036"/>
    <w:rsid w:val="009F56EB"/>
    <w:rsid w:val="009F5A65"/>
    <w:rsid w:val="009F5C72"/>
    <w:rsid w:val="009F5E0D"/>
    <w:rsid w:val="009F6E91"/>
    <w:rsid w:val="009F6EAD"/>
    <w:rsid w:val="009F727B"/>
    <w:rsid w:val="009F7771"/>
    <w:rsid w:val="009F79F7"/>
    <w:rsid w:val="00A001F2"/>
    <w:rsid w:val="00A00B31"/>
    <w:rsid w:val="00A010ED"/>
    <w:rsid w:val="00A0149F"/>
    <w:rsid w:val="00A01760"/>
    <w:rsid w:val="00A01C9A"/>
    <w:rsid w:val="00A027FD"/>
    <w:rsid w:val="00A02DA3"/>
    <w:rsid w:val="00A03952"/>
    <w:rsid w:val="00A03C3A"/>
    <w:rsid w:val="00A03C6F"/>
    <w:rsid w:val="00A04084"/>
    <w:rsid w:val="00A0459C"/>
    <w:rsid w:val="00A04765"/>
    <w:rsid w:val="00A0599B"/>
    <w:rsid w:val="00A06CD1"/>
    <w:rsid w:val="00A07040"/>
    <w:rsid w:val="00A071F4"/>
    <w:rsid w:val="00A074A5"/>
    <w:rsid w:val="00A07658"/>
    <w:rsid w:val="00A078BD"/>
    <w:rsid w:val="00A07BC7"/>
    <w:rsid w:val="00A1084F"/>
    <w:rsid w:val="00A10A78"/>
    <w:rsid w:val="00A10E54"/>
    <w:rsid w:val="00A11066"/>
    <w:rsid w:val="00A11298"/>
    <w:rsid w:val="00A113BB"/>
    <w:rsid w:val="00A11AB7"/>
    <w:rsid w:val="00A11BA1"/>
    <w:rsid w:val="00A11DAC"/>
    <w:rsid w:val="00A12114"/>
    <w:rsid w:val="00A1219F"/>
    <w:rsid w:val="00A13214"/>
    <w:rsid w:val="00A13DA7"/>
    <w:rsid w:val="00A13F84"/>
    <w:rsid w:val="00A147EC"/>
    <w:rsid w:val="00A155F6"/>
    <w:rsid w:val="00A159BA"/>
    <w:rsid w:val="00A15EF0"/>
    <w:rsid w:val="00A16342"/>
    <w:rsid w:val="00A1678E"/>
    <w:rsid w:val="00A16D5B"/>
    <w:rsid w:val="00A16FAE"/>
    <w:rsid w:val="00A1786A"/>
    <w:rsid w:val="00A17F79"/>
    <w:rsid w:val="00A20AD9"/>
    <w:rsid w:val="00A20D7F"/>
    <w:rsid w:val="00A21181"/>
    <w:rsid w:val="00A212A1"/>
    <w:rsid w:val="00A212AC"/>
    <w:rsid w:val="00A2179F"/>
    <w:rsid w:val="00A2185A"/>
    <w:rsid w:val="00A21D8C"/>
    <w:rsid w:val="00A2215F"/>
    <w:rsid w:val="00A227B8"/>
    <w:rsid w:val="00A23128"/>
    <w:rsid w:val="00A2319C"/>
    <w:rsid w:val="00A24552"/>
    <w:rsid w:val="00A24AE1"/>
    <w:rsid w:val="00A2523D"/>
    <w:rsid w:val="00A25AF9"/>
    <w:rsid w:val="00A2617A"/>
    <w:rsid w:val="00A261F9"/>
    <w:rsid w:val="00A26F7F"/>
    <w:rsid w:val="00A2717F"/>
    <w:rsid w:val="00A27705"/>
    <w:rsid w:val="00A27EE8"/>
    <w:rsid w:val="00A3031A"/>
    <w:rsid w:val="00A303A9"/>
    <w:rsid w:val="00A30F20"/>
    <w:rsid w:val="00A30FCB"/>
    <w:rsid w:val="00A31C56"/>
    <w:rsid w:val="00A32EED"/>
    <w:rsid w:val="00A33CCD"/>
    <w:rsid w:val="00A33F6C"/>
    <w:rsid w:val="00A341AD"/>
    <w:rsid w:val="00A34D3B"/>
    <w:rsid w:val="00A350CA"/>
    <w:rsid w:val="00A35F23"/>
    <w:rsid w:val="00A36055"/>
    <w:rsid w:val="00A36989"/>
    <w:rsid w:val="00A37106"/>
    <w:rsid w:val="00A37220"/>
    <w:rsid w:val="00A3758F"/>
    <w:rsid w:val="00A375EE"/>
    <w:rsid w:val="00A37B67"/>
    <w:rsid w:val="00A4015D"/>
    <w:rsid w:val="00A4096E"/>
    <w:rsid w:val="00A40B0A"/>
    <w:rsid w:val="00A4168E"/>
    <w:rsid w:val="00A41B4A"/>
    <w:rsid w:val="00A42067"/>
    <w:rsid w:val="00A4250D"/>
    <w:rsid w:val="00A42652"/>
    <w:rsid w:val="00A42D68"/>
    <w:rsid w:val="00A43850"/>
    <w:rsid w:val="00A4386B"/>
    <w:rsid w:val="00A43FEB"/>
    <w:rsid w:val="00A4426D"/>
    <w:rsid w:val="00A44329"/>
    <w:rsid w:val="00A443D4"/>
    <w:rsid w:val="00A448C8"/>
    <w:rsid w:val="00A45165"/>
    <w:rsid w:val="00A451DE"/>
    <w:rsid w:val="00A4555F"/>
    <w:rsid w:val="00A45736"/>
    <w:rsid w:val="00A45913"/>
    <w:rsid w:val="00A45B01"/>
    <w:rsid w:val="00A45C89"/>
    <w:rsid w:val="00A46283"/>
    <w:rsid w:val="00A462EB"/>
    <w:rsid w:val="00A4681D"/>
    <w:rsid w:val="00A46DB9"/>
    <w:rsid w:val="00A46F44"/>
    <w:rsid w:val="00A47412"/>
    <w:rsid w:val="00A47C60"/>
    <w:rsid w:val="00A50451"/>
    <w:rsid w:val="00A50B47"/>
    <w:rsid w:val="00A50CF2"/>
    <w:rsid w:val="00A50E7B"/>
    <w:rsid w:val="00A50EC7"/>
    <w:rsid w:val="00A51F37"/>
    <w:rsid w:val="00A52B16"/>
    <w:rsid w:val="00A52B3B"/>
    <w:rsid w:val="00A52C63"/>
    <w:rsid w:val="00A5340E"/>
    <w:rsid w:val="00A53489"/>
    <w:rsid w:val="00A535E5"/>
    <w:rsid w:val="00A53623"/>
    <w:rsid w:val="00A536BE"/>
    <w:rsid w:val="00A538F9"/>
    <w:rsid w:val="00A539D4"/>
    <w:rsid w:val="00A53F81"/>
    <w:rsid w:val="00A53FB1"/>
    <w:rsid w:val="00A5407D"/>
    <w:rsid w:val="00A54CED"/>
    <w:rsid w:val="00A5503E"/>
    <w:rsid w:val="00A55A0A"/>
    <w:rsid w:val="00A55C5C"/>
    <w:rsid w:val="00A5642B"/>
    <w:rsid w:val="00A56AC1"/>
    <w:rsid w:val="00A56B71"/>
    <w:rsid w:val="00A56B9F"/>
    <w:rsid w:val="00A5771E"/>
    <w:rsid w:val="00A5782D"/>
    <w:rsid w:val="00A600AA"/>
    <w:rsid w:val="00A60473"/>
    <w:rsid w:val="00A61035"/>
    <w:rsid w:val="00A610E0"/>
    <w:rsid w:val="00A61270"/>
    <w:rsid w:val="00A612C3"/>
    <w:rsid w:val="00A61A31"/>
    <w:rsid w:val="00A623AB"/>
    <w:rsid w:val="00A62F41"/>
    <w:rsid w:val="00A631B0"/>
    <w:rsid w:val="00A634BE"/>
    <w:rsid w:val="00A636D2"/>
    <w:rsid w:val="00A637CA"/>
    <w:rsid w:val="00A63F94"/>
    <w:rsid w:val="00A645F2"/>
    <w:rsid w:val="00A649A1"/>
    <w:rsid w:val="00A64B95"/>
    <w:rsid w:val="00A64FDB"/>
    <w:rsid w:val="00A6526A"/>
    <w:rsid w:val="00A655A7"/>
    <w:rsid w:val="00A65677"/>
    <w:rsid w:val="00A65706"/>
    <w:rsid w:val="00A65905"/>
    <w:rsid w:val="00A659AC"/>
    <w:rsid w:val="00A65A6E"/>
    <w:rsid w:val="00A65BED"/>
    <w:rsid w:val="00A66073"/>
    <w:rsid w:val="00A66800"/>
    <w:rsid w:val="00A67066"/>
    <w:rsid w:val="00A6764D"/>
    <w:rsid w:val="00A67698"/>
    <w:rsid w:val="00A677CD"/>
    <w:rsid w:val="00A679E8"/>
    <w:rsid w:val="00A67BB8"/>
    <w:rsid w:val="00A717AC"/>
    <w:rsid w:val="00A72991"/>
    <w:rsid w:val="00A734DD"/>
    <w:rsid w:val="00A736BB"/>
    <w:rsid w:val="00A738BE"/>
    <w:rsid w:val="00A739EE"/>
    <w:rsid w:val="00A73A48"/>
    <w:rsid w:val="00A73B37"/>
    <w:rsid w:val="00A73C43"/>
    <w:rsid w:val="00A73DD3"/>
    <w:rsid w:val="00A73E09"/>
    <w:rsid w:val="00A73E96"/>
    <w:rsid w:val="00A74615"/>
    <w:rsid w:val="00A747FE"/>
    <w:rsid w:val="00A74962"/>
    <w:rsid w:val="00A74D54"/>
    <w:rsid w:val="00A75374"/>
    <w:rsid w:val="00A763AD"/>
    <w:rsid w:val="00A76623"/>
    <w:rsid w:val="00A77CBA"/>
    <w:rsid w:val="00A77D25"/>
    <w:rsid w:val="00A803AE"/>
    <w:rsid w:val="00A8044C"/>
    <w:rsid w:val="00A805E7"/>
    <w:rsid w:val="00A81728"/>
    <w:rsid w:val="00A81744"/>
    <w:rsid w:val="00A81774"/>
    <w:rsid w:val="00A8177D"/>
    <w:rsid w:val="00A81CF8"/>
    <w:rsid w:val="00A820AF"/>
    <w:rsid w:val="00A825C4"/>
    <w:rsid w:val="00A8262E"/>
    <w:rsid w:val="00A82ABE"/>
    <w:rsid w:val="00A82BBF"/>
    <w:rsid w:val="00A82D1C"/>
    <w:rsid w:val="00A82DBE"/>
    <w:rsid w:val="00A82E18"/>
    <w:rsid w:val="00A83684"/>
    <w:rsid w:val="00A83742"/>
    <w:rsid w:val="00A840E0"/>
    <w:rsid w:val="00A84794"/>
    <w:rsid w:val="00A84DE6"/>
    <w:rsid w:val="00A8539A"/>
    <w:rsid w:val="00A8542E"/>
    <w:rsid w:val="00A85498"/>
    <w:rsid w:val="00A85688"/>
    <w:rsid w:val="00A8569E"/>
    <w:rsid w:val="00A859EC"/>
    <w:rsid w:val="00A85F1B"/>
    <w:rsid w:val="00A85FE3"/>
    <w:rsid w:val="00A8637F"/>
    <w:rsid w:val="00A86444"/>
    <w:rsid w:val="00A864C2"/>
    <w:rsid w:val="00A865A1"/>
    <w:rsid w:val="00A866F7"/>
    <w:rsid w:val="00A8706C"/>
    <w:rsid w:val="00A900E1"/>
    <w:rsid w:val="00A90A32"/>
    <w:rsid w:val="00A91D7B"/>
    <w:rsid w:val="00A91E71"/>
    <w:rsid w:val="00A9251B"/>
    <w:rsid w:val="00A926C8"/>
    <w:rsid w:val="00A92BB8"/>
    <w:rsid w:val="00A931AF"/>
    <w:rsid w:val="00A93621"/>
    <w:rsid w:val="00A939B3"/>
    <w:rsid w:val="00A93BFC"/>
    <w:rsid w:val="00A93D7A"/>
    <w:rsid w:val="00A94D03"/>
    <w:rsid w:val="00A94D65"/>
    <w:rsid w:val="00A9508F"/>
    <w:rsid w:val="00A95098"/>
    <w:rsid w:val="00A95671"/>
    <w:rsid w:val="00A9585D"/>
    <w:rsid w:val="00A95F1E"/>
    <w:rsid w:val="00A95FD5"/>
    <w:rsid w:val="00A96961"/>
    <w:rsid w:val="00A969E1"/>
    <w:rsid w:val="00A96B9F"/>
    <w:rsid w:val="00A97A3B"/>
    <w:rsid w:val="00A97C2B"/>
    <w:rsid w:val="00A97DD0"/>
    <w:rsid w:val="00AA046E"/>
    <w:rsid w:val="00AA08F9"/>
    <w:rsid w:val="00AA0D26"/>
    <w:rsid w:val="00AA12EA"/>
    <w:rsid w:val="00AA15CD"/>
    <w:rsid w:val="00AA1FDE"/>
    <w:rsid w:val="00AA1FED"/>
    <w:rsid w:val="00AA23C2"/>
    <w:rsid w:val="00AA2616"/>
    <w:rsid w:val="00AA26F2"/>
    <w:rsid w:val="00AA30C2"/>
    <w:rsid w:val="00AA337F"/>
    <w:rsid w:val="00AA33DD"/>
    <w:rsid w:val="00AA3829"/>
    <w:rsid w:val="00AA386F"/>
    <w:rsid w:val="00AA3A5B"/>
    <w:rsid w:val="00AA3B79"/>
    <w:rsid w:val="00AA41C0"/>
    <w:rsid w:val="00AA422A"/>
    <w:rsid w:val="00AA4602"/>
    <w:rsid w:val="00AA49BF"/>
    <w:rsid w:val="00AA5012"/>
    <w:rsid w:val="00AA563C"/>
    <w:rsid w:val="00AA5741"/>
    <w:rsid w:val="00AA5AF6"/>
    <w:rsid w:val="00AA5D56"/>
    <w:rsid w:val="00AA5EBD"/>
    <w:rsid w:val="00AA694D"/>
    <w:rsid w:val="00AA73C6"/>
    <w:rsid w:val="00AA763B"/>
    <w:rsid w:val="00AA7724"/>
    <w:rsid w:val="00AB0262"/>
    <w:rsid w:val="00AB0A98"/>
    <w:rsid w:val="00AB0B82"/>
    <w:rsid w:val="00AB0C7F"/>
    <w:rsid w:val="00AB10C8"/>
    <w:rsid w:val="00AB11E9"/>
    <w:rsid w:val="00AB1A29"/>
    <w:rsid w:val="00AB1AAC"/>
    <w:rsid w:val="00AB1E9E"/>
    <w:rsid w:val="00AB2191"/>
    <w:rsid w:val="00AB2A9F"/>
    <w:rsid w:val="00AB2ADF"/>
    <w:rsid w:val="00AB2BC5"/>
    <w:rsid w:val="00AB3676"/>
    <w:rsid w:val="00AB4F2B"/>
    <w:rsid w:val="00AB5117"/>
    <w:rsid w:val="00AB5357"/>
    <w:rsid w:val="00AB555F"/>
    <w:rsid w:val="00AB589A"/>
    <w:rsid w:val="00AB5D03"/>
    <w:rsid w:val="00AB5FD3"/>
    <w:rsid w:val="00AB60BB"/>
    <w:rsid w:val="00AB6FD2"/>
    <w:rsid w:val="00AB7294"/>
    <w:rsid w:val="00AB7BBD"/>
    <w:rsid w:val="00AC0833"/>
    <w:rsid w:val="00AC0C9F"/>
    <w:rsid w:val="00AC0F36"/>
    <w:rsid w:val="00AC12EC"/>
    <w:rsid w:val="00AC21C4"/>
    <w:rsid w:val="00AC28AD"/>
    <w:rsid w:val="00AC29A8"/>
    <w:rsid w:val="00AC2B84"/>
    <w:rsid w:val="00AC34FC"/>
    <w:rsid w:val="00AC3641"/>
    <w:rsid w:val="00AC3BD5"/>
    <w:rsid w:val="00AC3BF6"/>
    <w:rsid w:val="00AC420B"/>
    <w:rsid w:val="00AC45BB"/>
    <w:rsid w:val="00AC4727"/>
    <w:rsid w:val="00AC5AB0"/>
    <w:rsid w:val="00AC5E78"/>
    <w:rsid w:val="00AC5F56"/>
    <w:rsid w:val="00AC629A"/>
    <w:rsid w:val="00AC6426"/>
    <w:rsid w:val="00AC67C2"/>
    <w:rsid w:val="00AC694A"/>
    <w:rsid w:val="00AC6E85"/>
    <w:rsid w:val="00AC6F2A"/>
    <w:rsid w:val="00AC6F34"/>
    <w:rsid w:val="00AC792D"/>
    <w:rsid w:val="00AC7C9C"/>
    <w:rsid w:val="00AC7FE7"/>
    <w:rsid w:val="00AD082F"/>
    <w:rsid w:val="00AD0F74"/>
    <w:rsid w:val="00AD1424"/>
    <w:rsid w:val="00AD191F"/>
    <w:rsid w:val="00AD2466"/>
    <w:rsid w:val="00AD2C79"/>
    <w:rsid w:val="00AD300B"/>
    <w:rsid w:val="00AD440E"/>
    <w:rsid w:val="00AD4D5E"/>
    <w:rsid w:val="00AD52C9"/>
    <w:rsid w:val="00AD54C7"/>
    <w:rsid w:val="00AD58AD"/>
    <w:rsid w:val="00AD61C6"/>
    <w:rsid w:val="00AD620C"/>
    <w:rsid w:val="00AD6E92"/>
    <w:rsid w:val="00AD7174"/>
    <w:rsid w:val="00AD74A1"/>
    <w:rsid w:val="00AD75D8"/>
    <w:rsid w:val="00AD7687"/>
    <w:rsid w:val="00AD78BA"/>
    <w:rsid w:val="00AD7917"/>
    <w:rsid w:val="00AD7DA3"/>
    <w:rsid w:val="00AD7FCE"/>
    <w:rsid w:val="00AD7FE6"/>
    <w:rsid w:val="00AE029D"/>
    <w:rsid w:val="00AE04B3"/>
    <w:rsid w:val="00AE04D4"/>
    <w:rsid w:val="00AE12E1"/>
    <w:rsid w:val="00AE21D5"/>
    <w:rsid w:val="00AE2853"/>
    <w:rsid w:val="00AE2CF5"/>
    <w:rsid w:val="00AE2E29"/>
    <w:rsid w:val="00AE2E37"/>
    <w:rsid w:val="00AE2F20"/>
    <w:rsid w:val="00AE39CB"/>
    <w:rsid w:val="00AE3B2B"/>
    <w:rsid w:val="00AE3F6B"/>
    <w:rsid w:val="00AE441A"/>
    <w:rsid w:val="00AE5458"/>
    <w:rsid w:val="00AE586F"/>
    <w:rsid w:val="00AE590A"/>
    <w:rsid w:val="00AE5A6A"/>
    <w:rsid w:val="00AE5A71"/>
    <w:rsid w:val="00AE60B8"/>
    <w:rsid w:val="00AE6229"/>
    <w:rsid w:val="00AE63EF"/>
    <w:rsid w:val="00AE6D08"/>
    <w:rsid w:val="00AE6F84"/>
    <w:rsid w:val="00AE77F4"/>
    <w:rsid w:val="00AE7877"/>
    <w:rsid w:val="00AE7B20"/>
    <w:rsid w:val="00AE7C2E"/>
    <w:rsid w:val="00AE7F60"/>
    <w:rsid w:val="00AF01DC"/>
    <w:rsid w:val="00AF0C17"/>
    <w:rsid w:val="00AF0D81"/>
    <w:rsid w:val="00AF10B3"/>
    <w:rsid w:val="00AF1270"/>
    <w:rsid w:val="00AF152F"/>
    <w:rsid w:val="00AF161A"/>
    <w:rsid w:val="00AF2396"/>
    <w:rsid w:val="00AF2922"/>
    <w:rsid w:val="00AF33BA"/>
    <w:rsid w:val="00AF3B4B"/>
    <w:rsid w:val="00AF3BC3"/>
    <w:rsid w:val="00AF3D09"/>
    <w:rsid w:val="00AF3DF1"/>
    <w:rsid w:val="00AF4134"/>
    <w:rsid w:val="00AF4977"/>
    <w:rsid w:val="00AF4E83"/>
    <w:rsid w:val="00AF56A1"/>
    <w:rsid w:val="00AF5CC4"/>
    <w:rsid w:val="00AF625D"/>
    <w:rsid w:val="00AF6481"/>
    <w:rsid w:val="00AF70FD"/>
    <w:rsid w:val="00AF710F"/>
    <w:rsid w:val="00AF776B"/>
    <w:rsid w:val="00AF7800"/>
    <w:rsid w:val="00AF7D47"/>
    <w:rsid w:val="00AF7E0E"/>
    <w:rsid w:val="00B000A4"/>
    <w:rsid w:val="00B0101F"/>
    <w:rsid w:val="00B011F5"/>
    <w:rsid w:val="00B01240"/>
    <w:rsid w:val="00B012EB"/>
    <w:rsid w:val="00B01C44"/>
    <w:rsid w:val="00B01C87"/>
    <w:rsid w:val="00B01DBD"/>
    <w:rsid w:val="00B028C8"/>
    <w:rsid w:val="00B02AF2"/>
    <w:rsid w:val="00B02E0F"/>
    <w:rsid w:val="00B03255"/>
    <w:rsid w:val="00B034C4"/>
    <w:rsid w:val="00B038CB"/>
    <w:rsid w:val="00B03E1F"/>
    <w:rsid w:val="00B04173"/>
    <w:rsid w:val="00B044A6"/>
    <w:rsid w:val="00B04AD9"/>
    <w:rsid w:val="00B04EDC"/>
    <w:rsid w:val="00B0508D"/>
    <w:rsid w:val="00B05FC7"/>
    <w:rsid w:val="00B06439"/>
    <w:rsid w:val="00B065A8"/>
    <w:rsid w:val="00B07105"/>
    <w:rsid w:val="00B0711F"/>
    <w:rsid w:val="00B07200"/>
    <w:rsid w:val="00B0763C"/>
    <w:rsid w:val="00B07664"/>
    <w:rsid w:val="00B079B9"/>
    <w:rsid w:val="00B07C10"/>
    <w:rsid w:val="00B10429"/>
    <w:rsid w:val="00B10AEC"/>
    <w:rsid w:val="00B1102F"/>
    <w:rsid w:val="00B11561"/>
    <w:rsid w:val="00B115D2"/>
    <w:rsid w:val="00B1182D"/>
    <w:rsid w:val="00B11C00"/>
    <w:rsid w:val="00B120AF"/>
    <w:rsid w:val="00B12576"/>
    <w:rsid w:val="00B12BF1"/>
    <w:rsid w:val="00B12D53"/>
    <w:rsid w:val="00B1337E"/>
    <w:rsid w:val="00B138BF"/>
    <w:rsid w:val="00B13A2B"/>
    <w:rsid w:val="00B13BCA"/>
    <w:rsid w:val="00B142C4"/>
    <w:rsid w:val="00B146F4"/>
    <w:rsid w:val="00B14A46"/>
    <w:rsid w:val="00B15666"/>
    <w:rsid w:val="00B15B2B"/>
    <w:rsid w:val="00B16140"/>
    <w:rsid w:val="00B165CC"/>
    <w:rsid w:val="00B17276"/>
    <w:rsid w:val="00B174B7"/>
    <w:rsid w:val="00B176B9"/>
    <w:rsid w:val="00B17783"/>
    <w:rsid w:val="00B17E77"/>
    <w:rsid w:val="00B20012"/>
    <w:rsid w:val="00B2024D"/>
    <w:rsid w:val="00B20B70"/>
    <w:rsid w:val="00B20CC2"/>
    <w:rsid w:val="00B21612"/>
    <w:rsid w:val="00B21AC8"/>
    <w:rsid w:val="00B21C3A"/>
    <w:rsid w:val="00B2205F"/>
    <w:rsid w:val="00B221FC"/>
    <w:rsid w:val="00B23751"/>
    <w:rsid w:val="00B2382A"/>
    <w:rsid w:val="00B23D44"/>
    <w:rsid w:val="00B2431A"/>
    <w:rsid w:val="00B246C0"/>
    <w:rsid w:val="00B249C0"/>
    <w:rsid w:val="00B25855"/>
    <w:rsid w:val="00B25F7D"/>
    <w:rsid w:val="00B26155"/>
    <w:rsid w:val="00B26406"/>
    <w:rsid w:val="00B2660B"/>
    <w:rsid w:val="00B26854"/>
    <w:rsid w:val="00B26ACB"/>
    <w:rsid w:val="00B27170"/>
    <w:rsid w:val="00B272A2"/>
    <w:rsid w:val="00B27DBB"/>
    <w:rsid w:val="00B300BC"/>
    <w:rsid w:val="00B3045B"/>
    <w:rsid w:val="00B30AF5"/>
    <w:rsid w:val="00B30FDA"/>
    <w:rsid w:val="00B31804"/>
    <w:rsid w:val="00B31A3A"/>
    <w:rsid w:val="00B31C34"/>
    <w:rsid w:val="00B31D33"/>
    <w:rsid w:val="00B31DBD"/>
    <w:rsid w:val="00B328CB"/>
    <w:rsid w:val="00B3294F"/>
    <w:rsid w:val="00B33077"/>
    <w:rsid w:val="00B3310A"/>
    <w:rsid w:val="00B34735"/>
    <w:rsid w:val="00B3538E"/>
    <w:rsid w:val="00B354DF"/>
    <w:rsid w:val="00B36282"/>
    <w:rsid w:val="00B362CB"/>
    <w:rsid w:val="00B36419"/>
    <w:rsid w:val="00B36423"/>
    <w:rsid w:val="00B37648"/>
    <w:rsid w:val="00B37A9D"/>
    <w:rsid w:val="00B37D3D"/>
    <w:rsid w:val="00B40430"/>
    <w:rsid w:val="00B40EC7"/>
    <w:rsid w:val="00B4115B"/>
    <w:rsid w:val="00B4116A"/>
    <w:rsid w:val="00B412DE"/>
    <w:rsid w:val="00B42715"/>
    <w:rsid w:val="00B4280F"/>
    <w:rsid w:val="00B42A1D"/>
    <w:rsid w:val="00B42BC1"/>
    <w:rsid w:val="00B430C7"/>
    <w:rsid w:val="00B440C8"/>
    <w:rsid w:val="00B4440C"/>
    <w:rsid w:val="00B447FC"/>
    <w:rsid w:val="00B4508B"/>
    <w:rsid w:val="00B450C9"/>
    <w:rsid w:val="00B45336"/>
    <w:rsid w:val="00B45594"/>
    <w:rsid w:val="00B456F1"/>
    <w:rsid w:val="00B45AEA"/>
    <w:rsid w:val="00B45E7A"/>
    <w:rsid w:val="00B4642B"/>
    <w:rsid w:val="00B469A4"/>
    <w:rsid w:val="00B46B56"/>
    <w:rsid w:val="00B46E44"/>
    <w:rsid w:val="00B4750A"/>
    <w:rsid w:val="00B47666"/>
    <w:rsid w:val="00B477A1"/>
    <w:rsid w:val="00B47FF7"/>
    <w:rsid w:val="00B5049B"/>
    <w:rsid w:val="00B504DE"/>
    <w:rsid w:val="00B50645"/>
    <w:rsid w:val="00B509FD"/>
    <w:rsid w:val="00B50FA5"/>
    <w:rsid w:val="00B51CC9"/>
    <w:rsid w:val="00B51FD3"/>
    <w:rsid w:val="00B521B0"/>
    <w:rsid w:val="00B5256F"/>
    <w:rsid w:val="00B5266D"/>
    <w:rsid w:val="00B5279D"/>
    <w:rsid w:val="00B52DA4"/>
    <w:rsid w:val="00B5331C"/>
    <w:rsid w:val="00B5356D"/>
    <w:rsid w:val="00B535AD"/>
    <w:rsid w:val="00B537B3"/>
    <w:rsid w:val="00B53A25"/>
    <w:rsid w:val="00B53C33"/>
    <w:rsid w:val="00B53D46"/>
    <w:rsid w:val="00B53EBD"/>
    <w:rsid w:val="00B5447E"/>
    <w:rsid w:val="00B546D5"/>
    <w:rsid w:val="00B54848"/>
    <w:rsid w:val="00B54859"/>
    <w:rsid w:val="00B54996"/>
    <w:rsid w:val="00B54E62"/>
    <w:rsid w:val="00B54F7E"/>
    <w:rsid w:val="00B55192"/>
    <w:rsid w:val="00B555A3"/>
    <w:rsid w:val="00B55863"/>
    <w:rsid w:val="00B55B05"/>
    <w:rsid w:val="00B55BAF"/>
    <w:rsid w:val="00B562BE"/>
    <w:rsid w:val="00B56574"/>
    <w:rsid w:val="00B57BD6"/>
    <w:rsid w:val="00B57EF5"/>
    <w:rsid w:val="00B603D6"/>
    <w:rsid w:val="00B60A4B"/>
    <w:rsid w:val="00B614C9"/>
    <w:rsid w:val="00B615DD"/>
    <w:rsid w:val="00B61866"/>
    <w:rsid w:val="00B61947"/>
    <w:rsid w:val="00B61C58"/>
    <w:rsid w:val="00B61F2E"/>
    <w:rsid w:val="00B6202C"/>
    <w:rsid w:val="00B620EF"/>
    <w:rsid w:val="00B6222F"/>
    <w:rsid w:val="00B62CC3"/>
    <w:rsid w:val="00B637CD"/>
    <w:rsid w:val="00B63802"/>
    <w:rsid w:val="00B638B1"/>
    <w:rsid w:val="00B63C1F"/>
    <w:rsid w:val="00B63F1D"/>
    <w:rsid w:val="00B640A5"/>
    <w:rsid w:val="00B640E2"/>
    <w:rsid w:val="00B64818"/>
    <w:rsid w:val="00B64BBC"/>
    <w:rsid w:val="00B64F0C"/>
    <w:rsid w:val="00B64FCD"/>
    <w:rsid w:val="00B650F1"/>
    <w:rsid w:val="00B651DA"/>
    <w:rsid w:val="00B651DB"/>
    <w:rsid w:val="00B65850"/>
    <w:rsid w:val="00B65977"/>
    <w:rsid w:val="00B6612C"/>
    <w:rsid w:val="00B66166"/>
    <w:rsid w:val="00B6676F"/>
    <w:rsid w:val="00B66C3C"/>
    <w:rsid w:val="00B67197"/>
    <w:rsid w:val="00B671B0"/>
    <w:rsid w:val="00B6743C"/>
    <w:rsid w:val="00B6785D"/>
    <w:rsid w:val="00B67BDB"/>
    <w:rsid w:val="00B67EA9"/>
    <w:rsid w:val="00B7018E"/>
    <w:rsid w:val="00B70738"/>
    <w:rsid w:val="00B708DC"/>
    <w:rsid w:val="00B70A4E"/>
    <w:rsid w:val="00B70A5A"/>
    <w:rsid w:val="00B7138D"/>
    <w:rsid w:val="00B7155C"/>
    <w:rsid w:val="00B719A3"/>
    <w:rsid w:val="00B735C7"/>
    <w:rsid w:val="00B7387D"/>
    <w:rsid w:val="00B73B8F"/>
    <w:rsid w:val="00B74795"/>
    <w:rsid w:val="00B74C24"/>
    <w:rsid w:val="00B74CE4"/>
    <w:rsid w:val="00B74ECC"/>
    <w:rsid w:val="00B753B2"/>
    <w:rsid w:val="00B75714"/>
    <w:rsid w:val="00B75786"/>
    <w:rsid w:val="00B75BE5"/>
    <w:rsid w:val="00B766A0"/>
    <w:rsid w:val="00B76934"/>
    <w:rsid w:val="00B76D0A"/>
    <w:rsid w:val="00B77F0A"/>
    <w:rsid w:val="00B80008"/>
    <w:rsid w:val="00B80188"/>
    <w:rsid w:val="00B8026E"/>
    <w:rsid w:val="00B80B7E"/>
    <w:rsid w:val="00B80E27"/>
    <w:rsid w:val="00B80F05"/>
    <w:rsid w:val="00B81311"/>
    <w:rsid w:val="00B816EA"/>
    <w:rsid w:val="00B818E9"/>
    <w:rsid w:val="00B81C17"/>
    <w:rsid w:val="00B8255D"/>
    <w:rsid w:val="00B8264D"/>
    <w:rsid w:val="00B82C90"/>
    <w:rsid w:val="00B82E85"/>
    <w:rsid w:val="00B8340F"/>
    <w:rsid w:val="00B834AF"/>
    <w:rsid w:val="00B837A1"/>
    <w:rsid w:val="00B8456F"/>
    <w:rsid w:val="00B84A05"/>
    <w:rsid w:val="00B84A7A"/>
    <w:rsid w:val="00B85077"/>
    <w:rsid w:val="00B851FA"/>
    <w:rsid w:val="00B85324"/>
    <w:rsid w:val="00B85C8E"/>
    <w:rsid w:val="00B85C9D"/>
    <w:rsid w:val="00B8708E"/>
    <w:rsid w:val="00B873F1"/>
    <w:rsid w:val="00B87ED4"/>
    <w:rsid w:val="00B91021"/>
    <w:rsid w:val="00B910E0"/>
    <w:rsid w:val="00B91C26"/>
    <w:rsid w:val="00B91F7F"/>
    <w:rsid w:val="00B92032"/>
    <w:rsid w:val="00B925CE"/>
    <w:rsid w:val="00B926AC"/>
    <w:rsid w:val="00B928ED"/>
    <w:rsid w:val="00B92C9F"/>
    <w:rsid w:val="00B93695"/>
    <w:rsid w:val="00B9389A"/>
    <w:rsid w:val="00B93EC7"/>
    <w:rsid w:val="00B941F9"/>
    <w:rsid w:val="00B941FD"/>
    <w:rsid w:val="00B942F7"/>
    <w:rsid w:val="00B943C3"/>
    <w:rsid w:val="00B9453F"/>
    <w:rsid w:val="00B9495F"/>
    <w:rsid w:val="00B94A33"/>
    <w:rsid w:val="00B94C5A"/>
    <w:rsid w:val="00B94C75"/>
    <w:rsid w:val="00B950C2"/>
    <w:rsid w:val="00B9538D"/>
    <w:rsid w:val="00B95390"/>
    <w:rsid w:val="00B95ED3"/>
    <w:rsid w:val="00B969A0"/>
    <w:rsid w:val="00B96AD1"/>
    <w:rsid w:val="00B979E7"/>
    <w:rsid w:val="00B97CC1"/>
    <w:rsid w:val="00BA1378"/>
    <w:rsid w:val="00BA15B1"/>
    <w:rsid w:val="00BA1647"/>
    <w:rsid w:val="00BA1B3C"/>
    <w:rsid w:val="00BA29E7"/>
    <w:rsid w:val="00BA3F1C"/>
    <w:rsid w:val="00BA43F8"/>
    <w:rsid w:val="00BA4873"/>
    <w:rsid w:val="00BA49FD"/>
    <w:rsid w:val="00BA4C42"/>
    <w:rsid w:val="00BA5232"/>
    <w:rsid w:val="00BA54CC"/>
    <w:rsid w:val="00BA5C55"/>
    <w:rsid w:val="00BA6755"/>
    <w:rsid w:val="00BA6761"/>
    <w:rsid w:val="00BA7202"/>
    <w:rsid w:val="00BA76BE"/>
    <w:rsid w:val="00BA77BF"/>
    <w:rsid w:val="00BB0825"/>
    <w:rsid w:val="00BB0E14"/>
    <w:rsid w:val="00BB1147"/>
    <w:rsid w:val="00BB12CB"/>
    <w:rsid w:val="00BB196B"/>
    <w:rsid w:val="00BB1DC1"/>
    <w:rsid w:val="00BB24BD"/>
    <w:rsid w:val="00BB2B74"/>
    <w:rsid w:val="00BB2CC1"/>
    <w:rsid w:val="00BB302D"/>
    <w:rsid w:val="00BB3162"/>
    <w:rsid w:val="00BB327F"/>
    <w:rsid w:val="00BB3534"/>
    <w:rsid w:val="00BB3A78"/>
    <w:rsid w:val="00BB4324"/>
    <w:rsid w:val="00BB4475"/>
    <w:rsid w:val="00BB4495"/>
    <w:rsid w:val="00BB487B"/>
    <w:rsid w:val="00BB4B49"/>
    <w:rsid w:val="00BB5EEC"/>
    <w:rsid w:val="00BB67A3"/>
    <w:rsid w:val="00BB6975"/>
    <w:rsid w:val="00BB6ECD"/>
    <w:rsid w:val="00BB747B"/>
    <w:rsid w:val="00BB75BC"/>
    <w:rsid w:val="00BC00B9"/>
    <w:rsid w:val="00BC1182"/>
    <w:rsid w:val="00BC1355"/>
    <w:rsid w:val="00BC13C3"/>
    <w:rsid w:val="00BC1DD9"/>
    <w:rsid w:val="00BC1E75"/>
    <w:rsid w:val="00BC349D"/>
    <w:rsid w:val="00BC3945"/>
    <w:rsid w:val="00BC40C2"/>
    <w:rsid w:val="00BC4111"/>
    <w:rsid w:val="00BC45C5"/>
    <w:rsid w:val="00BC473E"/>
    <w:rsid w:val="00BC490D"/>
    <w:rsid w:val="00BC498A"/>
    <w:rsid w:val="00BC5130"/>
    <w:rsid w:val="00BC5B15"/>
    <w:rsid w:val="00BC5EC3"/>
    <w:rsid w:val="00BC62A3"/>
    <w:rsid w:val="00BC6BDF"/>
    <w:rsid w:val="00BC7121"/>
    <w:rsid w:val="00BC72E9"/>
    <w:rsid w:val="00BC754C"/>
    <w:rsid w:val="00BC7B05"/>
    <w:rsid w:val="00BC7B2A"/>
    <w:rsid w:val="00BD044D"/>
    <w:rsid w:val="00BD0875"/>
    <w:rsid w:val="00BD1242"/>
    <w:rsid w:val="00BD142E"/>
    <w:rsid w:val="00BD171F"/>
    <w:rsid w:val="00BD1963"/>
    <w:rsid w:val="00BD22A4"/>
    <w:rsid w:val="00BD2ABE"/>
    <w:rsid w:val="00BD2B5B"/>
    <w:rsid w:val="00BD36BE"/>
    <w:rsid w:val="00BD3B99"/>
    <w:rsid w:val="00BD4292"/>
    <w:rsid w:val="00BD45E6"/>
    <w:rsid w:val="00BD4C51"/>
    <w:rsid w:val="00BD52AE"/>
    <w:rsid w:val="00BD568D"/>
    <w:rsid w:val="00BD63B3"/>
    <w:rsid w:val="00BD7050"/>
    <w:rsid w:val="00BD7657"/>
    <w:rsid w:val="00BD7B9E"/>
    <w:rsid w:val="00BE0010"/>
    <w:rsid w:val="00BE0512"/>
    <w:rsid w:val="00BE06D1"/>
    <w:rsid w:val="00BE0A07"/>
    <w:rsid w:val="00BE0C2A"/>
    <w:rsid w:val="00BE1398"/>
    <w:rsid w:val="00BE13B6"/>
    <w:rsid w:val="00BE1701"/>
    <w:rsid w:val="00BE19C2"/>
    <w:rsid w:val="00BE1B23"/>
    <w:rsid w:val="00BE1DAE"/>
    <w:rsid w:val="00BE26D8"/>
    <w:rsid w:val="00BE2CBE"/>
    <w:rsid w:val="00BE2D9C"/>
    <w:rsid w:val="00BE34F3"/>
    <w:rsid w:val="00BE36FC"/>
    <w:rsid w:val="00BE37C4"/>
    <w:rsid w:val="00BE3AC1"/>
    <w:rsid w:val="00BE3B7E"/>
    <w:rsid w:val="00BE41AF"/>
    <w:rsid w:val="00BE4DFC"/>
    <w:rsid w:val="00BE4F7F"/>
    <w:rsid w:val="00BE52ED"/>
    <w:rsid w:val="00BE548A"/>
    <w:rsid w:val="00BE557C"/>
    <w:rsid w:val="00BE570E"/>
    <w:rsid w:val="00BE57F4"/>
    <w:rsid w:val="00BE5AEB"/>
    <w:rsid w:val="00BE6204"/>
    <w:rsid w:val="00BE69E4"/>
    <w:rsid w:val="00BE6ED9"/>
    <w:rsid w:val="00BE78A1"/>
    <w:rsid w:val="00BE7962"/>
    <w:rsid w:val="00BE7E2E"/>
    <w:rsid w:val="00BE7F58"/>
    <w:rsid w:val="00BF011D"/>
    <w:rsid w:val="00BF0592"/>
    <w:rsid w:val="00BF05F1"/>
    <w:rsid w:val="00BF0E20"/>
    <w:rsid w:val="00BF1277"/>
    <w:rsid w:val="00BF1BF2"/>
    <w:rsid w:val="00BF211A"/>
    <w:rsid w:val="00BF232D"/>
    <w:rsid w:val="00BF2823"/>
    <w:rsid w:val="00BF31B6"/>
    <w:rsid w:val="00BF3206"/>
    <w:rsid w:val="00BF3216"/>
    <w:rsid w:val="00BF37AE"/>
    <w:rsid w:val="00BF37B2"/>
    <w:rsid w:val="00BF47F8"/>
    <w:rsid w:val="00BF4A64"/>
    <w:rsid w:val="00BF5038"/>
    <w:rsid w:val="00BF5993"/>
    <w:rsid w:val="00BF5AC3"/>
    <w:rsid w:val="00BF5E4B"/>
    <w:rsid w:val="00BF6566"/>
    <w:rsid w:val="00BF6C13"/>
    <w:rsid w:val="00BF6F66"/>
    <w:rsid w:val="00BF7033"/>
    <w:rsid w:val="00BF724A"/>
    <w:rsid w:val="00BF72CD"/>
    <w:rsid w:val="00BF72E9"/>
    <w:rsid w:val="00BF77C2"/>
    <w:rsid w:val="00C0019C"/>
    <w:rsid w:val="00C0063E"/>
    <w:rsid w:val="00C0090D"/>
    <w:rsid w:val="00C01DA7"/>
    <w:rsid w:val="00C01ED2"/>
    <w:rsid w:val="00C0264B"/>
    <w:rsid w:val="00C027BE"/>
    <w:rsid w:val="00C03577"/>
    <w:rsid w:val="00C03B5D"/>
    <w:rsid w:val="00C046A5"/>
    <w:rsid w:val="00C04E23"/>
    <w:rsid w:val="00C04E6B"/>
    <w:rsid w:val="00C0527F"/>
    <w:rsid w:val="00C05BB4"/>
    <w:rsid w:val="00C064CE"/>
    <w:rsid w:val="00C066BB"/>
    <w:rsid w:val="00C0673B"/>
    <w:rsid w:val="00C06B02"/>
    <w:rsid w:val="00C06B66"/>
    <w:rsid w:val="00C06EBC"/>
    <w:rsid w:val="00C07594"/>
    <w:rsid w:val="00C07C64"/>
    <w:rsid w:val="00C07C96"/>
    <w:rsid w:val="00C10959"/>
    <w:rsid w:val="00C10D16"/>
    <w:rsid w:val="00C11036"/>
    <w:rsid w:val="00C11433"/>
    <w:rsid w:val="00C12195"/>
    <w:rsid w:val="00C12362"/>
    <w:rsid w:val="00C1247B"/>
    <w:rsid w:val="00C12986"/>
    <w:rsid w:val="00C13722"/>
    <w:rsid w:val="00C14C5F"/>
    <w:rsid w:val="00C15125"/>
    <w:rsid w:val="00C15BAA"/>
    <w:rsid w:val="00C15CC8"/>
    <w:rsid w:val="00C15DFA"/>
    <w:rsid w:val="00C165C4"/>
    <w:rsid w:val="00C16BD0"/>
    <w:rsid w:val="00C17551"/>
    <w:rsid w:val="00C17FAD"/>
    <w:rsid w:val="00C2063F"/>
    <w:rsid w:val="00C208E5"/>
    <w:rsid w:val="00C2144F"/>
    <w:rsid w:val="00C21615"/>
    <w:rsid w:val="00C21B11"/>
    <w:rsid w:val="00C21DA8"/>
    <w:rsid w:val="00C22307"/>
    <w:rsid w:val="00C22715"/>
    <w:rsid w:val="00C22C7E"/>
    <w:rsid w:val="00C22EB0"/>
    <w:rsid w:val="00C233C8"/>
    <w:rsid w:val="00C233F5"/>
    <w:rsid w:val="00C2361E"/>
    <w:rsid w:val="00C237B1"/>
    <w:rsid w:val="00C239A7"/>
    <w:rsid w:val="00C23B04"/>
    <w:rsid w:val="00C23F96"/>
    <w:rsid w:val="00C2423D"/>
    <w:rsid w:val="00C24252"/>
    <w:rsid w:val="00C2477C"/>
    <w:rsid w:val="00C24AC1"/>
    <w:rsid w:val="00C24C6F"/>
    <w:rsid w:val="00C24F6A"/>
    <w:rsid w:val="00C24FB7"/>
    <w:rsid w:val="00C25254"/>
    <w:rsid w:val="00C255A6"/>
    <w:rsid w:val="00C2579A"/>
    <w:rsid w:val="00C26095"/>
    <w:rsid w:val="00C266C0"/>
    <w:rsid w:val="00C2682F"/>
    <w:rsid w:val="00C26A7C"/>
    <w:rsid w:val="00C26B02"/>
    <w:rsid w:val="00C26D4C"/>
    <w:rsid w:val="00C27624"/>
    <w:rsid w:val="00C27AAC"/>
    <w:rsid w:val="00C305C0"/>
    <w:rsid w:val="00C308CC"/>
    <w:rsid w:val="00C31338"/>
    <w:rsid w:val="00C3174D"/>
    <w:rsid w:val="00C32441"/>
    <w:rsid w:val="00C333E6"/>
    <w:rsid w:val="00C33852"/>
    <w:rsid w:val="00C3434D"/>
    <w:rsid w:val="00C343D9"/>
    <w:rsid w:val="00C34726"/>
    <w:rsid w:val="00C35169"/>
    <w:rsid w:val="00C3558E"/>
    <w:rsid w:val="00C3582D"/>
    <w:rsid w:val="00C35C3C"/>
    <w:rsid w:val="00C35C41"/>
    <w:rsid w:val="00C35C70"/>
    <w:rsid w:val="00C35EDA"/>
    <w:rsid w:val="00C35FB6"/>
    <w:rsid w:val="00C360B2"/>
    <w:rsid w:val="00C36689"/>
    <w:rsid w:val="00C36B23"/>
    <w:rsid w:val="00C36B8E"/>
    <w:rsid w:val="00C36CDE"/>
    <w:rsid w:val="00C372A1"/>
    <w:rsid w:val="00C373C8"/>
    <w:rsid w:val="00C37E11"/>
    <w:rsid w:val="00C4004D"/>
    <w:rsid w:val="00C4021E"/>
    <w:rsid w:val="00C40397"/>
    <w:rsid w:val="00C40C31"/>
    <w:rsid w:val="00C414C2"/>
    <w:rsid w:val="00C41761"/>
    <w:rsid w:val="00C41880"/>
    <w:rsid w:val="00C41C58"/>
    <w:rsid w:val="00C41D26"/>
    <w:rsid w:val="00C420FC"/>
    <w:rsid w:val="00C426AB"/>
    <w:rsid w:val="00C42C5A"/>
    <w:rsid w:val="00C431AC"/>
    <w:rsid w:val="00C43470"/>
    <w:rsid w:val="00C43816"/>
    <w:rsid w:val="00C43866"/>
    <w:rsid w:val="00C43CF0"/>
    <w:rsid w:val="00C43E27"/>
    <w:rsid w:val="00C4479F"/>
    <w:rsid w:val="00C44918"/>
    <w:rsid w:val="00C44E0A"/>
    <w:rsid w:val="00C4508D"/>
    <w:rsid w:val="00C45094"/>
    <w:rsid w:val="00C451E9"/>
    <w:rsid w:val="00C45673"/>
    <w:rsid w:val="00C45C9D"/>
    <w:rsid w:val="00C462E7"/>
    <w:rsid w:val="00C46555"/>
    <w:rsid w:val="00C4661C"/>
    <w:rsid w:val="00C4662F"/>
    <w:rsid w:val="00C46C7A"/>
    <w:rsid w:val="00C46E5C"/>
    <w:rsid w:val="00C470DA"/>
    <w:rsid w:val="00C4719A"/>
    <w:rsid w:val="00C471A6"/>
    <w:rsid w:val="00C472AD"/>
    <w:rsid w:val="00C475DA"/>
    <w:rsid w:val="00C475DE"/>
    <w:rsid w:val="00C500B2"/>
    <w:rsid w:val="00C504CC"/>
    <w:rsid w:val="00C5075D"/>
    <w:rsid w:val="00C50CA6"/>
    <w:rsid w:val="00C51DE6"/>
    <w:rsid w:val="00C525D2"/>
    <w:rsid w:val="00C53577"/>
    <w:rsid w:val="00C536DE"/>
    <w:rsid w:val="00C53D6F"/>
    <w:rsid w:val="00C53F13"/>
    <w:rsid w:val="00C53F77"/>
    <w:rsid w:val="00C542FA"/>
    <w:rsid w:val="00C54619"/>
    <w:rsid w:val="00C547F5"/>
    <w:rsid w:val="00C54A9D"/>
    <w:rsid w:val="00C55559"/>
    <w:rsid w:val="00C55A10"/>
    <w:rsid w:val="00C55CD5"/>
    <w:rsid w:val="00C55D13"/>
    <w:rsid w:val="00C55FBF"/>
    <w:rsid w:val="00C56052"/>
    <w:rsid w:val="00C566AB"/>
    <w:rsid w:val="00C56B78"/>
    <w:rsid w:val="00C5738B"/>
    <w:rsid w:val="00C5782A"/>
    <w:rsid w:val="00C6016B"/>
    <w:rsid w:val="00C603D1"/>
    <w:rsid w:val="00C6042E"/>
    <w:rsid w:val="00C60BE6"/>
    <w:rsid w:val="00C60E57"/>
    <w:rsid w:val="00C60E95"/>
    <w:rsid w:val="00C60FCE"/>
    <w:rsid w:val="00C61186"/>
    <w:rsid w:val="00C61354"/>
    <w:rsid w:val="00C61412"/>
    <w:rsid w:val="00C61625"/>
    <w:rsid w:val="00C618B0"/>
    <w:rsid w:val="00C61CF3"/>
    <w:rsid w:val="00C61F9E"/>
    <w:rsid w:val="00C6218F"/>
    <w:rsid w:val="00C627A8"/>
    <w:rsid w:val="00C62979"/>
    <w:rsid w:val="00C62B1C"/>
    <w:rsid w:val="00C636A8"/>
    <w:rsid w:val="00C63780"/>
    <w:rsid w:val="00C6398E"/>
    <w:rsid w:val="00C63C70"/>
    <w:rsid w:val="00C64421"/>
    <w:rsid w:val="00C6463B"/>
    <w:rsid w:val="00C64C56"/>
    <w:rsid w:val="00C65022"/>
    <w:rsid w:val="00C659EC"/>
    <w:rsid w:val="00C65EF4"/>
    <w:rsid w:val="00C6624B"/>
    <w:rsid w:val="00C664F6"/>
    <w:rsid w:val="00C66FF9"/>
    <w:rsid w:val="00C6722A"/>
    <w:rsid w:val="00C679FC"/>
    <w:rsid w:val="00C67A81"/>
    <w:rsid w:val="00C67FBF"/>
    <w:rsid w:val="00C7011F"/>
    <w:rsid w:val="00C70374"/>
    <w:rsid w:val="00C705DC"/>
    <w:rsid w:val="00C70B48"/>
    <w:rsid w:val="00C7143B"/>
    <w:rsid w:val="00C72AB2"/>
    <w:rsid w:val="00C72E23"/>
    <w:rsid w:val="00C72ECC"/>
    <w:rsid w:val="00C7340B"/>
    <w:rsid w:val="00C737AF"/>
    <w:rsid w:val="00C73DFA"/>
    <w:rsid w:val="00C7489C"/>
    <w:rsid w:val="00C74BCC"/>
    <w:rsid w:val="00C756D5"/>
    <w:rsid w:val="00C75994"/>
    <w:rsid w:val="00C75BC3"/>
    <w:rsid w:val="00C75BD9"/>
    <w:rsid w:val="00C76212"/>
    <w:rsid w:val="00C76F56"/>
    <w:rsid w:val="00C77075"/>
    <w:rsid w:val="00C7707F"/>
    <w:rsid w:val="00C77742"/>
    <w:rsid w:val="00C77958"/>
    <w:rsid w:val="00C77B83"/>
    <w:rsid w:val="00C77C4C"/>
    <w:rsid w:val="00C77C6E"/>
    <w:rsid w:val="00C77CA4"/>
    <w:rsid w:val="00C77DE5"/>
    <w:rsid w:val="00C8006E"/>
    <w:rsid w:val="00C80368"/>
    <w:rsid w:val="00C8055D"/>
    <w:rsid w:val="00C81AF9"/>
    <w:rsid w:val="00C81D84"/>
    <w:rsid w:val="00C826B1"/>
    <w:rsid w:val="00C8283A"/>
    <w:rsid w:val="00C82D13"/>
    <w:rsid w:val="00C82F4C"/>
    <w:rsid w:val="00C83F95"/>
    <w:rsid w:val="00C84390"/>
    <w:rsid w:val="00C84534"/>
    <w:rsid w:val="00C847D1"/>
    <w:rsid w:val="00C84A61"/>
    <w:rsid w:val="00C84C7B"/>
    <w:rsid w:val="00C84D23"/>
    <w:rsid w:val="00C85268"/>
    <w:rsid w:val="00C8542D"/>
    <w:rsid w:val="00C855E0"/>
    <w:rsid w:val="00C85B93"/>
    <w:rsid w:val="00C85C26"/>
    <w:rsid w:val="00C85CBB"/>
    <w:rsid w:val="00C860F9"/>
    <w:rsid w:val="00C861DE"/>
    <w:rsid w:val="00C86319"/>
    <w:rsid w:val="00C86530"/>
    <w:rsid w:val="00C8661D"/>
    <w:rsid w:val="00C86D79"/>
    <w:rsid w:val="00C86E89"/>
    <w:rsid w:val="00C87547"/>
    <w:rsid w:val="00C87B6F"/>
    <w:rsid w:val="00C87F41"/>
    <w:rsid w:val="00C9064F"/>
    <w:rsid w:val="00C906FC"/>
    <w:rsid w:val="00C90B34"/>
    <w:rsid w:val="00C91CA5"/>
    <w:rsid w:val="00C91F60"/>
    <w:rsid w:val="00C9207C"/>
    <w:rsid w:val="00C92646"/>
    <w:rsid w:val="00C927CF"/>
    <w:rsid w:val="00C927FB"/>
    <w:rsid w:val="00C928E3"/>
    <w:rsid w:val="00C92987"/>
    <w:rsid w:val="00C92CFE"/>
    <w:rsid w:val="00C92E30"/>
    <w:rsid w:val="00C9376B"/>
    <w:rsid w:val="00C93BD5"/>
    <w:rsid w:val="00C9516B"/>
    <w:rsid w:val="00C958F2"/>
    <w:rsid w:val="00C95BD1"/>
    <w:rsid w:val="00C95D2E"/>
    <w:rsid w:val="00C9617F"/>
    <w:rsid w:val="00C96286"/>
    <w:rsid w:val="00C96A9E"/>
    <w:rsid w:val="00C97078"/>
    <w:rsid w:val="00C9709A"/>
    <w:rsid w:val="00C974AE"/>
    <w:rsid w:val="00C974EF"/>
    <w:rsid w:val="00C9770E"/>
    <w:rsid w:val="00C97B17"/>
    <w:rsid w:val="00C97EE8"/>
    <w:rsid w:val="00CA0376"/>
    <w:rsid w:val="00CA0783"/>
    <w:rsid w:val="00CA0B89"/>
    <w:rsid w:val="00CA0F93"/>
    <w:rsid w:val="00CA1317"/>
    <w:rsid w:val="00CA211C"/>
    <w:rsid w:val="00CA277D"/>
    <w:rsid w:val="00CA2C40"/>
    <w:rsid w:val="00CA2E71"/>
    <w:rsid w:val="00CA36B8"/>
    <w:rsid w:val="00CA36C4"/>
    <w:rsid w:val="00CA39C2"/>
    <w:rsid w:val="00CA3FA3"/>
    <w:rsid w:val="00CA425D"/>
    <w:rsid w:val="00CA45EB"/>
    <w:rsid w:val="00CA47C8"/>
    <w:rsid w:val="00CA4F0D"/>
    <w:rsid w:val="00CA4F4A"/>
    <w:rsid w:val="00CA50D1"/>
    <w:rsid w:val="00CA5DA9"/>
    <w:rsid w:val="00CA5DD9"/>
    <w:rsid w:val="00CA6012"/>
    <w:rsid w:val="00CA6543"/>
    <w:rsid w:val="00CA6676"/>
    <w:rsid w:val="00CA6DAD"/>
    <w:rsid w:val="00CA6E48"/>
    <w:rsid w:val="00CA7381"/>
    <w:rsid w:val="00CA7A1D"/>
    <w:rsid w:val="00CA7AF1"/>
    <w:rsid w:val="00CA7C25"/>
    <w:rsid w:val="00CB05C5"/>
    <w:rsid w:val="00CB07B4"/>
    <w:rsid w:val="00CB0D63"/>
    <w:rsid w:val="00CB157F"/>
    <w:rsid w:val="00CB16CF"/>
    <w:rsid w:val="00CB1ED9"/>
    <w:rsid w:val="00CB24C0"/>
    <w:rsid w:val="00CB2D49"/>
    <w:rsid w:val="00CB33E3"/>
    <w:rsid w:val="00CB34EB"/>
    <w:rsid w:val="00CB3945"/>
    <w:rsid w:val="00CB4CE3"/>
    <w:rsid w:val="00CB4FC6"/>
    <w:rsid w:val="00CB533B"/>
    <w:rsid w:val="00CB5D5F"/>
    <w:rsid w:val="00CB6A67"/>
    <w:rsid w:val="00CB6D84"/>
    <w:rsid w:val="00CB78F7"/>
    <w:rsid w:val="00CC0069"/>
    <w:rsid w:val="00CC0C75"/>
    <w:rsid w:val="00CC0D98"/>
    <w:rsid w:val="00CC10E7"/>
    <w:rsid w:val="00CC1E46"/>
    <w:rsid w:val="00CC2158"/>
    <w:rsid w:val="00CC2417"/>
    <w:rsid w:val="00CC2FCA"/>
    <w:rsid w:val="00CC31C9"/>
    <w:rsid w:val="00CC349D"/>
    <w:rsid w:val="00CC3627"/>
    <w:rsid w:val="00CC3F4D"/>
    <w:rsid w:val="00CC40B9"/>
    <w:rsid w:val="00CC47F2"/>
    <w:rsid w:val="00CC4911"/>
    <w:rsid w:val="00CC4C49"/>
    <w:rsid w:val="00CC4CAD"/>
    <w:rsid w:val="00CC4D9C"/>
    <w:rsid w:val="00CC4DB4"/>
    <w:rsid w:val="00CC4F11"/>
    <w:rsid w:val="00CC5484"/>
    <w:rsid w:val="00CC57DB"/>
    <w:rsid w:val="00CC57F1"/>
    <w:rsid w:val="00CC5F10"/>
    <w:rsid w:val="00CC6090"/>
    <w:rsid w:val="00CC6869"/>
    <w:rsid w:val="00CC6AF9"/>
    <w:rsid w:val="00CC70AF"/>
    <w:rsid w:val="00CC71C6"/>
    <w:rsid w:val="00CC7832"/>
    <w:rsid w:val="00CC79CF"/>
    <w:rsid w:val="00CC7D1B"/>
    <w:rsid w:val="00CD01E6"/>
    <w:rsid w:val="00CD0552"/>
    <w:rsid w:val="00CD073D"/>
    <w:rsid w:val="00CD0C19"/>
    <w:rsid w:val="00CD0E99"/>
    <w:rsid w:val="00CD1056"/>
    <w:rsid w:val="00CD12BF"/>
    <w:rsid w:val="00CD1BF3"/>
    <w:rsid w:val="00CD2ABC"/>
    <w:rsid w:val="00CD3645"/>
    <w:rsid w:val="00CD38A2"/>
    <w:rsid w:val="00CD3ADA"/>
    <w:rsid w:val="00CD3C44"/>
    <w:rsid w:val="00CD3D6E"/>
    <w:rsid w:val="00CD3D8B"/>
    <w:rsid w:val="00CD409D"/>
    <w:rsid w:val="00CD45B7"/>
    <w:rsid w:val="00CD45CA"/>
    <w:rsid w:val="00CD4A20"/>
    <w:rsid w:val="00CD50AE"/>
    <w:rsid w:val="00CD533D"/>
    <w:rsid w:val="00CD565E"/>
    <w:rsid w:val="00CD5677"/>
    <w:rsid w:val="00CD59F9"/>
    <w:rsid w:val="00CD5B77"/>
    <w:rsid w:val="00CD5BFC"/>
    <w:rsid w:val="00CD6076"/>
    <w:rsid w:val="00CD6239"/>
    <w:rsid w:val="00CD63E3"/>
    <w:rsid w:val="00CD64E8"/>
    <w:rsid w:val="00CD65B0"/>
    <w:rsid w:val="00CD67C3"/>
    <w:rsid w:val="00CD6888"/>
    <w:rsid w:val="00CD6F30"/>
    <w:rsid w:val="00CD6FBA"/>
    <w:rsid w:val="00CD7209"/>
    <w:rsid w:val="00CD77B6"/>
    <w:rsid w:val="00CD7DBB"/>
    <w:rsid w:val="00CD7E42"/>
    <w:rsid w:val="00CE051C"/>
    <w:rsid w:val="00CE0A06"/>
    <w:rsid w:val="00CE0A20"/>
    <w:rsid w:val="00CE0E9D"/>
    <w:rsid w:val="00CE148C"/>
    <w:rsid w:val="00CE174F"/>
    <w:rsid w:val="00CE19BE"/>
    <w:rsid w:val="00CE2BCC"/>
    <w:rsid w:val="00CE2C64"/>
    <w:rsid w:val="00CE2D4C"/>
    <w:rsid w:val="00CE2D50"/>
    <w:rsid w:val="00CE2EA1"/>
    <w:rsid w:val="00CE3139"/>
    <w:rsid w:val="00CE32F5"/>
    <w:rsid w:val="00CE3600"/>
    <w:rsid w:val="00CE38F1"/>
    <w:rsid w:val="00CE404B"/>
    <w:rsid w:val="00CE4761"/>
    <w:rsid w:val="00CE4D61"/>
    <w:rsid w:val="00CE4E43"/>
    <w:rsid w:val="00CE4E4F"/>
    <w:rsid w:val="00CE4EA3"/>
    <w:rsid w:val="00CE5470"/>
    <w:rsid w:val="00CE5482"/>
    <w:rsid w:val="00CE5E52"/>
    <w:rsid w:val="00CE6AAC"/>
    <w:rsid w:val="00CE6C23"/>
    <w:rsid w:val="00CE6C9D"/>
    <w:rsid w:val="00CE6DCA"/>
    <w:rsid w:val="00CE7039"/>
    <w:rsid w:val="00CE7350"/>
    <w:rsid w:val="00CE7735"/>
    <w:rsid w:val="00CE7777"/>
    <w:rsid w:val="00CE77D9"/>
    <w:rsid w:val="00CE7B01"/>
    <w:rsid w:val="00CE7F25"/>
    <w:rsid w:val="00CF00D6"/>
    <w:rsid w:val="00CF02B1"/>
    <w:rsid w:val="00CF04B9"/>
    <w:rsid w:val="00CF0626"/>
    <w:rsid w:val="00CF06BE"/>
    <w:rsid w:val="00CF0F19"/>
    <w:rsid w:val="00CF1045"/>
    <w:rsid w:val="00CF11BF"/>
    <w:rsid w:val="00CF187A"/>
    <w:rsid w:val="00CF1B6B"/>
    <w:rsid w:val="00CF2054"/>
    <w:rsid w:val="00CF2528"/>
    <w:rsid w:val="00CF2659"/>
    <w:rsid w:val="00CF27FC"/>
    <w:rsid w:val="00CF2851"/>
    <w:rsid w:val="00CF2BA5"/>
    <w:rsid w:val="00CF30C3"/>
    <w:rsid w:val="00CF31A2"/>
    <w:rsid w:val="00CF36AB"/>
    <w:rsid w:val="00CF4011"/>
    <w:rsid w:val="00CF48D6"/>
    <w:rsid w:val="00CF51BE"/>
    <w:rsid w:val="00CF553F"/>
    <w:rsid w:val="00CF573C"/>
    <w:rsid w:val="00CF5DEA"/>
    <w:rsid w:val="00CF5F9D"/>
    <w:rsid w:val="00CF60EE"/>
    <w:rsid w:val="00CF63D8"/>
    <w:rsid w:val="00CF68B0"/>
    <w:rsid w:val="00CF6B99"/>
    <w:rsid w:val="00CF6BFA"/>
    <w:rsid w:val="00CF6DAE"/>
    <w:rsid w:val="00CF7647"/>
    <w:rsid w:val="00CF7D52"/>
    <w:rsid w:val="00D003AC"/>
    <w:rsid w:val="00D007E5"/>
    <w:rsid w:val="00D00884"/>
    <w:rsid w:val="00D010BE"/>
    <w:rsid w:val="00D0124D"/>
    <w:rsid w:val="00D016B2"/>
    <w:rsid w:val="00D0173D"/>
    <w:rsid w:val="00D01B2E"/>
    <w:rsid w:val="00D01BA2"/>
    <w:rsid w:val="00D0223F"/>
    <w:rsid w:val="00D02594"/>
    <w:rsid w:val="00D025D5"/>
    <w:rsid w:val="00D02AFA"/>
    <w:rsid w:val="00D02D97"/>
    <w:rsid w:val="00D02EEB"/>
    <w:rsid w:val="00D037D6"/>
    <w:rsid w:val="00D03D1D"/>
    <w:rsid w:val="00D04940"/>
    <w:rsid w:val="00D04ECA"/>
    <w:rsid w:val="00D04FAF"/>
    <w:rsid w:val="00D0510B"/>
    <w:rsid w:val="00D05298"/>
    <w:rsid w:val="00D052FC"/>
    <w:rsid w:val="00D0674A"/>
    <w:rsid w:val="00D06964"/>
    <w:rsid w:val="00D06D23"/>
    <w:rsid w:val="00D06E34"/>
    <w:rsid w:val="00D06E38"/>
    <w:rsid w:val="00D07400"/>
    <w:rsid w:val="00D07503"/>
    <w:rsid w:val="00D07720"/>
    <w:rsid w:val="00D10924"/>
    <w:rsid w:val="00D10A05"/>
    <w:rsid w:val="00D10E70"/>
    <w:rsid w:val="00D12479"/>
    <w:rsid w:val="00D12490"/>
    <w:rsid w:val="00D12967"/>
    <w:rsid w:val="00D12CC2"/>
    <w:rsid w:val="00D12E2A"/>
    <w:rsid w:val="00D13138"/>
    <w:rsid w:val="00D13846"/>
    <w:rsid w:val="00D13D08"/>
    <w:rsid w:val="00D13D5F"/>
    <w:rsid w:val="00D140CF"/>
    <w:rsid w:val="00D152E2"/>
    <w:rsid w:val="00D15CAD"/>
    <w:rsid w:val="00D1648C"/>
    <w:rsid w:val="00D165B6"/>
    <w:rsid w:val="00D16B1E"/>
    <w:rsid w:val="00D16BF3"/>
    <w:rsid w:val="00D16CE6"/>
    <w:rsid w:val="00D1716A"/>
    <w:rsid w:val="00D20077"/>
    <w:rsid w:val="00D2160C"/>
    <w:rsid w:val="00D21CE4"/>
    <w:rsid w:val="00D22D9B"/>
    <w:rsid w:val="00D232D0"/>
    <w:rsid w:val="00D233C3"/>
    <w:rsid w:val="00D23905"/>
    <w:rsid w:val="00D23915"/>
    <w:rsid w:val="00D23B33"/>
    <w:rsid w:val="00D23D3E"/>
    <w:rsid w:val="00D2417A"/>
    <w:rsid w:val="00D24501"/>
    <w:rsid w:val="00D24733"/>
    <w:rsid w:val="00D24ACC"/>
    <w:rsid w:val="00D24C09"/>
    <w:rsid w:val="00D24E7B"/>
    <w:rsid w:val="00D24F75"/>
    <w:rsid w:val="00D2538C"/>
    <w:rsid w:val="00D256C6"/>
    <w:rsid w:val="00D258E8"/>
    <w:rsid w:val="00D25A81"/>
    <w:rsid w:val="00D25E01"/>
    <w:rsid w:val="00D25F32"/>
    <w:rsid w:val="00D264EF"/>
    <w:rsid w:val="00D265FC"/>
    <w:rsid w:val="00D26ADC"/>
    <w:rsid w:val="00D26E5E"/>
    <w:rsid w:val="00D26F0E"/>
    <w:rsid w:val="00D27535"/>
    <w:rsid w:val="00D30799"/>
    <w:rsid w:val="00D30B2C"/>
    <w:rsid w:val="00D30C95"/>
    <w:rsid w:val="00D30F87"/>
    <w:rsid w:val="00D310C4"/>
    <w:rsid w:val="00D31251"/>
    <w:rsid w:val="00D31384"/>
    <w:rsid w:val="00D314A0"/>
    <w:rsid w:val="00D316D2"/>
    <w:rsid w:val="00D31F7A"/>
    <w:rsid w:val="00D32086"/>
    <w:rsid w:val="00D32148"/>
    <w:rsid w:val="00D3218C"/>
    <w:rsid w:val="00D32428"/>
    <w:rsid w:val="00D3247B"/>
    <w:rsid w:val="00D324C7"/>
    <w:rsid w:val="00D32623"/>
    <w:rsid w:val="00D32F9D"/>
    <w:rsid w:val="00D33193"/>
    <w:rsid w:val="00D336AE"/>
    <w:rsid w:val="00D343FF"/>
    <w:rsid w:val="00D345FE"/>
    <w:rsid w:val="00D34989"/>
    <w:rsid w:val="00D35063"/>
    <w:rsid w:val="00D35214"/>
    <w:rsid w:val="00D359DF"/>
    <w:rsid w:val="00D35CD2"/>
    <w:rsid w:val="00D36085"/>
    <w:rsid w:val="00D371A7"/>
    <w:rsid w:val="00D375F1"/>
    <w:rsid w:val="00D37DD1"/>
    <w:rsid w:val="00D400AA"/>
    <w:rsid w:val="00D4040A"/>
    <w:rsid w:val="00D4085C"/>
    <w:rsid w:val="00D41195"/>
    <w:rsid w:val="00D41373"/>
    <w:rsid w:val="00D41E77"/>
    <w:rsid w:val="00D42351"/>
    <w:rsid w:val="00D427D8"/>
    <w:rsid w:val="00D42803"/>
    <w:rsid w:val="00D42894"/>
    <w:rsid w:val="00D42967"/>
    <w:rsid w:val="00D42BED"/>
    <w:rsid w:val="00D42DB0"/>
    <w:rsid w:val="00D43015"/>
    <w:rsid w:val="00D431C1"/>
    <w:rsid w:val="00D43E74"/>
    <w:rsid w:val="00D441BD"/>
    <w:rsid w:val="00D44C68"/>
    <w:rsid w:val="00D45356"/>
    <w:rsid w:val="00D45F2A"/>
    <w:rsid w:val="00D46307"/>
    <w:rsid w:val="00D46939"/>
    <w:rsid w:val="00D46CC2"/>
    <w:rsid w:val="00D473EC"/>
    <w:rsid w:val="00D47BFF"/>
    <w:rsid w:val="00D47FB5"/>
    <w:rsid w:val="00D50056"/>
    <w:rsid w:val="00D50521"/>
    <w:rsid w:val="00D50587"/>
    <w:rsid w:val="00D509EC"/>
    <w:rsid w:val="00D50A94"/>
    <w:rsid w:val="00D50ED3"/>
    <w:rsid w:val="00D51962"/>
    <w:rsid w:val="00D51B83"/>
    <w:rsid w:val="00D521BD"/>
    <w:rsid w:val="00D523B1"/>
    <w:rsid w:val="00D53368"/>
    <w:rsid w:val="00D53897"/>
    <w:rsid w:val="00D53BF4"/>
    <w:rsid w:val="00D54430"/>
    <w:rsid w:val="00D544ED"/>
    <w:rsid w:val="00D54643"/>
    <w:rsid w:val="00D54D6C"/>
    <w:rsid w:val="00D557E7"/>
    <w:rsid w:val="00D55E2D"/>
    <w:rsid w:val="00D55EC7"/>
    <w:rsid w:val="00D56762"/>
    <w:rsid w:val="00D567A9"/>
    <w:rsid w:val="00D5681F"/>
    <w:rsid w:val="00D569F1"/>
    <w:rsid w:val="00D573AF"/>
    <w:rsid w:val="00D57955"/>
    <w:rsid w:val="00D57983"/>
    <w:rsid w:val="00D57BEE"/>
    <w:rsid w:val="00D57DF5"/>
    <w:rsid w:val="00D600BB"/>
    <w:rsid w:val="00D60407"/>
    <w:rsid w:val="00D60429"/>
    <w:rsid w:val="00D60825"/>
    <w:rsid w:val="00D608F5"/>
    <w:rsid w:val="00D608F6"/>
    <w:rsid w:val="00D60AC3"/>
    <w:rsid w:val="00D60DCF"/>
    <w:rsid w:val="00D612B5"/>
    <w:rsid w:val="00D6163F"/>
    <w:rsid w:val="00D6198E"/>
    <w:rsid w:val="00D628C9"/>
    <w:rsid w:val="00D630C1"/>
    <w:rsid w:val="00D63486"/>
    <w:rsid w:val="00D640E3"/>
    <w:rsid w:val="00D640E7"/>
    <w:rsid w:val="00D64295"/>
    <w:rsid w:val="00D642F9"/>
    <w:rsid w:val="00D648A0"/>
    <w:rsid w:val="00D65393"/>
    <w:rsid w:val="00D656C2"/>
    <w:rsid w:val="00D6573A"/>
    <w:rsid w:val="00D65A28"/>
    <w:rsid w:val="00D65B52"/>
    <w:rsid w:val="00D664BA"/>
    <w:rsid w:val="00D666D0"/>
    <w:rsid w:val="00D66C87"/>
    <w:rsid w:val="00D673D8"/>
    <w:rsid w:val="00D67411"/>
    <w:rsid w:val="00D67CA3"/>
    <w:rsid w:val="00D67FBA"/>
    <w:rsid w:val="00D70051"/>
    <w:rsid w:val="00D70093"/>
    <w:rsid w:val="00D70345"/>
    <w:rsid w:val="00D70B11"/>
    <w:rsid w:val="00D70F65"/>
    <w:rsid w:val="00D71598"/>
    <w:rsid w:val="00D71E69"/>
    <w:rsid w:val="00D71F6A"/>
    <w:rsid w:val="00D71FB7"/>
    <w:rsid w:val="00D72297"/>
    <w:rsid w:val="00D72D99"/>
    <w:rsid w:val="00D72F33"/>
    <w:rsid w:val="00D732DB"/>
    <w:rsid w:val="00D73680"/>
    <w:rsid w:val="00D73734"/>
    <w:rsid w:val="00D7397B"/>
    <w:rsid w:val="00D73C03"/>
    <w:rsid w:val="00D73D2B"/>
    <w:rsid w:val="00D73DBB"/>
    <w:rsid w:val="00D74A53"/>
    <w:rsid w:val="00D74F82"/>
    <w:rsid w:val="00D753B5"/>
    <w:rsid w:val="00D75E08"/>
    <w:rsid w:val="00D760ED"/>
    <w:rsid w:val="00D7653D"/>
    <w:rsid w:val="00D765B7"/>
    <w:rsid w:val="00D77006"/>
    <w:rsid w:val="00D773DB"/>
    <w:rsid w:val="00D7760E"/>
    <w:rsid w:val="00D7769E"/>
    <w:rsid w:val="00D77E56"/>
    <w:rsid w:val="00D80009"/>
    <w:rsid w:val="00D804A6"/>
    <w:rsid w:val="00D80B59"/>
    <w:rsid w:val="00D810E8"/>
    <w:rsid w:val="00D8123A"/>
    <w:rsid w:val="00D813D8"/>
    <w:rsid w:val="00D8156C"/>
    <w:rsid w:val="00D8162F"/>
    <w:rsid w:val="00D81684"/>
    <w:rsid w:val="00D81B9C"/>
    <w:rsid w:val="00D81C10"/>
    <w:rsid w:val="00D81DBC"/>
    <w:rsid w:val="00D81E25"/>
    <w:rsid w:val="00D81EC6"/>
    <w:rsid w:val="00D81F0E"/>
    <w:rsid w:val="00D82CB2"/>
    <w:rsid w:val="00D82D51"/>
    <w:rsid w:val="00D833AF"/>
    <w:rsid w:val="00D836E7"/>
    <w:rsid w:val="00D83B4C"/>
    <w:rsid w:val="00D83E29"/>
    <w:rsid w:val="00D847F2"/>
    <w:rsid w:val="00D84AC5"/>
    <w:rsid w:val="00D84CB5"/>
    <w:rsid w:val="00D84D62"/>
    <w:rsid w:val="00D85ADF"/>
    <w:rsid w:val="00D86AFD"/>
    <w:rsid w:val="00D86B4D"/>
    <w:rsid w:val="00D86CB1"/>
    <w:rsid w:val="00D86EAC"/>
    <w:rsid w:val="00D87100"/>
    <w:rsid w:val="00D8762C"/>
    <w:rsid w:val="00D87DA7"/>
    <w:rsid w:val="00D90124"/>
    <w:rsid w:val="00D9079D"/>
    <w:rsid w:val="00D90935"/>
    <w:rsid w:val="00D90A1F"/>
    <w:rsid w:val="00D90D9D"/>
    <w:rsid w:val="00D90FA1"/>
    <w:rsid w:val="00D9109A"/>
    <w:rsid w:val="00D91392"/>
    <w:rsid w:val="00D91ADB"/>
    <w:rsid w:val="00D925E5"/>
    <w:rsid w:val="00D925F6"/>
    <w:rsid w:val="00D9276E"/>
    <w:rsid w:val="00D92E89"/>
    <w:rsid w:val="00D935CF"/>
    <w:rsid w:val="00D94423"/>
    <w:rsid w:val="00D94AC0"/>
    <w:rsid w:val="00D94B00"/>
    <w:rsid w:val="00D966B4"/>
    <w:rsid w:val="00D966CA"/>
    <w:rsid w:val="00D96EFA"/>
    <w:rsid w:val="00D97096"/>
    <w:rsid w:val="00D9725F"/>
    <w:rsid w:val="00D97325"/>
    <w:rsid w:val="00D9772D"/>
    <w:rsid w:val="00D97840"/>
    <w:rsid w:val="00D978BC"/>
    <w:rsid w:val="00D9793A"/>
    <w:rsid w:val="00D97C56"/>
    <w:rsid w:val="00DA0AA9"/>
    <w:rsid w:val="00DA0F92"/>
    <w:rsid w:val="00DA1196"/>
    <w:rsid w:val="00DA14C1"/>
    <w:rsid w:val="00DA1D29"/>
    <w:rsid w:val="00DA28A1"/>
    <w:rsid w:val="00DA2B1C"/>
    <w:rsid w:val="00DA3217"/>
    <w:rsid w:val="00DA3558"/>
    <w:rsid w:val="00DA3665"/>
    <w:rsid w:val="00DA36D0"/>
    <w:rsid w:val="00DA377A"/>
    <w:rsid w:val="00DA3994"/>
    <w:rsid w:val="00DA3AE7"/>
    <w:rsid w:val="00DA3D69"/>
    <w:rsid w:val="00DA3FAE"/>
    <w:rsid w:val="00DA4024"/>
    <w:rsid w:val="00DA4165"/>
    <w:rsid w:val="00DA42C8"/>
    <w:rsid w:val="00DA486D"/>
    <w:rsid w:val="00DA4D31"/>
    <w:rsid w:val="00DA4F01"/>
    <w:rsid w:val="00DA5D81"/>
    <w:rsid w:val="00DA5E7E"/>
    <w:rsid w:val="00DA640F"/>
    <w:rsid w:val="00DA6774"/>
    <w:rsid w:val="00DA6945"/>
    <w:rsid w:val="00DA71D4"/>
    <w:rsid w:val="00DA7261"/>
    <w:rsid w:val="00DA783C"/>
    <w:rsid w:val="00DB033A"/>
    <w:rsid w:val="00DB04AE"/>
    <w:rsid w:val="00DB06A7"/>
    <w:rsid w:val="00DB06E4"/>
    <w:rsid w:val="00DB12CF"/>
    <w:rsid w:val="00DB28DA"/>
    <w:rsid w:val="00DB2D81"/>
    <w:rsid w:val="00DB3034"/>
    <w:rsid w:val="00DB3433"/>
    <w:rsid w:val="00DB38BA"/>
    <w:rsid w:val="00DB3D24"/>
    <w:rsid w:val="00DB3E3C"/>
    <w:rsid w:val="00DB4258"/>
    <w:rsid w:val="00DB4683"/>
    <w:rsid w:val="00DB4807"/>
    <w:rsid w:val="00DB4A87"/>
    <w:rsid w:val="00DB4C28"/>
    <w:rsid w:val="00DB4FE9"/>
    <w:rsid w:val="00DB4FED"/>
    <w:rsid w:val="00DB5588"/>
    <w:rsid w:val="00DB564D"/>
    <w:rsid w:val="00DB60B0"/>
    <w:rsid w:val="00DB6DFD"/>
    <w:rsid w:val="00DB764B"/>
    <w:rsid w:val="00DC0BE4"/>
    <w:rsid w:val="00DC0DA2"/>
    <w:rsid w:val="00DC0ED2"/>
    <w:rsid w:val="00DC0F15"/>
    <w:rsid w:val="00DC10AD"/>
    <w:rsid w:val="00DC11C1"/>
    <w:rsid w:val="00DC165E"/>
    <w:rsid w:val="00DC1AD7"/>
    <w:rsid w:val="00DC29D8"/>
    <w:rsid w:val="00DC2A98"/>
    <w:rsid w:val="00DC2C85"/>
    <w:rsid w:val="00DC3536"/>
    <w:rsid w:val="00DC3800"/>
    <w:rsid w:val="00DC3916"/>
    <w:rsid w:val="00DC3AE2"/>
    <w:rsid w:val="00DC3BB6"/>
    <w:rsid w:val="00DC40B0"/>
    <w:rsid w:val="00DC433E"/>
    <w:rsid w:val="00DC4C6C"/>
    <w:rsid w:val="00DC4CAA"/>
    <w:rsid w:val="00DC4F67"/>
    <w:rsid w:val="00DC513F"/>
    <w:rsid w:val="00DC60D2"/>
    <w:rsid w:val="00DC6AA8"/>
    <w:rsid w:val="00DC711C"/>
    <w:rsid w:val="00DC72D5"/>
    <w:rsid w:val="00DC7390"/>
    <w:rsid w:val="00DC78EA"/>
    <w:rsid w:val="00DC7950"/>
    <w:rsid w:val="00DC7AD1"/>
    <w:rsid w:val="00DC7BAB"/>
    <w:rsid w:val="00DD017C"/>
    <w:rsid w:val="00DD0B2E"/>
    <w:rsid w:val="00DD0D64"/>
    <w:rsid w:val="00DD165E"/>
    <w:rsid w:val="00DD18F2"/>
    <w:rsid w:val="00DD1951"/>
    <w:rsid w:val="00DD19D0"/>
    <w:rsid w:val="00DD1F67"/>
    <w:rsid w:val="00DD2277"/>
    <w:rsid w:val="00DD2751"/>
    <w:rsid w:val="00DD27F1"/>
    <w:rsid w:val="00DD285B"/>
    <w:rsid w:val="00DD2E5E"/>
    <w:rsid w:val="00DD2F86"/>
    <w:rsid w:val="00DD3B84"/>
    <w:rsid w:val="00DD3C31"/>
    <w:rsid w:val="00DD3C5B"/>
    <w:rsid w:val="00DD3F88"/>
    <w:rsid w:val="00DD4A71"/>
    <w:rsid w:val="00DD55B7"/>
    <w:rsid w:val="00DD58D9"/>
    <w:rsid w:val="00DD58E3"/>
    <w:rsid w:val="00DD5AED"/>
    <w:rsid w:val="00DD6068"/>
    <w:rsid w:val="00DD62C8"/>
    <w:rsid w:val="00DD748D"/>
    <w:rsid w:val="00DE0221"/>
    <w:rsid w:val="00DE04D8"/>
    <w:rsid w:val="00DE0FE6"/>
    <w:rsid w:val="00DE14ED"/>
    <w:rsid w:val="00DE16FA"/>
    <w:rsid w:val="00DE2813"/>
    <w:rsid w:val="00DE2D3F"/>
    <w:rsid w:val="00DE2EE1"/>
    <w:rsid w:val="00DE3288"/>
    <w:rsid w:val="00DE36C6"/>
    <w:rsid w:val="00DE37B2"/>
    <w:rsid w:val="00DE3A4D"/>
    <w:rsid w:val="00DE4BA8"/>
    <w:rsid w:val="00DE4F1C"/>
    <w:rsid w:val="00DE4F56"/>
    <w:rsid w:val="00DE58A4"/>
    <w:rsid w:val="00DE64D7"/>
    <w:rsid w:val="00DE6BDD"/>
    <w:rsid w:val="00DE6E32"/>
    <w:rsid w:val="00DE706B"/>
    <w:rsid w:val="00DF04EB"/>
    <w:rsid w:val="00DF06F5"/>
    <w:rsid w:val="00DF07D7"/>
    <w:rsid w:val="00DF09E4"/>
    <w:rsid w:val="00DF09EF"/>
    <w:rsid w:val="00DF0D4D"/>
    <w:rsid w:val="00DF0E09"/>
    <w:rsid w:val="00DF0F89"/>
    <w:rsid w:val="00DF161B"/>
    <w:rsid w:val="00DF1705"/>
    <w:rsid w:val="00DF1978"/>
    <w:rsid w:val="00DF1B4D"/>
    <w:rsid w:val="00DF1CC9"/>
    <w:rsid w:val="00DF1F6B"/>
    <w:rsid w:val="00DF236E"/>
    <w:rsid w:val="00DF24C2"/>
    <w:rsid w:val="00DF2561"/>
    <w:rsid w:val="00DF31A4"/>
    <w:rsid w:val="00DF3311"/>
    <w:rsid w:val="00DF3E71"/>
    <w:rsid w:val="00DF434B"/>
    <w:rsid w:val="00DF4359"/>
    <w:rsid w:val="00DF45CE"/>
    <w:rsid w:val="00DF53F2"/>
    <w:rsid w:val="00DF55DF"/>
    <w:rsid w:val="00DF5F04"/>
    <w:rsid w:val="00DF62B4"/>
    <w:rsid w:val="00DF62F8"/>
    <w:rsid w:val="00DF6503"/>
    <w:rsid w:val="00DF66DE"/>
    <w:rsid w:val="00DF6874"/>
    <w:rsid w:val="00DF69E0"/>
    <w:rsid w:val="00DF6FF9"/>
    <w:rsid w:val="00DF70E9"/>
    <w:rsid w:val="00DF7616"/>
    <w:rsid w:val="00DF78BA"/>
    <w:rsid w:val="00DF7946"/>
    <w:rsid w:val="00DF7BE5"/>
    <w:rsid w:val="00DF7D62"/>
    <w:rsid w:val="00E00504"/>
    <w:rsid w:val="00E00993"/>
    <w:rsid w:val="00E017C5"/>
    <w:rsid w:val="00E01F01"/>
    <w:rsid w:val="00E02112"/>
    <w:rsid w:val="00E02751"/>
    <w:rsid w:val="00E02BAC"/>
    <w:rsid w:val="00E02BFA"/>
    <w:rsid w:val="00E02DB2"/>
    <w:rsid w:val="00E02E00"/>
    <w:rsid w:val="00E030C3"/>
    <w:rsid w:val="00E032F0"/>
    <w:rsid w:val="00E035CD"/>
    <w:rsid w:val="00E03640"/>
    <w:rsid w:val="00E037B7"/>
    <w:rsid w:val="00E03CF3"/>
    <w:rsid w:val="00E04318"/>
    <w:rsid w:val="00E04A42"/>
    <w:rsid w:val="00E05420"/>
    <w:rsid w:val="00E06057"/>
    <w:rsid w:val="00E06150"/>
    <w:rsid w:val="00E06857"/>
    <w:rsid w:val="00E068FF"/>
    <w:rsid w:val="00E06917"/>
    <w:rsid w:val="00E06FA8"/>
    <w:rsid w:val="00E073C3"/>
    <w:rsid w:val="00E07401"/>
    <w:rsid w:val="00E07654"/>
    <w:rsid w:val="00E07940"/>
    <w:rsid w:val="00E07CF8"/>
    <w:rsid w:val="00E07D9A"/>
    <w:rsid w:val="00E07E93"/>
    <w:rsid w:val="00E100C4"/>
    <w:rsid w:val="00E10205"/>
    <w:rsid w:val="00E10BBC"/>
    <w:rsid w:val="00E10CF9"/>
    <w:rsid w:val="00E10F98"/>
    <w:rsid w:val="00E125EC"/>
    <w:rsid w:val="00E128AC"/>
    <w:rsid w:val="00E12984"/>
    <w:rsid w:val="00E12A5A"/>
    <w:rsid w:val="00E135A9"/>
    <w:rsid w:val="00E137DF"/>
    <w:rsid w:val="00E13C5F"/>
    <w:rsid w:val="00E13CDD"/>
    <w:rsid w:val="00E14419"/>
    <w:rsid w:val="00E15D02"/>
    <w:rsid w:val="00E160B2"/>
    <w:rsid w:val="00E1652D"/>
    <w:rsid w:val="00E16854"/>
    <w:rsid w:val="00E17814"/>
    <w:rsid w:val="00E2002E"/>
    <w:rsid w:val="00E2020B"/>
    <w:rsid w:val="00E2040E"/>
    <w:rsid w:val="00E206C2"/>
    <w:rsid w:val="00E206C9"/>
    <w:rsid w:val="00E208D2"/>
    <w:rsid w:val="00E2092D"/>
    <w:rsid w:val="00E20B7D"/>
    <w:rsid w:val="00E20D07"/>
    <w:rsid w:val="00E21248"/>
    <w:rsid w:val="00E2192A"/>
    <w:rsid w:val="00E21C2F"/>
    <w:rsid w:val="00E220BE"/>
    <w:rsid w:val="00E2289D"/>
    <w:rsid w:val="00E2299B"/>
    <w:rsid w:val="00E22AB2"/>
    <w:rsid w:val="00E22B41"/>
    <w:rsid w:val="00E237E4"/>
    <w:rsid w:val="00E23906"/>
    <w:rsid w:val="00E240C3"/>
    <w:rsid w:val="00E2418A"/>
    <w:rsid w:val="00E24243"/>
    <w:rsid w:val="00E2463B"/>
    <w:rsid w:val="00E24BB1"/>
    <w:rsid w:val="00E24F7A"/>
    <w:rsid w:val="00E25448"/>
    <w:rsid w:val="00E25DEE"/>
    <w:rsid w:val="00E25EA4"/>
    <w:rsid w:val="00E26961"/>
    <w:rsid w:val="00E269B6"/>
    <w:rsid w:val="00E26B0D"/>
    <w:rsid w:val="00E26F2B"/>
    <w:rsid w:val="00E274ED"/>
    <w:rsid w:val="00E277CB"/>
    <w:rsid w:val="00E27BDF"/>
    <w:rsid w:val="00E30F87"/>
    <w:rsid w:val="00E31199"/>
    <w:rsid w:val="00E31449"/>
    <w:rsid w:val="00E31553"/>
    <w:rsid w:val="00E3171E"/>
    <w:rsid w:val="00E31A62"/>
    <w:rsid w:val="00E32B88"/>
    <w:rsid w:val="00E32EA1"/>
    <w:rsid w:val="00E32F1F"/>
    <w:rsid w:val="00E33112"/>
    <w:rsid w:val="00E3334C"/>
    <w:rsid w:val="00E334D9"/>
    <w:rsid w:val="00E336DB"/>
    <w:rsid w:val="00E34225"/>
    <w:rsid w:val="00E34BE7"/>
    <w:rsid w:val="00E358FB"/>
    <w:rsid w:val="00E35939"/>
    <w:rsid w:val="00E35956"/>
    <w:rsid w:val="00E35CFF"/>
    <w:rsid w:val="00E35E56"/>
    <w:rsid w:val="00E35F78"/>
    <w:rsid w:val="00E3610F"/>
    <w:rsid w:val="00E36356"/>
    <w:rsid w:val="00E36721"/>
    <w:rsid w:val="00E36CCE"/>
    <w:rsid w:val="00E36F94"/>
    <w:rsid w:val="00E40664"/>
    <w:rsid w:val="00E40F88"/>
    <w:rsid w:val="00E41026"/>
    <w:rsid w:val="00E4180E"/>
    <w:rsid w:val="00E419C3"/>
    <w:rsid w:val="00E41C75"/>
    <w:rsid w:val="00E421AD"/>
    <w:rsid w:val="00E42972"/>
    <w:rsid w:val="00E42B0B"/>
    <w:rsid w:val="00E42EC5"/>
    <w:rsid w:val="00E43ABD"/>
    <w:rsid w:val="00E43B4C"/>
    <w:rsid w:val="00E44D0A"/>
    <w:rsid w:val="00E45086"/>
    <w:rsid w:val="00E45680"/>
    <w:rsid w:val="00E46511"/>
    <w:rsid w:val="00E470D9"/>
    <w:rsid w:val="00E500EA"/>
    <w:rsid w:val="00E5031D"/>
    <w:rsid w:val="00E5078E"/>
    <w:rsid w:val="00E509E4"/>
    <w:rsid w:val="00E50AC1"/>
    <w:rsid w:val="00E51A10"/>
    <w:rsid w:val="00E51BE3"/>
    <w:rsid w:val="00E52670"/>
    <w:rsid w:val="00E526EB"/>
    <w:rsid w:val="00E527EB"/>
    <w:rsid w:val="00E531D1"/>
    <w:rsid w:val="00E53351"/>
    <w:rsid w:val="00E541DC"/>
    <w:rsid w:val="00E54B23"/>
    <w:rsid w:val="00E54B87"/>
    <w:rsid w:val="00E54CC6"/>
    <w:rsid w:val="00E54D61"/>
    <w:rsid w:val="00E54DA3"/>
    <w:rsid w:val="00E54E9A"/>
    <w:rsid w:val="00E55075"/>
    <w:rsid w:val="00E557A5"/>
    <w:rsid w:val="00E55C08"/>
    <w:rsid w:val="00E55EFE"/>
    <w:rsid w:val="00E563BC"/>
    <w:rsid w:val="00E5649C"/>
    <w:rsid w:val="00E56AF0"/>
    <w:rsid w:val="00E56B44"/>
    <w:rsid w:val="00E56BA6"/>
    <w:rsid w:val="00E56D46"/>
    <w:rsid w:val="00E57618"/>
    <w:rsid w:val="00E57AB2"/>
    <w:rsid w:val="00E57F59"/>
    <w:rsid w:val="00E57FBD"/>
    <w:rsid w:val="00E60F59"/>
    <w:rsid w:val="00E61978"/>
    <w:rsid w:val="00E61C0D"/>
    <w:rsid w:val="00E61D4D"/>
    <w:rsid w:val="00E61E0C"/>
    <w:rsid w:val="00E61F2A"/>
    <w:rsid w:val="00E621D8"/>
    <w:rsid w:val="00E627C2"/>
    <w:rsid w:val="00E62CA5"/>
    <w:rsid w:val="00E63B6A"/>
    <w:rsid w:val="00E64514"/>
    <w:rsid w:val="00E6476B"/>
    <w:rsid w:val="00E64A11"/>
    <w:rsid w:val="00E64C33"/>
    <w:rsid w:val="00E64C98"/>
    <w:rsid w:val="00E64FD8"/>
    <w:rsid w:val="00E657AB"/>
    <w:rsid w:val="00E65B29"/>
    <w:rsid w:val="00E65D86"/>
    <w:rsid w:val="00E661AD"/>
    <w:rsid w:val="00E665A9"/>
    <w:rsid w:val="00E66686"/>
    <w:rsid w:val="00E666E2"/>
    <w:rsid w:val="00E66A19"/>
    <w:rsid w:val="00E6784A"/>
    <w:rsid w:val="00E678BA"/>
    <w:rsid w:val="00E67B72"/>
    <w:rsid w:val="00E67D67"/>
    <w:rsid w:val="00E71521"/>
    <w:rsid w:val="00E71574"/>
    <w:rsid w:val="00E71ABA"/>
    <w:rsid w:val="00E71F4C"/>
    <w:rsid w:val="00E71F61"/>
    <w:rsid w:val="00E726D6"/>
    <w:rsid w:val="00E72DE9"/>
    <w:rsid w:val="00E7322D"/>
    <w:rsid w:val="00E7325C"/>
    <w:rsid w:val="00E73944"/>
    <w:rsid w:val="00E73C47"/>
    <w:rsid w:val="00E73ED9"/>
    <w:rsid w:val="00E742DC"/>
    <w:rsid w:val="00E745B0"/>
    <w:rsid w:val="00E749C3"/>
    <w:rsid w:val="00E74A12"/>
    <w:rsid w:val="00E74EE3"/>
    <w:rsid w:val="00E74F28"/>
    <w:rsid w:val="00E7593F"/>
    <w:rsid w:val="00E75A74"/>
    <w:rsid w:val="00E76184"/>
    <w:rsid w:val="00E761B6"/>
    <w:rsid w:val="00E76898"/>
    <w:rsid w:val="00E76F36"/>
    <w:rsid w:val="00E77FD2"/>
    <w:rsid w:val="00E80581"/>
    <w:rsid w:val="00E80DF4"/>
    <w:rsid w:val="00E818C3"/>
    <w:rsid w:val="00E81B84"/>
    <w:rsid w:val="00E8201D"/>
    <w:rsid w:val="00E8299C"/>
    <w:rsid w:val="00E82A95"/>
    <w:rsid w:val="00E82AEC"/>
    <w:rsid w:val="00E83028"/>
    <w:rsid w:val="00E83172"/>
    <w:rsid w:val="00E83CC8"/>
    <w:rsid w:val="00E84066"/>
    <w:rsid w:val="00E84086"/>
    <w:rsid w:val="00E840C7"/>
    <w:rsid w:val="00E847DA"/>
    <w:rsid w:val="00E85094"/>
    <w:rsid w:val="00E85414"/>
    <w:rsid w:val="00E859B0"/>
    <w:rsid w:val="00E85D00"/>
    <w:rsid w:val="00E85FEC"/>
    <w:rsid w:val="00E8634C"/>
    <w:rsid w:val="00E864BE"/>
    <w:rsid w:val="00E86715"/>
    <w:rsid w:val="00E869D3"/>
    <w:rsid w:val="00E86A6B"/>
    <w:rsid w:val="00E86AE5"/>
    <w:rsid w:val="00E86E33"/>
    <w:rsid w:val="00E87571"/>
    <w:rsid w:val="00E875AD"/>
    <w:rsid w:val="00E877C4"/>
    <w:rsid w:val="00E87AB7"/>
    <w:rsid w:val="00E9015E"/>
    <w:rsid w:val="00E91202"/>
    <w:rsid w:val="00E91237"/>
    <w:rsid w:val="00E919C6"/>
    <w:rsid w:val="00E925A1"/>
    <w:rsid w:val="00E9299A"/>
    <w:rsid w:val="00E929BB"/>
    <w:rsid w:val="00E92E3B"/>
    <w:rsid w:val="00E92F9C"/>
    <w:rsid w:val="00E93059"/>
    <w:rsid w:val="00E93175"/>
    <w:rsid w:val="00E93344"/>
    <w:rsid w:val="00E93693"/>
    <w:rsid w:val="00E9432E"/>
    <w:rsid w:val="00E94404"/>
    <w:rsid w:val="00E94527"/>
    <w:rsid w:val="00E945A3"/>
    <w:rsid w:val="00E9483C"/>
    <w:rsid w:val="00E9496D"/>
    <w:rsid w:val="00E94B00"/>
    <w:rsid w:val="00E94D59"/>
    <w:rsid w:val="00E9555F"/>
    <w:rsid w:val="00E95757"/>
    <w:rsid w:val="00E95C16"/>
    <w:rsid w:val="00E95C3B"/>
    <w:rsid w:val="00E95E77"/>
    <w:rsid w:val="00E95FA7"/>
    <w:rsid w:val="00E960E2"/>
    <w:rsid w:val="00E973BC"/>
    <w:rsid w:val="00E97ACB"/>
    <w:rsid w:val="00EA0406"/>
    <w:rsid w:val="00EA063E"/>
    <w:rsid w:val="00EA0A3B"/>
    <w:rsid w:val="00EA0C14"/>
    <w:rsid w:val="00EA0E6A"/>
    <w:rsid w:val="00EA10B5"/>
    <w:rsid w:val="00EA14A1"/>
    <w:rsid w:val="00EA1515"/>
    <w:rsid w:val="00EA16D4"/>
    <w:rsid w:val="00EA17C4"/>
    <w:rsid w:val="00EA1984"/>
    <w:rsid w:val="00EA1AFA"/>
    <w:rsid w:val="00EA1C06"/>
    <w:rsid w:val="00EA28AB"/>
    <w:rsid w:val="00EA2AEE"/>
    <w:rsid w:val="00EA31C3"/>
    <w:rsid w:val="00EA3573"/>
    <w:rsid w:val="00EA35B5"/>
    <w:rsid w:val="00EA398E"/>
    <w:rsid w:val="00EA39B5"/>
    <w:rsid w:val="00EA3B3D"/>
    <w:rsid w:val="00EA3B67"/>
    <w:rsid w:val="00EA41B6"/>
    <w:rsid w:val="00EA4A58"/>
    <w:rsid w:val="00EA4FFE"/>
    <w:rsid w:val="00EA51FD"/>
    <w:rsid w:val="00EA56EF"/>
    <w:rsid w:val="00EA59A7"/>
    <w:rsid w:val="00EA59CF"/>
    <w:rsid w:val="00EA5C0D"/>
    <w:rsid w:val="00EA5D67"/>
    <w:rsid w:val="00EA5DAB"/>
    <w:rsid w:val="00EA633C"/>
    <w:rsid w:val="00EA64C7"/>
    <w:rsid w:val="00EA6CC0"/>
    <w:rsid w:val="00EA73A0"/>
    <w:rsid w:val="00EA786E"/>
    <w:rsid w:val="00EA79C3"/>
    <w:rsid w:val="00EA7EE4"/>
    <w:rsid w:val="00EB0247"/>
    <w:rsid w:val="00EB065E"/>
    <w:rsid w:val="00EB0694"/>
    <w:rsid w:val="00EB0844"/>
    <w:rsid w:val="00EB085B"/>
    <w:rsid w:val="00EB098D"/>
    <w:rsid w:val="00EB1628"/>
    <w:rsid w:val="00EB188F"/>
    <w:rsid w:val="00EB1AAA"/>
    <w:rsid w:val="00EB1D8C"/>
    <w:rsid w:val="00EB1F08"/>
    <w:rsid w:val="00EB2775"/>
    <w:rsid w:val="00EB2F5C"/>
    <w:rsid w:val="00EB3558"/>
    <w:rsid w:val="00EB3639"/>
    <w:rsid w:val="00EB367A"/>
    <w:rsid w:val="00EB3922"/>
    <w:rsid w:val="00EB393A"/>
    <w:rsid w:val="00EB43DC"/>
    <w:rsid w:val="00EB5289"/>
    <w:rsid w:val="00EB57BF"/>
    <w:rsid w:val="00EB627D"/>
    <w:rsid w:val="00EB6950"/>
    <w:rsid w:val="00EB7F59"/>
    <w:rsid w:val="00EC0193"/>
    <w:rsid w:val="00EC02A7"/>
    <w:rsid w:val="00EC0358"/>
    <w:rsid w:val="00EC062F"/>
    <w:rsid w:val="00EC0BC2"/>
    <w:rsid w:val="00EC0D19"/>
    <w:rsid w:val="00EC105E"/>
    <w:rsid w:val="00EC10F9"/>
    <w:rsid w:val="00EC110A"/>
    <w:rsid w:val="00EC3263"/>
    <w:rsid w:val="00EC3A7B"/>
    <w:rsid w:val="00EC3C48"/>
    <w:rsid w:val="00EC3CD6"/>
    <w:rsid w:val="00EC3E7A"/>
    <w:rsid w:val="00EC3E92"/>
    <w:rsid w:val="00EC4E4D"/>
    <w:rsid w:val="00EC512A"/>
    <w:rsid w:val="00EC520D"/>
    <w:rsid w:val="00EC66CA"/>
    <w:rsid w:val="00EC67DC"/>
    <w:rsid w:val="00EC6A79"/>
    <w:rsid w:val="00EC6FDF"/>
    <w:rsid w:val="00EC76C7"/>
    <w:rsid w:val="00ED0073"/>
    <w:rsid w:val="00ED0264"/>
    <w:rsid w:val="00ED02F9"/>
    <w:rsid w:val="00ED052E"/>
    <w:rsid w:val="00ED0755"/>
    <w:rsid w:val="00ED08A9"/>
    <w:rsid w:val="00ED102F"/>
    <w:rsid w:val="00ED1E59"/>
    <w:rsid w:val="00ED2044"/>
    <w:rsid w:val="00ED2682"/>
    <w:rsid w:val="00ED2E41"/>
    <w:rsid w:val="00ED31DD"/>
    <w:rsid w:val="00ED341E"/>
    <w:rsid w:val="00ED4382"/>
    <w:rsid w:val="00ED4742"/>
    <w:rsid w:val="00ED489E"/>
    <w:rsid w:val="00ED4DC7"/>
    <w:rsid w:val="00ED4F97"/>
    <w:rsid w:val="00ED520C"/>
    <w:rsid w:val="00ED550A"/>
    <w:rsid w:val="00ED55BD"/>
    <w:rsid w:val="00ED57ED"/>
    <w:rsid w:val="00ED5CDD"/>
    <w:rsid w:val="00ED66AA"/>
    <w:rsid w:val="00ED694F"/>
    <w:rsid w:val="00ED6B9C"/>
    <w:rsid w:val="00ED70F7"/>
    <w:rsid w:val="00ED7498"/>
    <w:rsid w:val="00ED7597"/>
    <w:rsid w:val="00ED7741"/>
    <w:rsid w:val="00ED7EFA"/>
    <w:rsid w:val="00EE00F2"/>
    <w:rsid w:val="00EE0425"/>
    <w:rsid w:val="00EE04B7"/>
    <w:rsid w:val="00EE05DC"/>
    <w:rsid w:val="00EE0EF5"/>
    <w:rsid w:val="00EE1C7C"/>
    <w:rsid w:val="00EE231B"/>
    <w:rsid w:val="00EE2644"/>
    <w:rsid w:val="00EE327E"/>
    <w:rsid w:val="00EE35B8"/>
    <w:rsid w:val="00EE3BBC"/>
    <w:rsid w:val="00EE3FA4"/>
    <w:rsid w:val="00EE42D2"/>
    <w:rsid w:val="00EE4739"/>
    <w:rsid w:val="00EE49D2"/>
    <w:rsid w:val="00EE4ED3"/>
    <w:rsid w:val="00EE4FE1"/>
    <w:rsid w:val="00EE626E"/>
    <w:rsid w:val="00EE63F1"/>
    <w:rsid w:val="00EE6BE9"/>
    <w:rsid w:val="00EE6E35"/>
    <w:rsid w:val="00EE6E6B"/>
    <w:rsid w:val="00EE6EE8"/>
    <w:rsid w:val="00EE7541"/>
    <w:rsid w:val="00EE76F6"/>
    <w:rsid w:val="00EE7904"/>
    <w:rsid w:val="00EF0F35"/>
    <w:rsid w:val="00EF1028"/>
    <w:rsid w:val="00EF12FD"/>
    <w:rsid w:val="00EF1587"/>
    <w:rsid w:val="00EF1840"/>
    <w:rsid w:val="00EF1BA2"/>
    <w:rsid w:val="00EF1FA8"/>
    <w:rsid w:val="00EF20BB"/>
    <w:rsid w:val="00EF2390"/>
    <w:rsid w:val="00EF270A"/>
    <w:rsid w:val="00EF3380"/>
    <w:rsid w:val="00EF34CE"/>
    <w:rsid w:val="00EF40B1"/>
    <w:rsid w:val="00EF4153"/>
    <w:rsid w:val="00EF4533"/>
    <w:rsid w:val="00EF4ED4"/>
    <w:rsid w:val="00EF4F57"/>
    <w:rsid w:val="00EF53BF"/>
    <w:rsid w:val="00EF53E9"/>
    <w:rsid w:val="00EF5416"/>
    <w:rsid w:val="00EF5B19"/>
    <w:rsid w:val="00EF616E"/>
    <w:rsid w:val="00EF62E4"/>
    <w:rsid w:val="00EF6728"/>
    <w:rsid w:val="00EF6D38"/>
    <w:rsid w:val="00EF6E22"/>
    <w:rsid w:val="00EF700A"/>
    <w:rsid w:val="00EF711E"/>
    <w:rsid w:val="00EF7209"/>
    <w:rsid w:val="00EF7333"/>
    <w:rsid w:val="00EF77E2"/>
    <w:rsid w:val="00EF7975"/>
    <w:rsid w:val="00EF7D0A"/>
    <w:rsid w:val="00F011FF"/>
    <w:rsid w:val="00F0126D"/>
    <w:rsid w:val="00F01C5C"/>
    <w:rsid w:val="00F01D11"/>
    <w:rsid w:val="00F02122"/>
    <w:rsid w:val="00F02487"/>
    <w:rsid w:val="00F029DF"/>
    <w:rsid w:val="00F02BF9"/>
    <w:rsid w:val="00F02FFB"/>
    <w:rsid w:val="00F034B4"/>
    <w:rsid w:val="00F03A82"/>
    <w:rsid w:val="00F03E61"/>
    <w:rsid w:val="00F04050"/>
    <w:rsid w:val="00F04892"/>
    <w:rsid w:val="00F048A4"/>
    <w:rsid w:val="00F04DA5"/>
    <w:rsid w:val="00F04EA1"/>
    <w:rsid w:val="00F056E2"/>
    <w:rsid w:val="00F05C55"/>
    <w:rsid w:val="00F068EE"/>
    <w:rsid w:val="00F0724C"/>
    <w:rsid w:val="00F07625"/>
    <w:rsid w:val="00F07F92"/>
    <w:rsid w:val="00F10471"/>
    <w:rsid w:val="00F106EA"/>
    <w:rsid w:val="00F10816"/>
    <w:rsid w:val="00F108D8"/>
    <w:rsid w:val="00F10A13"/>
    <w:rsid w:val="00F10F41"/>
    <w:rsid w:val="00F1139E"/>
    <w:rsid w:val="00F11715"/>
    <w:rsid w:val="00F11C92"/>
    <w:rsid w:val="00F11FB1"/>
    <w:rsid w:val="00F120E7"/>
    <w:rsid w:val="00F1258F"/>
    <w:rsid w:val="00F125E7"/>
    <w:rsid w:val="00F12622"/>
    <w:rsid w:val="00F128A3"/>
    <w:rsid w:val="00F129E9"/>
    <w:rsid w:val="00F1321E"/>
    <w:rsid w:val="00F1326B"/>
    <w:rsid w:val="00F138CE"/>
    <w:rsid w:val="00F13C75"/>
    <w:rsid w:val="00F1413C"/>
    <w:rsid w:val="00F141EF"/>
    <w:rsid w:val="00F144E2"/>
    <w:rsid w:val="00F1486B"/>
    <w:rsid w:val="00F150B4"/>
    <w:rsid w:val="00F15157"/>
    <w:rsid w:val="00F15714"/>
    <w:rsid w:val="00F15898"/>
    <w:rsid w:val="00F159D6"/>
    <w:rsid w:val="00F15EA8"/>
    <w:rsid w:val="00F1611D"/>
    <w:rsid w:val="00F164AB"/>
    <w:rsid w:val="00F168D8"/>
    <w:rsid w:val="00F17245"/>
    <w:rsid w:val="00F17380"/>
    <w:rsid w:val="00F17407"/>
    <w:rsid w:val="00F17B35"/>
    <w:rsid w:val="00F201D3"/>
    <w:rsid w:val="00F2058B"/>
    <w:rsid w:val="00F21BBE"/>
    <w:rsid w:val="00F220BD"/>
    <w:rsid w:val="00F22506"/>
    <w:rsid w:val="00F227A4"/>
    <w:rsid w:val="00F22AC7"/>
    <w:rsid w:val="00F22E15"/>
    <w:rsid w:val="00F22FED"/>
    <w:rsid w:val="00F2374A"/>
    <w:rsid w:val="00F23780"/>
    <w:rsid w:val="00F2390A"/>
    <w:rsid w:val="00F23E4E"/>
    <w:rsid w:val="00F2410F"/>
    <w:rsid w:val="00F241B1"/>
    <w:rsid w:val="00F24354"/>
    <w:rsid w:val="00F24631"/>
    <w:rsid w:val="00F24E38"/>
    <w:rsid w:val="00F24F85"/>
    <w:rsid w:val="00F2560F"/>
    <w:rsid w:val="00F25CA8"/>
    <w:rsid w:val="00F25DB3"/>
    <w:rsid w:val="00F25E55"/>
    <w:rsid w:val="00F25E71"/>
    <w:rsid w:val="00F2619E"/>
    <w:rsid w:val="00F26217"/>
    <w:rsid w:val="00F26509"/>
    <w:rsid w:val="00F26B1A"/>
    <w:rsid w:val="00F26C5F"/>
    <w:rsid w:val="00F2789F"/>
    <w:rsid w:val="00F27904"/>
    <w:rsid w:val="00F27CA9"/>
    <w:rsid w:val="00F3043D"/>
    <w:rsid w:val="00F30589"/>
    <w:rsid w:val="00F30864"/>
    <w:rsid w:val="00F309FD"/>
    <w:rsid w:val="00F30A7B"/>
    <w:rsid w:val="00F31341"/>
    <w:rsid w:val="00F313EE"/>
    <w:rsid w:val="00F31462"/>
    <w:rsid w:val="00F31DD1"/>
    <w:rsid w:val="00F32124"/>
    <w:rsid w:val="00F32F11"/>
    <w:rsid w:val="00F333B3"/>
    <w:rsid w:val="00F3358E"/>
    <w:rsid w:val="00F33EA8"/>
    <w:rsid w:val="00F342FC"/>
    <w:rsid w:val="00F34B58"/>
    <w:rsid w:val="00F3545D"/>
    <w:rsid w:val="00F35A6D"/>
    <w:rsid w:val="00F35D8E"/>
    <w:rsid w:val="00F361A3"/>
    <w:rsid w:val="00F36486"/>
    <w:rsid w:val="00F364F1"/>
    <w:rsid w:val="00F36ED7"/>
    <w:rsid w:val="00F3702B"/>
    <w:rsid w:val="00F37119"/>
    <w:rsid w:val="00F37619"/>
    <w:rsid w:val="00F37E67"/>
    <w:rsid w:val="00F4037F"/>
    <w:rsid w:val="00F41FAC"/>
    <w:rsid w:val="00F42214"/>
    <w:rsid w:val="00F424A9"/>
    <w:rsid w:val="00F42D2B"/>
    <w:rsid w:val="00F42F18"/>
    <w:rsid w:val="00F430A7"/>
    <w:rsid w:val="00F43172"/>
    <w:rsid w:val="00F432B6"/>
    <w:rsid w:val="00F43916"/>
    <w:rsid w:val="00F43999"/>
    <w:rsid w:val="00F43C45"/>
    <w:rsid w:val="00F43EC1"/>
    <w:rsid w:val="00F43F0C"/>
    <w:rsid w:val="00F44391"/>
    <w:rsid w:val="00F44B70"/>
    <w:rsid w:val="00F44D6E"/>
    <w:rsid w:val="00F45452"/>
    <w:rsid w:val="00F45697"/>
    <w:rsid w:val="00F458BF"/>
    <w:rsid w:val="00F45F3F"/>
    <w:rsid w:val="00F47411"/>
    <w:rsid w:val="00F475EC"/>
    <w:rsid w:val="00F4767C"/>
    <w:rsid w:val="00F47A1C"/>
    <w:rsid w:val="00F47C26"/>
    <w:rsid w:val="00F50A88"/>
    <w:rsid w:val="00F5125A"/>
    <w:rsid w:val="00F51338"/>
    <w:rsid w:val="00F51920"/>
    <w:rsid w:val="00F519DF"/>
    <w:rsid w:val="00F520FB"/>
    <w:rsid w:val="00F52A6A"/>
    <w:rsid w:val="00F52E3A"/>
    <w:rsid w:val="00F52F6E"/>
    <w:rsid w:val="00F53080"/>
    <w:rsid w:val="00F5309F"/>
    <w:rsid w:val="00F53499"/>
    <w:rsid w:val="00F54AC9"/>
    <w:rsid w:val="00F55014"/>
    <w:rsid w:val="00F5506A"/>
    <w:rsid w:val="00F55099"/>
    <w:rsid w:val="00F551D4"/>
    <w:rsid w:val="00F557EC"/>
    <w:rsid w:val="00F55A1B"/>
    <w:rsid w:val="00F55D4A"/>
    <w:rsid w:val="00F563B4"/>
    <w:rsid w:val="00F57012"/>
    <w:rsid w:val="00F5732E"/>
    <w:rsid w:val="00F57634"/>
    <w:rsid w:val="00F603A6"/>
    <w:rsid w:val="00F60B26"/>
    <w:rsid w:val="00F60B3D"/>
    <w:rsid w:val="00F61206"/>
    <w:rsid w:val="00F61332"/>
    <w:rsid w:val="00F61DAD"/>
    <w:rsid w:val="00F61E9F"/>
    <w:rsid w:val="00F621CC"/>
    <w:rsid w:val="00F625F0"/>
    <w:rsid w:val="00F62D47"/>
    <w:rsid w:val="00F632EE"/>
    <w:rsid w:val="00F6359E"/>
    <w:rsid w:val="00F636B9"/>
    <w:rsid w:val="00F63ECB"/>
    <w:rsid w:val="00F6424E"/>
    <w:rsid w:val="00F645F9"/>
    <w:rsid w:val="00F646CB"/>
    <w:rsid w:val="00F64704"/>
    <w:rsid w:val="00F64AA3"/>
    <w:rsid w:val="00F6540A"/>
    <w:rsid w:val="00F6546C"/>
    <w:rsid w:val="00F658E1"/>
    <w:rsid w:val="00F65CF2"/>
    <w:rsid w:val="00F6651B"/>
    <w:rsid w:val="00F6666C"/>
    <w:rsid w:val="00F668D9"/>
    <w:rsid w:val="00F66B7D"/>
    <w:rsid w:val="00F67D56"/>
    <w:rsid w:val="00F67D95"/>
    <w:rsid w:val="00F67ED7"/>
    <w:rsid w:val="00F70803"/>
    <w:rsid w:val="00F70CC2"/>
    <w:rsid w:val="00F70CE8"/>
    <w:rsid w:val="00F70EC1"/>
    <w:rsid w:val="00F70F5F"/>
    <w:rsid w:val="00F715E1"/>
    <w:rsid w:val="00F71643"/>
    <w:rsid w:val="00F71835"/>
    <w:rsid w:val="00F71A3D"/>
    <w:rsid w:val="00F72675"/>
    <w:rsid w:val="00F728C4"/>
    <w:rsid w:val="00F72A5C"/>
    <w:rsid w:val="00F7342B"/>
    <w:rsid w:val="00F736F3"/>
    <w:rsid w:val="00F737C0"/>
    <w:rsid w:val="00F73BC8"/>
    <w:rsid w:val="00F7454D"/>
    <w:rsid w:val="00F7468D"/>
    <w:rsid w:val="00F74706"/>
    <w:rsid w:val="00F7479B"/>
    <w:rsid w:val="00F74884"/>
    <w:rsid w:val="00F749B2"/>
    <w:rsid w:val="00F7573C"/>
    <w:rsid w:val="00F759AF"/>
    <w:rsid w:val="00F75E65"/>
    <w:rsid w:val="00F75F44"/>
    <w:rsid w:val="00F76C80"/>
    <w:rsid w:val="00F76DBE"/>
    <w:rsid w:val="00F76F5B"/>
    <w:rsid w:val="00F771D2"/>
    <w:rsid w:val="00F77481"/>
    <w:rsid w:val="00F774A7"/>
    <w:rsid w:val="00F77842"/>
    <w:rsid w:val="00F77953"/>
    <w:rsid w:val="00F80136"/>
    <w:rsid w:val="00F802F3"/>
    <w:rsid w:val="00F80584"/>
    <w:rsid w:val="00F80722"/>
    <w:rsid w:val="00F80883"/>
    <w:rsid w:val="00F80E85"/>
    <w:rsid w:val="00F8141A"/>
    <w:rsid w:val="00F81A6E"/>
    <w:rsid w:val="00F81C67"/>
    <w:rsid w:val="00F81F45"/>
    <w:rsid w:val="00F8227B"/>
    <w:rsid w:val="00F82634"/>
    <w:rsid w:val="00F82B43"/>
    <w:rsid w:val="00F82CC8"/>
    <w:rsid w:val="00F82CCC"/>
    <w:rsid w:val="00F82CD7"/>
    <w:rsid w:val="00F839CF"/>
    <w:rsid w:val="00F84305"/>
    <w:rsid w:val="00F85105"/>
    <w:rsid w:val="00F8533B"/>
    <w:rsid w:val="00F853D3"/>
    <w:rsid w:val="00F8587D"/>
    <w:rsid w:val="00F861A3"/>
    <w:rsid w:val="00F864A8"/>
    <w:rsid w:val="00F86D85"/>
    <w:rsid w:val="00F87339"/>
    <w:rsid w:val="00F87577"/>
    <w:rsid w:val="00F87D60"/>
    <w:rsid w:val="00F87DF0"/>
    <w:rsid w:val="00F87F98"/>
    <w:rsid w:val="00F903F3"/>
    <w:rsid w:val="00F90645"/>
    <w:rsid w:val="00F90CA0"/>
    <w:rsid w:val="00F9131D"/>
    <w:rsid w:val="00F915FB"/>
    <w:rsid w:val="00F91CA1"/>
    <w:rsid w:val="00F92153"/>
    <w:rsid w:val="00F92729"/>
    <w:rsid w:val="00F92B4E"/>
    <w:rsid w:val="00F93265"/>
    <w:rsid w:val="00F93686"/>
    <w:rsid w:val="00F93D2C"/>
    <w:rsid w:val="00F93E06"/>
    <w:rsid w:val="00F9561A"/>
    <w:rsid w:val="00F956F7"/>
    <w:rsid w:val="00F95754"/>
    <w:rsid w:val="00F95777"/>
    <w:rsid w:val="00F957D1"/>
    <w:rsid w:val="00F958AA"/>
    <w:rsid w:val="00F95EA4"/>
    <w:rsid w:val="00F95F06"/>
    <w:rsid w:val="00F9630B"/>
    <w:rsid w:val="00F96459"/>
    <w:rsid w:val="00F9659F"/>
    <w:rsid w:val="00F965D8"/>
    <w:rsid w:val="00F966FB"/>
    <w:rsid w:val="00F96D39"/>
    <w:rsid w:val="00F96E0F"/>
    <w:rsid w:val="00F970BA"/>
    <w:rsid w:val="00F975AD"/>
    <w:rsid w:val="00F975B7"/>
    <w:rsid w:val="00F97915"/>
    <w:rsid w:val="00FA0513"/>
    <w:rsid w:val="00FA05A8"/>
    <w:rsid w:val="00FA07BA"/>
    <w:rsid w:val="00FA08C5"/>
    <w:rsid w:val="00FA0D1C"/>
    <w:rsid w:val="00FA0ED9"/>
    <w:rsid w:val="00FA12C7"/>
    <w:rsid w:val="00FA16D7"/>
    <w:rsid w:val="00FA1F47"/>
    <w:rsid w:val="00FA214A"/>
    <w:rsid w:val="00FA21A6"/>
    <w:rsid w:val="00FA21C8"/>
    <w:rsid w:val="00FA2207"/>
    <w:rsid w:val="00FA24AB"/>
    <w:rsid w:val="00FA250C"/>
    <w:rsid w:val="00FA2C88"/>
    <w:rsid w:val="00FA380C"/>
    <w:rsid w:val="00FA3A21"/>
    <w:rsid w:val="00FA3BC3"/>
    <w:rsid w:val="00FA4385"/>
    <w:rsid w:val="00FA4435"/>
    <w:rsid w:val="00FA4526"/>
    <w:rsid w:val="00FA4542"/>
    <w:rsid w:val="00FA4BAA"/>
    <w:rsid w:val="00FA5751"/>
    <w:rsid w:val="00FA6618"/>
    <w:rsid w:val="00FA6BE6"/>
    <w:rsid w:val="00FA6C1B"/>
    <w:rsid w:val="00FA720E"/>
    <w:rsid w:val="00FA7344"/>
    <w:rsid w:val="00FA75CF"/>
    <w:rsid w:val="00FA7698"/>
    <w:rsid w:val="00FA7CF3"/>
    <w:rsid w:val="00FB0DF1"/>
    <w:rsid w:val="00FB0F9A"/>
    <w:rsid w:val="00FB1050"/>
    <w:rsid w:val="00FB1846"/>
    <w:rsid w:val="00FB19CC"/>
    <w:rsid w:val="00FB1C4D"/>
    <w:rsid w:val="00FB21F9"/>
    <w:rsid w:val="00FB222A"/>
    <w:rsid w:val="00FB22EF"/>
    <w:rsid w:val="00FB2865"/>
    <w:rsid w:val="00FB2B42"/>
    <w:rsid w:val="00FB333F"/>
    <w:rsid w:val="00FB359E"/>
    <w:rsid w:val="00FB35F9"/>
    <w:rsid w:val="00FB3CD2"/>
    <w:rsid w:val="00FB3D89"/>
    <w:rsid w:val="00FB454E"/>
    <w:rsid w:val="00FB4785"/>
    <w:rsid w:val="00FB4D8D"/>
    <w:rsid w:val="00FB5491"/>
    <w:rsid w:val="00FB549C"/>
    <w:rsid w:val="00FB6451"/>
    <w:rsid w:val="00FB67D0"/>
    <w:rsid w:val="00FB6DFB"/>
    <w:rsid w:val="00FB711B"/>
    <w:rsid w:val="00FB7194"/>
    <w:rsid w:val="00FB7995"/>
    <w:rsid w:val="00FB7B73"/>
    <w:rsid w:val="00FC0185"/>
    <w:rsid w:val="00FC05C2"/>
    <w:rsid w:val="00FC0BDC"/>
    <w:rsid w:val="00FC2242"/>
    <w:rsid w:val="00FC224E"/>
    <w:rsid w:val="00FC282E"/>
    <w:rsid w:val="00FC2E82"/>
    <w:rsid w:val="00FC30BF"/>
    <w:rsid w:val="00FC3312"/>
    <w:rsid w:val="00FC3332"/>
    <w:rsid w:val="00FC33E6"/>
    <w:rsid w:val="00FC4834"/>
    <w:rsid w:val="00FC4900"/>
    <w:rsid w:val="00FC54D7"/>
    <w:rsid w:val="00FC5C1C"/>
    <w:rsid w:val="00FC5E85"/>
    <w:rsid w:val="00FC697C"/>
    <w:rsid w:val="00FC6F64"/>
    <w:rsid w:val="00FC723D"/>
    <w:rsid w:val="00FC78CD"/>
    <w:rsid w:val="00FC7B99"/>
    <w:rsid w:val="00FC7F26"/>
    <w:rsid w:val="00FD0907"/>
    <w:rsid w:val="00FD0B14"/>
    <w:rsid w:val="00FD1094"/>
    <w:rsid w:val="00FD169E"/>
    <w:rsid w:val="00FD1B0E"/>
    <w:rsid w:val="00FD1D50"/>
    <w:rsid w:val="00FD1E58"/>
    <w:rsid w:val="00FD1ECF"/>
    <w:rsid w:val="00FD226A"/>
    <w:rsid w:val="00FD2427"/>
    <w:rsid w:val="00FD2471"/>
    <w:rsid w:val="00FD2ACE"/>
    <w:rsid w:val="00FD40DB"/>
    <w:rsid w:val="00FD422C"/>
    <w:rsid w:val="00FD455B"/>
    <w:rsid w:val="00FD4963"/>
    <w:rsid w:val="00FD6A10"/>
    <w:rsid w:val="00FD6E3E"/>
    <w:rsid w:val="00FD704D"/>
    <w:rsid w:val="00FD747C"/>
    <w:rsid w:val="00FD78E5"/>
    <w:rsid w:val="00FD7916"/>
    <w:rsid w:val="00FD7C1E"/>
    <w:rsid w:val="00FD7DB3"/>
    <w:rsid w:val="00FD7E88"/>
    <w:rsid w:val="00FD7EA6"/>
    <w:rsid w:val="00FE0460"/>
    <w:rsid w:val="00FE0B71"/>
    <w:rsid w:val="00FE1786"/>
    <w:rsid w:val="00FE181D"/>
    <w:rsid w:val="00FE225B"/>
    <w:rsid w:val="00FE2E77"/>
    <w:rsid w:val="00FE321E"/>
    <w:rsid w:val="00FE381D"/>
    <w:rsid w:val="00FE39F2"/>
    <w:rsid w:val="00FE3BCF"/>
    <w:rsid w:val="00FE3E8A"/>
    <w:rsid w:val="00FE458A"/>
    <w:rsid w:val="00FE54F7"/>
    <w:rsid w:val="00FE572D"/>
    <w:rsid w:val="00FE5938"/>
    <w:rsid w:val="00FE5C60"/>
    <w:rsid w:val="00FE5DA8"/>
    <w:rsid w:val="00FE60F1"/>
    <w:rsid w:val="00FE6780"/>
    <w:rsid w:val="00FE7508"/>
    <w:rsid w:val="00FE7A6D"/>
    <w:rsid w:val="00FE7B66"/>
    <w:rsid w:val="00FE7C99"/>
    <w:rsid w:val="00FF0238"/>
    <w:rsid w:val="00FF0427"/>
    <w:rsid w:val="00FF04B3"/>
    <w:rsid w:val="00FF05E0"/>
    <w:rsid w:val="00FF06D5"/>
    <w:rsid w:val="00FF086C"/>
    <w:rsid w:val="00FF11FA"/>
    <w:rsid w:val="00FF1E73"/>
    <w:rsid w:val="00FF2286"/>
    <w:rsid w:val="00FF265C"/>
    <w:rsid w:val="00FF3A17"/>
    <w:rsid w:val="00FF4737"/>
    <w:rsid w:val="00FF485B"/>
    <w:rsid w:val="00FF4B8D"/>
    <w:rsid w:val="00FF4C4D"/>
    <w:rsid w:val="00FF50AC"/>
    <w:rsid w:val="00FF529F"/>
    <w:rsid w:val="00FF5932"/>
    <w:rsid w:val="00FF5AB6"/>
    <w:rsid w:val="00FF5F27"/>
    <w:rsid w:val="00FF630C"/>
    <w:rsid w:val="00FF71B7"/>
    <w:rsid w:val="00FF7C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C777A"/>
  <w15:docId w15:val="{8585EED5-A9E8-407D-8AD5-C4A60E4B8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1"/>
        <w:szCs w:val="21"/>
        <w:lang w:val="en-GB" w:eastAsia="en-GB" w:bidi="ar-SA"/>
      </w:rPr>
    </w:rPrDefault>
    <w:pPrDefault>
      <w:pPr>
        <w:spacing w:line="264" w:lineRule="auto"/>
        <w:jc w:val="both"/>
      </w:pPr>
    </w:pPrDefault>
  </w:docDefaults>
  <w:latentStyles w:defLockedState="0" w:defUIPriority="0" w:defSemiHidden="0" w:defUnhideWhenUsed="0" w:defQFormat="0" w:count="376">
    <w:lsdException w:name="Normal" w:uiPriority="7"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5" w:unhideWhenUsed="1" w:qFormat="1"/>
    <w:lsdException w:name="heading 6" w:semiHidden="1" w:uiPriority="16" w:unhideWhenUsed="1" w:qFormat="1"/>
    <w:lsdException w:name="heading 7" w:semiHidden="1" w:uiPriority="16" w:unhideWhenUsed="1" w:qFormat="1"/>
    <w:lsdException w:name="heading 8" w:semiHidden="1" w:uiPriority="16" w:unhideWhenUsed="1" w:qFormat="1"/>
    <w:lsdException w:name="heading 9" w:semiHidden="1" w:uiPriority="16" w:unhideWhenUsed="1" w:qFormat="1"/>
    <w:lsdException w:name="index 1" w:semiHidden="1" w:uiPriority="17" w:unhideWhenUsed="1"/>
    <w:lsdException w:name="index 2" w:semiHidden="1" w:uiPriority="17" w:unhideWhenUsed="1"/>
    <w:lsdException w:name="index 3" w:semiHidden="1" w:uiPriority="17" w:unhideWhenUsed="1"/>
    <w:lsdException w:name="index 4" w:semiHidden="1" w:uiPriority="17" w:unhideWhenUsed="1"/>
    <w:lsdException w:name="index 5" w:semiHidden="1" w:uiPriority="17" w:unhideWhenUsed="1"/>
    <w:lsdException w:name="index 6" w:semiHidden="1" w:uiPriority="17" w:unhideWhenUsed="1"/>
    <w:lsdException w:name="index 7" w:semiHidden="1" w:uiPriority="17" w:unhideWhenUsed="1"/>
    <w:lsdException w:name="index 8" w:semiHidden="1" w:uiPriority="17" w:unhideWhenUsed="1"/>
    <w:lsdException w:name="index 9" w:semiHidden="1" w:uiPriority="1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iPriority="29" w:unhideWhenUsed="1"/>
    <w:lsdException w:name="footnote text" w:semiHidden="1" w:uiPriority="17" w:unhideWhenUsed="1"/>
    <w:lsdException w:name="annotation text" w:semiHidden="1" w:uiPriority="17" w:unhideWhenUsed="1"/>
    <w:lsdException w:name="header" w:semiHidden="1" w:uiPriority="99" w:unhideWhenUsed="1" w:qFormat="1"/>
    <w:lsdException w:name="footer" w:semiHidden="1" w:uiPriority="13" w:unhideWhenUsed="1"/>
    <w:lsdException w:name="index heading" w:semiHidden="1" w:uiPriority="17" w:unhideWhenUsed="1"/>
    <w:lsdException w:name="caption" w:semiHidden="1" w:uiPriority="17" w:unhideWhenUsed="1" w:qFormat="1"/>
    <w:lsdException w:name="table of figures" w:semiHidden="1" w:uiPriority="17" w:unhideWhenUsed="1"/>
    <w:lsdException w:name="envelope address" w:semiHidden="1" w:uiPriority="17" w:unhideWhenUsed="1"/>
    <w:lsdException w:name="envelope return" w:semiHidden="1" w:uiPriority="17" w:unhideWhenUsed="1"/>
    <w:lsdException w:name="footnote reference" w:semiHidden="1" w:unhideWhenUsed="1" w:qFormat="1"/>
    <w:lsdException w:name="annotation reference" w:semiHidden="1" w:uiPriority="17" w:unhideWhenUsed="1"/>
    <w:lsdException w:name="line number" w:semiHidden="1" w:uiPriority="17" w:unhideWhenUsed="1"/>
    <w:lsdException w:name="page number" w:semiHidden="1" w:uiPriority="17" w:unhideWhenUsed="1"/>
    <w:lsdException w:name="endnote reference" w:semiHidden="1" w:uiPriority="17" w:unhideWhenUsed="1"/>
    <w:lsdException w:name="endnote text" w:uiPriority="17"/>
    <w:lsdException w:name="table of authorities" w:semiHidden="1" w:uiPriority="17" w:unhideWhenUsed="1"/>
    <w:lsdException w:name="macro" w:semiHidden="1" w:uiPriority="17" w:unhideWhenUsed="1"/>
    <w:lsdException w:name="toa heading" w:uiPriority="49"/>
    <w:lsdException w:name="List" w:uiPriority="29"/>
    <w:lsdException w:name="List Bullet" w:semiHidden="1" w:uiPriority="29" w:unhideWhenUsed="1"/>
    <w:lsdException w:name="List Number" w:semiHidden="1" w:uiPriority="29" w:unhideWhenUsed="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29" w:unhideWhenUsed="1"/>
    <w:lsdException w:name="List Bullet 3" w:semiHidden="1" w:uiPriority="29" w:unhideWhenUsed="1"/>
    <w:lsdException w:name="List Bullet 4" w:semiHidden="1" w:uiPriority="29" w:unhideWhenUsed="1"/>
    <w:lsdException w:name="List Bullet 5" w:semiHidden="1" w:uiPriority="29" w:unhideWhenUsed="1"/>
    <w:lsdException w:name="List Number 2" w:semiHidden="1" w:uiPriority="29" w:unhideWhenUsed="1"/>
    <w:lsdException w:name="List Number 3" w:semiHidden="1" w:uiPriority="29" w:unhideWhenUsed="1"/>
    <w:lsdException w:name="List Number 4" w:semiHidden="1" w:uiPriority="99" w:unhideWhenUsed="1"/>
    <w:lsdException w:name="List Number 5" w:semiHidden="1" w:uiPriority="29" w:unhideWhenUsed="1"/>
    <w:lsdException w:name="Title" w:uiPriority="18" w:qFormat="1"/>
    <w:lsdException w:name="Closing" w:semiHidden="1" w:uiPriority="17" w:unhideWhenUsed="1"/>
    <w:lsdException w:name="Signature" w:semiHidden="1" w:uiPriority="17" w:unhideWhenUsed="1"/>
    <w:lsdException w:name="Default Paragraph Font" w:semiHidden="1" w:uiPriority="1" w:unhideWhenUsed="1"/>
    <w:lsdException w:name="Body Text" w:semiHidden="1" w:uiPriority="17" w:unhideWhenUsed="1" w:qFormat="1"/>
    <w:lsdException w:name="Body Text Indent" w:semiHidden="1" w:uiPriority="17" w:unhideWhenUsed="1"/>
    <w:lsdException w:name="List Continue" w:uiPriority="29"/>
    <w:lsdException w:name="List Continue 2" w:uiPriority="29"/>
    <w:lsdException w:name="List Continue 3" w:uiPriority="29"/>
    <w:lsdException w:name="List Continue 4" w:uiPriority="29"/>
    <w:lsdException w:name="List Continue 5" w:semiHidden="1" w:uiPriority="29" w:unhideWhenUsed="1"/>
    <w:lsdException w:name="Message Header" w:semiHidden="1" w:uiPriority="17" w:unhideWhenUsed="1"/>
    <w:lsdException w:name="Subtitle" w:uiPriority="18" w:qFormat="1"/>
    <w:lsdException w:name="Salutation" w:semiHidden="1" w:uiPriority="17" w:unhideWhenUsed="1"/>
    <w:lsdException w:name="Date" w:semiHidden="1" w:uiPriority="17" w:unhideWhenUsed="1"/>
    <w:lsdException w:name="Body Text First Indent" w:semiHidden="1" w:uiPriority="17" w:unhideWhenUsed="1"/>
    <w:lsdException w:name="Body Text First Indent 2" w:semiHidden="1" w:uiPriority="17" w:unhideWhenUsed="1"/>
    <w:lsdException w:name="Note Heading" w:semiHidden="1" w:uiPriority="17" w:unhideWhenUsed="1"/>
    <w:lsdException w:name="Body Text 2" w:semiHidden="1" w:uiPriority="17" w:unhideWhenUsed="1"/>
    <w:lsdException w:name="Body Text 3" w:semiHidden="1" w:uiPriority="17" w:unhideWhenUsed="1"/>
    <w:lsdException w:name="Body Text Indent 2" w:semiHidden="1" w:uiPriority="17" w:unhideWhenUsed="1"/>
    <w:lsdException w:name="Body Text Indent 3" w:semiHidden="1" w:uiPriority="17" w:unhideWhenUsed="1"/>
    <w:lsdException w:name="Block Text" w:semiHidden="1" w:uiPriority="17" w:unhideWhenUsed="1"/>
    <w:lsdException w:name="Hyperlink" w:semiHidden="1" w:uiPriority="99" w:unhideWhenUsed="1" w:qFormat="1"/>
    <w:lsdException w:name="FollowedHyperlink" w:semiHidden="1" w:uiPriority="99" w:unhideWhenUsed="1"/>
    <w:lsdException w:name="Strong" w:uiPriority="33"/>
    <w:lsdException w:name="Emphasis" w:uiPriority="29" w:qFormat="1"/>
    <w:lsdException w:name="Document Map" w:semiHidden="1" w:uiPriority="17" w:unhideWhenUsed="1"/>
    <w:lsdException w:name="Plain Text" w:semiHidden="1" w:uiPriority="17" w:unhideWhenUsed="1"/>
    <w:lsdException w:name="E-mail Signature" w:semiHidden="1" w:uiPriority="17" w:unhideWhenUsed="1"/>
    <w:lsdException w:name="HTML Top of Form" w:semiHidden="1" w:unhideWhenUsed="1"/>
    <w:lsdException w:name="HTML Bottom of Form" w:semiHidden="1" w:unhideWhenUsed="1"/>
    <w:lsdException w:name="Normal (Web)" w:semiHidden="1" w:uiPriority="29" w:unhideWhenUsed="1"/>
    <w:lsdException w:name="HTML Acronym" w:semiHidden="1" w:uiPriority="29" w:unhideWhenUsed="1"/>
    <w:lsdException w:name="HTML Address" w:semiHidden="1" w:uiPriority="29" w:unhideWhenUsed="1"/>
    <w:lsdException w:name="HTML Cite" w:semiHidden="1" w:uiPriority="29" w:unhideWhenUsed="1"/>
    <w:lsdException w:name="HTML Code" w:semiHidden="1" w:uiPriority="29" w:unhideWhenUsed="1"/>
    <w:lsdException w:name="HTML Definition" w:semiHidden="1" w:uiPriority="29" w:unhideWhenUsed="1"/>
    <w:lsdException w:name="HTML Keyboard" w:semiHidden="1" w:uiPriority="29" w:unhideWhenUsed="1"/>
    <w:lsdException w:name="HTML Preformatted" w:semiHidden="1" w:uiPriority="29" w:unhideWhenUsed="1"/>
    <w:lsdException w:name="HTML Sample" w:semiHidden="1" w:uiPriority="29" w:unhideWhenUsed="1"/>
    <w:lsdException w:name="HTML Typewriter" w:semiHidden="1" w:uiPriority="29" w:unhideWhenUsed="1"/>
    <w:lsdException w:name="HTML Variable" w:semiHidden="1" w:uiPriority="29" w:unhideWhenUsed="1"/>
    <w:lsdException w:name="Normal Table" w:semiHidden="1" w:unhideWhenUsed="1"/>
    <w:lsdException w:name="annotation subject" w:semiHidden="1" w:uiPriority="17"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17"/>
    <w:lsdException w:name="Table Grid" w:uiPriority="59"/>
    <w:lsdException w:name="Table Theme" w:semiHidden="1" w:unhideWhenUsed="1"/>
    <w:lsdException w:name="Placeholder Text" w:semiHidden="1" w:uiPriority="99"/>
    <w:lsdException w:name="No Spacing"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44" w:qFormat="1"/>
    <w:lsdException w:name="Quote" w:uiPriority="39" w:qFormat="1"/>
    <w:lsdException w:name="Intense Quote" w:uiPriority="4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34"/>
    <w:lsdException w:name="Intense Emphasis" w:semiHidden="1" w:uiPriority="59"/>
    <w:lsdException w:name="Subtle Reference" w:semiHidden="1" w:uiPriority="41" w:qFormat="1"/>
    <w:lsdException w:name="Intense Reference" w:semiHidden="1" w:uiPriority="59" w:qFormat="1"/>
    <w:lsdException w:name="Book Title" w:uiPriority="43" w:qFormat="1"/>
    <w:lsdException w:name="Bibliography" w:semiHidden="1" w:uiPriority="47"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qFormat/>
    <w:rsid w:val="00634246"/>
    <w:rPr>
      <w:sz w:val="19"/>
    </w:rPr>
  </w:style>
  <w:style w:type="paragraph" w:styleId="Heading1">
    <w:name w:val="heading 1"/>
    <w:basedOn w:val="Level1"/>
    <w:next w:val="Body2"/>
    <w:link w:val="Heading1Char"/>
    <w:uiPriority w:val="4"/>
    <w:qFormat/>
    <w:rsid w:val="00386753"/>
    <w:pPr>
      <w:keepNext/>
    </w:pPr>
    <w:rPr>
      <w:b/>
      <w:smallCaps/>
    </w:rPr>
  </w:style>
  <w:style w:type="paragraph" w:styleId="Heading2">
    <w:name w:val="heading 2"/>
    <w:basedOn w:val="Level2"/>
    <w:next w:val="Body2"/>
    <w:link w:val="Heading2Char"/>
    <w:uiPriority w:val="4"/>
    <w:qFormat/>
    <w:rsid w:val="00386753"/>
    <w:pPr>
      <w:keepNext/>
    </w:pPr>
    <w:rPr>
      <w:b/>
    </w:rPr>
  </w:style>
  <w:style w:type="paragraph" w:styleId="Heading3">
    <w:name w:val="heading 3"/>
    <w:basedOn w:val="Level3"/>
    <w:next w:val="Body3"/>
    <w:link w:val="Heading3Char"/>
    <w:uiPriority w:val="4"/>
    <w:qFormat/>
    <w:rsid w:val="00386753"/>
    <w:pPr>
      <w:keepNext/>
      <w:ind w:left="1418"/>
    </w:pPr>
    <w:rPr>
      <w:b/>
    </w:rPr>
  </w:style>
  <w:style w:type="paragraph" w:styleId="Heading4">
    <w:name w:val="heading 4"/>
    <w:basedOn w:val="Level4"/>
    <w:next w:val="Body4"/>
    <w:link w:val="Heading4Char"/>
    <w:uiPriority w:val="5"/>
    <w:semiHidden/>
    <w:qFormat/>
    <w:rsid w:val="00386753"/>
    <w:pPr>
      <w:keepNext/>
      <w:numPr>
        <w:numId w:val="2"/>
      </w:numPr>
      <w:ind w:left="2127"/>
    </w:pPr>
    <w:rPr>
      <w:b/>
    </w:rPr>
  </w:style>
  <w:style w:type="paragraph" w:styleId="Heading5">
    <w:name w:val="heading 5"/>
    <w:basedOn w:val="Normal"/>
    <w:next w:val="Normal"/>
    <w:link w:val="Heading5Char"/>
    <w:uiPriority w:val="5"/>
    <w:semiHidden/>
    <w:qFormat/>
    <w:rsid w:val="00386753"/>
    <w:pPr>
      <w:spacing w:before="240" w:after="60"/>
      <w:outlineLvl w:val="4"/>
    </w:pPr>
    <w:rPr>
      <w:sz w:val="22"/>
    </w:rPr>
  </w:style>
  <w:style w:type="paragraph" w:styleId="Heading6">
    <w:name w:val="heading 6"/>
    <w:basedOn w:val="Normal"/>
    <w:next w:val="Normal"/>
    <w:link w:val="Heading6Char"/>
    <w:uiPriority w:val="16"/>
    <w:semiHidden/>
    <w:qFormat/>
    <w:rsid w:val="00386753"/>
    <w:pPr>
      <w:spacing w:before="240" w:after="60"/>
      <w:outlineLvl w:val="5"/>
    </w:pPr>
    <w:rPr>
      <w:rFonts w:ascii="Times New Roman" w:hAnsi="Times New Roman"/>
      <w:i/>
      <w:sz w:val="22"/>
    </w:rPr>
  </w:style>
  <w:style w:type="paragraph" w:styleId="Heading7">
    <w:name w:val="heading 7"/>
    <w:basedOn w:val="Normal"/>
    <w:next w:val="Normal"/>
    <w:link w:val="Heading7Char"/>
    <w:uiPriority w:val="16"/>
    <w:semiHidden/>
    <w:qFormat/>
    <w:rsid w:val="00386753"/>
    <w:pPr>
      <w:spacing w:before="240" w:after="60"/>
      <w:outlineLvl w:val="6"/>
    </w:pPr>
    <w:rPr>
      <w:sz w:val="20"/>
    </w:rPr>
  </w:style>
  <w:style w:type="paragraph" w:styleId="Heading8">
    <w:name w:val="heading 8"/>
    <w:basedOn w:val="Normal"/>
    <w:next w:val="Normal"/>
    <w:link w:val="Heading8Char"/>
    <w:uiPriority w:val="16"/>
    <w:semiHidden/>
    <w:qFormat/>
    <w:rsid w:val="00386753"/>
    <w:pPr>
      <w:spacing w:before="240" w:after="60"/>
      <w:outlineLvl w:val="7"/>
    </w:pPr>
    <w:rPr>
      <w:i/>
      <w:sz w:val="20"/>
    </w:rPr>
  </w:style>
  <w:style w:type="paragraph" w:styleId="Heading9">
    <w:name w:val="heading 9"/>
    <w:basedOn w:val="Normal"/>
    <w:next w:val="Normal"/>
    <w:link w:val="Heading9Char"/>
    <w:uiPriority w:val="16"/>
    <w:semiHidden/>
    <w:qFormat/>
    <w:rsid w:val="00386753"/>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chCustomList0">
    <w:name w:val="SchCustomList"/>
  </w:style>
  <w:style w:type="paragraph" w:styleId="Header">
    <w:name w:val="header"/>
    <w:basedOn w:val="Normal"/>
    <w:link w:val="HeaderChar"/>
    <w:uiPriority w:val="99"/>
    <w:unhideWhenUsed/>
    <w:rsid w:val="00386753"/>
    <w:pPr>
      <w:tabs>
        <w:tab w:val="center" w:pos="4536"/>
        <w:tab w:val="right" w:pos="9072"/>
      </w:tabs>
    </w:pPr>
  </w:style>
  <w:style w:type="character" w:customStyle="1" w:styleId="HeaderChar">
    <w:name w:val="Header Char"/>
    <w:basedOn w:val="DefaultParagraphFont"/>
    <w:link w:val="Header"/>
    <w:uiPriority w:val="99"/>
    <w:rsid w:val="00386753"/>
  </w:style>
  <w:style w:type="paragraph" w:styleId="Footer">
    <w:name w:val="footer"/>
    <w:basedOn w:val="Normal"/>
    <w:link w:val="FooterChar"/>
    <w:uiPriority w:val="13"/>
    <w:unhideWhenUsed/>
    <w:rsid w:val="00386753"/>
    <w:pPr>
      <w:tabs>
        <w:tab w:val="center" w:pos="4536"/>
        <w:tab w:val="right" w:pos="9072"/>
      </w:tabs>
      <w:jc w:val="left"/>
    </w:pPr>
    <w:rPr>
      <w:sz w:val="16"/>
    </w:rPr>
  </w:style>
  <w:style w:type="character" w:customStyle="1" w:styleId="FooterChar">
    <w:name w:val="Footer Char"/>
    <w:basedOn w:val="DefaultParagraphFont"/>
    <w:link w:val="Footer"/>
    <w:uiPriority w:val="13"/>
    <w:rsid w:val="00386753"/>
    <w:rPr>
      <w:sz w:val="16"/>
    </w:rPr>
  </w:style>
  <w:style w:type="character" w:styleId="FootnoteReference">
    <w:name w:val="footnote reference"/>
    <w:basedOn w:val="DefaultParagraphFont"/>
    <w:link w:val="FootnoteReferenceNumber"/>
    <w:unhideWhenUsed/>
    <w:qFormat/>
    <w:rsid w:val="00386753"/>
    <w:rPr>
      <w:vertAlign w:val="superscript"/>
    </w:rPr>
  </w:style>
  <w:style w:type="paragraph" w:styleId="FootnoteText">
    <w:name w:val="footnote text"/>
    <w:basedOn w:val="Normal"/>
    <w:link w:val="FootnoteTextChar"/>
    <w:uiPriority w:val="17"/>
    <w:unhideWhenUsed/>
    <w:rsid w:val="00386753"/>
    <w:pPr>
      <w:tabs>
        <w:tab w:val="left" w:pos="720"/>
      </w:tabs>
      <w:ind w:left="720" w:hanging="720"/>
    </w:pPr>
    <w:rPr>
      <w:sz w:val="16"/>
    </w:rPr>
  </w:style>
  <w:style w:type="character" w:customStyle="1" w:styleId="Heading1Char">
    <w:name w:val="Heading 1 Char"/>
    <w:basedOn w:val="Level1Char"/>
    <w:link w:val="Heading1"/>
    <w:uiPriority w:val="4"/>
    <w:rsid w:val="00386753"/>
    <w:rPr>
      <w:b/>
      <w:smallCaps/>
      <w:sz w:val="19"/>
    </w:rPr>
  </w:style>
  <w:style w:type="character" w:customStyle="1" w:styleId="Heading2Char">
    <w:name w:val="Heading 2 Char"/>
    <w:basedOn w:val="Level2Char"/>
    <w:link w:val="Heading2"/>
    <w:uiPriority w:val="4"/>
    <w:rsid w:val="00386753"/>
    <w:rPr>
      <w:b/>
      <w:sz w:val="19"/>
    </w:rPr>
  </w:style>
  <w:style w:type="character" w:customStyle="1" w:styleId="Heading3Char">
    <w:name w:val="Heading 3 Char"/>
    <w:basedOn w:val="Level3Char"/>
    <w:link w:val="Heading3"/>
    <w:uiPriority w:val="4"/>
    <w:rsid w:val="00386753"/>
    <w:rPr>
      <w:b/>
      <w:sz w:val="19"/>
    </w:rPr>
  </w:style>
  <w:style w:type="character" w:customStyle="1" w:styleId="Heading4Char">
    <w:name w:val="Heading 4 Char"/>
    <w:basedOn w:val="Level4Char"/>
    <w:link w:val="Heading4"/>
    <w:uiPriority w:val="5"/>
    <w:semiHidden/>
    <w:rsid w:val="00386753"/>
    <w:rPr>
      <w:b/>
      <w:sz w:val="19"/>
    </w:rPr>
  </w:style>
  <w:style w:type="character" w:customStyle="1" w:styleId="Heading5Char">
    <w:name w:val="Heading 5 Char"/>
    <w:basedOn w:val="DefaultParagraphFont"/>
    <w:link w:val="Heading5"/>
    <w:uiPriority w:val="5"/>
    <w:semiHidden/>
    <w:rsid w:val="00386753"/>
    <w:rPr>
      <w:sz w:val="22"/>
    </w:rPr>
  </w:style>
  <w:style w:type="character" w:customStyle="1" w:styleId="Heading6Char">
    <w:name w:val="Heading 6 Char"/>
    <w:basedOn w:val="DefaultParagraphFont"/>
    <w:link w:val="Heading6"/>
    <w:uiPriority w:val="16"/>
    <w:semiHidden/>
    <w:rsid w:val="00386753"/>
    <w:rPr>
      <w:i/>
      <w:sz w:val="22"/>
    </w:rPr>
  </w:style>
  <w:style w:type="character" w:customStyle="1" w:styleId="Heading7Char">
    <w:name w:val="Heading 7 Char"/>
    <w:basedOn w:val="DefaultParagraphFont"/>
    <w:link w:val="Heading7"/>
    <w:uiPriority w:val="16"/>
    <w:semiHidden/>
    <w:rsid w:val="00386753"/>
    <w:rPr>
      <w:sz w:val="20"/>
    </w:rPr>
  </w:style>
  <w:style w:type="character" w:customStyle="1" w:styleId="Heading8Char">
    <w:name w:val="Heading 8 Char"/>
    <w:basedOn w:val="DefaultParagraphFont"/>
    <w:link w:val="Heading8"/>
    <w:uiPriority w:val="16"/>
    <w:semiHidden/>
    <w:rsid w:val="00386753"/>
    <w:rPr>
      <w:i/>
      <w:sz w:val="20"/>
    </w:rPr>
  </w:style>
  <w:style w:type="character" w:customStyle="1" w:styleId="Heading9Char">
    <w:name w:val="Heading 9 Char"/>
    <w:basedOn w:val="DefaultParagraphFont"/>
    <w:link w:val="Heading9"/>
    <w:uiPriority w:val="16"/>
    <w:semiHidden/>
    <w:rsid w:val="00386753"/>
    <w:rPr>
      <w:b/>
      <w:i/>
      <w:sz w:val="18"/>
    </w:rPr>
  </w:style>
  <w:style w:type="paragraph" w:customStyle="1" w:styleId="Body">
    <w:name w:val="Body"/>
    <w:basedOn w:val="Normal"/>
    <w:link w:val="BodyChar"/>
    <w:uiPriority w:val="17"/>
    <w:semiHidden/>
    <w:rsid w:val="00386753"/>
    <w:pPr>
      <w:spacing w:after="210"/>
    </w:pPr>
  </w:style>
  <w:style w:type="paragraph" w:customStyle="1" w:styleId="Body1">
    <w:name w:val="Body 1"/>
    <w:basedOn w:val="Body"/>
    <w:link w:val="Body1Char"/>
    <w:qFormat/>
    <w:rsid w:val="00386753"/>
  </w:style>
  <w:style w:type="paragraph" w:customStyle="1" w:styleId="Body2">
    <w:name w:val="Body 2"/>
    <w:basedOn w:val="Body1"/>
    <w:link w:val="Body2Char"/>
    <w:qFormat/>
    <w:rsid w:val="00386753"/>
    <w:pPr>
      <w:ind w:left="709"/>
    </w:pPr>
  </w:style>
  <w:style w:type="paragraph" w:customStyle="1" w:styleId="Body3">
    <w:name w:val="Body 3"/>
    <w:basedOn w:val="Body2"/>
    <w:link w:val="Body3Char"/>
    <w:qFormat/>
    <w:rsid w:val="00386753"/>
    <w:pPr>
      <w:ind w:left="1418"/>
    </w:pPr>
  </w:style>
  <w:style w:type="paragraph" w:customStyle="1" w:styleId="Body4">
    <w:name w:val="Body 4"/>
    <w:basedOn w:val="Body3"/>
    <w:link w:val="Body4Char"/>
    <w:qFormat/>
    <w:rsid w:val="00386753"/>
    <w:pPr>
      <w:ind w:left="2126"/>
    </w:pPr>
  </w:style>
  <w:style w:type="paragraph" w:customStyle="1" w:styleId="Body5">
    <w:name w:val="Body 5"/>
    <w:basedOn w:val="Body4"/>
    <w:link w:val="Body5Char"/>
    <w:qFormat/>
    <w:rsid w:val="00386753"/>
    <w:pPr>
      <w:ind w:left="2835"/>
    </w:pPr>
  </w:style>
  <w:style w:type="character" w:customStyle="1" w:styleId="BoldText">
    <w:name w:val="BoldText"/>
    <w:basedOn w:val="DefaultParagraphFont"/>
    <w:uiPriority w:val="15"/>
    <w:qFormat/>
    <w:rsid w:val="00386753"/>
    <w:rPr>
      <w:b/>
    </w:rPr>
  </w:style>
  <w:style w:type="character" w:customStyle="1" w:styleId="Heading1Text">
    <w:name w:val="Heading 1 Text"/>
    <w:basedOn w:val="BoldText"/>
    <w:uiPriority w:val="14"/>
    <w:qFormat/>
    <w:rsid w:val="00386753"/>
    <w:rPr>
      <w:b/>
      <w:smallCaps/>
    </w:rPr>
  </w:style>
  <w:style w:type="character" w:customStyle="1" w:styleId="Heading2Text">
    <w:name w:val="Heading 2 Text"/>
    <w:basedOn w:val="BoldText"/>
    <w:uiPriority w:val="14"/>
    <w:semiHidden/>
    <w:rsid w:val="00386753"/>
    <w:rPr>
      <w:b/>
    </w:rPr>
  </w:style>
  <w:style w:type="character" w:customStyle="1" w:styleId="Heading3Text">
    <w:name w:val="Heading 3 Text"/>
    <w:basedOn w:val="Heading2Text"/>
    <w:uiPriority w:val="14"/>
    <w:semiHidden/>
    <w:rsid w:val="00386753"/>
    <w:rPr>
      <w:b/>
    </w:rPr>
  </w:style>
  <w:style w:type="character" w:customStyle="1" w:styleId="Heading4Text">
    <w:name w:val="Heading 4 Text"/>
    <w:basedOn w:val="Heading3Text"/>
    <w:uiPriority w:val="14"/>
    <w:semiHidden/>
    <w:rsid w:val="00386753"/>
    <w:rPr>
      <w:b/>
    </w:rPr>
  </w:style>
  <w:style w:type="paragraph" w:customStyle="1" w:styleId="Level1">
    <w:name w:val="Level 1"/>
    <w:basedOn w:val="Body1"/>
    <w:next w:val="Body2"/>
    <w:link w:val="Level1Char"/>
    <w:uiPriority w:val="6"/>
    <w:qFormat/>
    <w:rsid w:val="00386753"/>
    <w:pPr>
      <w:numPr>
        <w:numId w:val="11"/>
      </w:numPr>
      <w:outlineLvl w:val="0"/>
    </w:pPr>
  </w:style>
  <w:style w:type="paragraph" w:customStyle="1" w:styleId="Level2">
    <w:name w:val="Level 2"/>
    <w:basedOn w:val="Body2"/>
    <w:next w:val="Body2"/>
    <w:link w:val="Level2Char"/>
    <w:uiPriority w:val="6"/>
    <w:qFormat/>
    <w:rsid w:val="00386753"/>
    <w:pPr>
      <w:numPr>
        <w:ilvl w:val="1"/>
        <w:numId w:val="11"/>
      </w:numPr>
      <w:outlineLvl w:val="1"/>
    </w:pPr>
  </w:style>
  <w:style w:type="paragraph" w:customStyle="1" w:styleId="Level3">
    <w:name w:val="Level 3"/>
    <w:basedOn w:val="Body3"/>
    <w:next w:val="Body3"/>
    <w:link w:val="Level3Char"/>
    <w:uiPriority w:val="6"/>
    <w:qFormat/>
    <w:rsid w:val="00386753"/>
    <w:pPr>
      <w:numPr>
        <w:ilvl w:val="2"/>
        <w:numId w:val="11"/>
      </w:numPr>
      <w:outlineLvl w:val="2"/>
    </w:pPr>
  </w:style>
  <w:style w:type="paragraph" w:customStyle="1" w:styleId="Level4">
    <w:name w:val="Level 4"/>
    <w:basedOn w:val="Body4"/>
    <w:next w:val="Body4"/>
    <w:link w:val="Level4Char"/>
    <w:uiPriority w:val="6"/>
    <w:qFormat/>
    <w:rsid w:val="00386753"/>
    <w:pPr>
      <w:numPr>
        <w:ilvl w:val="3"/>
        <w:numId w:val="11"/>
      </w:numPr>
      <w:outlineLvl w:val="3"/>
    </w:pPr>
  </w:style>
  <w:style w:type="paragraph" w:customStyle="1" w:styleId="Level5">
    <w:name w:val="Level 5"/>
    <w:basedOn w:val="Body5"/>
    <w:next w:val="Body5"/>
    <w:link w:val="Level5Char"/>
    <w:uiPriority w:val="6"/>
    <w:qFormat/>
    <w:rsid w:val="00386753"/>
    <w:pPr>
      <w:numPr>
        <w:ilvl w:val="4"/>
        <w:numId w:val="11"/>
      </w:numPr>
      <w:outlineLvl w:val="4"/>
    </w:pPr>
  </w:style>
  <w:style w:type="paragraph" w:styleId="TOC1">
    <w:name w:val="toc 1"/>
    <w:basedOn w:val="Body"/>
    <w:uiPriority w:val="39"/>
    <w:rsid w:val="0021293D"/>
    <w:pPr>
      <w:tabs>
        <w:tab w:val="left" w:pos="709"/>
        <w:tab w:val="right" w:pos="9072"/>
      </w:tabs>
      <w:spacing w:after="120"/>
      <w:ind w:left="709" w:hanging="709"/>
      <w:jc w:val="left"/>
    </w:pPr>
    <w:rPr>
      <w:b/>
      <w:smallCaps/>
    </w:rPr>
  </w:style>
  <w:style w:type="paragraph" w:styleId="TOC2">
    <w:name w:val="toc 2"/>
    <w:basedOn w:val="TOC1"/>
    <w:uiPriority w:val="39"/>
    <w:semiHidden/>
    <w:rsid w:val="00386753"/>
    <w:pPr>
      <w:tabs>
        <w:tab w:val="left" w:pos="1418"/>
      </w:tabs>
      <w:ind w:left="1418"/>
    </w:pPr>
    <w:rPr>
      <w:smallCaps w:val="0"/>
    </w:rPr>
  </w:style>
  <w:style w:type="paragraph" w:styleId="TOC3">
    <w:name w:val="toc 3"/>
    <w:basedOn w:val="TOC2"/>
    <w:uiPriority w:val="39"/>
    <w:semiHidden/>
    <w:rsid w:val="00386753"/>
    <w:pPr>
      <w:ind w:left="2127"/>
    </w:pPr>
  </w:style>
  <w:style w:type="paragraph" w:styleId="TOC4">
    <w:name w:val="toc 4"/>
    <w:basedOn w:val="Normal"/>
    <w:next w:val="Normal"/>
    <w:uiPriority w:val="39"/>
    <w:semiHidden/>
    <w:rsid w:val="00386753"/>
    <w:pPr>
      <w:numPr>
        <w:numId w:val="5"/>
      </w:numPr>
      <w:tabs>
        <w:tab w:val="left" w:pos="0"/>
        <w:tab w:val="left" w:pos="709"/>
        <w:tab w:val="right" w:pos="9072"/>
      </w:tabs>
      <w:spacing w:after="120"/>
      <w:ind w:left="709" w:hanging="709"/>
      <w:jc w:val="left"/>
    </w:pPr>
    <w:rPr>
      <w:b/>
      <w:smallCaps/>
    </w:rPr>
  </w:style>
  <w:style w:type="paragraph" w:styleId="BlockText">
    <w:name w:val="Block Text"/>
    <w:basedOn w:val="Normal"/>
    <w:uiPriority w:val="17"/>
    <w:semiHidden/>
    <w:rsid w:val="00386753"/>
    <w:pPr>
      <w:spacing w:after="120"/>
      <w:ind w:left="1440" w:right="1440"/>
    </w:pPr>
  </w:style>
  <w:style w:type="paragraph" w:styleId="BodyText">
    <w:name w:val="Body Text"/>
    <w:basedOn w:val="Normal"/>
    <w:link w:val="BodyTextChar"/>
    <w:uiPriority w:val="17"/>
    <w:semiHidden/>
    <w:rsid w:val="00386753"/>
    <w:pPr>
      <w:spacing w:after="120"/>
    </w:pPr>
  </w:style>
  <w:style w:type="character" w:customStyle="1" w:styleId="BodyTextChar">
    <w:name w:val="Body Text Char"/>
    <w:basedOn w:val="DefaultParagraphFont"/>
    <w:link w:val="BodyText"/>
    <w:uiPriority w:val="17"/>
    <w:semiHidden/>
    <w:rsid w:val="00386753"/>
  </w:style>
  <w:style w:type="character" w:customStyle="1" w:styleId="BoldItalicText">
    <w:name w:val="BoldItalicText"/>
    <w:basedOn w:val="DefaultParagraphFont"/>
    <w:uiPriority w:val="17"/>
    <w:semiHidden/>
    <w:rsid w:val="00386753"/>
    <w:rPr>
      <w:b/>
      <w:i/>
    </w:rPr>
  </w:style>
  <w:style w:type="character" w:customStyle="1" w:styleId="ItalicText">
    <w:name w:val="ItalicText"/>
    <w:basedOn w:val="DefaultParagraphFont"/>
    <w:uiPriority w:val="15"/>
    <w:qFormat/>
    <w:rsid w:val="00386753"/>
    <w:rPr>
      <w:i/>
    </w:rPr>
  </w:style>
  <w:style w:type="character" w:customStyle="1" w:styleId="BoldUnderlinedText">
    <w:name w:val="BoldUnderlinedText"/>
    <w:basedOn w:val="DefaultParagraphFont"/>
    <w:uiPriority w:val="17"/>
    <w:semiHidden/>
    <w:rsid w:val="00386753"/>
    <w:rPr>
      <w:b/>
      <w:u w:val="single"/>
    </w:rPr>
  </w:style>
  <w:style w:type="character" w:customStyle="1" w:styleId="UnderlinedText">
    <w:name w:val="UnderlinedText"/>
    <w:basedOn w:val="DefaultParagraphFont"/>
    <w:uiPriority w:val="15"/>
    <w:rsid w:val="00386753"/>
    <w:rPr>
      <w:u w:val="single"/>
    </w:rPr>
  </w:style>
  <w:style w:type="paragraph" w:styleId="BodyText2">
    <w:name w:val="Body Text 2"/>
    <w:basedOn w:val="Normal"/>
    <w:link w:val="BodyText2Char"/>
    <w:uiPriority w:val="17"/>
    <w:semiHidden/>
    <w:rsid w:val="00386753"/>
    <w:pPr>
      <w:spacing w:after="120" w:line="480" w:lineRule="auto"/>
    </w:pPr>
  </w:style>
  <w:style w:type="character" w:customStyle="1" w:styleId="BodyText2Char">
    <w:name w:val="Body Text 2 Char"/>
    <w:basedOn w:val="DefaultParagraphFont"/>
    <w:link w:val="BodyText2"/>
    <w:uiPriority w:val="17"/>
    <w:semiHidden/>
    <w:rsid w:val="00386753"/>
  </w:style>
  <w:style w:type="paragraph" w:styleId="BodyText3">
    <w:name w:val="Body Text 3"/>
    <w:basedOn w:val="Normal"/>
    <w:link w:val="BodyText3Char"/>
    <w:uiPriority w:val="17"/>
    <w:semiHidden/>
    <w:rsid w:val="00386753"/>
    <w:pPr>
      <w:spacing w:after="120"/>
    </w:pPr>
    <w:rPr>
      <w:sz w:val="16"/>
    </w:rPr>
  </w:style>
  <w:style w:type="character" w:customStyle="1" w:styleId="BodyText3Char">
    <w:name w:val="Body Text 3 Char"/>
    <w:basedOn w:val="DefaultParagraphFont"/>
    <w:link w:val="BodyText3"/>
    <w:uiPriority w:val="17"/>
    <w:semiHidden/>
    <w:rsid w:val="00386753"/>
    <w:rPr>
      <w:sz w:val="16"/>
    </w:rPr>
  </w:style>
  <w:style w:type="paragraph" w:styleId="BodyTextFirstIndent">
    <w:name w:val="Body Text First Indent"/>
    <w:basedOn w:val="BodyText"/>
    <w:link w:val="BodyTextFirstIndentChar"/>
    <w:uiPriority w:val="17"/>
    <w:semiHidden/>
    <w:rsid w:val="00386753"/>
    <w:pPr>
      <w:ind w:firstLine="210"/>
    </w:pPr>
  </w:style>
  <w:style w:type="character" w:customStyle="1" w:styleId="BodyTextFirstIndentChar">
    <w:name w:val="Body Text First Indent Char"/>
    <w:basedOn w:val="BodyTextChar"/>
    <w:link w:val="BodyTextFirstIndent"/>
    <w:uiPriority w:val="17"/>
    <w:semiHidden/>
    <w:rsid w:val="00386753"/>
  </w:style>
  <w:style w:type="paragraph" w:styleId="BodyTextIndent">
    <w:name w:val="Body Text Indent"/>
    <w:basedOn w:val="Normal"/>
    <w:link w:val="BodyTextIndentChar"/>
    <w:uiPriority w:val="17"/>
    <w:semiHidden/>
    <w:rsid w:val="00386753"/>
    <w:pPr>
      <w:spacing w:after="120"/>
      <w:ind w:left="283"/>
    </w:pPr>
  </w:style>
  <w:style w:type="character" w:customStyle="1" w:styleId="BodyTextIndentChar">
    <w:name w:val="Body Text Indent Char"/>
    <w:basedOn w:val="DefaultParagraphFont"/>
    <w:link w:val="BodyTextIndent"/>
    <w:uiPriority w:val="17"/>
    <w:semiHidden/>
    <w:rsid w:val="00386753"/>
  </w:style>
  <w:style w:type="paragraph" w:styleId="BodyTextFirstIndent2">
    <w:name w:val="Body Text First Indent 2"/>
    <w:basedOn w:val="BodyTextIndent"/>
    <w:link w:val="BodyTextFirstIndent2Char"/>
    <w:uiPriority w:val="17"/>
    <w:semiHidden/>
    <w:rsid w:val="00386753"/>
    <w:pPr>
      <w:ind w:firstLine="210"/>
    </w:pPr>
  </w:style>
  <w:style w:type="character" w:customStyle="1" w:styleId="BodyTextFirstIndent2Char">
    <w:name w:val="Body Text First Indent 2 Char"/>
    <w:basedOn w:val="BodyTextIndentChar"/>
    <w:link w:val="BodyTextFirstIndent2"/>
    <w:uiPriority w:val="17"/>
    <w:semiHidden/>
    <w:rsid w:val="00386753"/>
  </w:style>
  <w:style w:type="paragraph" w:styleId="BodyTextIndent2">
    <w:name w:val="Body Text Indent 2"/>
    <w:basedOn w:val="Normal"/>
    <w:link w:val="BodyTextIndent2Char"/>
    <w:uiPriority w:val="17"/>
    <w:semiHidden/>
    <w:rsid w:val="00386753"/>
    <w:pPr>
      <w:spacing w:after="120" w:line="480" w:lineRule="auto"/>
      <w:ind w:left="283"/>
    </w:pPr>
  </w:style>
  <w:style w:type="character" w:customStyle="1" w:styleId="BodyTextIndent2Char">
    <w:name w:val="Body Text Indent 2 Char"/>
    <w:basedOn w:val="DefaultParagraphFont"/>
    <w:link w:val="BodyTextIndent2"/>
    <w:uiPriority w:val="17"/>
    <w:semiHidden/>
    <w:rsid w:val="00386753"/>
  </w:style>
  <w:style w:type="paragraph" w:styleId="BodyTextIndent3">
    <w:name w:val="Body Text Indent 3"/>
    <w:basedOn w:val="Normal"/>
    <w:link w:val="BodyTextIndent3Char"/>
    <w:uiPriority w:val="17"/>
    <w:semiHidden/>
    <w:rsid w:val="00386753"/>
    <w:pPr>
      <w:spacing w:after="120"/>
      <w:ind w:left="283"/>
    </w:pPr>
    <w:rPr>
      <w:sz w:val="16"/>
    </w:rPr>
  </w:style>
  <w:style w:type="character" w:customStyle="1" w:styleId="BodyTextIndent3Char">
    <w:name w:val="Body Text Indent 3 Char"/>
    <w:basedOn w:val="DefaultParagraphFont"/>
    <w:link w:val="BodyTextIndent3"/>
    <w:uiPriority w:val="17"/>
    <w:semiHidden/>
    <w:rsid w:val="00386753"/>
    <w:rPr>
      <w:sz w:val="16"/>
    </w:rPr>
  </w:style>
  <w:style w:type="paragraph" w:styleId="Caption">
    <w:name w:val="caption"/>
    <w:basedOn w:val="Normal"/>
    <w:next w:val="Normal"/>
    <w:uiPriority w:val="17"/>
    <w:unhideWhenUsed/>
    <w:rsid w:val="00386753"/>
    <w:pPr>
      <w:spacing w:before="120" w:after="120"/>
    </w:pPr>
    <w:rPr>
      <w:b/>
    </w:rPr>
  </w:style>
  <w:style w:type="paragraph" w:styleId="Closing">
    <w:name w:val="Closing"/>
    <w:basedOn w:val="Normal"/>
    <w:link w:val="ClosingChar"/>
    <w:uiPriority w:val="17"/>
    <w:semiHidden/>
    <w:rsid w:val="00386753"/>
    <w:pPr>
      <w:ind w:left="4252"/>
    </w:pPr>
  </w:style>
  <w:style w:type="character" w:customStyle="1" w:styleId="ClosingChar">
    <w:name w:val="Closing Char"/>
    <w:basedOn w:val="DefaultParagraphFont"/>
    <w:link w:val="Closing"/>
    <w:uiPriority w:val="17"/>
    <w:semiHidden/>
    <w:rsid w:val="00386753"/>
  </w:style>
  <w:style w:type="character" w:styleId="CommentReference">
    <w:name w:val="annotation reference"/>
    <w:basedOn w:val="DefaultParagraphFont"/>
    <w:uiPriority w:val="17"/>
    <w:semiHidden/>
    <w:rsid w:val="00386753"/>
    <w:rPr>
      <w:sz w:val="16"/>
    </w:rPr>
  </w:style>
  <w:style w:type="paragraph" w:styleId="CommentText">
    <w:name w:val="annotation text"/>
    <w:basedOn w:val="Normal"/>
    <w:link w:val="CommentTextChar"/>
    <w:uiPriority w:val="17"/>
    <w:semiHidden/>
    <w:rsid w:val="00386753"/>
    <w:rPr>
      <w:sz w:val="20"/>
    </w:rPr>
  </w:style>
  <w:style w:type="character" w:customStyle="1" w:styleId="CommentTextChar">
    <w:name w:val="Comment Text Char"/>
    <w:basedOn w:val="DefaultParagraphFont"/>
    <w:link w:val="CommentText"/>
    <w:uiPriority w:val="17"/>
    <w:semiHidden/>
    <w:rsid w:val="00386753"/>
    <w:rPr>
      <w:sz w:val="20"/>
    </w:rPr>
  </w:style>
  <w:style w:type="paragraph" w:styleId="Date">
    <w:name w:val="Date"/>
    <w:basedOn w:val="Normal"/>
    <w:next w:val="Normal"/>
    <w:link w:val="DateChar"/>
    <w:uiPriority w:val="17"/>
    <w:semiHidden/>
    <w:rsid w:val="00386753"/>
  </w:style>
  <w:style w:type="character" w:customStyle="1" w:styleId="DateChar">
    <w:name w:val="Date Char"/>
    <w:basedOn w:val="DefaultParagraphFont"/>
    <w:link w:val="Date"/>
    <w:uiPriority w:val="17"/>
    <w:semiHidden/>
    <w:rsid w:val="00386753"/>
  </w:style>
  <w:style w:type="paragraph" w:styleId="DocumentMap">
    <w:name w:val="Document Map"/>
    <w:basedOn w:val="Normal"/>
    <w:link w:val="DocumentMapChar"/>
    <w:uiPriority w:val="17"/>
    <w:semiHidden/>
    <w:rsid w:val="00386753"/>
    <w:pPr>
      <w:shd w:val="clear" w:color="auto" w:fill="000080"/>
    </w:pPr>
    <w:rPr>
      <w:rFonts w:ascii="Tahoma" w:hAnsi="Tahoma"/>
    </w:rPr>
  </w:style>
  <w:style w:type="character" w:customStyle="1" w:styleId="DocumentMapChar">
    <w:name w:val="Document Map Char"/>
    <w:basedOn w:val="DefaultParagraphFont"/>
    <w:link w:val="DocumentMap"/>
    <w:uiPriority w:val="17"/>
    <w:semiHidden/>
    <w:rsid w:val="00386753"/>
    <w:rPr>
      <w:shd w:val="clear" w:color="auto" w:fill="000080"/>
    </w:rPr>
  </w:style>
  <w:style w:type="character" w:styleId="Emphasis">
    <w:name w:val="Emphasis"/>
    <w:basedOn w:val="DefaultParagraphFont"/>
    <w:uiPriority w:val="29"/>
    <w:rsid w:val="00386753"/>
    <w:rPr>
      <w:b/>
      <w:i w:val="0"/>
    </w:rPr>
  </w:style>
  <w:style w:type="character" w:styleId="EndnoteReference">
    <w:name w:val="endnote reference"/>
    <w:basedOn w:val="DefaultParagraphFont"/>
    <w:uiPriority w:val="17"/>
    <w:semiHidden/>
    <w:rsid w:val="00386753"/>
    <w:rPr>
      <w:vertAlign w:val="superscript"/>
    </w:rPr>
  </w:style>
  <w:style w:type="paragraph" w:styleId="EndnoteText">
    <w:name w:val="endnote text"/>
    <w:basedOn w:val="Normal"/>
    <w:link w:val="EndnoteTextChar"/>
    <w:uiPriority w:val="17"/>
    <w:rsid w:val="00386753"/>
    <w:rPr>
      <w:sz w:val="20"/>
    </w:rPr>
  </w:style>
  <w:style w:type="character" w:customStyle="1" w:styleId="EndnoteTextChar">
    <w:name w:val="Endnote Text Char"/>
    <w:basedOn w:val="DefaultParagraphFont"/>
    <w:link w:val="EndnoteText"/>
    <w:uiPriority w:val="17"/>
    <w:rsid w:val="00386753"/>
    <w:rPr>
      <w:sz w:val="20"/>
    </w:rPr>
  </w:style>
  <w:style w:type="paragraph" w:styleId="EnvelopeAddress">
    <w:name w:val="envelope address"/>
    <w:basedOn w:val="Normal"/>
    <w:uiPriority w:val="17"/>
    <w:semiHidden/>
    <w:rsid w:val="00386753"/>
    <w:pPr>
      <w:framePr w:w="7920" w:h="1980" w:hRule="exact" w:hSpace="180" w:wrap="auto" w:hAnchor="page" w:xAlign="center" w:yAlign="bottom"/>
      <w:ind w:left="2880"/>
    </w:pPr>
    <w:rPr>
      <w:sz w:val="24"/>
    </w:rPr>
  </w:style>
  <w:style w:type="paragraph" w:styleId="EnvelopeReturn">
    <w:name w:val="envelope return"/>
    <w:basedOn w:val="Normal"/>
    <w:uiPriority w:val="17"/>
    <w:semiHidden/>
    <w:rsid w:val="00386753"/>
    <w:rPr>
      <w:sz w:val="20"/>
    </w:rPr>
  </w:style>
  <w:style w:type="character" w:styleId="FollowedHyperlink">
    <w:name w:val="FollowedHyperlink"/>
    <w:basedOn w:val="DefaultParagraphFont"/>
    <w:uiPriority w:val="99"/>
    <w:unhideWhenUsed/>
    <w:rsid w:val="00386753"/>
    <w:rPr>
      <w:color w:val="800080"/>
      <w:u w:val="single"/>
    </w:rPr>
  </w:style>
  <w:style w:type="character" w:styleId="Hyperlink">
    <w:name w:val="Hyperlink"/>
    <w:basedOn w:val="DefaultParagraphFont"/>
    <w:uiPriority w:val="99"/>
    <w:rsid w:val="00386753"/>
    <w:rPr>
      <w:color w:val="0000FF"/>
      <w:u w:val="single"/>
    </w:rPr>
  </w:style>
  <w:style w:type="paragraph" w:styleId="Index1">
    <w:name w:val="index 1"/>
    <w:basedOn w:val="Normal"/>
    <w:next w:val="Normal"/>
    <w:autoRedefine/>
    <w:uiPriority w:val="17"/>
    <w:semiHidden/>
    <w:rsid w:val="00386753"/>
    <w:pPr>
      <w:ind w:left="210" w:hanging="210"/>
    </w:pPr>
  </w:style>
  <w:style w:type="paragraph" w:styleId="Index2">
    <w:name w:val="index 2"/>
    <w:basedOn w:val="Normal"/>
    <w:next w:val="Normal"/>
    <w:autoRedefine/>
    <w:uiPriority w:val="17"/>
    <w:semiHidden/>
    <w:rsid w:val="00386753"/>
    <w:pPr>
      <w:ind w:left="420" w:hanging="210"/>
    </w:pPr>
  </w:style>
  <w:style w:type="paragraph" w:styleId="Index3">
    <w:name w:val="index 3"/>
    <w:basedOn w:val="Normal"/>
    <w:next w:val="Normal"/>
    <w:autoRedefine/>
    <w:uiPriority w:val="17"/>
    <w:semiHidden/>
    <w:rsid w:val="00386753"/>
    <w:pPr>
      <w:ind w:left="630" w:hanging="210"/>
    </w:pPr>
  </w:style>
  <w:style w:type="paragraph" w:styleId="Index4">
    <w:name w:val="index 4"/>
    <w:basedOn w:val="Normal"/>
    <w:next w:val="Normal"/>
    <w:autoRedefine/>
    <w:uiPriority w:val="17"/>
    <w:semiHidden/>
    <w:rsid w:val="00386753"/>
    <w:pPr>
      <w:ind w:left="840" w:hanging="210"/>
    </w:pPr>
  </w:style>
  <w:style w:type="paragraph" w:styleId="Index5">
    <w:name w:val="index 5"/>
    <w:basedOn w:val="Normal"/>
    <w:next w:val="Normal"/>
    <w:autoRedefine/>
    <w:uiPriority w:val="17"/>
    <w:semiHidden/>
    <w:rsid w:val="00386753"/>
    <w:pPr>
      <w:ind w:left="1050" w:hanging="210"/>
    </w:pPr>
  </w:style>
  <w:style w:type="paragraph" w:styleId="Index6">
    <w:name w:val="index 6"/>
    <w:basedOn w:val="Normal"/>
    <w:next w:val="Normal"/>
    <w:autoRedefine/>
    <w:uiPriority w:val="17"/>
    <w:semiHidden/>
    <w:rsid w:val="00386753"/>
    <w:pPr>
      <w:ind w:left="1260" w:hanging="210"/>
    </w:pPr>
  </w:style>
  <w:style w:type="paragraph" w:styleId="Index7">
    <w:name w:val="index 7"/>
    <w:basedOn w:val="Normal"/>
    <w:next w:val="Normal"/>
    <w:autoRedefine/>
    <w:uiPriority w:val="17"/>
    <w:semiHidden/>
    <w:rsid w:val="00386753"/>
    <w:pPr>
      <w:ind w:left="1470" w:hanging="210"/>
    </w:pPr>
  </w:style>
  <w:style w:type="paragraph" w:styleId="Index8">
    <w:name w:val="index 8"/>
    <w:basedOn w:val="Normal"/>
    <w:next w:val="Normal"/>
    <w:autoRedefine/>
    <w:uiPriority w:val="17"/>
    <w:semiHidden/>
    <w:rsid w:val="00386753"/>
    <w:pPr>
      <w:ind w:left="1680" w:hanging="210"/>
    </w:pPr>
  </w:style>
  <w:style w:type="paragraph" w:styleId="Index9">
    <w:name w:val="index 9"/>
    <w:basedOn w:val="Normal"/>
    <w:next w:val="Normal"/>
    <w:autoRedefine/>
    <w:uiPriority w:val="17"/>
    <w:semiHidden/>
    <w:rsid w:val="00386753"/>
    <w:pPr>
      <w:ind w:left="1890" w:hanging="210"/>
    </w:pPr>
  </w:style>
  <w:style w:type="paragraph" w:styleId="IndexHeading">
    <w:name w:val="index heading"/>
    <w:basedOn w:val="Normal"/>
    <w:next w:val="Index1"/>
    <w:uiPriority w:val="17"/>
    <w:semiHidden/>
    <w:rsid w:val="00386753"/>
    <w:rPr>
      <w:b/>
    </w:rPr>
  </w:style>
  <w:style w:type="character" w:styleId="LineNumber">
    <w:name w:val="line number"/>
    <w:basedOn w:val="DefaultParagraphFont"/>
    <w:uiPriority w:val="17"/>
    <w:semiHidden/>
    <w:rsid w:val="00386753"/>
  </w:style>
  <w:style w:type="paragraph" w:styleId="MacroText">
    <w:name w:val="macro"/>
    <w:link w:val="MacroTextChar"/>
    <w:uiPriority w:val="17"/>
    <w:semiHidden/>
    <w:rsid w:val="003867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kern w:val="28"/>
      <w:lang w:eastAsia="zh-CN"/>
    </w:rPr>
  </w:style>
  <w:style w:type="character" w:customStyle="1" w:styleId="MacroTextChar">
    <w:name w:val="Macro Text Char"/>
    <w:basedOn w:val="DefaultParagraphFont"/>
    <w:link w:val="MacroText"/>
    <w:uiPriority w:val="17"/>
    <w:semiHidden/>
    <w:rsid w:val="00386753"/>
    <w:rPr>
      <w:rFonts w:ascii="Courier New" w:hAnsi="Courier New"/>
      <w:kern w:val="28"/>
      <w:lang w:eastAsia="zh-CN"/>
    </w:rPr>
  </w:style>
  <w:style w:type="paragraph" w:styleId="MessageHeader">
    <w:name w:val="Message Header"/>
    <w:basedOn w:val="Normal"/>
    <w:link w:val="MessageHeaderChar"/>
    <w:uiPriority w:val="17"/>
    <w:semiHidden/>
    <w:rsid w:val="00386753"/>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17"/>
    <w:semiHidden/>
    <w:rsid w:val="00386753"/>
    <w:rPr>
      <w:sz w:val="24"/>
      <w:shd w:val="pct20" w:color="auto" w:fill="auto"/>
    </w:rPr>
  </w:style>
  <w:style w:type="paragraph" w:styleId="NormalIndent">
    <w:name w:val="Normal Indent"/>
    <w:basedOn w:val="Normal"/>
    <w:uiPriority w:val="29"/>
    <w:rsid w:val="00386753"/>
    <w:pPr>
      <w:ind w:left="720"/>
    </w:pPr>
  </w:style>
  <w:style w:type="paragraph" w:styleId="NoteHeading">
    <w:name w:val="Note Heading"/>
    <w:basedOn w:val="Normal"/>
    <w:next w:val="Normal"/>
    <w:link w:val="NoteHeadingChar"/>
    <w:uiPriority w:val="17"/>
    <w:semiHidden/>
    <w:rsid w:val="00386753"/>
  </w:style>
  <w:style w:type="character" w:customStyle="1" w:styleId="NoteHeadingChar">
    <w:name w:val="Note Heading Char"/>
    <w:basedOn w:val="DefaultParagraphFont"/>
    <w:link w:val="NoteHeading"/>
    <w:uiPriority w:val="17"/>
    <w:semiHidden/>
    <w:rsid w:val="00386753"/>
  </w:style>
  <w:style w:type="character" w:styleId="PageNumber">
    <w:name w:val="page number"/>
    <w:basedOn w:val="DefaultParagraphFont"/>
    <w:uiPriority w:val="17"/>
    <w:semiHidden/>
    <w:rsid w:val="00386753"/>
  </w:style>
  <w:style w:type="paragraph" w:styleId="PlainText">
    <w:name w:val="Plain Text"/>
    <w:basedOn w:val="Normal"/>
    <w:link w:val="PlainTextChar"/>
    <w:uiPriority w:val="17"/>
    <w:semiHidden/>
    <w:rsid w:val="00386753"/>
    <w:rPr>
      <w:rFonts w:ascii="Courier New" w:hAnsi="Courier New"/>
      <w:sz w:val="20"/>
    </w:rPr>
  </w:style>
  <w:style w:type="character" w:customStyle="1" w:styleId="PlainTextChar">
    <w:name w:val="Plain Text Char"/>
    <w:basedOn w:val="DefaultParagraphFont"/>
    <w:link w:val="PlainText"/>
    <w:uiPriority w:val="17"/>
    <w:semiHidden/>
    <w:rsid w:val="00386753"/>
    <w:rPr>
      <w:sz w:val="20"/>
    </w:rPr>
  </w:style>
  <w:style w:type="paragraph" w:styleId="Salutation">
    <w:name w:val="Salutation"/>
    <w:basedOn w:val="Normal"/>
    <w:next w:val="Normal"/>
    <w:link w:val="SalutationChar"/>
    <w:uiPriority w:val="17"/>
    <w:semiHidden/>
    <w:rsid w:val="00386753"/>
  </w:style>
  <w:style w:type="character" w:customStyle="1" w:styleId="SalutationChar">
    <w:name w:val="Salutation Char"/>
    <w:basedOn w:val="DefaultParagraphFont"/>
    <w:link w:val="Salutation"/>
    <w:uiPriority w:val="17"/>
    <w:semiHidden/>
    <w:rsid w:val="00386753"/>
  </w:style>
  <w:style w:type="paragraph" w:styleId="Signature">
    <w:name w:val="Signature"/>
    <w:basedOn w:val="Normal"/>
    <w:link w:val="SignatureChar"/>
    <w:uiPriority w:val="17"/>
    <w:semiHidden/>
    <w:rsid w:val="00386753"/>
    <w:pPr>
      <w:ind w:left="4252"/>
    </w:pPr>
  </w:style>
  <w:style w:type="character" w:customStyle="1" w:styleId="SignatureChar">
    <w:name w:val="Signature Char"/>
    <w:basedOn w:val="DefaultParagraphFont"/>
    <w:link w:val="Signature"/>
    <w:uiPriority w:val="17"/>
    <w:semiHidden/>
    <w:rsid w:val="00386753"/>
  </w:style>
  <w:style w:type="paragraph" w:customStyle="1" w:styleId="CentredSubheading">
    <w:name w:val="Centred Subheading"/>
    <w:basedOn w:val="Centred"/>
    <w:next w:val="Body1"/>
    <w:uiPriority w:val="13"/>
    <w:qFormat/>
    <w:rsid w:val="00386753"/>
    <w:rPr>
      <w:b/>
    </w:rPr>
  </w:style>
  <w:style w:type="paragraph" w:styleId="TableofAuthorities">
    <w:name w:val="table of authorities"/>
    <w:basedOn w:val="Normal"/>
    <w:next w:val="Normal"/>
    <w:uiPriority w:val="17"/>
    <w:semiHidden/>
    <w:rsid w:val="00386753"/>
    <w:pPr>
      <w:ind w:left="210" w:hanging="210"/>
    </w:pPr>
  </w:style>
  <w:style w:type="paragraph" w:styleId="TableofFigures">
    <w:name w:val="table of figures"/>
    <w:basedOn w:val="Normal"/>
    <w:next w:val="Normal"/>
    <w:uiPriority w:val="17"/>
    <w:semiHidden/>
    <w:rsid w:val="00386753"/>
    <w:pPr>
      <w:ind w:left="420" w:hanging="420"/>
    </w:pPr>
  </w:style>
  <w:style w:type="paragraph" w:styleId="TOAHeading">
    <w:name w:val="toa heading"/>
    <w:basedOn w:val="Normal"/>
    <w:next w:val="Normal"/>
    <w:uiPriority w:val="49"/>
    <w:rsid w:val="00386753"/>
    <w:pPr>
      <w:spacing w:before="120"/>
    </w:pPr>
    <w:rPr>
      <w:b/>
      <w:sz w:val="24"/>
    </w:rPr>
  </w:style>
  <w:style w:type="paragraph" w:styleId="TOC5">
    <w:name w:val="toc 5"/>
    <w:basedOn w:val="Body1"/>
    <w:next w:val="Body1"/>
    <w:uiPriority w:val="49"/>
    <w:semiHidden/>
    <w:rsid w:val="00386753"/>
    <w:pPr>
      <w:spacing w:after="120"/>
      <w:ind w:left="709"/>
      <w:contextualSpacing/>
      <w:jc w:val="left"/>
    </w:pPr>
    <w:rPr>
      <w:b/>
    </w:rPr>
  </w:style>
  <w:style w:type="paragraph" w:styleId="TOC6">
    <w:name w:val="toc 6"/>
    <w:basedOn w:val="Normal"/>
    <w:next w:val="Normal"/>
    <w:uiPriority w:val="49"/>
    <w:semiHidden/>
    <w:rsid w:val="00386753"/>
    <w:pPr>
      <w:ind w:left="1050"/>
    </w:pPr>
  </w:style>
  <w:style w:type="paragraph" w:styleId="TOC7">
    <w:name w:val="toc 7"/>
    <w:basedOn w:val="Normal"/>
    <w:next w:val="Normal"/>
    <w:uiPriority w:val="49"/>
    <w:semiHidden/>
    <w:rsid w:val="00386753"/>
    <w:pPr>
      <w:ind w:left="1260"/>
    </w:pPr>
  </w:style>
  <w:style w:type="paragraph" w:styleId="TOC8">
    <w:name w:val="toc 8"/>
    <w:basedOn w:val="Normal"/>
    <w:next w:val="Normal"/>
    <w:uiPriority w:val="49"/>
    <w:semiHidden/>
    <w:rsid w:val="00386753"/>
    <w:pPr>
      <w:ind w:left="1470"/>
    </w:pPr>
  </w:style>
  <w:style w:type="paragraph" w:styleId="TOC9">
    <w:name w:val="toc 9"/>
    <w:basedOn w:val="Normal"/>
    <w:next w:val="Normal"/>
    <w:uiPriority w:val="49"/>
    <w:semiHidden/>
    <w:rsid w:val="00386753"/>
    <w:pPr>
      <w:ind w:left="1680"/>
    </w:pPr>
  </w:style>
  <w:style w:type="paragraph" w:customStyle="1" w:styleId="Centred">
    <w:name w:val="Centred"/>
    <w:basedOn w:val="Body"/>
    <w:next w:val="Body1"/>
    <w:uiPriority w:val="13"/>
    <w:rsid w:val="00386753"/>
    <w:pPr>
      <w:keepNext/>
      <w:jc w:val="center"/>
    </w:pPr>
  </w:style>
  <w:style w:type="paragraph" w:customStyle="1" w:styleId="Parties">
    <w:name w:val="Parties"/>
    <w:basedOn w:val="Body"/>
    <w:next w:val="Body2"/>
    <w:uiPriority w:val="9"/>
    <w:qFormat/>
    <w:rsid w:val="00386753"/>
    <w:pPr>
      <w:numPr>
        <w:numId w:val="3"/>
      </w:numPr>
    </w:pPr>
  </w:style>
  <w:style w:type="paragraph" w:customStyle="1" w:styleId="Recitals">
    <w:name w:val="Recitals"/>
    <w:basedOn w:val="Body"/>
    <w:next w:val="Body2"/>
    <w:uiPriority w:val="9"/>
    <w:qFormat/>
    <w:rsid w:val="00386753"/>
    <w:pPr>
      <w:numPr>
        <w:numId w:val="4"/>
      </w:numPr>
    </w:pPr>
  </w:style>
  <w:style w:type="paragraph" w:styleId="TOCHeading">
    <w:name w:val="TOC Heading"/>
    <w:basedOn w:val="Heading1"/>
    <w:next w:val="Normal"/>
    <w:uiPriority w:val="49"/>
    <w:semiHidden/>
    <w:rsid w:val="00386753"/>
    <w:pPr>
      <w:keepLines/>
      <w:tabs>
        <w:tab w:val="right" w:pos="9072"/>
      </w:tabs>
      <w:spacing w:after="240"/>
      <w:jc w:val="center"/>
      <w:outlineLvl w:val="9"/>
    </w:pPr>
    <w:rPr>
      <w:rFonts w:eastAsiaTheme="majorEastAsia" w:cstheme="majorBidi"/>
      <w:bCs/>
      <w:szCs w:val="28"/>
    </w:rPr>
  </w:style>
  <w:style w:type="paragraph" w:customStyle="1" w:styleId="Address">
    <w:name w:val="Address"/>
    <w:basedOn w:val="Normal"/>
    <w:uiPriority w:val="17"/>
    <w:rsid w:val="00386753"/>
    <w:pPr>
      <w:jc w:val="center"/>
    </w:pPr>
    <w:rPr>
      <w:sz w:val="16"/>
      <w:szCs w:val="16"/>
      <w:lang w:eastAsia="en-US"/>
    </w:rPr>
  </w:style>
  <w:style w:type="paragraph" w:customStyle="1" w:styleId="NormalCentred">
    <w:name w:val="Normal Centred"/>
    <w:basedOn w:val="Normal"/>
    <w:uiPriority w:val="9"/>
    <w:rsid w:val="00386753"/>
    <w:pPr>
      <w:jc w:val="center"/>
    </w:pPr>
    <w:rPr>
      <w:szCs w:val="24"/>
      <w:lang w:eastAsia="en-US"/>
    </w:rPr>
  </w:style>
  <w:style w:type="character" w:customStyle="1" w:styleId="SmallCaps">
    <w:name w:val="SmallCaps"/>
    <w:basedOn w:val="DefaultParagraphFont"/>
    <w:uiPriority w:val="17"/>
    <w:semiHidden/>
    <w:rsid w:val="00386753"/>
    <w:rPr>
      <w:rFonts w:ascii="Arial" w:hAnsi="Arial"/>
      <w:smallCaps/>
      <w:sz w:val="21"/>
    </w:rPr>
  </w:style>
  <w:style w:type="paragraph" w:styleId="BalloonText">
    <w:name w:val="Balloon Text"/>
    <w:basedOn w:val="Normal"/>
    <w:link w:val="BalloonTextChar"/>
    <w:uiPriority w:val="17"/>
    <w:unhideWhenUsed/>
    <w:rsid w:val="003867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7"/>
    <w:rsid w:val="00386753"/>
    <w:rPr>
      <w:sz w:val="16"/>
      <w:szCs w:val="16"/>
    </w:rPr>
  </w:style>
  <w:style w:type="character" w:styleId="PlaceholderText">
    <w:name w:val="Placeholder Text"/>
    <w:basedOn w:val="DefaultParagraphFont"/>
    <w:uiPriority w:val="99"/>
    <w:semiHidden/>
    <w:rsid w:val="00386753"/>
    <w:rPr>
      <w:color w:val="808080"/>
    </w:rPr>
  </w:style>
  <w:style w:type="paragraph" w:customStyle="1" w:styleId="CentredHeading">
    <w:name w:val="Centred Heading"/>
    <w:basedOn w:val="Body1"/>
    <w:next w:val="Body1"/>
    <w:link w:val="CentredHeadingChar"/>
    <w:uiPriority w:val="13"/>
    <w:qFormat/>
    <w:rsid w:val="00386753"/>
    <w:pPr>
      <w:keepNext/>
      <w:jc w:val="center"/>
    </w:pPr>
    <w:rPr>
      <w:b/>
      <w:smallCaps/>
    </w:rPr>
  </w:style>
  <w:style w:type="paragraph" w:styleId="NormalWeb">
    <w:name w:val="Normal (Web)"/>
    <w:basedOn w:val="Normal"/>
    <w:uiPriority w:val="29"/>
    <w:rsid w:val="00386753"/>
    <w:rPr>
      <w:szCs w:val="24"/>
    </w:rPr>
  </w:style>
  <w:style w:type="paragraph" w:styleId="Subtitle">
    <w:name w:val="Subtitle"/>
    <w:basedOn w:val="Body"/>
    <w:next w:val="Body1"/>
    <w:link w:val="SubtitleChar"/>
    <w:uiPriority w:val="18"/>
    <w:rsid w:val="00386753"/>
    <w:pPr>
      <w:numPr>
        <w:ilvl w:val="1"/>
      </w:numPr>
    </w:pPr>
    <w:rPr>
      <w:b/>
      <w:iCs/>
      <w:spacing w:val="15"/>
      <w:szCs w:val="24"/>
    </w:rPr>
  </w:style>
  <w:style w:type="character" w:customStyle="1" w:styleId="SubtitleChar">
    <w:name w:val="Subtitle Char"/>
    <w:basedOn w:val="DefaultParagraphFont"/>
    <w:link w:val="Subtitle"/>
    <w:uiPriority w:val="18"/>
    <w:rsid w:val="00386753"/>
    <w:rPr>
      <w:b/>
      <w:iCs/>
      <w:spacing w:val="15"/>
      <w:szCs w:val="24"/>
    </w:rPr>
  </w:style>
  <w:style w:type="character" w:styleId="BookTitle">
    <w:name w:val="Book Title"/>
    <w:basedOn w:val="DefaultParagraphFont"/>
    <w:uiPriority w:val="43"/>
    <w:rsid w:val="00386753"/>
    <w:rPr>
      <w:b/>
      <w:bCs/>
      <w:smallCaps/>
      <w:spacing w:val="5"/>
    </w:rPr>
  </w:style>
  <w:style w:type="paragraph" w:styleId="Quote">
    <w:name w:val="Quote"/>
    <w:basedOn w:val="Normal"/>
    <w:next w:val="Normal"/>
    <w:link w:val="QuoteChar"/>
    <w:uiPriority w:val="39"/>
    <w:rsid w:val="00386753"/>
    <w:rPr>
      <w:i/>
      <w:iCs/>
      <w:color w:val="000000" w:themeColor="text1"/>
    </w:rPr>
  </w:style>
  <w:style w:type="character" w:customStyle="1" w:styleId="QuoteChar">
    <w:name w:val="Quote Char"/>
    <w:basedOn w:val="DefaultParagraphFont"/>
    <w:link w:val="Quote"/>
    <w:uiPriority w:val="39"/>
    <w:rsid w:val="00386753"/>
    <w:rPr>
      <w:i/>
      <w:iCs/>
      <w:color w:val="000000" w:themeColor="text1"/>
    </w:rPr>
  </w:style>
  <w:style w:type="paragraph" w:styleId="ListParagraph">
    <w:name w:val="List Paragraph"/>
    <w:basedOn w:val="Normal"/>
    <w:uiPriority w:val="44"/>
    <w:rsid w:val="00386753"/>
    <w:pPr>
      <w:ind w:left="720"/>
      <w:contextualSpacing/>
    </w:pPr>
  </w:style>
  <w:style w:type="paragraph" w:styleId="Title">
    <w:name w:val="Title"/>
    <w:basedOn w:val="Body"/>
    <w:next w:val="Body1"/>
    <w:link w:val="TitleChar"/>
    <w:uiPriority w:val="18"/>
    <w:rsid w:val="00386753"/>
    <w:rPr>
      <w:rFonts w:eastAsiaTheme="majorEastAsia" w:cstheme="majorBidi"/>
      <w:b/>
      <w:smallCaps/>
      <w:spacing w:val="5"/>
      <w:kern w:val="28"/>
      <w:szCs w:val="52"/>
    </w:rPr>
  </w:style>
  <w:style w:type="character" w:customStyle="1" w:styleId="TitleChar">
    <w:name w:val="Title Char"/>
    <w:basedOn w:val="DefaultParagraphFont"/>
    <w:link w:val="Title"/>
    <w:uiPriority w:val="18"/>
    <w:rsid w:val="00386753"/>
    <w:rPr>
      <w:rFonts w:eastAsiaTheme="majorEastAsia" w:cstheme="majorBidi"/>
      <w:b/>
      <w:smallCaps/>
      <w:spacing w:val="5"/>
      <w:kern w:val="28"/>
      <w:szCs w:val="52"/>
    </w:rPr>
  </w:style>
  <w:style w:type="paragraph" w:styleId="NoSpacing">
    <w:name w:val="No Spacing"/>
    <w:uiPriority w:val="29"/>
    <w:rsid w:val="00386753"/>
    <w:pPr>
      <w:spacing w:line="240" w:lineRule="auto"/>
    </w:pPr>
  </w:style>
  <w:style w:type="paragraph" w:customStyle="1" w:styleId="SchTitle">
    <w:name w:val="Sch  Title"/>
    <w:basedOn w:val="SchSubtitle"/>
    <w:next w:val="SchSubtitle"/>
    <w:uiPriority w:val="10"/>
    <w:qFormat/>
    <w:rsid w:val="00072C59"/>
    <w:pPr>
      <w:numPr>
        <w:ilvl w:val="0"/>
      </w:numPr>
    </w:pPr>
    <w:rPr>
      <w:rFonts w:ascii="Arial Bold" w:hAnsi="Arial Bold"/>
      <w:caps/>
    </w:rPr>
  </w:style>
  <w:style w:type="paragraph" w:customStyle="1" w:styleId="SchSubtitle">
    <w:name w:val="Sch  Subtitle"/>
    <w:basedOn w:val="Body"/>
    <w:next w:val="Body2"/>
    <w:uiPriority w:val="11"/>
    <w:qFormat/>
    <w:rsid w:val="00386753"/>
    <w:pPr>
      <w:keepNext/>
      <w:numPr>
        <w:ilvl w:val="1"/>
        <w:numId w:val="32"/>
      </w:numPr>
      <w:jc w:val="center"/>
    </w:pPr>
    <w:rPr>
      <w:b/>
    </w:rPr>
  </w:style>
  <w:style w:type="paragraph" w:customStyle="1" w:styleId="SchNumber1">
    <w:name w:val="Sch Number 1"/>
    <w:basedOn w:val="Level1"/>
    <w:next w:val="Body2"/>
    <w:link w:val="SchNumber1Char"/>
    <w:uiPriority w:val="12"/>
    <w:qFormat/>
    <w:rsid w:val="00386753"/>
    <w:pPr>
      <w:numPr>
        <w:ilvl w:val="2"/>
        <w:numId w:val="32"/>
      </w:numPr>
    </w:pPr>
  </w:style>
  <w:style w:type="paragraph" w:customStyle="1" w:styleId="SchNumber2">
    <w:name w:val="Sch Number 2"/>
    <w:basedOn w:val="Level2"/>
    <w:next w:val="Body2"/>
    <w:link w:val="SchNumber2Char"/>
    <w:uiPriority w:val="12"/>
    <w:qFormat/>
    <w:rsid w:val="00386753"/>
    <w:pPr>
      <w:numPr>
        <w:ilvl w:val="3"/>
        <w:numId w:val="32"/>
      </w:numPr>
    </w:pPr>
  </w:style>
  <w:style w:type="paragraph" w:customStyle="1" w:styleId="SchNumber3">
    <w:name w:val="Sch Number 3"/>
    <w:basedOn w:val="Level3"/>
    <w:next w:val="Body2"/>
    <w:link w:val="SchNumber3Char"/>
    <w:uiPriority w:val="12"/>
    <w:qFormat/>
    <w:rsid w:val="00386753"/>
    <w:pPr>
      <w:numPr>
        <w:ilvl w:val="4"/>
        <w:numId w:val="32"/>
      </w:numPr>
    </w:pPr>
  </w:style>
  <w:style w:type="paragraph" w:customStyle="1" w:styleId="SchNumber4">
    <w:name w:val="Sch Number 4"/>
    <w:basedOn w:val="Level4"/>
    <w:next w:val="Body4"/>
    <w:link w:val="SchNumber4Char"/>
    <w:uiPriority w:val="12"/>
    <w:qFormat/>
    <w:rsid w:val="00386753"/>
    <w:pPr>
      <w:numPr>
        <w:ilvl w:val="5"/>
        <w:numId w:val="32"/>
      </w:numPr>
    </w:pPr>
  </w:style>
  <w:style w:type="paragraph" w:customStyle="1" w:styleId="SchNumber5">
    <w:name w:val="Sch Number 5"/>
    <w:basedOn w:val="Level5"/>
    <w:next w:val="Body5"/>
    <w:link w:val="SchNumber5Char"/>
    <w:uiPriority w:val="12"/>
    <w:qFormat/>
    <w:rsid w:val="00386753"/>
    <w:pPr>
      <w:numPr>
        <w:ilvl w:val="6"/>
        <w:numId w:val="32"/>
      </w:numPr>
    </w:pPr>
  </w:style>
  <w:style w:type="paragraph" w:customStyle="1" w:styleId="SchHeading1">
    <w:name w:val="Sch Heading 1"/>
    <w:basedOn w:val="SchNumber1"/>
    <w:next w:val="Body2"/>
    <w:link w:val="SchHeading1Char"/>
    <w:uiPriority w:val="12"/>
    <w:qFormat/>
    <w:rsid w:val="00386753"/>
    <w:pPr>
      <w:keepNext/>
    </w:pPr>
    <w:rPr>
      <w:b/>
      <w:smallCaps/>
    </w:rPr>
  </w:style>
  <w:style w:type="paragraph" w:customStyle="1" w:styleId="SchHeading2">
    <w:name w:val="Sch Heading 2"/>
    <w:basedOn w:val="SchNumber2"/>
    <w:next w:val="Body2"/>
    <w:link w:val="SchHeading2Char"/>
    <w:uiPriority w:val="12"/>
    <w:qFormat/>
    <w:rsid w:val="00386753"/>
    <w:pPr>
      <w:keepNext/>
    </w:pPr>
    <w:rPr>
      <w:b/>
    </w:rPr>
  </w:style>
  <w:style w:type="paragraph" w:customStyle="1" w:styleId="Heading1Restart">
    <w:name w:val="Heading 1 Restart"/>
    <w:basedOn w:val="Heading1"/>
    <w:next w:val="Body2"/>
    <w:link w:val="Heading1RestartChar"/>
    <w:uiPriority w:val="13"/>
    <w:semiHidden/>
    <w:rsid w:val="00386753"/>
    <w:pPr>
      <w:numPr>
        <w:numId w:val="0"/>
      </w:numPr>
      <w:tabs>
        <w:tab w:val="left" w:pos="709"/>
      </w:tabs>
      <w:ind w:left="709" w:hanging="709"/>
    </w:pPr>
  </w:style>
  <w:style w:type="character" w:customStyle="1" w:styleId="Heading1RestartChar">
    <w:name w:val="Heading 1 Restart Char"/>
    <w:link w:val="Heading1Restart"/>
    <w:uiPriority w:val="13"/>
    <w:semiHidden/>
    <w:rsid w:val="00386753"/>
    <w:rPr>
      <w:b/>
      <w:smallCaps/>
    </w:rPr>
  </w:style>
  <w:style w:type="paragraph" w:customStyle="1" w:styleId="Heading2Restart">
    <w:name w:val="Heading 2 Restart"/>
    <w:basedOn w:val="Heading2"/>
    <w:next w:val="Body2"/>
    <w:link w:val="Heading2RestartChar"/>
    <w:uiPriority w:val="13"/>
    <w:semiHidden/>
    <w:rsid w:val="00386753"/>
    <w:pPr>
      <w:numPr>
        <w:ilvl w:val="0"/>
        <w:numId w:val="0"/>
      </w:numPr>
      <w:tabs>
        <w:tab w:val="left" w:pos="709"/>
      </w:tabs>
      <w:ind w:left="709" w:hanging="709"/>
    </w:pPr>
  </w:style>
  <w:style w:type="paragraph" w:customStyle="1" w:styleId="Heading3Restart">
    <w:name w:val="Heading 3 Restart"/>
    <w:basedOn w:val="Heading3"/>
    <w:next w:val="Body3"/>
    <w:link w:val="Heading3RestartChar"/>
    <w:uiPriority w:val="13"/>
    <w:semiHidden/>
    <w:qFormat/>
    <w:rsid w:val="00386753"/>
    <w:pPr>
      <w:numPr>
        <w:ilvl w:val="0"/>
        <w:numId w:val="0"/>
      </w:numPr>
      <w:ind w:left="1418" w:hanging="709"/>
    </w:pPr>
  </w:style>
  <w:style w:type="character" w:customStyle="1" w:styleId="Heading3RestartChar">
    <w:name w:val="Heading 3 Restart Char"/>
    <w:link w:val="Heading3Restart"/>
    <w:uiPriority w:val="13"/>
    <w:semiHidden/>
    <w:rsid w:val="00386753"/>
    <w:rPr>
      <w:b/>
    </w:rPr>
  </w:style>
  <w:style w:type="character" w:customStyle="1" w:styleId="BodyChar">
    <w:name w:val="Body Char"/>
    <w:basedOn w:val="DefaultParagraphFont"/>
    <w:link w:val="Body"/>
    <w:uiPriority w:val="17"/>
    <w:semiHidden/>
    <w:rsid w:val="00386753"/>
  </w:style>
  <w:style w:type="character" w:customStyle="1" w:styleId="Body1Char">
    <w:name w:val="Body 1 Char"/>
    <w:basedOn w:val="BodyChar"/>
    <w:link w:val="Body1"/>
    <w:rsid w:val="00386753"/>
  </w:style>
  <w:style w:type="character" w:customStyle="1" w:styleId="Body2Char">
    <w:name w:val="Body 2 Char"/>
    <w:basedOn w:val="Body1Char"/>
    <w:link w:val="Body2"/>
    <w:rsid w:val="00386753"/>
  </w:style>
  <w:style w:type="character" w:customStyle="1" w:styleId="Level2Char">
    <w:name w:val="Level 2 Char"/>
    <w:basedOn w:val="Body2Char"/>
    <w:link w:val="Level2"/>
    <w:uiPriority w:val="6"/>
    <w:rsid w:val="00386753"/>
    <w:rPr>
      <w:sz w:val="19"/>
    </w:rPr>
  </w:style>
  <w:style w:type="character" w:customStyle="1" w:styleId="Heading2RestartChar">
    <w:name w:val="Heading 2 Restart Char"/>
    <w:basedOn w:val="Heading2Char"/>
    <w:link w:val="Heading2Restart"/>
    <w:uiPriority w:val="13"/>
    <w:semiHidden/>
    <w:rsid w:val="00386753"/>
    <w:rPr>
      <w:b/>
      <w:sz w:val="19"/>
    </w:rPr>
  </w:style>
  <w:style w:type="numbering" w:customStyle="1" w:styleId="SchCustomList">
    <w:name w:val="Sch Custom List"/>
    <w:basedOn w:val="NoList"/>
    <w:uiPriority w:val="99"/>
    <w:rsid w:val="00386753"/>
    <w:pPr>
      <w:numPr>
        <w:numId w:val="1"/>
      </w:numPr>
    </w:pPr>
  </w:style>
  <w:style w:type="character" w:customStyle="1" w:styleId="Body3Char">
    <w:name w:val="Body 3 Char"/>
    <w:basedOn w:val="Body2Char"/>
    <w:link w:val="Body3"/>
    <w:rsid w:val="00386753"/>
  </w:style>
  <w:style w:type="character" w:customStyle="1" w:styleId="Body4Char">
    <w:name w:val="Body 4 Char"/>
    <w:basedOn w:val="Body3Char"/>
    <w:link w:val="Body4"/>
    <w:rsid w:val="00386753"/>
  </w:style>
  <w:style w:type="character" w:customStyle="1" w:styleId="Body5Char">
    <w:name w:val="Body 5 Char"/>
    <w:basedOn w:val="Body4Char"/>
    <w:link w:val="Body5"/>
    <w:rsid w:val="00386753"/>
  </w:style>
  <w:style w:type="character" w:customStyle="1" w:styleId="Level1Char">
    <w:name w:val="Level 1 Char"/>
    <w:basedOn w:val="Body1Char"/>
    <w:link w:val="Level1"/>
    <w:uiPriority w:val="6"/>
    <w:rsid w:val="00386753"/>
    <w:rPr>
      <w:sz w:val="19"/>
    </w:rPr>
  </w:style>
  <w:style w:type="character" w:customStyle="1" w:styleId="Level3Char">
    <w:name w:val="Level 3 Char"/>
    <w:basedOn w:val="Body3Char"/>
    <w:link w:val="Level3"/>
    <w:uiPriority w:val="6"/>
    <w:rsid w:val="00386753"/>
    <w:rPr>
      <w:sz w:val="19"/>
    </w:rPr>
  </w:style>
  <w:style w:type="character" w:customStyle="1" w:styleId="Level4Char">
    <w:name w:val="Level 4 Char"/>
    <w:basedOn w:val="Body4Char"/>
    <w:link w:val="Level4"/>
    <w:uiPriority w:val="6"/>
    <w:rsid w:val="00386753"/>
    <w:rPr>
      <w:sz w:val="19"/>
    </w:rPr>
  </w:style>
  <w:style w:type="character" w:customStyle="1" w:styleId="Level5Char">
    <w:name w:val="Level 5 Char"/>
    <w:basedOn w:val="Body5Char"/>
    <w:link w:val="Level5"/>
    <w:uiPriority w:val="6"/>
    <w:rsid w:val="00386753"/>
    <w:rPr>
      <w:sz w:val="19"/>
    </w:rPr>
  </w:style>
  <w:style w:type="character" w:customStyle="1" w:styleId="SchNumber1Char">
    <w:name w:val="Sch Number 1 Char"/>
    <w:basedOn w:val="Level1Char"/>
    <w:link w:val="SchNumber1"/>
    <w:uiPriority w:val="12"/>
    <w:rsid w:val="00386753"/>
    <w:rPr>
      <w:sz w:val="19"/>
    </w:rPr>
  </w:style>
  <w:style w:type="character" w:customStyle="1" w:styleId="SchHeading1Char">
    <w:name w:val="Sch Heading 1 Char"/>
    <w:basedOn w:val="SchNumber1Char"/>
    <w:link w:val="SchHeading1"/>
    <w:uiPriority w:val="12"/>
    <w:rsid w:val="00386753"/>
    <w:rPr>
      <w:b/>
      <w:smallCaps/>
      <w:sz w:val="19"/>
    </w:rPr>
  </w:style>
  <w:style w:type="character" w:customStyle="1" w:styleId="SchNumber2Char">
    <w:name w:val="Sch Number 2 Char"/>
    <w:basedOn w:val="Level2Char"/>
    <w:link w:val="SchNumber2"/>
    <w:uiPriority w:val="12"/>
    <w:rsid w:val="00386753"/>
    <w:rPr>
      <w:sz w:val="19"/>
    </w:rPr>
  </w:style>
  <w:style w:type="character" w:customStyle="1" w:styleId="SchHeading2Char">
    <w:name w:val="Sch Heading 2 Char"/>
    <w:basedOn w:val="SchNumber2Char"/>
    <w:link w:val="SchHeading2"/>
    <w:uiPriority w:val="12"/>
    <w:rsid w:val="00386753"/>
    <w:rPr>
      <w:b/>
      <w:sz w:val="19"/>
    </w:rPr>
  </w:style>
  <w:style w:type="character" w:customStyle="1" w:styleId="SchNumber3Char">
    <w:name w:val="Sch Number 3 Char"/>
    <w:basedOn w:val="Level3Char"/>
    <w:link w:val="SchNumber3"/>
    <w:uiPriority w:val="12"/>
    <w:rsid w:val="00386753"/>
    <w:rPr>
      <w:sz w:val="19"/>
    </w:rPr>
  </w:style>
  <w:style w:type="character" w:customStyle="1" w:styleId="SchNumber4Char">
    <w:name w:val="Sch Number 4 Char"/>
    <w:basedOn w:val="Level4Char"/>
    <w:link w:val="SchNumber4"/>
    <w:uiPriority w:val="12"/>
    <w:rsid w:val="00386753"/>
    <w:rPr>
      <w:sz w:val="19"/>
    </w:rPr>
  </w:style>
  <w:style w:type="character" w:customStyle="1" w:styleId="SchNumber5Char">
    <w:name w:val="Sch Number 5 Char"/>
    <w:basedOn w:val="Level5Char"/>
    <w:link w:val="SchNumber5"/>
    <w:uiPriority w:val="12"/>
    <w:rsid w:val="00386753"/>
    <w:rPr>
      <w:sz w:val="19"/>
    </w:rPr>
  </w:style>
  <w:style w:type="paragraph" w:customStyle="1" w:styleId="SchHeading3">
    <w:name w:val="Sch Heading 3"/>
    <w:basedOn w:val="SchNumber3"/>
    <w:next w:val="Body3"/>
    <w:link w:val="SchHeading3Char"/>
    <w:uiPriority w:val="12"/>
    <w:qFormat/>
    <w:rsid w:val="00386753"/>
    <w:pPr>
      <w:keepNext/>
    </w:pPr>
    <w:rPr>
      <w:b/>
    </w:rPr>
  </w:style>
  <w:style w:type="character" w:customStyle="1" w:styleId="SchHeading3Char">
    <w:name w:val="Sch Heading 3 Char"/>
    <w:basedOn w:val="SchNumber3Char"/>
    <w:link w:val="SchHeading3"/>
    <w:uiPriority w:val="12"/>
    <w:rsid w:val="00386753"/>
    <w:rPr>
      <w:b/>
      <w:sz w:val="19"/>
    </w:rPr>
  </w:style>
  <w:style w:type="paragraph" w:customStyle="1" w:styleId="Parts">
    <w:name w:val="Parts"/>
    <w:basedOn w:val="Body1"/>
    <w:next w:val="Body1"/>
    <w:uiPriority w:val="12"/>
    <w:qFormat/>
    <w:rsid w:val="00386753"/>
    <w:pPr>
      <w:keepNext/>
      <w:jc w:val="center"/>
    </w:pPr>
    <w:rPr>
      <w:b/>
    </w:rPr>
  </w:style>
  <w:style w:type="paragraph" w:styleId="List4">
    <w:name w:val="List 4"/>
    <w:basedOn w:val="Normal"/>
    <w:uiPriority w:val="29"/>
    <w:rsid w:val="00386753"/>
    <w:pPr>
      <w:ind w:left="1132" w:hanging="283"/>
      <w:contextualSpacing/>
    </w:pPr>
  </w:style>
  <w:style w:type="paragraph" w:customStyle="1" w:styleId="Address2">
    <w:name w:val="Address 2"/>
    <w:basedOn w:val="Normal"/>
    <w:uiPriority w:val="17"/>
    <w:rsid w:val="00386753"/>
    <w:rPr>
      <w:sz w:val="14"/>
    </w:rPr>
  </w:style>
  <w:style w:type="paragraph" w:customStyle="1" w:styleId="address3">
    <w:name w:val="address 3"/>
    <w:basedOn w:val="Address2"/>
    <w:uiPriority w:val="17"/>
    <w:rsid w:val="00386753"/>
    <w:pPr>
      <w:spacing w:after="120" w:line="240" w:lineRule="auto"/>
    </w:pPr>
    <w:rPr>
      <w:sz w:val="12"/>
    </w:rPr>
  </w:style>
  <w:style w:type="paragraph" w:customStyle="1" w:styleId="SchHeading1Restart">
    <w:name w:val="Sch Heading 1 Restart"/>
    <w:basedOn w:val="SchHeading1"/>
    <w:next w:val="Body2"/>
    <w:link w:val="SchHeading1RestartChar"/>
    <w:uiPriority w:val="13"/>
    <w:semiHidden/>
    <w:rsid w:val="00386753"/>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386753"/>
    <w:rPr>
      <w:b/>
      <w:smallCaps/>
      <w:sz w:val="19"/>
    </w:rPr>
  </w:style>
  <w:style w:type="paragraph" w:customStyle="1" w:styleId="SchHeading2Restart">
    <w:name w:val="Sch Heading 2 Restart"/>
    <w:basedOn w:val="SchHeading2"/>
    <w:next w:val="Body2"/>
    <w:link w:val="SchHeading2RestartChar"/>
    <w:uiPriority w:val="13"/>
    <w:semiHidden/>
    <w:rsid w:val="00386753"/>
    <w:pPr>
      <w:numPr>
        <w:ilvl w:val="0"/>
        <w:numId w:val="0"/>
      </w:numPr>
      <w:tabs>
        <w:tab w:val="left" w:pos="709"/>
      </w:tabs>
      <w:ind w:left="709"/>
    </w:pPr>
  </w:style>
  <w:style w:type="character" w:customStyle="1" w:styleId="SchHeading2RestartChar">
    <w:name w:val="Sch Heading 2 Restart Char"/>
    <w:basedOn w:val="SchHeading2Char"/>
    <w:link w:val="SchHeading2Restart"/>
    <w:uiPriority w:val="13"/>
    <w:semiHidden/>
    <w:rsid w:val="00386753"/>
    <w:rPr>
      <w:b/>
      <w:sz w:val="19"/>
    </w:rPr>
  </w:style>
  <w:style w:type="paragraph" w:customStyle="1" w:styleId="SchHeading3Restart">
    <w:name w:val="Sch Heading 3 Restart"/>
    <w:basedOn w:val="SchHeading3"/>
    <w:next w:val="Body3"/>
    <w:link w:val="SchHeading3RestartChar"/>
    <w:uiPriority w:val="13"/>
    <w:semiHidden/>
    <w:rsid w:val="00386753"/>
    <w:pPr>
      <w:numPr>
        <w:ilvl w:val="0"/>
        <w:numId w:val="0"/>
      </w:numPr>
      <w:tabs>
        <w:tab w:val="left" w:pos="1418"/>
      </w:tabs>
      <w:ind w:left="1418"/>
    </w:pPr>
  </w:style>
  <w:style w:type="character" w:customStyle="1" w:styleId="SchHeading3RestartChar">
    <w:name w:val="Sch Heading 3 Restart Char"/>
    <w:basedOn w:val="SchHeading3Char"/>
    <w:link w:val="SchHeading3Restart"/>
    <w:uiPriority w:val="13"/>
    <w:semiHidden/>
    <w:rsid w:val="00386753"/>
    <w:rPr>
      <w:b/>
      <w:sz w:val="19"/>
    </w:rPr>
  </w:style>
  <w:style w:type="paragraph" w:customStyle="1" w:styleId="CentredHeadingCover">
    <w:name w:val="Centred Heading Cover"/>
    <w:basedOn w:val="CentredHeading"/>
    <w:uiPriority w:val="13"/>
    <w:semiHidden/>
    <w:unhideWhenUsed/>
    <w:rsid w:val="00386753"/>
  </w:style>
  <w:style w:type="paragraph" w:customStyle="1" w:styleId="Level6">
    <w:name w:val="Level 6"/>
    <w:basedOn w:val="Body5"/>
    <w:uiPriority w:val="7"/>
    <w:qFormat/>
    <w:rsid w:val="009F6E91"/>
    <w:pPr>
      <w:numPr>
        <w:ilvl w:val="5"/>
        <w:numId w:val="11"/>
      </w:numPr>
    </w:pPr>
    <w:rPr>
      <w:rFonts w:eastAsia="Arial Unicode MS"/>
    </w:rPr>
  </w:style>
  <w:style w:type="paragraph" w:customStyle="1" w:styleId="Level7">
    <w:name w:val="Level 7"/>
    <w:basedOn w:val="Level1"/>
    <w:uiPriority w:val="7"/>
    <w:qFormat/>
    <w:rsid w:val="009F6E91"/>
    <w:pPr>
      <w:numPr>
        <w:ilvl w:val="6"/>
      </w:numPr>
    </w:pPr>
    <w:rPr>
      <w:rFonts w:eastAsia="Arial Unicode MS"/>
    </w:rPr>
  </w:style>
  <w:style w:type="paragraph" w:customStyle="1" w:styleId="Heading1Underline">
    <w:name w:val="Heading 1 Underline"/>
    <w:basedOn w:val="Body1"/>
    <w:uiPriority w:val="7"/>
    <w:qFormat/>
    <w:rsid w:val="0084402B"/>
    <w:rPr>
      <w:rFonts w:ascii="Arial Bold" w:hAnsi="Arial Bold"/>
      <w:b/>
      <w:smallCaps/>
      <w:u w:val="single"/>
    </w:rPr>
  </w:style>
  <w:style w:type="paragraph" w:customStyle="1" w:styleId="6pt">
    <w:name w:val="6pt"/>
    <w:basedOn w:val="Normal"/>
    <w:uiPriority w:val="7"/>
    <w:qFormat/>
    <w:rsid w:val="00631DA1"/>
    <w:pPr>
      <w:tabs>
        <w:tab w:val="left" w:pos="357"/>
      </w:tabs>
    </w:pPr>
    <w:rPr>
      <w:sz w:val="12"/>
    </w:rPr>
  </w:style>
  <w:style w:type="paragraph" w:customStyle="1" w:styleId="cent12">
    <w:name w:val="cent12"/>
    <w:basedOn w:val="Centred"/>
    <w:uiPriority w:val="7"/>
    <w:qFormat/>
    <w:rsid w:val="00631DA1"/>
    <w:rPr>
      <w:b/>
      <w:sz w:val="24"/>
    </w:rPr>
  </w:style>
  <w:style w:type="paragraph" w:customStyle="1" w:styleId="8ptwht">
    <w:name w:val="8ptwht"/>
    <w:basedOn w:val="NormalCentred"/>
    <w:uiPriority w:val="7"/>
    <w:qFormat/>
    <w:rsid w:val="00DF45CE"/>
    <w:rPr>
      <w:b/>
      <w:color w:val="F2F2F2" w:themeColor="background1" w:themeShade="F2"/>
      <w:sz w:val="16"/>
    </w:rPr>
  </w:style>
  <w:style w:type="paragraph" w:customStyle="1" w:styleId="DefHead">
    <w:name w:val="DefHead"/>
    <w:basedOn w:val="Body1"/>
    <w:uiPriority w:val="7"/>
    <w:qFormat/>
    <w:rsid w:val="002845C4"/>
    <w:pPr>
      <w:numPr>
        <w:numId w:val="31"/>
      </w:numPr>
    </w:pPr>
    <w:rPr>
      <w:rFonts w:eastAsia="Arial Unicode MS"/>
    </w:rPr>
  </w:style>
  <w:style w:type="paragraph" w:customStyle="1" w:styleId="DefLevel1">
    <w:name w:val="DefLevel 1"/>
    <w:basedOn w:val="Normal"/>
    <w:uiPriority w:val="7"/>
    <w:qFormat/>
    <w:rsid w:val="002845C4"/>
    <w:pPr>
      <w:numPr>
        <w:ilvl w:val="1"/>
        <w:numId w:val="31"/>
      </w:numPr>
      <w:spacing w:after="210"/>
    </w:pPr>
    <w:rPr>
      <w:rFonts w:eastAsia="Arial Unicode MS"/>
    </w:rPr>
  </w:style>
  <w:style w:type="paragraph" w:customStyle="1" w:styleId="DefLevel2">
    <w:name w:val="DefLevel 2"/>
    <w:basedOn w:val="Normal"/>
    <w:uiPriority w:val="7"/>
    <w:qFormat/>
    <w:rsid w:val="0097597D"/>
    <w:pPr>
      <w:numPr>
        <w:ilvl w:val="2"/>
        <w:numId w:val="31"/>
      </w:numPr>
      <w:spacing w:after="210"/>
    </w:pPr>
    <w:rPr>
      <w:rFonts w:eastAsia="Arial Unicode MS"/>
    </w:rPr>
  </w:style>
  <w:style w:type="paragraph" w:customStyle="1" w:styleId="DefLevel3">
    <w:name w:val="DefLevel 3"/>
    <w:basedOn w:val="Normal"/>
    <w:uiPriority w:val="7"/>
    <w:qFormat/>
    <w:rsid w:val="0097597D"/>
    <w:pPr>
      <w:numPr>
        <w:ilvl w:val="3"/>
        <w:numId w:val="31"/>
      </w:numPr>
      <w:spacing w:after="210"/>
    </w:pPr>
    <w:rPr>
      <w:rFonts w:eastAsia="Arial Unicode MS"/>
    </w:rPr>
  </w:style>
  <w:style w:type="paragraph" w:customStyle="1" w:styleId="DefLevel4">
    <w:name w:val="DefLevel4"/>
    <w:basedOn w:val="Body5"/>
    <w:uiPriority w:val="7"/>
    <w:qFormat/>
    <w:rsid w:val="002845C4"/>
    <w:pPr>
      <w:numPr>
        <w:ilvl w:val="4"/>
        <w:numId w:val="31"/>
      </w:numPr>
    </w:pPr>
    <w:rPr>
      <w:rFonts w:eastAsia="Arial Unicode MS"/>
      <w:sz w:val="21"/>
    </w:rPr>
  </w:style>
  <w:style w:type="paragraph" w:customStyle="1" w:styleId="DefLevel5">
    <w:name w:val="DefLevel5"/>
    <w:basedOn w:val="Body5"/>
    <w:uiPriority w:val="7"/>
    <w:qFormat/>
    <w:rsid w:val="002845C4"/>
    <w:pPr>
      <w:numPr>
        <w:ilvl w:val="5"/>
        <w:numId w:val="31"/>
      </w:numPr>
    </w:pPr>
    <w:rPr>
      <w:rFonts w:eastAsia="Arial Unicode MS"/>
      <w:sz w:val="21"/>
    </w:rPr>
  </w:style>
  <w:style w:type="paragraph" w:styleId="Revision">
    <w:name w:val="Revision"/>
    <w:hidden/>
    <w:uiPriority w:val="99"/>
    <w:semiHidden/>
    <w:rsid w:val="00B12D53"/>
    <w:pPr>
      <w:spacing w:line="240" w:lineRule="auto"/>
      <w:jc w:val="left"/>
    </w:pPr>
    <w:rPr>
      <w:sz w:val="19"/>
    </w:rPr>
  </w:style>
  <w:style w:type="table" w:styleId="TableGrid">
    <w:name w:val="Table Grid"/>
    <w:basedOn w:val="TableNormal"/>
    <w:uiPriority w:val="59"/>
    <w:rsid w:val="001710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171041"/>
    <w:pPr>
      <w:spacing w:line="240" w:lineRule="auto"/>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ext">
    <w:name w:val="Heading Text"/>
    <w:basedOn w:val="Body1"/>
    <w:link w:val="HeadingTextChar"/>
    <w:uiPriority w:val="7"/>
    <w:qFormat/>
    <w:rsid w:val="00171041"/>
    <w:rPr>
      <w:rFonts w:eastAsia="Arial Unicode MS"/>
      <w:b/>
      <w:smallCaps/>
      <w:szCs w:val="19"/>
    </w:rPr>
  </w:style>
  <w:style w:type="character" w:customStyle="1" w:styleId="HeadingTextChar">
    <w:name w:val="Heading Text Char"/>
    <w:basedOn w:val="Body1Char"/>
    <w:link w:val="HeadingText"/>
    <w:uiPriority w:val="7"/>
    <w:rsid w:val="00171041"/>
    <w:rPr>
      <w:rFonts w:eastAsia="Arial Unicode MS"/>
      <w:b/>
      <w:smallCaps/>
      <w:sz w:val="19"/>
      <w:szCs w:val="19"/>
    </w:rPr>
  </w:style>
  <w:style w:type="character" w:customStyle="1" w:styleId="CentredHeadingChar">
    <w:name w:val="Centred Heading Char"/>
    <w:basedOn w:val="Body1Char"/>
    <w:link w:val="CentredHeading"/>
    <w:uiPriority w:val="13"/>
    <w:rsid w:val="00171041"/>
    <w:rPr>
      <w:b/>
      <w:smallCaps/>
      <w:sz w:val="19"/>
    </w:rPr>
  </w:style>
  <w:style w:type="character" w:customStyle="1" w:styleId="FootnoteTextChar">
    <w:name w:val="Footnote Text Char"/>
    <w:basedOn w:val="DefaultParagraphFont"/>
    <w:link w:val="FootnoteText"/>
    <w:uiPriority w:val="17"/>
    <w:rsid w:val="00171041"/>
    <w:rPr>
      <w:sz w:val="16"/>
    </w:rPr>
  </w:style>
  <w:style w:type="paragraph" w:customStyle="1" w:styleId="FootnoteReferenceNumber">
    <w:name w:val="Footnote Reference Number"/>
    <w:aliases w:val="Footnote symbol,16 Point,Superscript 6 Point,Times 10 Point,Exposant 3 Point,Footnote reference number,Odwołanie przypisu,number,SUPERS,Ref,de nota al pie,footnote ref,2001+ Fußnotenzeichen, Exposant 3 Point"/>
    <w:basedOn w:val="Normal"/>
    <w:link w:val="FootnoteReference"/>
    <w:rsid w:val="00171041"/>
    <w:pPr>
      <w:spacing w:after="160" w:line="240" w:lineRule="exact"/>
      <w:jc w:val="left"/>
    </w:pPr>
    <w:rPr>
      <w:sz w:val="21"/>
      <w:vertAlign w:val="superscript"/>
    </w:rPr>
  </w:style>
  <w:style w:type="paragraph" w:styleId="IntenseQuote">
    <w:name w:val="Intense Quote"/>
    <w:basedOn w:val="Normal"/>
    <w:next w:val="Normal"/>
    <w:link w:val="IntenseQuoteChar"/>
    <w:uiPriority w:val="40"/>
    <w:rsid w:val="009A4683"/>
    <w:pPr>
      <w:pBdr>
        <w:top w:val="single" w:sz="4" w:space="10" w:color="005A8C" w:themeColor="accent1"/>
        <w:bottom w:val="single" w:sz="4" w:space="10" w:color="005A8C" w:themeColor="accent1"/>
      </w:pBdr>
      <w:spacing w:before="360" w:after="360"/>
      <w:ind w:left="864" w:right="864"/>
      <w:jc w:val="center"/>
    </w:pPr>
    <w:rPr>
      <w:i/>
      <w:iCs/>
      <w:color w:val="005A8C" w:themeColor="accent1"/>
    </w:rPr>
  </w:style>
  <w:style w:type="character" w:customStyle="1" w:styleId="IntenseQuoteChar">
    <w:name w:val="Intense Quote Char"/>
    <w:basedOn w:val="DefaultParagraphFont"/>
    <w:link w:val="IntenseQuote"/>
    <w:uiPriority w:val="40"/>
    <w:rsid w:val="009A4683"/>
    <w:rPr>
      <w:i/>
      <w:iCs/>
      <w:color w:val="005A8C" w:themeColor="accent1"/>
      <w:sz w:val="19"/>
    </w:rPr>
  </w:style>
  <w:style w:type="paragraph" w:customStyle="1" w:styleId="msonormal0">
    <w:name w:val="msonormal"/>
    <w:basedOn w:val="Normal"/>
    <w:rsid w:val="000D0E23"/>
    <w:pPr>
      <w:spacing w:before="100" w:beforeAutospacing="1" w:after="100" w:afterAutospacing="1" w:line="240" w:lineRule="auto"/>
      <w:jc w:val="left"/>
    </w:pPr>
    <w:rPr>
      <w:rFonts w:ascii="Times New Roman" w:hAnsi="Times New Roman"/>
      <w:sz w:val="24"/>
      <w:szCs w:val="24"/>
      <w:lang w:val="de-DE" w:eastAsia="de-DE"/>
    </w:rPr>
  </w:style>
  <w:style w:type="paragraph" w:customStyle="1" w:styleId="xl71">
    <w:name w:val="xl71"/>
    <w:basedOn w:val="Normal"/>
    <w:rsid w:val="000D0E23"/>
    <w:pPr>
      <w:spacing w:before="100" w:beforeAutospacing="1" w:after="100" w:afterAutospacing="1" w:line="240" w:lineRule="auto"/>
      <w:jc w:val="left"/>
    </w:pPr>
    <w:rPr>
      <w:rFonts w:ascii="Times New Roman" w:hAnsi="Times New Roman"/>
      <w:color w:val="0070C0"/>
      <w:sz w:val="18"/>
      <w:szCs w:val="18"/>
      <w:lang w:val="de-DE" w:eastAsia="de-DE"/>
    </w:rPr>
  </w:style>
  <w:style w:type="paragraph" w:customStyle="1" w:styleId="xl72">
    <w:name w:val="xl72"/>
    <w:basedOn w:val="Normal"/>
    <w:rsid w:val="000D0E23"/>
    <w:pPr>
      <w:spacing w:before="100" w:beforeAutospacing="1" w:after="100" w:afterAutospacing="1" w:line="240" w:lineRule="auto"/>
      <w:jc w:val="left"/>
    </w:pPr>
    <w:rPr>
      <w:rFonts w:ascii="Times New Roman" w:hAnsi="Times New Roman"/>
      <w:color w:val="0070C0"/>
      <w:sz w:val="24"/>
      <w:szCs w:val="24"/>
      <w:lang w:val="de-DE" w:eastAsia="de-DE"/>
    </w:rPr>
  </w:style>
  <w:style w:type="paragraph" w:customStyle="1" w:styleId="xl73">
    <w:name w:val="xl73"/>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74">
    <w:name w:val="xl74"/>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75">
    <w:name w:val="xl75"/>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76">
    <w:name w:val="xl76"/>
    <w:basedOn w:val="Normal"/>
    <w:rsid w:val="000D0E23"/>
    <w:pPr>
      <w:spacing w:before="100" w:beforeAutospacing="1" w:after="100" w:afterAutospacing="1" w:line="240" w:lineRule="auto"/>
      <w:jc w:val="left"/>
    </w:pPr>
    <w:rPr>
      <w:rFonts w:ascii="Times New Roman" w:hAnsi="Times New Roman"/>
      <w:sz w:val="24"/>
      <w:szCs w:val="24"/>
      <w:lang w:val="de-DE" w:eastAsia="de-DE"/>
    </w:rPr>
  </w:style>
  <w:style w:type="paragraph" w:customStyle="1" w:styleId="xl77">
    <w:name w:val="xl77"/>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de-DE" w:eastAsia="de-DE"/>
    </w:rPr>
  </w:style>
  <w:style w:type="paragraph" w:customStyle="1" w:styleId="xl78">
    <w:name w:val="xl78"/>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161518"/>
      <w:sz w:val="18"/>
      <w:szCs w:val="18"/>
      <w:lang w:val="de-DE" w:eastAsia="de-DE"/>
    </w:rPr>
  </w:style>
  <w:style w:type="paragraph" w:customStyle="1" w:styleId="xl79">
    <w:name w:val="xl79"/>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161518"/>
      <w:sz w:val="18"/>
      <w:szCs w:val="18"/>
      <w:lang w:val="de-DE" w:eastAsia="de-DE"/>
    </w:rPr>
  </w:style>
  <w:style w:type="paragraph" w:customStyle="1" w:styleId="xl80">
    <w:name w:val="xl80"/>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161518"/>
      <w:sz w:val="18"/>
      <w:szCs w:val="18"/>
      <w:lang w:val="de-DE" w:eastAsia="de-DE"/>
    </w:rPr>
  </w:style>
  <w:style w:type="paragraph" w:customStyle="1" w:styleId="xl81">
    <w:name w:val="xl81"/>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82">
    <w:name w:val="xl82"/>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83">
    <w:name w:val="xl83"/>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84">
    <w:name w:val="xl84"/>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8"/>
      <w:szCs w:val="18"/>
      <w:lang w:val="de-DE" w:eastAsia="de-DE"/>
    </w:rPr>
  </w:style>
  <w:style w:type="paragraph" w:customStyle="1" w:styleId="xl85">
    <w:name w:val="xl85"/>
    <w:basedOn w:val="Normal"/>
    <w:rsid w:val="000D0E23"/>
    <w:pP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86">
    <w:name w:val="xl86"/>
    <w:basedOn w:val="Normal"/>
    <w:rsid w:val="000D0E23"/>
    <w:pP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87">
    <w:name w:val="xl87"/>
    <w:basedOn w:val="Normal"/>
    <w:rsid w:val="000D0E23"/>
    <w:pP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88">
    <w:name w:val="xl88"/>
    <w:basedOn w:val="Normal"/>
    <w:rsid w:val="000D0E23"/>
    <w:pP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89">
    <w:name w:val="xl89"/>
    <w:basedOn w:val="Normal"/>
    <w:rsid w:val="000D0E23"/>
    <w:pPr>
      <w:shd w:val="clear" w:color="000000" w:fill="FFFFFF"/>
      <w:spacing w:before="100" w:beforeAutospacing="1" w:after="100" w:afterAutospacing="1" w:line="240" w:lineRule="auto"/>
      <w:jc w:val="left"/>
    </w:pPr>
    <w:rPr>
      <w:rFonts w:ascii="Times New Roman" w:hAnsi="Times New Roman"/>
      <w:sz w:val="24"/>
      <w:szCs w:val="24"/>
      <w:lang w:val="de-DE" w:eastAsia="de-DE"/>
    </w:rPr>
  </w:style>
  <w:style w:type="paragraph" w:customStyle="1" w:styleId="xl90">
    <w:name w:val="xl90"/>
    <w:basedOn w:val="Normal"/>
    <w:rsid w:val="000D0E23"/>
    <w:pPr>
      <w:spacing w:before="100" w:beforeAutospacing="1" w:after="100" w:afterAutospacing="1" w:line="240" w:lineRule="auto"/>
      <w:jc w:val="left"/>
    </w:pPr>
    <w:rPr>
      <w:rFonts w:ascii="Times New Roman" w:hAnsi="Times New Roman"/>
      <w:b/>
      <w:bCs/>
      <w:sz w:val="24"/>
      <w:szCs w:val="24"/>
      <w:lang w:val="de-DE" w:eastAsia="de-DE"/>
    </w:rPr>
  </w:style>
  <w:style w:type="paragraph" w:customStyle="1" w:styleId="xl91">
    <w:name w:val="xl91"/>
    <w:basedOn w:val="Normal"/>
    <w:rsid w:val="000D0E23"/>
    <w:pPr>
      <w:spacing w:before="100" w:beforeAutospacing="1" w:after="100" w:afterAutospacing="1" w:line="240" w:lineRule="auto"/>
      <w:jc w:val="center"/>
    </w:pPr>
    <w:rPr>
      <w:rFonts w:ascii="Times New Roman" w:hAnsi="Times New Roman"/>
      <w:b/>
      <w:bCs/>
      <w:sz w:val="24"/>
      <w:szCs w:val="24"/>
      <w:lang w:val="de-DE" w:eastAsia="de-DE"/>
    </w:rPr>
  </w:style>
  <w:style w:type="paragraph" w:customStyle="1" w:styleId="xl92">
    <w:name w:val="xl92"/>
    <w:basedOn w:val="Normal"/>
    <w:rsid w:val="000D0E23"/>
    <w:pPr>
      <w:spacing w:before="100" w:beforeAutospacing="1" w:after="100" w:afterAutospacing="1" w:line="240" w:lineRule="auto"/>
      <w:jc w:val="center"/>
    </w:pPr>
    <w:rPr>
      <w:rFonts w:ascii="Times New Roman" w:hAnsi="Times New Roman"/>
      <w:b/>
      <w:bCs/>
      <w:sz w:val="24"/>
      <w:szCs w:val="24"/>
      <w:lang w:val="de-DE" w:eastAsia="de-DE"/>
    </w:rPr>
  </w:style>
  <w:style w:type="paragraph" w:customStyle="1" w:styleId="xl93">
    <w:name w:val="xl93"/>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161518"/>
      <w:sz w:val="18"/>
      <w:szCs w:val="18"/>
      <w:lang w:val="de-DE" w:eastAsia="de-DE"/>
    </w:rPr>
  </w:style>
  <w:style w:type="paragraph" w:customStyle="1" w:styleId="xl94">
    <w:name w:val="xl94"/>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95">
    <w:name w:val="xl95"/>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lang w:val="de-DE" w:eastAsia="de-DE"/>
    </w:rPr>
  </w:style>
  <w:style w:type="paragraph" w:customStyle="1" w:styleId="xl96">
    <w:name w:val="xl96"/>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lang w:val="de-DE" w:eastAsia="de-DE"/>
    </w:rPr>
  </w:style>
  <w:style w:type="paragraph" w:customStyle="1" w:styleId="xl97">
    <w:name w:val="xl97"/>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lang w:val="de-DE" w:eastAsia="de-DE"/>
    </w:rPr>
  </w:style>
  <w:style w:type="paragraph" w:customStyle="1" w:styleId="xl98">
    <w:name w:val="xl98"/>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de-DE" w:eastAsia="de-DE"/>
    </w:rPr>
  </w:style>
  <w:style w:type="paragraph" w:customStyle="1" w:styleId="xl99">
    <w:name w:val="xl99"/>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de-DE" w:eastAsia="de-DE"/>
    </w:rPr>
  </w:style>
  <w:style w:type="paragraph" w:customStyle="1" w:styleId="xl100">
    <w:name w:val="xl100"/>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01">
    <w:name w:val="xl101"/>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02">
    <w:name w:val="xl102"/>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03">
    <w:name w:val="xl103"/>
    <w:basedOn w:val="Normal"/>
    <w:rsid w:val="000D0E23"/>
    <w:pPr>
      <w:spacing w:before="100" w:beforeAutospacing="1" w:after="100" w:afterAutospacing="1" w:line="240" w:lineRule="auto"/>
      <w:jc w:val="left"/>
    </w:pPr>
    <w:rPr>
      <w:rFonts w:ascii="Times New Roman" w:hAnsi="Times New Roman"/>
      <w:b/>
      <w:bCs/>
      <w:sz w:val="18"/>
      <w:szCs w:val="18"/>
      <w:lang w:val="de-DE" w:eastAsia="de-DE"/>
    </w:rPr>
  </w:style>
  <w:style w:type="paragraph" w:customStyle="1" w:styleId="xl104">
    <w:name w:val="xl104"/>
    <w:basedOn w:val="Normal"/>
    <w:rsid w:val="000D0E23"/>
    <w:pPr>
      <w:spacing w:before="100" w:beforeAutospacing="1" w:after="100" w:afterAutospacing="1" w:line="240" w:lineRule="auto"/>
      <w:jc w:val="left"/>
    </w:pPr>
    <w:rPr>
      <w:rFonts w:ascii="Times New Roman" w:hAnsi="Times New Roman"/>
      <w:b/>
      <w:bCs/>
      <w:sz w:val="18"/>
      <w:szCs w:val="18"/>
      <w:lang w:val="de-DE" w:eastAsia="de-DE"/>
    </w:rPr>
  </w:style>
  <w:style w:type="paragraph" w:customStyle="1" w:styleId="xl105">
    <w:name w:val="xl105"/>
    <w:basedOn w:val="Normal"/>
    <w:rsid w:val="000D0E23"/>
    <w:pPr>
      <w:spacing w:before="100" w:beforeAutospacing="1" w:after="100" w:afterAutospacing="1" w:line="240" w:lineRule="auto"/>
      <w:jc w:val="left"/>
    </w:pPr>
    <w:rPr>
      <w:rFonts w:ascii="Times New Roman" w:hAnsi="Times New Roman"/>
      <w:b/>
      <w:bCs/>
      <w:sz w:val="18"/>
      <w:szCs w:val="18"/>
      <w:lang w:val="de-DE" w:eastAsia="de-DE"/>
    </w:rPr>
  </w:style>
  <w:style w:type="paragraph" w:customStyle="1" w:styleId="xl106">
    <w:name w:val="xl106"/>
    <w:basedOn w:val="Normal"/>
    <w:rsid w:val="000D0E23"/>
    <w:pPr>
      <w:spacing w:before="100" w:beforeAutospacing="1" w:after="100" w:afterAutospacing="1" w:line="240" w:lineRule="auto"/>
      <w:jc w:val="left"/>
    </w:pPr>
    <w:rPr>
      <w:rFonts w:ascii="Times New Roman" w:hAnsi="Times New Roman"/>
      <w:b/>
      <w:bCs/>
      <w:sz w:val="18"/>
      <w:szCs w:val="18"/>
      <w:lang w:val="de-DE" w:eastAsia="de-DE"/>
    </w:rPr>
  </w:style>
  <w:style w:type="paragraph" w:customStyle="1" w:styleId="xl107">
    <w:name w:val="xl107"/>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08">
    <w:name w:val="xl108"/>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09">
    <w:name w:val="xl109"/>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10">
    <w:name w:val="xl110"/>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11">
    <w:name w:val="xl111"/>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161518"/>
      <w:sz w:val="18"/>
      <w:szCs w:val="18"/>
      <w:lang w:val="de-DE" w:eastAsia="de-DE"/>
    </w:rPr>
  </w:style>
  <w:style w:type="paragraph" w:customStyle="1" w:styleId="xl112">
    <w:name w:val="xl112"/>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161518"/>
      <w:sz w:val="18"/>
      <w:szCs w:val="18"/>
      <w:lang w:val="de-DE" w:eastAsia="de-DE"/>
    </w:rPr>
  </w:style>
  <w:style w:type="paragraph" w:customStyle="1" w:styleId="xl113">
    <w:name w:val="xl113"/>
    <w:basedOn w:val="Normal"/>
    <w:rsid w:val="000D0E23"/>
    <w:pP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14">
    <w:name w:val="xl114"/>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161518"/>
      <w:sz w:val="18"/>
      <w:szCs w:val="18"/>
      <w:lang w:val="de-DE" w:eastAsia="de-DE"/>
    </w:rPr>
  </w:style>
  <w:style w:type="paragraph" w:customStyle="1" w:styleId="xl115">
    <w:name w:val="xl115"/>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16">
    <w:name w:val="xl116"/>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8"/>
      <w:szCs w:val="18"/>
      <w:lang w:val="de-DE" w:eastAsia="de-DE"/>
    </w:rPr>
  </w:style>
  <w:style w:type="paragraph" w:customStyle="1" w:styleId="xl117">
    <w:name w:val="xl117"/>
    <w:basedOn w:val="Normal"/>
    <w:rsid w:val="000D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de-DE" w:eastAsia="de-DE"/>
    </w:rPr>
  </w:style>
  <w:style w:type="paragraph" w:customStyle="1" w:styleId="xl64">
    <w:name w:val="xl64"/>
    <w:basedOn w:val="Normal"/>
    <w:rsid w:val="00D86B4D"/>
    <w:pPr>
      <w:shd w:val="clear" w:color="000000" w:fill="FFFFFF"/>
      <w:spacing w:before="100" w:beforeAutospacing="1" w:after="100" w:afterAutospacing="1" w:line="240" w:lineRule="auto"/>
      <w:jc w:val="left"/>
    </w:pPr>
    <w:rPr>
      <w:rFonts w:ascii="Times New Roman" w:hAnsi="Times New Roman"/>
      <w:sz w:val="24"/>
      <w:szCs w:val="24"/>
      <w:lang w:val="de-DE" w:eastAsia="de-DE"/>
    </w:rPr>
  </w:style>
  <w:style w:type="paragraph" w:customStyle="1" w:styleId="xl65">
    <w:name w:val="xl65"/>
    <w:basedOn w:val="Normal"/>
    <w:rsid w:val="00D86B4D"/>
    <w:pPr>
      <w:shd w:val="clear" w:color="000000" w:fill="FFFFFF"/>
      <w:spacing w:before="100" w:beforeAutospacing="1" w:after="100" w:afterAutospacing="1" w:line="240" w:lineRule="auto"/>
      <w:jc w:val="left"/>
    </w:pPr>
    <w:rPr>
      <w:rFonts w:ascii="Calibri" w:hAnsi="Calibri" w:cs="Calibri"/>
      <w:sz w:val="24"/>
      <w:szCs w:val="24"/>
      <w:lang w:val="de-DE" w:eastAsia="de-DE"/>
    </w:rPr>
  </w:style>
  <w:style w:type="paragraph" w:customStyle="1" w:styleId="xl66">
    <w:name w:val="xl66"/>
    <w:basedOn w:val="Normal"/>
    <w:rsid w:val="00D86B4D"/>
    <w:pPr>
      <w:shd w:val="clear" w:color="000000" w:fill="FFFFFF"/>
      <w:spacing w:before="100" w:beforeAutospacing="1" w:after="100" w:afterAutospacing="1" w:line="240" w:lineRule="auto"/>
      <w:jc w:val="left"/>
    </w:pPr>
    <w:rPr>
      <w:rFonts w:ascii="Calibri" w:hAnsi="Calibri" w:cs="Calibri"/>
      <w:sz w:val="24"/>
      <w:szCs w:val="24"/>
      <w:lang w:val="de-DE" w:eastAsia="de-DE"/>
    </w:rPr>
  </w:style>
  <w:style w:type="paragraph" w:customStyle="1" w:styleId="xl67">
    <w:name w:val="xl67"/>
    <w:basedOn w:val="Normal"/>
    <w:rsid w:val="00D86B4D"/>
    <w:pPr>
      <w:shd w:val="clear" w:color="000000" w:fill="00B050"/>
      <w:spacing w:before="100" w:beforeAutospacing="1" w:after="100" w:afterAutospacing="1" w:line="240" w:lineRule="auto"/>
      <w:jc w:val="left"/>
    </w:pPr>
    <w:rPr>
      <w:rFonts w:ascii="Calibri" w:hAnsi="Calibri" w:cs="Calibri"/>
      <w:b/>
      <w:bCs/>
      <w:color w:val="FFFFFF"/>
      <w:sz w:val="24"/>
      <w:szCs w:val="24"/>
      <w:lang w:val="de-DE" w:eastAsia="de-DE"/>
    </w:rPr>
  </w:style>
  <w:style w:type="paragraph" w:customStyle="1" w:styleId="xl68">
    <w:name w:val="xl68"/>
    <w:basedOn w:val="Normal"/>
    <w:rsid w:val="00D86B4D"/>
    <w:pPr>
      <w:shd w:val="clear" w:color="000000" w:fill="00B050"/>
      <w:spacing w:before="100" w:beforeAutospacing="1" w:after="100" w:afterAutospacing="1" w:line="240" w:lineRule="auto"/>
      <w:jc w:val="right"/>
    </w:pPr>
    <w:rPr>
      <w:rFonts w:ascii="Calibri" w:hAnsi="Calibri" w:cs="Calibri"/>
      <w:b/>
      <w:bCs/>
      <w:color w:val="FFFFFF"/>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9856">
      <w:bodyDiv w:val="1"/>
      <w:marLeft w:val="0"/>
      <w:marRight w:val="0"/>
      <w:marTop w:val="0"/>
      <w:marBottom w:val="0"/>
      <w:divBdr>
        <w:top w:val="none" w:sz="0" w:space="0" w:color="auto"/>
        <w:left w:val="none" w:sz="0" w:space="0" w:color="auto"/>
        <w:bottom w:val="none" w:sz="0" w:space="0" w:color="auto"/>
        <w:right w:val="none" w:sz="0" w:space="0" w:color="auto"/>
      </w:divBdr>
    </w:div>
    <w:div w:id="28267625">
      <w:bodyDiv w:val="1"/>
      <w:marLeft w:val="0"/>
      <w:marRight w:val="0"/>
      <w:marTop w:val="0"/>
      <w:marBottom w:val="0"/>
      <w:divBdr>
        <w:top w:val="none" w:sz="0" w:space="0" w:color="auto"/>
        <w:left w:val="none" w:sz="0" w:space="0" w:color="auto"/>
        <w:bottom w:val="none" w:sz="0" w:space="0" w:color="auto"/>
        <w:right w:val="none" w:sz="0" w:space="0" w:color="auto"/>
      </w:divBdr>
    </w:div>
    <w:div w:id="50814675">
      <w:bodyDiv w:val="1"/>
      <w:marLeft w:val="0"/>
      <w:marRight w:val="0"/>
      <w:marTop w:val="0"/>
      <w:marBottom w:val="0"/>
      <w:divBdr>
        <w:top w:val="none" w:sz="0" w:space="0" w:color="auto"/>
        <w:left w:val="none" w:sz="0" w:space="0" w:color="auto"/>
        <w:bottom w:val="none" w:sz="0" w:space="0" w:color="auto"/>
        <w:right w:val="none" w:sz="0" w:space="0" w:color="auto"/>
      </w:divBdr>
    </w:div>
    <w:div w:id="54164206">
      <w:bodyDiv w:val="1"/>
      <w:marLeft w:val="0"/>
      <w:marRight w:val="0"/>
      <w:marTop w:val="0"/>
      <w:marBottom w:val="0"/>
      <w:divBdr>
        <w:top w:val="none" w:sz="0" w:space="0" w:color="auto"/>
        <w:left w:val="none" w:sz="0" w:space="0" w:color="auto"/>
        <w:bottom w:val="none" w:sz="0" w:space="0" w:color="auto"/>
        <w:right w:val="none" w:sz="0" w:space="0" w:color="auto"/>
      </w:divBdr>
    </w:div>
    <w:div w:id="61173851">
      <w:bodyDiv w:val="1"/>
      <w:marLeft w:val="0"/>
      <w:marRight w:val="0"/>
      <w:marTop w:val="0"/>
      <w:marBottom w:val="0"/>
      <w:divBdr>
        <w:top w:val="none" w:sz="0" w:space="0" w:color="auto"/>
        <w:left w:val="none" w:sz="0" w:space="0" w:color="auto"/>
        <w:bottom w:val="none" w:sz="0" w:space="0" w:color="auto"/>
        <w:right w:val="none" w:sz="0" w:space="0" w:color="auto"/>
      </w:divBdr>
    </w:div>
    <w:div w:id="62871937">
      <w:bodyDiv w:val="1"/>
      <w:marLeft w:val="0"/>
      <w:marRight w:val="0"/>
      <w:marTop w:val="0"/>
      <w:marBottom w:val="0"/>
      <w:divBdr>
        <w:top w:val="none" w:sz="0" w:space="0" w:color="auto"/>
        <w:left w:val="none" w:sz="0" w:space="0" w:color="auto"/>
        <w:bottom w:val="none" w:sz="0" w:space="0" w:color="auto"/>
        <w:right w:val="none" w:sz="0" w:space="0" w:color="auto"/>
      </w:divBdr>
    </w:div>
    <w:div w:id="75051859">
      <w:bodyDiv w:val="1"/>
      <w:marLeft w:val="0"/>
      <w:marRight w:val="0"/>
      <w:marTop w:val="0"/>
      <w:marBottom w:val="0"/>
      <w:divBdr>
        <w:top w:val="none" w:sz="0" w:space="0" w:color="auto"/>
        <w:left w:val="none" w:sz="0" w:space="0" w:color="auto"/>
        <w:bottom w:val="none" w:sz="0" w:space="0" w:color="auto"/>
        <w:right w:val="none" w:sz="0" w:space="0" w:color="auto"/>
      </w:divBdr>
    </w:div>
    <w:div w:id="88158603">
      <w:bodyDiv w:val="1"/>
      <w:marLeft w:val="0"/>
      <w:marRight w:val="0"/>
      <w:marTop w:val="0"/>
      <w:marBottom w:val="0"/>
      <w:divBdr>
        <w:top w:val="none" w:sz="0" w:space="0" w:color="auto"/>
        <w:left w:val="none" w:sz="0" w:space="0" w:color="auto"/>
        <w:bottom w:val="none" w:sz="0" w:space="0" w:color="auto"/>
        <w:right w:val="none" w:sz="0" w:space="0" w:color="auto"/>
      </w:divBdr>
    </w:div>
    <w:div w:id="128743528">
      <w:bodyDiv w:val="1"/>
      <w:marLeft w:val="0"/>
      <w:marRight w:val="0"/>
      <w:marTop w:val="0"/>
      <w:marBottom w:val="0"/>
      <w:divBdr>
        <w:top w:val="none" w:sz="0" w:space="0" w:color="auto"/>
        <w:left w:val="none" w:sz="0" w:space="0" w:color="auto"/>
        <w:bottom w:val="none" w:sz="0" w:space="0" w:color="auto"/>
        <w:right w:val="none" w:sz="0" w:space="0" w:color="auto"/>
      </w:divBdr>
    </w:div>
    <w:div w:id="214582238">
      <w:bodyDiv w:val="1"/>
      <w:marLeft w:val="0"/>
      <w:marRight w:val="0"/>
      <w:marTop w:val="0"/>
      <w:marBottom w:val="0"/>
      <w:divBdr>
        <w:top w:val="none" w:sz="0" w:space="0" w:color="auto"/>
        <w:left w:val="none" w:sz="0" w:space="0" w:color="auto"/>
        <w:bottom w:val="none" w:sz="0" w:space="0" w:color="auto"/>
        <w:right w:val="none" w:sz="0" w:space="0" w:color="auto"/>
      </w:divBdr>
    </w:div>
    <w:div w:id="236863174">
      <w:bodyDiv w:val="1"/>
      <w:marLeft w:val="0"/>
      <w:marRight w:val="0"/>
      <w:marTop w:val="0"/>
      <w:marBottom w:val="0"/>
      <w:divBdr>
        <w:top w:val="none" w:sz="0" w:space="0" w:color="auto"/>
        <w:left w:val="none" w:sz="0" w:space="0" w:color="auto"/>
        <w:bottom w:val="none" w:sz="0" w:space="0" w:color="auto"/>
        <w:right w:val="none" w:sz="0" w:space="0" w:color="auto"/>
      </w:divBdr>
    </w:div>
    <w:div w:id="242177990">
      <w:bodyDiv w:val="1"/>
      <w:marLeft w:val="0"/>
      <w:marRight w:val="0"/>
      <w:marTop w:val="0"/>
      <w:marBottom w:val="0"/>
      <w:divBdr>
        <w:top w:val="none" w:sz="0" w:space="0" w:color="auto"/>
        <w:left w:val="none" w:sz="0" w:space="0" w:color="auto"/>
        <w:bottom w:val="none" w:sz="0" w:space="0" w:color="auto"/>
        <w:right w:val="none" w:sz="0" w:space="0" w:color="auto"/>
      </w:divBdr>
    </w:div>
    <w:div w:id="319819473">
      <w:bodyDiv w:val="1"/>
      <w:marLeft w:val="0"/>
      <w:marRight w:val="0"/>
      <w:marTop w:val="0"/>
      <w:marBottom w:val="0"/>
      <w:divBdr>
        <w:top w:val="none" w:sz="0" w:space="0" w:color="auto"/>
        <w:left w:val="none" w:sz="0" w:space="0" w:color="auto"/>
        <w:bottom w:val="none" w:sz="0" w:space="0" w:color="auto"/>
        <w:right w:val="none" w:sz="0" w:space="0" w:color="auto"/>
      </w:divBdr>
    </w:div>
    <w:div w:id="376979368">
      <w:bodyDiv w:val="1"/>
      <w:marLeft w:val="0"/>
      <w:marRight w:val="0"/>
      <w:marTop w:val="0"/>
      <w:marBottom w:val="0"/>
      <w:divBdr>
        <w:top w:val="none" w:sz="0" w:space="0" w:color="auto"/>
        <w:left w:val="none" w:sz="0" w:space="0" w:color="auto"/>
        <w:bottom w:val="none" w:sz="0" w:space="0" w:color="auto"/>
        <w:right w:val="none" w:sz="0" w:space="0" w:color="auto"/>
      </w:divBdr>
    </w:div>
    <w:div w:id="401685556">
      <w:bodyDiv w:val="1"/>
      <w:marLeft w:val="0"/>
      <w:marRight w:val="0"/>
      <w:marTop w:val="0"/>
      <w:marBottom w:val="0"/>
      <w:divBdr>
        <w:top w:val="none" w:sz="0" w:space="0" w:color="auto"/>
        <w:left w:val="none" w:sz="0" w:space="0" w:color="auto"/>
        <w:bottom w:val="none" w:sz="0" w:space="0" w:color="auto"/>
        <w:right w:val="none" w:sz="0" w:space="0" w:color="auto"/>
      </w:divBdr>
    </w:div>
    <w:div w:id="418138885">
      <w:bodyDiv w:val="1"/>
      <w:marLeft w:val="0"/>
      <w:marRight w:val="0"/>
      <w:marTop w:val="0"/>
      <w:marBottom w:val="0"/>
      <w:divBdr>
        <w:top w:val="none" w:sz="0" w:space="0" w:color="auto"/>
        <w:left w:val="none" w:sz="0" w:space="0" w:color="auto"/>
        <w:bottom w:val="none" w:sz="0" w:space="0" w:color="auto"/>
        <w:right w:val="none" w:sz="0" w:space="0" w:color="auto"/>
      </w:divBdr>
    </w:div>
    <w:div w:id="420030391">
      <w:bodyDiv w:val="1"/>
      <w:marLeft w:val="0"/>
      <w:marRight w:val="0"/>
      <w:marTop w:val="0"/>
      <w:marBottom w:val="0"/>
      <w:divBdr>
        <w:top w:val="none" w:sz="0" w:space="0" w:color="auto"/>
        <w:left w:val="none" w:sz="0" w:space="0" w:color="auto"/>
        <w:bottom w:val="none" w:sz="0" w:space="0" w:color="auto"/>
        <w:right w:val="none" w:sz="0" w:space="0" w:color="auto"/>
      </w:divBdr>
    </w:div>
    <w:div w:id="424502306">
      <w:bodyDiv w:val="1"/>
      <w:marLeft w:val="0"/>
      <w:marRight w:val="0"/>
      <w:marTop w:val="0"/>
      <w:marBottom w:val="0"/>
      <w:divBdr>
        <w:top w:val="none" w:sz="0" w:space="0" w:color="auto"/>
        <w:left w:val="none" w:sz="0" w:space="0" w:color="auto"/>
        <w:bottom w:val="none" w:sz="0" w:space="0" w:color="auto"/>
        <w:right w:val="none" w:sz="0" w:space="0" w:color="auto"/>
      </w:divBdr>
    </w:div>
    <w:div w:id="433092999">
      <w:bodyDiv w:val="1"/>
      <w:marLeft w:val="0"/>
      <w:marRight w:val="0"/>
      <w:marTop w:val="0"/>
      <w:marBottom w:val="0"/>
      <w:divBdr>
        <w:top w:val="none" w:sz="0" w:space="0" w:color="auto"/>
        <w:left w:val="none" w:sz="0" w:space="0" w:color="auto"/>
        <w:bottom w:val="none" w:sz="0" w:space="0" w:color="auto"/>
        <w:right w:val="none" w:sz="0" w:space="0" w:color="auto"/>
      </w:divBdr>
    </w:div>
    <w:div w:id="445197769">
      <w:bodyDiv w:val="1"/>
      <w:marLeft w:val="0"/>
      <w:marRight w:val="0"/>
      <w:marTop w:val="0"/>
      <w:marBottom w:val="0"/>
      <w:divBdr>
        <w:top w:val="none" w:sz="0" w:space="0" w:color="auto"/>
        <w:left w:val="none" w:sz="0" w:space="0" w:color="auto"/>
        <w:bottom w:val="none" w:sz="0" w:space="0" w:color="auto"/>
        <w:right w:val="none" w:sz="0" w:space="0" w:color="auto"/>
      </w:divBdr>
    </w:div>
    <w:div w:id="476150049">
      <w:bodyDiv w:val="1"/>
      <w:marLeft w:val="0"/>
      <w:marRight w:val="0"/>
      <w:marTop w:val="0"/>
      <w:marBottom w:val="0"/>
      <w:divBdr>
        <w:top w:val="none" w:sz="0" w:space="0" w:color="auto"/>
        <w:left w:val="none" w:sz="0" w:space="0" w:color="auto"/>
        <w:bottom w:val="none" w:sz="0" w:space="0" w:color="auto"/>
        <w:right w:val="none" w:sz="0" w:space="0" w:color="auto"/>
      </w:divBdr>
    </w:div>
    <w:div w:id="594554214">
      <w:bodyDiv w:val="1"/>
      <w:marLeft w:val="0"/>
      <w:marRight w:val="0"/>
      <w:marTop w:val="0"/>
      <w:marBottom w:val="0"/>
      <w:divBdr>
        <w:top w:val="none" w:sz="0" w:space="0" w:color="auto"/>
        <w:left w:val="none" w:sz="0" w:space="0" w:color="auto"/>
        <w:bottom w:val="none" w:sz="0" w:space="0" w:color="auto"/>
        <w:right w:val="none" w:sz="0" w:space="0" w:color="auto"/>
      </w:divBdr>
    </w:div>
    <w:div w:id="717360855">
      <w:bodyDiv w:val="1"/>
      <w:marLeft w:val="0"/>
      <w:marRight w:val="0"/>
      <w:marTop w:val="0"/>
      <w:marBottom w:val="0"/>
      <w:divBdr>
        <w:top w:val="none" w:sz="0" w:space="0" w:color="auto"/>
        <w:left w:val="none" w:sz="0" w:space="0" w:color="auto"/>
        <w:bottom w:val="none" w:sz="0" w:space="0" w:color="auto"/>
        <w:right w:val="none" w:sz="0" w:space="0" w:color="auto"/>
      </w:divBdr>
    </w:div>
    <w:div w:id="729815528">
      <w:bodyDiv w:val="1"/>
      <w:marLeft w:val="0"/>
      <w:marRight w:val="0"/>
      <w:marTop w:val="0"/>
      <w:marBottom w:val="0"/>
      <w:divBdr>
        <w:top w:val="none" w:sz="0" w:space="0" w:color="auto"/>
        <w:left w:val="none" w:sz="0" w:space="0" w:color="auto"/>
        <w:bottom w:val="none" w:sz="0" w:space="0" w:color="auto"/>
        <w:right w:val="none" w:sz="0" w:space="0" w:color="auto"/>
      </w:divBdr>
    </w:div>
    <w:div w:id="755856577">
      <w:bodyDiv w:val="1"/>
      <w:marLeft w:val="0"/>
      <w:marRight w:val="0"/>
      <w:marTop w:val="0"/>
      <w:marBottom w:val="0"/>
      <w:divBdr>
        <w:top w:val="none" w:sz="0" w:space="0" w:color="auto"/>
        <w:left w:val="none" w:sz="0" w:space="0" w:color="auto"/>
        <w:bottom w:val="none" w:sz="0" w:space="0" w:color="auto"/>
        <w:right w:val="none" w:sz="0" w:space="0" w:color="auto"/>
      </w:divBdr>
    </w:div>
    <w:div w:id="799761137">
      <w:bodyDiv w:val="1"/>
      <w:marLeft w:val="0"/>
      <w:marRight w:val="0"/>
      <w:marTop w:val="0"/>
      <w:marBottom w:val="0"/>
      <w:divBdr>
        <w:top w:val="none" w:sz="0" w:space="0" w:color="auto"/>
        <w:left w:val="none" w:sz="0" w:space="0" w:color="auto"/>
        <w:bottom w:val="none" w:sz="0" w:space="0" w:color="auto"/>
        <w:right w:val="none" w:sz="0" w:space="0" w:color="auto"/>
      </w:divBdr>
    </w:div>
    <w:div w:id="805512440">
      <w:bodyDiv w:val="1"/>
      <w:marLeft w:val="0"/>
      <w:marRight w:val="0"/>
      <w:marTop w:val="0"/>
      <w:marBottom w:val="0"/>
      <w:divBdr>
        <w:top w:val="none" w:sz="0" w:space="0" w:color="auto"/>
        <w:left w:val="none" w:sz="0" w:space="0" w:color="auto"/>
        <w:bottom w:val="none" w:sz="0" w:space="0" w:color="auto"/>
        <w:right w:val="none" w:sz="0" w:space="0" w:color="auto"/>
      </w:divBdr>
    </w:div>
    <w:div w:id="807746437">
      <w:bodyDiv w:val="1"/>
      <w:marLeft w:val="0"/>
      <w:marRight w:val="0"/>
      <w:marTop w:val="0"/>
      <w:marBottom w:val="0"/>
      <w:divBdr>
        <w:top w:val="none" w:sz="0" w:space="0" w:color="auto"/>
        <w:left w:val="none" w:sz="0" w:space="0" w:color="auto"/>
        <w:bottom w:val="none" w:sz="0" w:space="0" w:color="auto"/>
        <w:right w:val="none" w:sz="0" w:space="0" w:color="auto"/>
      </w:divBdr>
    </w:div>
    <w:div w:id="821510189">
      <w:bodyDiv w:val="1"/>
      <w:marLeft w:val="0"/>
      <w:marRight w:val="0"/>
      <w:marTop w:val="0"/>
      <w:marBottom w:val="0"/>
      <w:divBdr>
        <w:top w:val="none" w:sz="0" w:space="0" w:color="auto"/>
        <w:left w:val="none" w:sz="0" w:space="0" w:color="auto"/>
        <w:bottom w:val="none" w:sz="0" w:space="0" w:color="auto"/>
        <w:right w:val="none" w:sz="0" w:space="0" w:color="auto"/>
      </w:divBdr>
    </w:div>
    <w:div w:id="833109879">
      <w:bodyDiv w:val="1"/>
      <w:marLeft w:val="0"/>
      <w:marRight w:val="0"/>
      <w:marTop w:val="0"/>
      <w:marBottom w:val="0"/>
      <w:divBdr>
        <w:top w:val="none" w:sz="0" w:space="0" w:color="auto"/>
        <w:left w:val="none" w:sz="0" w:space="0" w:color="auto"/>
        <w:bottom w:val="none" w:sz="0" w:space="0" w:color="auto"/>
        <w:right w:val="none" w:sz="0" w:space="0" w:color="auto"/>
      </w:divBdr>
    </w:div>
    <w:div w:id="844440414">
      <w:bodyDiv w:val="1"/>
      <w:marLeft w:val="0"/>
      <w:marRight w:val="0"/>
      <w:marTop w:val="0"/>
      <w:marBottom w:val="0"/>
      <w:divBdr>
        <w:top w:val="none" w:sz="0" w:space="0" w:color="auto"/>
        <w:left w:val="none" w:sz="0" w:space="0" w:color="auto"/>
        <w:bottom w:val="none" w:sz="0" w:space="0" w:color="auto"/>
        <w:right w:val="none" w:sz="0" w:space="0" w:color="auto"/>
      </w:divBdr>
    </w:div>
    <w:div w:id="884096466">
      <w:bodyDiv w:val="1"/>
      <w:marLeft w:val="0"/>
      <w:marRight w:val="0"/>
      <w:marTop w:val="0"/>
      <w:marBottom w:val="0"/>
      <w:divBdr>
        <w:top w:val="none" w:sz="0" w:space="0" w:color="auto"/>
        <w:left w:val="none" w:sz="0" w:space="0" w:color="auto"/>
        <w:bottom w:val="none" w:sz="0" w:space="0" w:color="auto"/>
        <w:right w:val="none" w:sz="0" w:space="0" w:color="auto"/>
      </w:divBdr>
    </w:div>
    <w:div w:id="893006748">
      <w:bodyDiv w:val="1"/>
      <w:marLeft w:val="0"/>
      <w:marRight w:val="0"/>
      <w:marTop w:val="0"/>
      <w:marBottom w:val="0"/>
      <w:divBdr>
        <w:top w:val="none" w:sz="0" w:space="0" w:color="auto"/>
        <w:left w:val="none" w:sz="0" w:space="0" w:color="auto"/>
        <w:bottom w:val="none" w:sz="0" w:space="0" w:color="auto"/>
        <w:right w:val="none" w:sz="0" w:space="0" w:color="auto"/>
      </w:divBdr>
    </w:div>
    <w:div w:id="905143170">
      <w:bodyDiv w:val="1"/>
      <w:marLeft w:val="0"/>
      <w:marRight w:val="0"/>
      <w:marTop w:val="0"/>
      <w:marBottom w:val="0"/>
      <w:divBdr>
        <w:top w:val="none" w:sz="0" w:space="0" w:color="auto"/>
        <w:left w:val="none" w:sz="0" w:space="0" w:color="auto"/>
        <w:bottom w:val="none" w:sz="0" w:space="0" w:color="auto"/>
        <w:right w:val="none" w:sz="0" w:space="0" w:color="auto"/>
      </w:divBdr>
    </w:div>
    <w:div w:id="907300478">
      <w:bodyDiv w:val="1"/>
      <w:marLeft w:val="0"/>
      <w:marRight w:val="0"/>
      <w:marTop w:val="0"/>
      <w:marBottom w:val="0"/>
      <w:divBdr>
        <w:top w:val="none" w:sz="0" w:space="0" w:color="auto"/>
        <w:left w:val="none" w:sz="0" w:space="0" w:color="auto"/>
        <w:bottom w:val="none" w:sz="0" w:space="0" w:color="auto"/>
        <w:right w:val="none" w:sz="0" w:space="0" w:color="auto"/>
      </w:divBdr>
    </w:div>
    <w:div w:id="929388376">
      <w:bodyDiv w:val="1"/>
      <w:marLeft w:val="0"/>
      <w:marRight w:val="0"/>
      <w:marTop w:val="0"/>
      <w:marBottom w:val="0"/>
      <w:divBdr>
        <w:top w:val="none" w:sz="0" w:space="0" w:color="auto"/>
        <w:left w:val="none" w:sz="0" w:space="0" w:color="auto"/>
        <w:bottom w:val="none" w:sz="0" w:space="0" w:color="auto"/>
        <w:right w:val="none" w:sz="0" w:space="0" w:color="auto"/>
      </w:divBdr>
    </w:div>
    <w:div w:id="931663081">
      <w:bodyDiv w:val="1"/>
      <w:marLeft w:val="0"/>
      <w:marRight w:val="0"/>
      <w:marTop w:val="0"/>
      <w:marBottom w:val="0"/>
      <w:divBdr>
        <w:top w:val="none" w:sz="0" w:space="0" w:color="auto"/>
        <w:left w:val="none" w:sz="0" w:space="0" w:color="auto"/>
        <w:bottom w:val="none" w:sz="0" w:space="0" w:color="auto"/>
        <w:right w:val="none" w:sz="0" w:space="0" w:color="auto"/>
      </w:divBdr>
    </w:div>
    <w:div w:id="932785080">
      <w:bodyDiv w:val="1"/>
      <w:marLeft w:val="0"/>
      <w:marRight w:val="0"/>
      <w:marTop w:val="0"/>
      <w:marBottom w:val="0"/>
      <w:divBdr>
        <w:top w:val="none" w:sz="0" w:space="0" w:color="auto"/>
        <w:left w:val="none" w:sz="0" w:space="0" w:color="auto"/>
        <w:bottom w:val="none" w:sz="0" w:space="0" w:color="auto"/>
        <w:right w:val="none" w:sz="0" w:space="0" w:color="auto"/>
      </w:divBdr>
    </w:div>
    <w:div w:id="958023679">
      <w:bodyDiv w:val="1"/>
      <w:marLeft w:val="0"/>
      <w:marRight w:val="0"/>
      <w:marTop w:val="0"/>
      <w:marBottom w:val="0"/>
      <w:divBdr>
        <w:top w:val="none" w:sz="0" w:space="0" w:color="auto"/>
        <w:left w:val="none" w:sz="0" w:space="0" w:color="auto"/>
        <w:bottom w:val="none" w:sz="0" w:space="0" w:color="auto"/>
        <w:right w:val="none" w:sz="0" w:space="0" w:color="auto"/>
      </w:divBdr>
    </w:div>
    <w:div w:id="960263550">
      <w:bodyDiv w:val="1"/>
      <w:marLeft w:val="0"/>
      <w:marRight w:val="0"/>
      <w:marTop w:val="0"/>
      <w:marBottom w:val="0"/>
      <w:divBdr>
        <w:top w:val="none" w:sz="0" w:space="0" w:color="auto"/>
        <w:left w:val="none" w:sz="0" w:space="0" w:color="auto"/>
        <w:bottom w:val="none" w:sz="0" w:space="0" w:color="auto"/>
        <w:right w:val="none" w:sz="0" w:space="0" w:color="auto"/>
      </w:divBdr>
    </w:div>
    <w:div w:id="1006833319">
      <w:bodyDiv w:val="1"/>
      <w:marLeft w:val="0"/>
      <w:marRight w:val="0"/>
      <w:marTop w:val="0"/>
      <w:marBottom w:val="0"/>
      <w:divBdr>
        <w:top w:val="none" w:sz="0" w:space="0" w:color="auto"/>
        <w:left w:val="none" w:sz="0" w:space="0" w:color="auto"/>
        <w:bottom w:val="none" w:sz="0" w:space="0" w:color="auto"/>
        <w:right w:val="none" w:sz="0" w:space="0" w:color="auto"/>
      </w:divBdr>
    </w:div>
    <w:div w:id="1055667969">
      <w:bodyDiv w:val="1"/>
      <w:marLeft w:val="0"/>
      <w:marRight w:val="0"/>
      <w:marTop w:val="0"/>
      <w:marBottom w:val="0"/>
      <w:divBdr>
        <w:top w:val="none" w:sz="0" w:space="0" w:color="auto"/>
        <w:left w:val="none" w:sz="0" w:space="0" w:color="auto"/>
        <w:bottom w:val="none" w:sz="0" w:space="0" w:color="auto"/>
        <w:right w:val="none" w:sz="0" w:space="0" w:color="auto"/>
      </w:divBdr>
    </w:div>
    <w:div w:id="1185167059">
      <w:bodyDiv w:val="1"/>
      <w:marLeft w:val="0"/>
      <w:marRight w:val="0"/>
      <w:marTop w:val="0"/>
      <w:marBottom w:val="0"/>
      <w:divBdr>
        <w:top w:val="none" w:sz="0" w:space="0" w:color="auto"/>
        <w:left w:val="none" w:sz="0" w:space="0" w:color="auto"/>
        <w:bottom w:val="none" w:sz="0" w:space="0" w:color="auto"/>
        <w:right w:val="none" w:sz="0" w:space="0" w:color="auto"/>
      </w:divBdr>
    </w:div>
    <w:div w:id="1214388042">
      <w:bodyDiv w:val="1"/>
      <w:marLeft w:val="0"/>
      <w:marRight w:val="0"/>
      <w:marTop w:val="0"/>
      <w:marBottom w:val="0"/>
      <w:divBdr>
        <w:top w:val="none" w:sz="0" w:space="0" w:color="auto"/>
        <w:left w:val="none" w:sz="0" w:space="0" w:color="auto"/>
        <w:bottom w:val="none" w:sz="0" w:space="0" w:color="auto"/>
        <w:right w:val="none" w:sz="0" w:space="0" w:color="auto"/>
      </w:divBdr>
    </w:div>
    <w:div w:id="1231119651">
      <w:bodyDiv w:val="1"/>
      <w:marLeft w:val="0"/>
      <w:marRight w:val="0"/>
      <w:marTop w:val="0"/>
      <w:marBottom w:val="0"/>
      <w:divBdr>
        <w:top w:val="none" w:sz="0" w:space="0" w:color="auto"/>
        <w:left w:val="none" w:sz="0" w:space="0" w:color="auto"/>
        <w:bottom w:val="none" w:sz="0" w:space="0" w:color="auto"/>
        <w:right w:val="none" w:sz="0" w:space="0" w:color="auto"/>
      </w:divBdr>
    </w:div>
    <w:div w:id="1304433231">
      <w:bodyDiv w:val="1"/>
      <w:marLeft w:val="0"/>
      <w:marRight w:val="0"/>
      <w:marTop w:val="0"/>
      <w:marBottom w:val="0"/>
      <w:divBdr>
        <w:top w:val="none" w:sz="0" w:space="0" w:color="auto"/>
        <w:left w:val="none" w:sz="0" w:space="0" w:color="auto"/>
        <w:bottom w:val="none" w:sz="0" w:space="0" w:color="auto"/>
        <w:right w:val="none" w:sz="0" w:space="0" w:color="auto"/>
      </w:divBdr>
    </w:div>
    <w:div w:id="1412628524">
      <w:bodyDiv w:val="1"/>
      <w:marLeft w:val="0"/>
      <w:marRight w:val="0"/>
      <w:marTop w:val="0"/>
      <w:marBottom w:val="0"/>
      <w:divBdr>
        <w:top w:val="none" w:sz="0" w:space="0" w:color="auto"/>
        <w:left w:val="none" w:sz="0" w:space="0" w:color="auto"/>
        <w:bottom w:val="none" w:sz="0" w:space="0" w:color="auto"/>
        <w:right w:val="none" w:sz="0" w:space="0" w:color="auto"/>
      </w:divBdr>
    </w:div>
    <w:div w:id="1424374868">
      <w:bodyDiv w:val="1"/>
      <w:marLeft w:val="0"/>
      <w:marRight w:val="0"/>
      <w:marTop w:val="0"/>
      <w:marBottom w:val="0"/>
      <w:divBdr>
        <w:top w:val="none" w:sz="0" w:space="0" w:color="auto"/>
        <w:left w:val="none" w:sz="0" w:space="0" w:color="auto"/>
        <w:bottom w:val="none" w:sz="0" w:space="0" w:color="auto"/>
        <w:right w:val="none" w:sz="0" w:space="0" w:color="auto"/>
      </w:divBdr>
    </w:div>
    <w:div w:id="1429160400">
      <w:bodyDiv w:val="1"/>
      <w:marLeft w:val="0"/>
      <w:marRight w:val="0"/>
      <w:marTop w:val="0"/>
      <w:marBottom w:val="0"/>
      <w:divBdr>
        <w:top w:val="none" w:sz="0" w:space="0" w:color="auto"/>
        <w:left w:val="none" w:sz="0" w:space="0" w:color="auto"/>
        <w:bottom w:val="none" w:sz="0" w:space="0" w:color="auto"/>
        <w:right w:val="none" w:sz="0" w:space="0" w:color="auto"/>
      </w:divBdr>
    </w:div>
    <w:div w:id="1607999981">
      <w:bodyDiv w:val="1"/>
      <w:marLeft w:val="0"/>
      <w:marRight w:val="0"/>
      <w:marTop w:val="0"/>
      <w:marBottom w:val="0"/>
      <w:divBdr>
        <w:top w:val="none" w:sz="0" w:space="0" w:color="auto"/>
        <w:left w:val="none" w:sz="0" w:space="0" w:color="auto"/>
        <w:bottom w:val="none" w:sz="0" w:space="0" w:color="auto"/>
        <w:right w:val="none" w:sz="0" w:space="0" w:color="auto"/>
      </w:divBdr>
    </w:div>
    <w:div w:id="1620451411">
      <w:bodyDiv w:val="1"/>
      <w:marLeft w:val="0"/>
      <w:marRight w:val="0"/>
      <w:marTop w:val="0"/>
      <w:marBottom w:val="0"/>
      <w:divBdr>
        <w:top w:val="none" w:sz="0" w:space="0" w:color="auto"/>
        <w:left w:val="none" w:sz="0" w:space="0" w:color="auto"/>
        <w:bottom w:val="none" w:sz="0" w:space="0" w:color="auto"/>
        <w:right w:val="none" w:sz="0" w:space="0" w:color="auto"/>
      </w:divBdr>
    </w:div>
    <w:div w:id="1626884036">
      <w:bodyDiv w:val="1"/>
      <w:marLeft w:val="0"/>
      <w:marRight w:val="0"/>
      <w:marTop w:val="0"/>
      <w:marBottom w:val="0"/>
      <w:divBdr>
        <w:top w:val="none" w:sz="0" w:space="0" w:color="auto"/>
        <w:left w:val="none" w:sz="0" w:space="0" w:color="auto"/>
        <w:bottom w:val="none" w:sz="0" w:space="0" w:color="auto"/>
        <w:right w:val="none" w:sz="0" w:space="0" w:color="auto"/>
      </w:divBdr>
    </w:div>
    <w:div w:id="1686206580">
      <w:bodyDiv w:val="1"/>
      <w:marLeft w:val="0"/>
      <w:marRight w:val="0"/>
      <w:marTop w:val="0"/>
      <w:marBottom w:val="0"/>
      <w:divBdr>
        <w:top w:val="none" w:sz="0" w:space="0" w:color="auto"/>
        <w:left w:val="none" w:sz="0" w:space="0" w:color="auto"/>
        <w:bottom w:val="none" w:sz="0" w:space="0" w:color="auto"/>
        <w:right w:val="none" w:sz="0" w:space="0" w:color="auto"/>
      </w:divBdr>
    </w:div>
    <w:div w:id="1716540503">
      <w:bodyDiv w:val="1"/>
      <w:marLeft w:val="0"/>
      <w:marRight w:val="0"/>
      <w:marTop w:val="0"/>
      <w:marBottom w:val="0"/>
      <w:divBdr>
        <w:top w:val="none" w:sz="0" w:space="0" w:color="auto"/>
        <w:left w:val="none" w:sz="0" w:space="0" w:color="auto"/>
        <w:bottom w:val="none" w:sz="0" w:space="0" w:color="auto"/>
        <w:right w:val="none" w:sz="0" w:space="0" w:color="auto"/>
      </w:divBdr>
    </w:div>
    <w:div w:id="1819108400">
      <w:bodyDiv w:val="1"/>
      <w:marLeft w:val="0"/>
      <w:marRight w:val="0"/>
      <w:marTop w:val="0"/>
      <w:marBottom w:val="0"/>
      <w:divBdr>
        <w:top w:val="none" w:sz="0" w:space="0" w:color="auto"/>
        <w:left w:val="none" w:sz="0" w:space="0" w:color="auto"/>
        <w:bottom w:val="none" w:sz="0" w:space="0" w:color="auto"/>
        <w:right w:val="none" w:sz="0" w:space="0" w:color="auto"/>
      </w:divBdr>
    </w:div>
    <w:div w:id="1909998500">
      <w:bodyDiv w:val="1"/>
      <w:marLeft w:val="0"/>
      <w:marRight w:val="0"/>
      <w:marTop w:val="0"/>
      <w:marBottom w:val="0"/>
      <w:divBdr>
        <w:top w:val="none" w:sz="0" w:space="0" w:color="auto"/>
        <w:left w:val="none" w:sz="0" w:space="0" w:color="auto"/>
        <w:bottom w:val="none" w:sz="0" w:space="0" w:color="auto"/>
        <w:right w:val="none" w:sz="0" w:space="0" w:color="auto"/>
      </w:divBdr>
    </w:div>
    <w:div w:id="1918784562">
      <w:bodyDiv w:val="1"/>
      <w:marLeft w:val="0"/>
      <w:marRight w:val="0"/>
      <w:marTop w:val="0"/>
      <w:marBottom w:val="0"/>
      <w:divBdr>
        <w:top w:val="none" w:sz="0" w:space="0" w:color="auto"/>
        <w:left w:val="none" w:sz="0" w:space="0" w:color="auto"/>
        <w:bottom w:val="none" w:sz="0" w:space="0" w:color="auto"/>
        <w:right w:val="none" w:sz="0" w:space="0" w:color="auto"/>
      </w:divBdr>
    </w:div>
    <w:div w:id="1985424260">
      <w:bodyDiv w:val="1"/>
      <w:marLeft w:val="0"/>
      <w:marRight w:val="0"/>
      <w:marTop w:val="0"/>
      <w:marBottom w:val="0"/>
      <w:divBdr>
        <w:top w:val="none" w:sz="0" w:space="0" w:color="auto"/>
        <w:left w:val="none" w:sz="0" w:space="0" w:color="auto"/>
        <w:bottom w:val="none" w:sz="0" w:space="0" w:color="auto"/>
        <w:right w:val="none" w:sz="0" w:space="0" w:color="auto"/>
      </w:divBdr>
    </w:div>
    <w:div w:id="2025276673">
      <w:bodyDiv w:val="1"/>
      <w:marLeft w:val="0"/>
      <w:marRight w:val="0"/>
      <w:marTop w:val="0"/>
      <w:marBottom w:val="0"/>
      <w:divBdr>
        <w:top w:val="none" w:sz="0" w:space="0" w:color="auto"/>
        <w:left w:val="none" w:sz="0" w:space="0" w:color="auto"/>
        <w:bottom w:val="none" w:sz="0" w:space="0" w:color="auto"/>
        <w:right w:val="none" w:sz="0" w:space="0" w:color="auto"/>
      </w:divBdr>
    </w:div>
    <w:div w:id="2061590561">
      <w:bodyDiv w:val="1"/>
      <w:marLeft w:val="0"/>
      <w:marRight w:val="0"/>
      <w:marTop w:val="0"/>
      <w:marBottom w:val="0"/>
      <w:divBdr>
        <w:top w:val="none" w:sz="0" w:space="0" w:color="auto"/>
        <w:left w:val="none" w:sz="0" w:space="0" w:color="auto"/>
        <w:bottom w:val="none" w:sz="0" w:space="0" w:color="auto"/>
        <w:right w:val="none" w:sz="0" w:space="0" w:color="auto"/>
      </w:divBdr>
    </w:div>
    <w:div w:id="2092508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0.emf"/><Relationship Id="rId26" Type="http://schemas.openxmlformats.org/officeDocument/2006/relationships/footer" Target="footer9.xml"/><Relationship Id="rId39" Type="http://schemas.openxmlformats.org/officeDocument/2006/relationships/fontTable" Target="fontTable.xml"/><Relationship Id="rId21" Type="http://schemas.openxmlformats.org/officeDocument/2006/relationships/footer" Target="footer6.xml"/><Relationship Id="rId34" Type="http://schemas.openxmlformats.org/officeDocument/2006/relationships/hyperlink" Target="https://url.uk.m.mimecastprotect.com/s/9shxCOYppCpEoOD0IEvxab?domain=cm.gcm.cscglobal.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5.xml"/><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http://www.bourse/" TargetMode="External"/><Relationship Id="rId37" Type="http://schemas.openxmlformats.org/officeDocument/2006/relationships/hyperlink" Target="https://url.uk.m.mimecastprotect.com/s/9shxCOYppCpEoOD0IEvxab?domain=cm.gcm.cscglobal.com"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chart" Target="charts/chart2.xml"/><Relationship Id="rId36" Type="http://schemas.openxmlformats.org/officeDocument/2006/relationships/hyperlink" Target="file:///C:\Users\oebelsse\ND%20Office%20Echo\EU-HXEYU218\f%20EDW%20(http"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4.xml"/><Relationship Id="rId4" Type="http://schemas.openxmlformats.org/officeDocument/2006/relationships/styles" Target="styles.xml"/><Relationship Id="rId9" Type="http://schemas.openxmlformats.org/officeDocument/2006/relationships/hyperlink" Target="https://url.uk.m.mimecastprotect.com/s/9shxCOYppCpEoOD0IEvxab?domain=cm.gcm.cscglobal.com" TargetMode="External"/><Relationship Id="rId14" Type="http://schemas.openxmlformats.org/officeDocument/2006/relationships/header" Target="header3.xml"/><Relationship Id="rId22" Type="http://schemas.openxmlformats.org/officeDocument/2006/relationships/hyperlink" Target="https://url.uk.m.mimecastprotect.com/s/9shxCOYppCpEoOD0IEvxab?domain=cm.gcm.cscglobal.com" TargetMode="External"/><Relationship Id="rId27" Type="http://schemas.openxmlformats.org/officeDocument/2006/relationships/chart" Target="charts/chart1.xml"/><Relationship Id="rId30" Type="http://schemas.openxmlformats.org/officeDocument/2006/relationships/footer" Target="footer10.xml"/><Relationship Id="rId35" Type="http://schemas.openxmlformats.org/officeDocument/2006/relationships/hyperlink" Target="http://(www.lux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8.xml"/><Relationship Id="rId33" Type="http://schemas.openxmlformats.org/officeDocument/2006/relationships/hyperlink" Target="https://www/" TargetMode="External"/><Relationship Id="rId38" Type="http://schemas.openxmlformats.org/officeDocument/2006/relationships/footer" Target="foot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templates\blank%20document.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Cumulative defaults - Total Portfolio</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'Cumulative Defaults'!$C$10</c:f>
              <c:strCache>
                <c:ptCount val="1"/>
                <c:pt idx="0">
                  <c:v>2013Q1</c:v>
                </c:pt>
              </c:strCache>
            </c:strRef>
          </c:tx>
          <c:spPr>
            <a:ln w="28575" cap="rnd">
              <a:solidFill>
                <a:schemeClr val="accent1"/>
              </a:solidFill>
              <a:round/>
            </a:ln>
            <a:effectLst/>
          </c:spPr>
          <c:marker>
            <c:symbol val="none"/>
          </c:marker>
          <c:val>
            <c:numRef>
              <c:f>'Cumulative Defaults'!$E$10:$BA$10</c:f>
              <c:numCache>
                <c:formatCode>0.00%</c:formatCode>
                <c:ptCount val="49"/>
                <c:pt idx="0">
                  <c:v>0</c:v>
                </c:pt>
                <c:pt idx="1">
                  <c:v>1.3331117184601545E-3</c:v>
                </c:pt>
                <c:pt idx="2">
                  <c:v>2.7382954096781798E-3</c:v>
                </c:pt>
                <c:pt idx="3">
                  <c:v>4.1375760120564761E-3</c:v>
                </c:pt>
                <c:pt idx="4">
                  <c:v>6.7030737024232874E-3</c:v>
                </c:pt>
                <c:pt idx="5">
                  <c:v>8.4505302463757231E-3</c:v>
                </c:pt>
                <c:pt idx="6">
                  <c:v>1.1313471624508492E-2</c:v>
                </c:pt>
                <c:pt idx="7">
                  <c:v>1.2035957402702555E-2</c:v>
                </c:pt>
                <c:pt idx="8">
                  <c:v>1.3117370486498386E-2</c:v>
                </c:pt>
                <c:pt idx="9">
                  <c:v>1.4893837431154265E-2</c:v>
                </c:pt>
                <c:pt idx="10">
                  <c:v>1.598633893055627E-2</c:v>
                </c:pt>
                <c:pt idx="11">
                  <c:v>1.7309796571173222E-2</c:v>
                </c:pt>
                <c:pt idx="12">
                  <c:v>1.7635400378522095E-2</c:v>
                </c:pt>
                <c:pt idx="13">
                  <c:v>1.8215851601227351E-2</c:v>
                </c:pt>
                <c:pt idx="14">
                  <c:v>1.9076458174077895E-2</c:v>
                </c:pt>
                <c:pt idx="15">
                  <c:v>1.9256415955644934E-2</c:v>
                </c:pt>
                <c:pt idx="16">
                  <c:v>1.9517524035855747E-2</c:v>
                </c:pt>
                <c:pt idx="17">
                  <c:v>2.0289880041539896E-2</c:v>
                </c:pt>
                <c:pt idx="18">
                  <c:v>2.0678431108162275E-2</c:v>
                </c:pt>
                <c:pt idx="19">
                  <c:v>2.0678431108162275E-2</c:v>
                </c:pt>
                <c:pt idx="20">
                  <c:v>2.0678431108162275E-2</c:v>
                </c:pt>
                <c:pt idx="21">
                  <c:v>2.0695155439023213E-2</c:v>
                </c:pt>
                <c:pt idx="22">
                  <c:v>2.0695155439023213E-2</c:v>
                </c:pt>
                <c:pt idx="23">
                  <c:v>2.0695155439023213E-2</c:v>
                </c:pt>
                <c:pt idx="24">
                  <c:v>2.0695155439023213E-2</c:v>
                </c:pt>
                <c:pt idx="25">
                  <c:v>2.0695155439023213E-2</c:v>
                </c:pt>
                <c:pt idx="26">
                  <c:v>2.0695155439023213E-2</c:v>
                </c:pt>
                <c:pt idx="27">
                  <c:v>2.0695155439023213E-2</c:v>
                </c:pt>
                <c:pt idx="28">
                  <c:v>2.0695155439023213E-2</c:v>
                </c:pt>
                <c:pt idx="29">
                  <c:v>2.0695155439023213E-2</c:v>
                </c:pt>
                <c:pt idx="30">
                  <c:v>2.0695155439023213E-2</c:v>
                </c:pt>
                <c:pt idx="31">
                  <c:v>2.0695155439023213E-2</c:v>
                </c:pt>
                <c:pt idx="32">
                  <c:v>2.0695155439023213E-2</c:v>
                </c:pt>
                <c:pt idx="33">
                  <c:v>2.0695155439023213E-2</c:v>
                </c:pt>
                <c:pt idx="34">
                  <c:v>2.0695155439023213E-2</c:v>
                </c:pt>
                <c:pt idx="35">
                  <c:v>2.0695155439023213E-2</c:v>
                </c:pt>
                <c:pt idx="36">
                  <c:v>2.0695155439023213E-2</c:v>
                </c:pt>
                <c:pt idx="37">
                  <c:v>2.0695155439023213E-2</c:v>
                </c:pt>
                <c:pt idx="38">
                  <c:v>2.0695155439023213E-2</c:v>
                </c:pt>
                <c:pt idx="39">
                  <c:v>2.0695155439023213E-2</c:v>
                </c:pt>
                <c:pt idx="40">
                  <c:v>2.0695155439023213E-2</c:v>
                </c:pt>
                <c:pt idx="41">
                  <c:v>2.0695155439023213E-2</c:v>
                </c:pt>
                <c:pt idx="42">
                  <c:v>2.0695155439023213E-2</c:v>
                </c:pt>
                <c:pt idx="43">
                  <c:v>2.0695155439023213E-2</c:v>
                </c:pt>
                <c:pt idx="44">
                  <c:v>2.0695155439023213E-2</c:v>
                </c:pt>
                <c:pt idx="45">
                  <c:v>2.0695155439023213E-2</c:v>
                </c:pt>
                <c:pt idx="46">
                  <c:v>2.0695155439023213E-2</c:v>
                </c:pt>
                <c:pt idx="47">
                  <c:v>2.0695155439023213E-2</c:v>
                </c:pt>
                <c:pt idx="48">
                  <c:v>2.0695155439023213E-2</c:v>
                </c:pt>
              </c:numCache>
            </c:numRef>
          </c:val>
          <c:smooth val="0"/>
          <c:extLst>
            <c:ext xmlns:c16="http://schemas.microsoft.com/office/drawing/2014/chart" uri="{C3380CC4-5D6E-409C-BE32-E72D297353CC}">
              <c16:uniqueId val="{00000000-A47E-49B0-A31A-46E9DA201EF3}"/>
            </c:ext>
          </c:extLst>
        </c:ser>
        <c:ser>
          <c:idx val="1"/>
          <c:order val="1"/>
          <c:tx>
            <c:strRef>
              <c:f>'Cumulative Defaults'!$C$11</c:f>
              <c:strCache>
                <c:ptCount val="1"/>
                <c:pt idx="0">
                  <c:v>2013Q2</c:v>
                </c:pt>
              </c:strCache>
            </c:strRef>
          </c:tx>
          <c:spPr>
            <a:ln w="28575" cap="rnd">
              <a:solidFill>
                <a:schemeClr val="accent2"/>
              </a:solidFill>
              <a:round/>
            </a:ln>
            <a:effectLst/>
          </c:spPr>
          <c:marker>
            <c:symbol val="none"/>
          </c:marker>
          <c:val>
            <c:numRef>
              <c:f>'Cumulative Defaults'!$E$11:$BA$11</c:f>
              <c:numCache>
                <c:formatCode>0.00%</c:formatCode>
                <c:ptCount val="49"/>
                <c:pt idx="0">
                  <c:v>0</c:v>
                </c:pt>
                <c:pt idx="1">
                  <c:v>0</c:v>
                </c:pt>
                <c:pt idx="2">
                  <c:v>2.9192145415741855E-3</c:v>
                </c:pt>
                <c:pt idx="3">
                  <c:v>4.5398007780942228E-3</c:v>
                </c:pt>
                <c:pt idx="4">
                  <c:v>5.75004304351482E-3</c:v>
                </c:pt>
                <c:pt idx="5">
                  <c:v>7.1956792783167845E-3</c:v>
                </c:pt>
                <c:pt idx="6">
                  <c:v>8.5880821899143416E-3</c:v>
                </c:pt>
                <c:pt idx="7">
                  <c:v>1.2808185560906323E-2</c:v>
                </c:pt>
                <c:pt idx="8">
                  <c:v>1.4328918544799714E-2</c:v>
                </c:pt>
                <c:pt idx="9">
                  <c:v>1.725870604379948E-2</c:v>
                </c:pt>
                <c:pt idx="10">
                  <c:v>1.9294503265702981E-2</c:v>
                </c:pt>
                <c:pt idx="11">
                  <c:v>2.094377431791276E-2</c:v>
                </c:pt>
                <c:pt idx="12">
                  <c:v>2.2150662835589547E-2</c:v>
                </c:pt>
                <c:pt idx="13">
                  <c:v>2.2692346860350748E-2</c:v>
                </c:pt>
                <c:pt idx="14">
                  <c:v>2.3674340288468435E-2</c:v>
                </c:pt>
                <c:pt idx="15">
                  <c:v>2.4135064669074634E-2</c:v>
                </c:pt>
                <c:pt idx="16">
                  <c:v>2.4547218217127544E-2</c:v>
                </c:pt>
                <c:pt idx="17">
                  <c:v>2.5258255333437635E-2</c:v>
                </c:pt>
                <c:pt idx="18">
                  <c:v>2.5359237459291049E-2</c:v>
                </c:pt>
                <c:pt idx="19">
                  <c:v>2.5359237459291049E-2</c:v>
                </c:pt>
                <c:pt idx="20">
                  <c:v>2.5443226182944086E-2</c:v>
                </c:pt>
                <c:pt idx="21">
                  <c:v>2.544322618294409E-2</c:v>
                </c:pt>
                <c:pt idx="22">
                  <c:v>2.5443226182944086E-2</c:v>
                </c:pt>
                <c:pt idx="23">
                  <c:v>2.544322618294409E-2</c:v>
                </c:pt>
                <c:pt idx="24">
                  <c:v>2.544322618294409E-2</c:v>
                </c:pt>
                <c:pt idx="25">
                  <c:v>2.544322618294409E-2</c:v>
                </c:pt>
                <c:pt idx="26">
                  <c:v>2.544322618294409E-2</c:v>
                </c:pt>
                <c:pt idx="27">
                  <c:v>2.544322618294409E-2</c:v>
                </c:pt>
                <c:pt idx="28">
                  <c:v>2.544322618294409E-2</c:v>
                </c:pt>
                <c:pt idx="29">
                  <c:v>2.544322618294409E-2</c:v>
                </c:pt>
                <c:pt idx="30">
                  <c:v>2.544322618294409E-2</c:v>
                </c:pt>
                <c:pt idx="31">
                  <c:v>2.5443226182944086E-2</c:v>
                </c:pt>
                <c:pt idx="32">
                  <c:v>2.5443226182944086E-2</c:v>
                </c:pt>
                <c:pt idx="33">
                  <c:v>2.544322618294409E-2</c:v>
                </c:pt>
                <c:pt idx="34">
                  <c:v>2.544322618294409E-2</c:v>
                </c:pt>
                <c:pt idx="35">
                  <c:v>2.544322618294409E-2</c:v>
                </c:pt>
                <c:pt idx="36">
                  <c:v>2.544322618294409E-2</c:v>
                </c:pt>
                <c:pt idx="37">
                  <c:v>2.544322618294409E-2</c:v>
                </c:pt>
                <c:pt idx="38">
                  <c:v>2.544322618294409E-2</c:v>
                </c:pt>
                <c:pt idx="39">
                  <c:v>2.5443226182944086E-2</c:v>
                </c:pt>
                <c:pt idx="40">
                  <c:v>2.544322618294409E-2</c:v>
                </c:pt>
                <c:pt idx="41">
                  <c:v>2.544322618294409E-2</c:v>
                </c:pt>
                <c:pt idx="42">
                  <c:v>2.544322618294409E-2</c:v>
                </c:pt>
                <c:pt idx="43">
                  <c:v>2.5443226182944086E-2</c:v>
                </c:pt>
                <c:pt idx="44">
                  <c:v>2.5443226182944086E-2</c:v>
                </c:pt>
                <c:pt idx="45">
                  <c:v>2.5443226182944086E-2</c:v>
                </c:pt>
                <c:pt idx="46">
                  <c:v>2.544322618294409E-2</c:v>
                </c:pt>
                <c:pt idx="47">
                  <c:v>2.544322618294409E-2</c:v>
                </c:pt>
              </c:numCache>
            </c:numRef>
          </c:val>
          <c:smooth val="0"/>
          <c:extLst>
            <c:ext xmlns:c16="http://schemas.microsoft.com/office/drawing/2014/chart" uri="{C3380CC4-5D6E-409C-BE32-E72D297353CC}">
              <c16:uniqueId val="{00000001-A47E-49B0-A31A-46E9DA201EF3}"/>
            </c:ext>
          </c:extLst>
        </c:ser>
        <c:ser>
          <c:idx val="2"/>
          <c:order val="2"/>
          <c:tx>
            <c:strRef>
              <c:f>'Cumulative Defaults'!$C$12</c:f>
              <c:strCache>
                <c:ptCount val="1"/>
                <c:pt idx="0">
                  <c:v>2013Q3</c:v>
                </c:pt>
              </c:strCache>
            </c:strRef>
          </c:tx>
          <c:spPr>
            <a:ln w="28575" cap="rnd">
              <a:solidFill>
                <a:schemeClr val="accent3"/>
              </a:solidFill>
              <a:round/>
            </a:ln>
            <a:effectLst/>
          </c:spPr>
          <c:marker>
            <c:symbol val="none"/>
          </c:marker>
          <c:val>
            <c:numRef>
              <c:f>'Cumulative Defaults'!$E$12:$BA$12</c:f>
              <c:numCache>
                <c:formatCode>0.00%</c:formatCode>
                <c:ptCount val="49"/>
                <c:pt idx="0">
                  <c:v>0</c:v>
                </c:pt>
                <c:pt idx="1">
                  <c:v>6.924998026241855E-4</c:v>
                </c:pt>
                <c:pt idx="2">
                  <c:v>1.2877461366333296E-3</c:v>
                </c:pt>
                <c:pt idx="3">
                  <c:v>3.2994689878456398E-3</c:v>
                </c:pt>
                <c:pt idx="4">
                  <c:v>5.4924165352094297E-3</c:v>
                </c:pt>
                <c:pt idx="5">
                  <c:v>7.4174065222155335E-3</c:v>
                </c:pt>
                <c:pt idx="6">
                  <c:v>1.0040010675331112E-2</c:v>
                </c:pt>
                <c:pt idx="7">
                  <c:v>1.2060088093120954E-2</c:v>
                </c:pt>
                <c:pt idx="8">
                  <c:v>1.3505502575546979E-2</c:v>
                </c:pt>
                <c:pt idx="9">
                  <c:v>1.5268757047137566E-2</c:v>
                </c:pt>
                <c:pt idx="10">
                  <c:v>1.7116907747965274E-2</c:v>
                </c:pt>
                <c:pt idx="11">
                  <c:v>1.7960202176847757E-2</c:v>
                </c:pt>
                <c:pt idx="12">
                  <c:v>1.9015883938410829E-2</c:v>
                </c:pt>
                <c:pt idx="13">
                  <c:v>1.9944456534986204E-2</c:v>
                </c:pt>
                <c:pt idx="14">
                  <c:v>2.0467248076806163E-2</c:v>
                </c:pt>
                <c:pt idx="15">
                  <c:v>2.1144045717573938E-2</c:v>
                </c:pt>
                <c:pt idx="16">
                  <c:v>2.1259493387997371E-2</c:v>
                </c:pt>
                <c:pt idx="17">
                  <c:v>2.1634796527944058E-2</c:v>
                </c:pt>
                <c:pt idx="18">
                  <c:v>2.178048476486966E-2</c:v>
                </c:pt>
                <c:pt idx="19">
                  <c:v>2.178048476486966E-2</c:v>
                </c:pt>
                <c:pt idx="20">
                  <c:v>2.184909695364505E-2</c:v>
                </c:pt>
                <c:pt idx="21">
                  <c:v>2.184909695364505E-2</c:v>
                </c:pt>
                <c:pt idx="22">
                  <c:v>2.184909695364505E-2</c:v>
                </c:pt>
                <c:pt idx="23">
                  <c:v>2.184909695364505E-2</c:v>
                </c:pt>
                <c:pt idx="24">
                  <c:v>2.184909695364505E-2</c:v>
                </c:pt>
                <c:pt idx="25">
                  <c:v>2.184909695364505E-2</c:v>
                </c:pt>
                <c:pt idx="26">
                  <c:v>2.184909695364505E-2</c:v>
                </c:pt>
                <c:pt idx="27">
                  <c:v>2.184909695364505E-2</c:v>
                </c:pt>
                <c:pt idx="28">
                  <c:v>2.184909695364505E-2</c:v>
                </c:pt>
                <c:pt idx="29">
                  <c:v>2.184909695364505E-2</c:v>
                </c:pt>
                <c:pt idx="30">
                  <c:v>2.184909695364505E-2</c:v>
                </c:pt>
                <c:pt idx="31">
                  <c:v>2.184909695364505E-2</c:v>
                </c:pt>
                <c:pt idx="32">
                  <c:v>2.184909695364505E-2</c:v>
                </c:pt>
                <c:pt idx="33">
                  <c:v>2.184909695364505E-2</c:v>
                </c:pt>
                <c:pt idx="34">
                  <c:v>2.184909695364505E-2</c:v>
                </c:pt>
                <c:pt idx="35">
                  <c:v>2.184909695364505E-2</c:v>
                </c:pt>
                <c:pt idx="36">
                  <c:v>2.184909695364505E-2</c:v>
                </c:pt>
                <c:pt idx="37">
                  <c:v>2.184909695364505E-2</c:v>
                </c:pt>
                <c:pt idx="38">
                  <c:v>2.184909695364505E-2</c:v>
                </c:pt>
                <c:pt idx="39">
                  <c:v>2.184909695364505E-2</c:v>
                </c:pt>
                <c:pt idx="40">
                  <c:v>2.184909695364505E-2</c:v>
                </c:pt>
                <c:pt idx="41">
                  <c:v>2.184909695364505E-2</c:v>
                </c:pt>
                <c:pt idx="42">
                  <c:v>2.184909695364505E-2</c:v>
                </c:pt>
                <c:pt idx="43">
                  <c:v>2.184909695364505E-2</c:v>
                </c:pt>
                <c:pt idx="44">
                  <c:v>2.184909695364505E-2</c:v>
                </c:pt>
                <c:pt idx="45">
                  <c:v>2.184909695364505E-2</c:v>
                </c:pt>
                <c:pt idx="46">
                  <c:v>2.184909695364505E-2</c:v>
                </c:pt>
              </c:numCache>
            </c:numRef>
          </c:val>
          <c:smooth val="0"/>
          <c:extLst>
            <c:ext xmlns:c16="http://schemas.microsoft.com/office/drawing/2014/chart" uri="{C3380CC4-5D6E-409C-BE32-E72D297353CC}">
              <c16:uniqueId val="{00000002-A47E-49B0-A31A-46E9DA201EF3}"/>
            </c:ext>
          </c:extLst>
        </c:ser>
        <c:ser>
          <c:idx val="3"/>
          <c:order val="3"/>
          <c:tx>
            <c:strRef>
              <c:f>'Cumulative Defaults'!$C$13</c:f>
              <c:strCache>
                <c:ptCount val="1"/>
                <c:pt idx="0">
                  <c:v>2013Q4</c:v>
                </c:pt>
              </c:strCache>
            </c:strRef>
          </c:tx>
          <c:spPr>
            <a:ln w="28575" cap="rnd">
              <a:solidFill>
                <a:schemeClr val="accent4"/>
              </a:solidFill>
              <a:round/>
            </a:ln>
            <a:effectLst/>
          </c:spPr>
          <c:marker>
            <c:symbol val="none"/>
          </c:marker>
          <c:val>
            <c:numRef>
              <c:f>'Cumulative Defaults'!$E$13:$BA$13</c:f>
              <c:numCache>
                <c:formatCode>0.00%</c:formatCode>
                <c:ptCount val="49"/>
                <c:pt idx="0">
                  <c:v>0</c:v>
                </c:pt>
                <c:pt idx="1">
                  <c:v>8.7759135721647596E-4</c:v>
                </c:pt>
                <c:pt idx="2">
                  <c:v>2.9246029229965426E-3</c:v>
                </c:pt>
                <c:pt idx="3">
                  <c:v>4.9406964222266743E-3</c:v>
                </c:pt>
                <c:pt idx="4">
                  <c:v>6.136915228811754E-3</c:v>
                </c:pt>
                <c:pt idx="5">
                  <c:v>7.5402911584980673E-3</c:v>
                </c:pt>
                <c:pt idx="6">
                  <c:v>9.1891002452376882E-3</c:v>
                </c:pt>
                <c:pt idx="7">
                  <c:v>1.0425868599741003E-2</c:v>
                </c:pt>
                <c:pt idx="8">
                  <c:v>1.2579592121843714E-2</c:v>
                </c:pt>
                <c:pt idx="9">
                  <c:v>1.3606452392276274E-2</c:v>
                </c:pt>
                <c:pt idx="10">
                  <c:v>1.5672960485463308E-2</c:v>
                </c:pt>
                <c:pt idx="11">
                  <c:v>1.6233101627278392E-2</c:v>
                </c:pt>
                <c:pt idx="12">
                  <c:v>1.7261190379848561E-2</c:v>
                </c:pt>
                <c:pt idx="13">
                  <c:v>1.8167100206157555E-2</c:v>
                </c:pt>
                <c:pt idx="14">
                  <c:v>1.9054731782915484E-2</c:v>
                </c:pt>
                <c:pt idx="15">
                  <c:v>1.9670726060698973E-2</c:v>
                </c:pt>
                <c:pt idx="16">
                  <c:v>1.9924064021273453E-2</c:v>
                </c:pt>
                <c:pt idx="17">
                  <c:v>2.0114682724856059E-2</c:v>
                </c:pt>
                <c:pt idx="18">
                  <c:v>2.0296980630366238E-2</c:v>
                </c:pt>
                <c:pt idx="19">
                  <c:v>2.0328319340084656E-2</c:v>
                </c:pt>
                <c:pt idx="20">
                  <c:v>2.0328319340084656E-2</c:v>
                </c:pt>
                <c:pt idx="21">
                  <c:v>2.0328319340084656E-2</c:v>
                </c:pt>
                <c:pt idx="22">
                  <c:v>2.0328319340084656E-2</c:v>
                </c:pt>
                <c:pt idx="23">
                  <c:v>2.0328319340084656E-2</c:v>
                </c:pt>
                <c:pt idx="24">
                  <c:v>2.0328319340084656E-2</c:v>
                </c:pt>
                <c:pt idx="25">
                  <c:v>2.0328319340084656E-2</c:v>
                </c:pt>
                <c:pt idx="26">
                  <c:v>2.0328319340084656E-2</c:v>
                </c:pt>
                <c:pt idx="27">
                  <c:v>2.0328319340084656E-2</c:v>
                </c:pt>
                <c:pt idx="28">
                  <c:v>2.0328319340084656E-2</c:v>
                </c:pt>
                <c:pt idx="29">
                  <c:v>2.0328319340084659E-2</c:v>
                </c:pt>
                <c:pt idx="30">
                  <c:v>2.0328319340084656E-2</c:v>
                </c:pt>
                <c:pt idx="31">
                  <c:v>2.0328319340084656E-2</c:v>
                </c:pt>
                <c:pt idx="32">
                  <c:v>2.0328319340084656E-2</c:v>
                </c:pt>
                <c:pt idx="33">
                  <c:v>2.0328319340084659E-2</c:v>
                </c:pt>
                <c:pt idx="34">
                  <c:v>2.0328319340084656E-2</c:v>
                </c:pt>
                <c:pt idx="35">
                  <c:v>2.0328319340084659E-2</c:v>
                </c:pt>
                <c:pt idx="36">
                  <c:v>2.0328319340084656E-2</c:v>
                </c:pt>
                <c:pt idx="37">
                  <c:v>2.0328319340084656E-2</c:v>
                </c:pt>
                <c:pt idx="38">
                  <c:v>2.0328319340084656E-2</c:v>
                </c:pt>
                <c:pt idx="39">
                  <c:v>2.0328319340084656E-2</c:v>
                </c:pt>
                <c:pt idx="40">
                  <c:v>2.0328319340084659E-2</c:v>
                </c:pt>
                <c:pt idx="41">
                  <c:v>2.0328319340084656E-2</c:v>
                </c:pt>
                <c:pt idx="42">
                  <c:v>2.0328319340084656E-2</c:v>
                </c:pt>
                <c:pt idx="43">
                  <c:v>2.0328319340084656E-2</c:v>
                </c:pt>
                <c:pt idx="44">
                  <c:v>2.0328319340084659E-2</c:v>
                </c:pt>
                <c:pt idx="45">
                  <c:v>2.0328319340084656E-2</c:v>
                </c:pt>
              </c:numCache>
            </c:numRef>
          </c:val>
          <c:smooth val="0"/>
          <c:extLst>
            <c:ext xmlns:c16="http://schemas.microsoft.com/office/drawing/2014/chart" uri="{C3380CC4-5D6E-409C-BE32-E72D297353CC}">
              <c16:uniqueId val="{00000003-A47E-49B0-A31A-46E9DA201EF3}"/>
            </c:ext>
          </c:extLst>
        </c:ser>
        <c:ser>
          <c:idx val="4"/>
          <c:order val="4"/>
          <c:tx>
            <c:strRef>
              <c:f>'Cumulative Defaults'!$C$14</c:f>
              <c:strCache>
                <c:ptCount val="1"/>
                <c:pt idx="0">
                  <c:v>2014Q1</c:v>
                </c:pt>
              </c:strCache>
            </c:strRef>
          </c:tx>
          <c:spPr>
            <a:ln w="28575" cap="rnd">
              <a:solidFill>
                <a:schemeClr val="accent5"/>
              </a:solidFill>
              <a:round/>
            </a:ln>
            <a:effectLst/>
          </c:spPr>
          <c:marker>
            <c:symbol val="none"/>
          </c:marker>
          <c:val>
            <c:numRef>
              <c:f>'Cumulative Defaults'!$E$14:$BA$14</c:f>
              <c:numCache>
                <c:formatCode>0.00%</c:formatCode>
                <c:ptCount val="49"/>
                <c:pt idx="0">
                  <c:v>0</c:v>
                </c:pt>
                <c:pt idx="1">
                  <c:v>2.2489146840001917E-4</c:v>
                </c:pt>
                <c:pt idx="2">
                  <c:v>2.4262339776695862E-3</c:v>
                </c:pt>
                <c:pt idx="3">
                  <c:v>3.9444937838256089E-3</c:v>
                </c:pt>
                <c:pt idx="4">
                  <c:v>5.7614743180779597E-3</c:v>
                </c:pt>
                <c:pt idx="5">
                  <c:v>7.4423571226340671E-3</c:v>
                </c:pt>
                <c:pt idx="6">
                  <c:v>8.471981570351025E-3</c:v>
                </c:pt>
                <c:pt idx="7">
                  <c:v>9.9269765475058051E-3</c:v>
                </c:pt>
                <c:pt idx="8">
                  <c:v>1.1518747958833328E-2</c:v>
                </c:pt>
                <c:pt idx="9">
                  <c:v>1.4096007569061106E-2</c:v>
                </c:pt>
                <c:pt idx="10">
                  <c:v>1.5493185083158211E-2</c:v>
                </c:pt>
                <c:pt idx="11">
                  <c:v>1.7315880547157617E-2</c:v>
                </c:pt>
                <c:pt idx="12">
                  <c:v>1.8350157728558386E-2</c:v>
                </c:pt>
                <c:pt idx="13">
                  <c:v>1.9056872713245663E-2</c:v>
                </c:pt>
                <c:pt idx="14">
                  <c:v>1.9704801524960232E-2</c:v>
                </c:pt>
                <c:pt idx="15">
                  <c:v>2.0139775710341853E-2</c:v>
                </c:pt>
                <c:pt idx="16">
                  <c:v>2.0360562715280039E-2</c:v>
                </c:pt>
                <c:pt idx="17">
                  <c:v>2.0621797357749588E-2</c:v>
                </c:pt>
                <c:pt idx="18">
                  <c:v>2.0916752974622324E-2</c:v>
                </c:pt>
                <c:pt idx="19">
                  <c:v>2.0957245867384591E-2</c:v>
                </c:pt>
                <c:pt idx="20">
                  <c:v>2.0957245867384591E-2</c:v>
                </c:pt>
                <c:pt idx="21">
                  <c:v>2.095973540103159E-2</c:v>
                </c:pt>
                <c:pt idx="22">
                  <c:v>2.095973540103159E-2</c:v>
                </c:pt>
                <c:pt idx="23">
                  <c:v>2.095973540103159E-2</c:v>
                </c:pt>
                <c:pt idx="24">
                  <c:v>2.095973540103159E-2</c:v>
                </c:pt>
                <c:pt idx="25">
                  <c:v>2.095973540103159E-2</c:v>
                </c:pt>
                <c:pt idx="26">
                  <c:v>2.095973540103159E-2</c:v>
                </c:pt>
                <c:pt idx="27">
                  <c:v>2.095973540103159E-2</c:v>
                </c:pt>
                <c:pt idx="28">
                  <c:v>2.095973540103159E-2</c:v>
                </c:pt>
                <c:pt idx="29">
                  <c:v>2.095973540103159E-2</c:v>
                </c:pt>
                <c:pt idx="30">
                  <c:v>2.095973540103159E-2</c:v>
                </c:pt>
                <c:pt idx="31">
                  <c:v>2.095973540103159E-2</c:v>
                </c:pt>
                <c:pt idx="32">
                  <c:v>2.095973540103159E-2</c:v>
                </c:pt>
                <c:pt idx="33">
                  <c:v>2.095973540103159E-2</c:v>
                </c:pt>
                <c:pt idx="34">
                  <c:v>2.095973540103159E-2</c:v>
                </c:pt>
                <c:pt idx="35">
                  <c:v>2.095973540103159E-2</c:v>
                </c:pt>
                <c:pt idx="36">
                  <c:v>2.095973540103159E-2</c:v>
                </c:pt>
                <c:pt idx="37">
                  <c:v>2.095973540103159E-2</c:v>
                </c:pt>
                <c:pt idx="38">
                  <c:v>2.095973540103159E-2</c:v>
                </c:pt>
                <c:pt idx="39">
                  <c:v>2.095973540103159E-2</c:v>
                </c:pt>
                <c:pt idx="40">
                  <c:v>2.095973540103159E-2</c:v>
                </c:pt>
                <c:pt idx="41">
                  <c:v>2.095973540103159E-2</c:v>
                </c:pt>
                <c:pt idx="42">
                  <c:v>2.095973540103159E-2</c:v>
                </c:pt>
                <c:pt idx="43">
                  <c:v>2.095973540103159E-2</c:v>
                </c:pt>
                <c:pt idx="44">
                  <c:v>2.095973540103159E-2</c:v>
                </c:pt>
              </c:numCache>
            </c:numRef>
          </c:val>
          <c:smooth val="0"/>
          <c:extLst>
            <c:ext xmlns:c16="http://schemas.microsoft.com/office/drawing/2014/chart" uri="{C3380CC4-5D6E-409C-BE32-E72D297353CC}">
              <c16:uniqueId val="{00000004-A47E-49B0-A31A-46E9DA201EF3}"/>
            </c:ext>
          </c:extLst>
        </c:ser>
        <c:ser>
          <c:idx val="5"/>
          <c:order val="5"/>
          <c:tx>
            <c:strRef>
              <c:f>'Cumulative Defaults'!$C$15</c:f>
              <c:strCache>
                <c:ptCount val="1"/>
                <c:pt idx="0">
                  <c:v>2014Q2</c:v>
                </c:pt>
              </c:strCache>
            </c:strRef>
          </c:tx>
          <c:spPr>
            <a:ln w="28575" cap="rnd">
              <a:solidFill>
                <a:schemeClr val="accent6"/>
              </a:solidFill>
              <a:round/>
            </a:ln>
            <a:effectLst/>
          </c:spPr>
          <c:marker>
            <c:symbol val="none"/>
          </c:marker>
          <c:val>
            <c:numRef>
              <c:f>'Cumulative Defaults'!$E$15:$BA$15</c:f>
              <c:numCache>
                <c:formatCode>0.00%</c:formatCode>
                <c:ptCount val="49"/>
                <c:pt idx="0">
                  <c:v>0</c:v>
                </c:pt>
                <c:pt idx="1">
                  <c:v>7.1165240145503329E-4</c:v>
                </c:pt>
                <c:pt idx="2">
                  <c:v>1.6222833908840835E-3</c:v>
                </c:pt>
                <c:pt idx="3">
                  <c:v>2.2696658438095267E-3</c:v>
                </c:pt>
                <c:pt idx="4">
                  <c:v>3.026696413240468E-3</c:v>
                </c:pt>
                <c:pt idx="5">
                  <c:v>4.7678677643625362E-3</c:v>
                </c:pt>
                <c:pt idx="6">
                  <c:v>6.810511189656864E-3</c:v>
                </c:pt>
                <c:pt idx="7">
                  <c:v>9.2429838146335271E-3</c:v>
                </c:pt>
                <c:pt idx="8">
                  <c:v>1.0477374059479481E-2</c:v>
                </c:pt>
                <c:pt idx="9">
                  <c:v>1.1419295232341474E-2</c:v>
                </c:pt>
                <c:pt idx="10">
                  <c:v>1.280216508064924E-2</c:v>
                </c:pt>
                <c:pt idx="11">
                  <c:v>1.4169967887382904E-2</c:v>
                </c:pt>
                <c:pt idx="12">
                  <c:v>1.5097014739378857E-2</c:v>
                </c:pt>
                <c:pt idx="13">
                  <c:v>1.631971352255996E-2</c:v>
                </c:pt>
                <c:pt idx="14">
                  <c:v>1.704239243764703E-2</c:v>
                </c:pt>
                <c:pt idx="15">
                  <c:v>1.7893080903905206E-2</c:v>
                </c:pt>
                <c:pt idx="16">
                  <c:v>1.8347077476772229E-2</c:v>
                </c:pt>
                <c:pt idx="17">
                  <c:v>1.8927574757800228E-2</c:v>
                </c:pt>
                <c:pt idx="18">
                  <c:v>1.9204673205502613E-2</c:v>
                </c:pt>
                <c:pt idx="19">
                  <c:v>1.9250751819747509E-2</c:v>
                </c:pt>
                <c:pt idx="20">
                  <c:v>1.9275504840615354E-2</c:v>
                </c:pt>
                <c:pt idx="21">
                  <c:v>1.9277050189698015E-2</c:v>
                </c:pt>
                <c:pt idx="22">
                  <c:v>1.9277050189698015E-2</c:v>
                </c:pt>
                <c:pt idx="23">
                  <c:v>1.9277050189698011E-2</c:v>
                </c:pt>
                <c:pt idx="24">
                  <c:v>1.9277050189698015E-2</c:v>
                </c:pt>
                <c:pt idx="25">
                  <c:v>1.9277050189698015E-2</c:v>
                </c:pt>
                <c:pt idx="26">
                  <c:v>1.9277050189698015E-2</c:v>
                </c:pt>
                <c:pt idx="27">
                  <c:v>1.9277050189698015E-2</c:v>
                </c:pt>
                <c:pt idx="28">
                  <c:v>1.9277050189698015E-2</c:v>
                </c:pt>
                <c:pt idx="29">
                  <c:v>1.9277050189698015E-2</c:v>
                </c:pt>
                <c:pt idx="30">
                  <c:v>1.9277050189698015E-2</c:v>
                </c:pt>
                <c:pt idx="31">
                  <c:v>1.9277050189698015E-2</c:v>
                </c:pt>
                <c:pt idx="32">
                  <c:v>1.9277050189698015E-2</c:v>
                </c:pt>
                <c:pt idx="33">
                  <c:v>1.9277050189698015E-2</c:v>
                </c:pt>
                <c:pt idx="34">
                  <c:v>1.9277050189698015E-2</c:v>
                </c:pt>
                <c:pt idx="35">
                  <c:v>1.9277050189698015E-2</c:v>
                </c:pt>
                <c:pt idx="36">
                  <c:v>1.9277050189698015E-2</c:v>
                </c:pt>
                <c:pt idx="37">
                  <c:v>1.9277050189698011E-2</c:v>
                </c:pt>
                <c:pt idx="38">
                  <c:v>1.9277050189698015E-2</c:v>
                </c:pt>
                <c:pt idx="39">
                  <c:v>1.9277050189698015E-2</c:v>
                </c:pt>
                <c:pt idx="40">
                  <c:v>1.9277050189698015E-2</c:v>
                </c:pt>
                <c:pt idx="41">
                  <c:v>1.9277050189698015E-2</c:v>
                </c:pt>
                <c:pt idx="42">
                  <c:v>1.9277050189698015E-2</c:v>
                </c:pt>
                <c:pt idx="43">
                  <c:v>1.9277050189698015E-2</c:v>
                </c:pt>
              </c:numCache>
            </c:numRef>
          </c:val>
          <c:smooth val="0"/>
          <c:extLst>
            <c:ext xmlns:c16="http://schemas.microsoft.com/office/drawing/2014/chart" uri="{C3380CC4-5D6E-409C-BE32-E72D297353CC}">
              <c16:uniqueId val="{00000005-A47E-49B0-A31A-46E9DA201EF3}"/>
            </c:ext>
          </c:extLst>
        </c:ser>
        <c:ser>
          <c:idx val="6"/>
          <c:order val="6"/>
          <c:tx>
            <c:strRef>
              <c:f>'Cumulative Defaults'!$C$16</c:f>
              <c:strCache>
                <c:ptCount val="1"/>
                <c:pt idx="0">
                  <c:v>2014Q3</c:v>
                </c:pt>
              </c:strCache>
            </c:strRef>
          </c:tx>
          <c:spPr>
            <a:ln w="28575" cap="rnd">
              <a:solidFill>
                <a:schemeClr val="accent1">
                  <a:lumMod val="60000"/>
                </a:schemeClr>
              </a:solidFill>
              <a:round/>
            </a:ln>
            <a:effectLst/>
          </c:spPr>
          <c:marker>
            <c:symbol val="none"/>
          </c:marker>
          <c:val>
            <c:numRef>
              <c:f>'Cumulative Defaults'!$E$16:$BA$16</c:f>
              <c:numCache>
                <c:formatCode>0.00%</c:formatCode>
                <c:ptCount val="49"/>
                <c:pt idx="0">
                  <c:v>0</c:v>
                </c:pt>
                <c:pt idx="1">
                  <c:v>3.8847143355245266E-4</c:v>
                </c:pt>
                <c:pt idx="2">
                  <c:v>1.284720999647786E-3</c:v>
                </c:pt>
                <c:pt idx="3">
                  <c:v>3.8965171975548999E-3</c:v>
                </c:pt>
                <c:pt idx="4">
                  <c:v>6.1879610262294688E-3</c:v>
                </c:pt>
                <c:pt idx="5">
                  <c:v>8.5883339639017398E-3</c:v>
                </c:pt>
                <c:pt idx="6">
                  <c:v>1.0385930730825556E-2</c:v>
                </c:pt>
                <c:pt idx="7">
                  <c:v>1.2636374985360637E-2</c:v>
                </c:pt>
                <c:pt idx="8">
                  <c:v>1.3953687712412661E-2</c:v>
                </c:pt>
                <c:pt idx="9">
                  <c:v>1.4913749987043741E-2</c:v>
                </c:pt>
                <c:pt idx="10">
                  <c:v>1.6418838045230675E-2</c:v>
                </c:pt>
                <c:pt idx="11">
                  <c:v>1.7216160572329501E-2</c:v>
                </c:pt>
                <c:pt idx="12">
                  <c:v>1.7490261068260092E-2</c:v>
                </c:pt>
                <c:pt idx="13">
                  <c:v>1.8648221854139727E-2</c:v>
                </c:pt>
                <c:pt idx="14">
                  <c:v>1.9318671708080267E-2</c:v>
                </c:pt>
                <c:pt idx="15">
                  <c:v>1.9547210553492629E-2</c:v>
                </c:pt>
                <c:pt idx="16">
                  <c:v>1.9946866191358176E-2</c:v>
                </c:pt>
                <c:pt idx="17">
                  <c:v>2.0211244455047392E-2</c:v>
                </c:pt>
                <c:pt idx="18">
                  <c:v>2.0454629774958974E-2</c:v>
                </c:pt>
                <c:pt idx="19">
                  <c:v>2.0454629774958974E-2</c:v>
                </c:pt>
                <c:pt idx="20">
                  <c:v>2.0454629774958974E-2</c:v>
                </c:pt>
                <c:pt idx="21">
                  <c:v>2.0454629774958974E-2</c:v>
                </c:pt>
                <c:pt idx="22">
                  <c:v>2.0454629774958974E-2</c:v>
                </c:pt>
                <c:pt idx="23">
                  <c:v>2.0454629774958974E-2</c:v>
                </c:pt>
                <c:pt idx="24">
                  <c:v>2.0454629774958974E-2</c:v>
                </c:pt>
                <c:pt idx="25">
                  <c:v>2.0454629774958974E-2</c:v>
                </c:pt>
                <c:pt idx="26">
                  <c:v>2.0454629774958974E-2</c:v>
                </c:pt>
                <c:pt idx="27">
                  <c:v>2.0454629774958974E-2</c:v>
                </c:pt>
                <c:pt idx="28">
                  <c:v>2.0454629774958974E-2</c:v>
                </c:pt>
                <c:pt idx="29">
                  <c:v>2.0454629774958974E-2</c:v>
                </c:pt>
                <c:pt idx="30">
                  <c:v>2.0454629774958974E-2</c:v>
                </c:pt>
                <c:pt idx="31">
                  <c:v>2.0454629774958974E-2</c:v>
                </c:pt>
                <c:pt idx="32">
                  <c:v>2.0454629774958974E-2</c:v>
                </c:pt>
                <c:pt idx="33">
                  <c:v>2.0454629774958974E-2</c:v>
                </c:pt>
                <c:pt idx="34">
                  <c:v>2.0454629774958974E-2</c:v>
                </c:pt>
                <c:pt idx="35">
                  <c:v>2.0454629774958974E-2</c:v>
                </c:pt>
                <c:pt idx="36">
                  <c:v>2.0454629774958974E-2</c:v>
                </c:pt>
                <c:pt idx="37">
                  <c:v>2.0454629774958974E-2</c:v>
                </c:pt>
                <c:pt idx="38">
                  <c:v>2.0454629774958974E-2</c:v>
                </c:pt>
                <c:pt idx="39">
                  <c:v>2.0454629774958974E-2</c:v>
                </c:pt>
                <c:pt idx="40">
                  <c:v>2.0454629774958974E-2</c:v>
                </c:pt>
                <c:pt idx="41">
                  <c:v>2.0454629774958974E-2</c:v>
                </c:pt>
                <c:pt idx="42">
                  <c:v>2.0454629774958974E-2</c:v>
                </c:pt>
              </c:numCache>
            </c:numRef>
          </c:val>
          <c:smooth val="0"/>
          <c:extLst>
            <c:ext xmlns:c16="http://schemas.microsoft.com/office/drawing/2014/chart" uri="{C3380CC4-5D6E-409C-BE32-E72D297353CC}">
              <c16:uniqueId val="{00000006-A47E-49B0-A31A-46E9DA201EF3}"/>
            </c:ext>
          </c:extLst>
        </c:ser>
        <c:ser>
          <c:idx val="7"/>
          <c:order val="7"/>
          <c:tx>
            <c:strRef>
              <c:f>'Cumulative Defaults'!$C$17</c:f>
              <c:strCache>
                <c:ptCount val="1"/>
                <c:pt idx="0">
                  <c:v>2014Q4</c:v>
                </c:pt>
              </c:strCache>
            </c:strRef>
          </c:tx>
          <c:spPr>
            <a:ln w="28575" cap="rnd">
              <a:solidFill>
                <a:schemeClr val="accent2">
                  <a:lumMod val="60000"/>
                </a:schemeClr>
              </a:solidFill>
              <a:round/>
            </a:ln>
            <a:effectLst/>
          </c:spPr>
          <c:marker>
            <c:symbol val="none"/>
          </c:marker>
          <c:val>
            <c:numRef>
              <c:f>'Cumulative Defaults'!$E$17:$BA$17</c:f>
              <c:numCache>
                <c:formatCode>0.00%</c:formatCode>
                <c:ptCount val="49"/>
                <c:pt idx="0">
                  <c:v>0</c:v>
                </c:pt>
                <c:pt idx="1">
                  <c:v>0</c:v>
                </c:pt>
                <c:pt idx="2">
                  <c:v>1.4244530438581226E-3</c:v>
                </c:pt>
                <c:pt idx="3">
                  <c:v>3.3228724068493196E-3</c:v>
                </c:pt>
                <c:pt idx="4">
                  <c:v>4.546616150757808E-3</c:v>
                </c:pt>
                <c:pt idx="5">
                  <c:v>5.7448994102125969E-3</c:v>
                </c:pt>
                <c:pt idx="6">
                  <c:v>7.5216242697259822E-3</c:v>
                </c:pt>
                <c:pt idx="7">
                  <c:v>8.8437213310159288E-3</c:v>
                </c:pt>
                <c:pt idx="8">
                  <c:v>9.6234951515389265E-3</c:v>
                </c:pt>
                <c:pt idx="9">
                  <c:v>1.0611748896475346E-2</c:v>
                </c:pt>
                <c:pt idx="10">
                  <c:v>1.1615023002550308E-2</c:v>
                </c:pt>
                <c:pt idx="11">
                  <c:v>1.2646738909659739E-2</c:v>
                </c:pt>
                <c:pt idx="12">
                  <c:v>1.3344977756025733E-2</c:v>
                </c:pt>
                <c:pt idx="13">
                  <c:v>1.4149786567173193E-2</c:v>
                </c:pt>
                <c:pt idx="14">
                  <c:v>1.5392178196063975E-2</c:v>
                </c:pt>
                <c:pt idx="15">
                  <c:v>1.6418979782221014E-2</c:v>
                </c:pt>
                <c:pt idx="16">
                  <c:v>1.6685906482744782E-2</c:v>
                </c:pt>
                <c:pt idx="17">
                  <c:v>1.7014111750523742E-2</c:v>
                </c:pt>
                <c:pt idx="18">
                  <c:v>1.7151206658956371E-2</c:v>
                </c:pt>
                <c:pt idx="19">
                  <c:v>1.7249480923955729E-2</c:v>
                </c:pt>
                <c:pt idx="20">
                  <c:v>1.7249480923955729E-2</c:v>
                </c:pt>
                <c:pt idx="21">
                  <c:v>1.7249480923955729E-2</c:v>
                </c:pt>
                <c:pt idx="22">
                  <c:v>1.7249480923955729E-2</c:v>
                </c:pt>
                <c:pt idx="23">
                  <c:v>1.7249480923955729E-2</c:v>
                </c:pt>
                <c:pt idx="24">
                  <c:v>1.7249480923955729E-2</c:v>
                </c:pt>
                <c:pt idx="25">
                  <c:v>1.7249480923955729E-2</c:v>
                </c:pt>
                <c:pt idx="26">
                  <c:v>1.7249480923955729E-2</c:v>
                </c:pt>
                <c:pt idx="27">
                  <c:v>1.7249480923955729E-2</c:v>
                </c:pt>
                <c:pt idx="28">
                  <c:v>1.7249480923955729E-2</c:v>
                </c:pt>
                <c:pt idx="29">
                  <c:v>1.7249480923955729E-2</c:v>
                </c:pt>
                <c:pt idx="30">
                  <c:v>1.7249480923955729E-2</c:v>
                </c:pt>
                <c:pt idx="31">
                  <c:v>1.7249480923955729E-2</c:v>
                </c:pt>
                <c:pt idx="32">
                  <c:v>1.7249480923955729E-2</c:v>
                </c:pt>
                <c:pt idx="33">
                  <c:v>1.7249480923955729E-2</c:v>
                </c:pt>
                <c:pt idx="34">
                  <c:v>1.7249480923955729E-2</c:v>
                </c:pt>
                <c:pt idx="35">
                  <c:v>1.7249480923955729E-2</c:v>
                </c:pt>
                <c:pt idx="36">
                  <c:v>1.7249480923955729E-2</c:v>
                </c:pt>
                <c:pt idx="37">
                  <c:v>1.7249480923955729E-2</c:v>
                </c:pt>
                <c:pt idx="38">
                  <c:v>1.7249480923955729E-2</c:v>
                </c:pt>
                <c:pt idx="39">
                  <c:v>1.7249480923955729E-2</c:v>
                </c:pt>
                <c:pt idx="40">
                  <c:v>1.7249480923955729E-2</c:v>
                </c:pt>
                <c:pt idx="41">
                  <c:v>1.7249480923955729E-2</c:v>
                </c:pt>
              </c:numCache>
            </c:numRef>
          </c:val>
          <c:smooth val="0"/>
          <c:extLst>
            <c:ext xmlns:c16="http://schemas.microsoft.com/office/drawing/2014/chart" uri="{C3380CC4-5D6E-409C-BE32-E72D297353CC}">
              <c16:uniqueId val="{00000007-A47E-49B0-A31A-46E9DA201EF3}"/>
            </c:ext>
          </c:extLst>
        </c:ser>
        <c:ser>
          <c:idx val="8"/>
          <c:order val="8"/>
          <c:tx>
            <c:strRef>
              <c:f>'Cumulative Defaults'!$C$18</c:f>
              <c:strCache>
                <c:ptCount val="1"/>
                <c:pt idx="0">
                  <c:v>2015Q1</c:v>
                </c:pt>
              </c:strCache>
            </c:strRef>
          </c:tx>
          <c:spPr>
            <a:ln w="28575" cap="rnd">
              <a:solidFill>
                <a:schemeClr val="accent3">
                  <a:lumMod val="60000"/>
                </a:schemeClr>
              </a:solidFill>
              <a:round/>
            </a:ln>
            <a:effectLst/>
          </c:spPr>
          <c:marker>
            <c:symbol val="none"/>
          </c:marker>
          <c:val>
            <c:numRef>
              <c:f>'Cumulative Defaults'!$E$18:$BA$18</c:f>
              <c:numCache>
                <c:formatCode>0.00%</c:formatCode>
                <c:ptCount val="49"/>
                <c:pt idx="0">
                  <c:v>0</c:v>
                </c:pt>
                <c:pt idx="1">
                  <c:v>2.6980045877543772E-4</c:v>
                </c:pt>
                <c:pt idx="2">
                  <c:v>2.3466863231831479E-3</c:v>
                </c:pt>
                <c:pt idx="3">
                  <c:v>3.8988512300645538E-3</c:v>
                </c:pt>
                <c:pt idx="4">
                  <c:v>4.6968914744316102E-3</c:v>
                </c:pt>
                <c:pt idx="5">
                  <c:v>6.027531750348444E-3</c:v>
                </c:pt>
                <c:pt idx="6">
                  <c:v>7.3276446476151667E-3</c:v>
                </c:pt>
                <c:pt idx="7">
                  <c:v>9.2730709087013429E-3</c:v>
                </c:pt>
                <c:pt idx="8">
                  <c:v>9.7198844471672822E-3</c:v>
                </c:pt>
                <c:pt idx="9">
                  <c:v>1.1557499955162963E-2</c:v>
                </c:pt>
                <c:pt idx="10">
                  <c:v>1.2673561069026519E-2</c:v>
                </c:pt>
                <c:pt idx="11">
                  <c:v>1.2959755243871296E-2</c:v>
                </c:pt>
                <c:pt idx="12">
                  <c:v>1.4232077570561934E-2</c:v>
                </c:pt>
                <c:pt idx="13">
                  <c:v>1.469976669532997E-2</c:v>
                </c:pt>
                <c:pt idx="14">
                  <c:v>1.4962494823009322E-2</c:v>
                </c:pt>
                <c:pt idx="15">
                  <c:v>1.5258068418872258E-2</c:v>
                </c:pt>
                <c:pt idx="16">
                  <c:v>1.5632077729417271E-2</c:v>
                </c:pt>
                <c:pt idx="17">
                  <c:v>1.6099673724142137E-2</c:v>
                </c:pt>
                <c:pt idx="18">
                  <c:v>1.6308151244615657E-2</c:v>
                </c:pt>
                <c:pt idx="19">
                  <c:v>1.6308151244615654E-2</c:v>
                </c:pt>
                <c:pt idx="20">
                  <c:v>1.6308151244615654E-2</c:v>
                </c:pt>
                <c:pt idx="21">
                  <c:v>1.6308151244615654E-2</c:v>
                </c:pt>
                <c:pt idx="22">
                  <c:v>1.6308151244615654E-2</c:v>
                </c:pt>
                <c:pt idx="23">
                  <c:v>1.6308151244615654E-2</c:v>
                </c:pt>
                <c:pt idx="24">
                  <c:v>1.6308151244615657E-2</c:v>
                </c:pt>
                <c:pt idx="25">
                  <c:v>1.6308151244615654E-2</c:v>
                </c:pt>
                <c:pt idx="26">
                  <c:v>1.6308151244615657E-2</c:v>
                </c:pt>
                <c:pt idx="27">
                  <c:v>1.6308151244615654E-2</c:v>
                </c:pt>
                <c:pt idx="28">
                  <c:v>1.6308151244615654E-2</c:v>
                </c:pt>
                <c:pt idx="29">
                  <c:v>1.6308151244615657E-2</c:v>
                </c:pt>
                <c:pt idx="30">
                  <c:v>1.6308151244615657E-2</c:v>
                </c:pt>
                <c:pt idx="31">
                  <c:v>1.6308151244615654E-2</c:v>
                </c:pt>
                <c:pt idx="32">
                  <c:v>1.6308151244615654E-2</c:v>
                </c:pt>
                <c:pt idx="33">
                  <c:v>1.6308151244615654E-2</c:v>
                </c:pt>
                <c:pt idx="34">
                  <c:v>1.6308151244615654E-2</c:v>
                </c:pt>
                <c:pt idx="35">
                  <c:v>1.6308151244615654E-2</c:v>
                </c:pt>
                <c:pt idx="36">
                  <c:v>1.6308151244615657E-2</c:v>
                </c:pt>
                <c:pt idx="37">
                  <c:v>1.6308151244615654E-2</c:v>
                </c:pt>
                <c:pt idx="38">
                  <c:v>1.6308151244615657E-2</c:v>
                </c:pt>
                <c:pt idx="39">
                  <c:v>1.6308151244615654E-2</c:v>
                </c:pt>
                <c:pt idx="40">
                  <c:v>1.6308151244615657E-2</c:v>
                </c:pt>
              </c:numCache>
            </c:numRef>
          </c:val>
          <c:smooth val="0"/>
          <c:extLst>
            <c:ext xmlns:c16="http://schemas.microsoft.com/office/drawing/2014/chart" uri="{C3380CC4-5D6E-409C-BE32-E72D297353CC}">
              <c16:uniqueId val="{00000008-A47E-49B0-A31A-46E9DA201EF3}"/>
            </c:ext>
          </c:extLst>
        </c:ser>
        <c:ser>
          <c:idx val="9"/>
          <c:order val="9"/>
          <c:tx>
            <c:strRef>
              <c:f>'Cumulative Defaults'!$C$19</c:f>
              <c:strCache>
                <c:ptCount val="1"/>
                <c:pt idx="0">
                  <c:v>2015Q2</c:v>
                </c:pt>
              </c:strCache>
            </c:strRef>
          </c:tx>
          <c:spPr>
            <a:ln w="28575" cap="rnd">
              <a:solidFill>
                <a:schemeClr val="accent4">
                  <a:lumMod val="60000"/>
                </a:schemeClr>
              </a:solidFill>
              <a:round/>
            </a:ln>
            <a:effectLst/>
          </c:spPr>
          <c:marker>
            <c:symbol val="none"/>
          </c:marker>
          <c:val>
            <c:numRef>
              <c:f>'Cumulative Defaults'!$E$19:$BA$19</c:f>
              <c:numCache>
                <c:formatCode>0.00%</c:formatCode>
                <c:ptCount val="49"/>
                <c:pt idx="0">
                  <c:v>0</c:v>
                </c:pt>
                <c:pt idx="1">
                  <c:v>1.1342185967900752E-4</c:v>
                </c:pt>
                <c:pt idx="2">
                  <c:v>1.2742293714686115E-3</c:v>
                </c:pt>
                <c:pt idx="3">
                  <c:v>2.9235165547963123E-3</c:v>
                </c:pt>
                <c:pt idx="4">
                  <c:v>4.1777865944670721E-3</c:v>
                </c:pt>
                <c:pt idx="5">
                  <c:v>5.1824292312159228E-3</c:v>
                </c:pt>
                <c:pt idx="6">
                  <c:v>6.3526037802986652E-3</c:v>
                </c:pt>
                <c:pt idx="7">
                  <c:v>7.3328004164373468E-3</c:v>
                </c:pt>
                <c:pt idx="8">
                  <c:v>8.5086566547000735E-3</c:v>
                </c:pt>
                <c:pt idx="9">
                  <c:v>9.2418134878552074E-3</c:v>
                </c:pt>
                <c:pt idx="10">
                  <c:v>9.7376871761179953E-3</c:v>
                </c:pt>
                <c:pt idx="11">
                  <c:v>1.0433173867342728E-2</c:v>
                </c:pt>
                <c:pt idx="12">
                  <c:v>1.118088712504316E-2</c:v>
                </c:pt>
                <c:pt idx="13">
                  <c:v>1.1726659852169348E-2</c:v>
                </c:pt>
                <c:pt idx="14">
                  <c:v>1.2160907483041982E-2</c:v>
                </c:pt>
                <c:pt idx="15">
                  <c:v>1.2427215781310473E-2</c:v>
                </c:pt>
                <c:pt idx="16">
                  <c:v>1.2841865415103529E-2</c:v>
                </c:pt>
                <c:pt idx="17">
                  <c:v>1.308980514104556E-2</c:v>
                </c:pt>
                <c:pt idx="18">
                  <c:v>1.3318054740638742E-2</c:v>
                </c:pt>
                <c:pt idx="19">
                  <c:v>1.3364599529263358E-2</c:v>
                </c:pt>
                <c:pt idx="20">
                  <c:v>1.3364599529263358E-2</c:v>
                </c:pt>
                <c:pt idx="21">
                  <c:v>1.3364599529263358E-2</c:v>
                </c:pt>
                <c:pt idx="22">
                  <c:v>1.3364599529263358E-2</c:v>
                </c:pt>
                <c:pt idx="23">
                  <c:v>1.3364599529263358E-2</c:v>
                </c:pt>
                <c:pt idx="24">
                  <c:v>1.3364599529263358E-2</c:v>
                </c:pt>
                <c:pt idx="25">
                  <c:v>1.3364599529263358E-2</c:v>
                </c:pt>
                <c:pt idx="26">
                  <c:v>1.3364599529263358E-2</c:v>
                </c:pt>
                <c:pt idx="27">
                  <c:v>1.3364599529263358E-2</c:v>
                </c:pt>
                <c:pt idx="28">
                  <c:v>1.3364599529263358E-2</c:v>
                </c:pt>
                <c:pt idx="29">
                  <c:v>1.3364599529263358E-2</c:v>
                </c:pt>
                <c:pt idx="30">
                  <c:v>1.3364599529263358E-2</c:v>
                </c:pt>
                <c:pt idx="31">
                  <c:v>1.3364599529263358E-2</c:v>
                </c:pt>
                <c:pt idx="32">
                  <c:v>1.3364599529263358E-2</c:v>
                </c:pt>
                <c:pt idx="33">
                  <c:v>1.3364599529263358E-2</c:v>
                </c:pt>
                <c:pt idx="34">
                  <c:v>1.3364599529263358E-2</c:v>
                </c:pt>
                <c:pt idx="35">
                  <c:v>1.3364599529263358E-2</c:v>
                </c:pt>
                <c:pt idx="36">
                  <c:v>1.3364599529263358E-2</c:v>
                </c:pt>
                <c:pt idx="37">
                  <c:v>1.3364599529263358E-2</c:v>
                </c:pt>
                <c:pt idx="38">
                  <c:v>1.3364599529263358E-2</c:v>
                </c:pt>
                <c:pt idx="39">
                  <c:v>1.3364599529263358E-2</c:v>
                </c:pt>
              </c:numCache>
            </c:numRef>
          </c:val>
          <c:smooth val="0"/>
          <c:extLst>
            <c:ext xmlns:c16="http://schemas.microsoft.com/office/drawing/2014/chart" uri="{C3380CC4-5D6E-409C-BE32-E72D297353CC}">
              <c16:uniqueId val="{00000009-A47E-49B0-A31A-46E9DA201EF3}"/>
            </c:ext>
          </c:extLst>
        </c:ser>
        <c:ser>
          <c:idx val="10"/>
          <c:order val="10"/>
          <c:tx>
            <c:strRef>
              <c:f>'Cumulative Defaults'!$C$20</c:f>
              <c:strCache>
                <c:ptCount val="1"/>
                <c:pt idx="0">
                  <c:v>2015Q3</c:v>
                </c:pt>
              </c:strCache>
            </c:strRef>
          </c:tx>
          <c:spPr>
            <a:ln w="28575" cap="rnd">
              <a:solidFill>
                <a:schemeClr val="accent5">
                  <a:lumMod val="60000"/>
                </a:schemeClr>
              </a:solidFill>
              <a:round/>
            </a:ln>
            <a:effectLst/>
          </c:spPr>
          <c:marker>
            <c:symbol val="none"/>
          </c:marker>
          <c:val>
            <c:numRef>
              <c:f>'Cumulative Defaults'!$E$20:$BA$20</c:f>
              <c:numCache>
                <c:formatCode>0.00%</c:formatCode>
                <c:ptCount val="49"/>
                <c:pt idx="0">
                  <c:v>1.2827691260224592E-4</c:v>
                </c:pt>
                <c:pt idx="1">
                  <c:v>1.0330452503796029E-3</c:v>
                </c:pt>
                <c:pt idx="2">
                  <c:v>2.1490007171709826E-3</c:v>
                </c:pt>
                <c:pt idx="3">
                  <c:v>3.8054921329971434E-3</c:v>
                </c:pt>
                <c:pt idx="4">
                  <c:v>6.1699477271272545E-3</c:v>
                </c:pt>
                <c:pt idx="5">
                  <c:v>7.1764559746570668E-3</c:v>
                </c:pt>
                <c:pt idx="6">
                  <c:v>7.8315453300677549E-3</c:v>
                </c:pt>
                <c:pt idx="7">
                  <c:v>8.9567844476580432E-3</c:v>
                </c:pt>
                <c:pt idx="8">
                  <c:v>1.0040140925731527E-2</c:v>
                </c:pt>
                <c:pt idx="9">
                  <c:v>1.1223706860960182E-2</c:v>
                </c:pt>
                <c:pt idx="10">
                  <c:v>1.1931180995808104E-2</c:v>
                </c:pt>
                <c:pt idx="11">
                  <c:v>1.2823827054057003E-2</c:v>
                </c:pt>
                <c:pt idx="12">
                  <c:v>1.3321392373533461E-2</c:v>
                </c:pt>
                <c:pt idx="13">
                  <c:v>1.357517306840249E-2</c:v>
                </c:pt>
                <c:pt idx="14">
                  <c:v>1.4316882656404038E-2</c:v>
                </c:pt>
                <c:pt idx="15">
                  <c:v>1.4947851979339875E-2</c:v>
                </c:pt>
                <c:pt idx="16">
                  <c:v>1.5306515710544243E-2</c:v>
                </c:pt>
                <c:pt idx="17">
                  <c:v>1.5964237046255735E-2</c:v>
                </c:pt>
                <c:pt idx="18">
                  <c:v>1.6297950965938029E-2</c:v>
                </c:pt>
                <c:pt idx="19">
                  <c:v>1.6311281879966406E-2</c:v>
                </c:pt>
                <c:pt idx="20">
                  <c:v>1.6325696006037949E-2</c:v>
                </c:pt>
                <c:pt idx="21">
                  <c:v>1.6325696006037949E-2</c:v>
                </c:pt>
                <c:pt idx="22">
                  <c:v>1.6325696006037949E-2</c:v>
                </c:pt>
                <c:pt idx="23">
                  <c:v>1.6325696006037949E-2</c:v>
                </c:pt>
                <c:pt idx="24">
                  <c:v>1.6325696006037949E-2</c:v>
                </c:pt>
                <c:pt idx="25">
                  <c:v>1.6325696006037952E-2</c:v>
                </c:pt>
                <c:pt idx="26">
                  <c:v>1.6325696006037952E-2</c:v>
                </c:pt>
                <c:pt idx="27">
                  <c:v>1.6325696006037949E-2</c:v>
                </c:pt>
                <c:pt idx="28">
                  <c:v>1.6325696006037949E-2</c:v>
                </c:pt>
                <c:pt idx="29">
                  <c:v>1.6325696006037949E-2</c:v>
                </c:pt>
                <c:pt idx="30">
                  <c:v>1.6325696006037949E-2</c:v>
                </c:pt>
                <c:pt idx="31">
                  <c:v>1.6325696006037949E-2</c:v>
                </c:pt>
                <c:pt idx="32">
                  <c:v>1.6325696006037952E-2</c:v>
                </c:pt>
                <c:pt idx="33">
                  <c:v>1.6325696006037949E-2</c:v>
                </c:pt>
                <c:pt idx="34">
                  <c:v>1.6325696006037952E-2</c:v>
                </c:pt>
                <c:pt idx="35">
                  <c:v>1.6325696006037952E-2</c:v>
                </c:pt>
                <c:pt idx="36">
                  <c:v>1.6325696006037949E-2</c:v>
                </c:pt>
                <c:pt idx="37">
                  <c:v>1.6325696006037949E-2</c:v>
                </c:pt>
                <c:pt idx="38">
                  <c:v>1.6325696006037952E-2</c:v>
                </c:pt>
              </c:numCache>
            </c:numRef>
          </c:val>
          <c:smooth val="0"/>
          <c:extLst>
            <c:ext xmlns:c16="http://schemas.microsoft.com/office/drawing/2014/chart" uri="{C3380CC4-5D6E-409C-BE32-E72D297353CC}">
              <c16:uniqueId val="{0000000A-A47E-49B0-A31A-46E9DA201EF3}"/>
            </c:ext>
          </c:extLst>
        </c:ser>
        <c:ser>
          <c:idx val="11"/>
          <c:order val="11"/>
          <c:tx>
            <c:strRef>
              <c:f>'Cumulative Defaults'!$C$21</c:f>
              <c:strCache>
                <c:ptCount val="1"/>
                <c:pt idx="0">
                  <c:v>2015Q4</c:v>
                </c:pt>
              </c:strCache>
            </c:strRef>
          </c:tx>
          <c:spPr>
            <a:ln w="28575" cap="rnd">
              <a:solidFill>
                <a:schemeClr val="accent6">
                  <a:lumMod val="60000"/>
                </a:schemeClr>
              </a:solidFill>
              <a:round/>
            </a:ln>
            <a:effectLst/>
          </c:spPr>
          <c:marker>
            <c:symbol val="none"/>
          </c:marker>
          <c:val>
            <c:numRef>
              <c:f>'Cumulative Defaults'!$E$21:$BA$21</c:f>
              <c:numCache>
                <c:formatCode>0.00%</c:formatCode>
                <c:ptCount val="49"/>
                <c:pt idx="0">
                  <c:v>0</c:v>
                </c:pt>
                <c:pt idx="1">
                  <c:v>6.129130395493282E-4</c:v>
                </c:pt>
                <c:pt idx="2">
                  <c:v>1.2361578124660197E-3</c:v>
                </c:pt>
                <c:pt idx="3">
                  <c:v>1.6322346344180675E-3</c:v>
                </c:pt>
                <c:pt idx="4">
                  <c:v>2.2951701644315465E-3</c:v>
                </c:pt>
                <c:pt idx="5">
                  <c:v>3.871967544689092E-3</c:v>
                </c:pt>
                <c:pt idx="6">
                  <c:v>5.4409361630940794E-3</c:v>
                </c:pt>
                <c:pt idx="7">
                  <c:v>6.4710432951793706E-3</c:v>
                </c:pt>
                <c:pt idx="8">
                  <c:v>7.6655098401884805E-3</c:v>
                </c:pt>
                <c:pt idx="9">
                  <c:v>8.2748189622107605E-3</c:v>
                </c:pt>
                <c:pt idx="10">
                  <c:v>9.3320922623577225E-3</c:v>
                </c:pt>
                <c:pt idx="11">
                  <c:v>9.652317508678768E-3</c:v>
                </c:pt>
                <c:pt idx="12">
                  <c:v>1.0547261199945954E-2</c:v>
                </c:pt>
                <c:pt idx="13">
                  <c:v>1.1742563459002061E-2</c:v>
                </c:pt>
                <c:pt idx="14">
                  <c:v>1.2297851155153038E-2</c:v>
                </c:pt>
                <c:pt idx="15">
                  <c:v>1.2297851155153038E-2</c:v>
                </c:pt>
                <c:pt idx="16">
                  <c:v>1.2789756752862119E-2</c:v>
                </c:pt>
                <c:pt idx="17">
                  <c:v>1.3199220192561496E-2</c:v>
                </c:pt>
                <c:pt idx="18">
                  <c:v>1.3663890508974978E-2</c:v>
                </c:pt>
                <c:pt idx="19">
                  <c:v>1.3690581523553418E-2</c:v>
                </c:pt>
                <c:pt idx="20">
                  <c:v>1.3690581523553418E-2</c:v>
                </c:pt>
                <c:pt idx="21">
                  <c:v>1.3690581523553418E-2</c:v>
                </c:pt>
                <c:pt idx="22">
                  <c:v>1.3690581523553418E-2</c:v>
                </c:pt>
                <c:pt idx="23">
                  <c:v>1.3690581523553418E-2</c:v>
                </c:pt>
                <c:pt idx="24">
                  <c:v>1.3690581523553418E-2</c:v>
                </c:pt>
                <c:pt idx="25">
                  <c:v>1.3690581523553418E-2</c:v>
                </c:pt>
                <c:pt idx="26">
                  <c:v>1.3690581523553418E-2</c:v>
                </c:pt>
                <c:pt idx="27">
                  <c:v>1.3690581523553418E-2</c:v>
                </c:pt>
                <c:pt idx="28">
                  <c:v>1.3690581523553418E-2</c:v>
                </c:pt>
                <c:pt idx="29">
                  <c:v>1.3690581523553418E-2</c:v>
                </c:pt>
                <c:pt idx="30">
                  <c:v>1.3690581523553418E-2</c:v>
                </c:pt>
                <c:pt idx="31">
                  <c:v>1.3690581523553418E-2</c:v>
                </c:pt>
                <c:pt idx="32">
                  <c:v>1.3690581523553418E-2</c:v>
                </c:pt>
                <c:pt idx="33">
                  <c:v>1.3690581523553418E-2</c:v>
                </c:pt>
                <c:pt idx="34">
                  <c:v>1.3690581523553418E-2</c:v>
                </c:pt>
                <c:pt idx="35">
                  <c:v>1.3690581523553418E-2</c:v>
                </c:pt>
                <c:pt idx="36">
                  <c:v>1.3690581523553414E-2</c:v>
                </c:pt>
                <c:pt idx="37">
                  <c:v>1.3690581523553418E-2</c:v>
                </c:pt>
              </c:numCache>
            </c:numRef>
          </c:val>
          <c:smooth val="0"/>
          <c:extLst>
            <c:ext xmlns:c16="http://schemas.microsoft.com/office/drawing/2014/chart" uri="{C3380CC4-5D6E-409C-BE32-E72D297353CC}">
              <c16:uniqueId val="{0000000B-A47E-49B0-A31A-46E9DA201EF3}"/>
            </c:ext>
          </c:extLst>
        </c:ser>
        <c:ser>
          <c:idx val="12"/>
          <c:order val="12"/>
          <c:tx>
            <c:strRef>
              <c:f>'Cumulative Defaults'!$C$22</c:f>
              <c:strCache>
                <c:ptCount val="1"/>
                <c:pt idx="0">
                  <c:v>2016Q1</c:v>
                </c:pt>
              </c:strCache>
            </c:strRef>
          </c:tx>
          <c:spPr>
            <a:ln w="28575" cap="rnd">
              <a:solidFill>
                <a:schemeClr val="accent1">
                  <a:lumMod val="80000"/>
                  <a:lumOff val="20000"/>
                </a:schemeClr>
              </a:solidFill>
              <a:round/>
            </a:ln>
            <a:effectLst/>
          </c:spPr>
          <c:marker>
            <c:symbol val="none"/>
          </c:marker>
          <c:val>
            <c:numRef>
              <c:f>'Cumulative Defaults'!$E$22:$BA$22</c:f>
              <c:numCache>
                <c:formatCode>0.00%</c:formatCode>
                <c:ptCount val="49"/>
                <c:pt idx="0">
                  <c:v>0</c:v>
                </c:pt>
                <c:pt idx="1">
                  <c:v>7.979386703217973E-4</c:v>
                </c:pt>
                <c:pt idx="2">
                  <c:v>2.059259038771577E-3</c:v>
                </c:pt>
                <c:pt idx="3">
                  <c:v>2.8934213203954157E-3</c:v>
                </c:pt>
                <c:pt idx="4">
                  <c:v>3.9059835507610106E-3</c:v>
                </c:pt>
                <c:pt idx="5">
                  <c:v>5.8500664158676651E-3</c:v>
                </c:pt>
                <c:pt idx="6">
                  <c:v>6.9537256734137033E-3</c:v>
                </c:pt>
                <c:pt idx="7">
                  <c:v>7.7519436880094991E-3</c:v>
                </c:pt>
                <c:pt idx="8">
                  <c:v>9.265316724822191E-3</c:v>
                </c:pt>
                <c:pt idx="9">
                  <c:v>1.040424663377492E-2</c:v>
                </c:pt>
                <c:pt idx="10">
                  <c:v>1.0964065756234927E-2</c:v>
                </c:pt>
                <c:pt idx="11">
                  <c:v>1.1347953112578855E-2</c:v>
                </c:pt>
                <c:pt idx="12">
                  <c:v>1.2537069309938543E-2</c:v>
                </c:pt>
                <c:pt idx="13">
                  <c:v>1.3646801281047378E-2</c:v>
                </c:pt>
                <c:pt idx="14">
                  <c:v>1.3965972597504308E-2</c:v>
                </c:pt>
                <c:pt idx="15">
                  <c:v>1.4260585675550145E-2</c:v>
                </c:pt>
                <c:pt idx="16">
                  <c:v>1.4365921149822533E-2</c:v>
                </c:pt>
                <c:pt idx="17">
                  <c:v>1.4532625344234091E-2</c:v>
                </c:pt>
                <c:pt idx="18">
                  <c:v>1.4859814748673776E-2</c:v>
                </c:pt>
                <c:pt idx="19">
                  <c:v>1.5044594112294911E-2</c:v>
                </c:pt>
                <c:pt idx="20">
                  <c:v>1.5100670550684021E-2</c:v>
                </c:pt>
                <c:pt idx="21">
                  <c:v>1.5100670550684021E-2</c:v>
                </c:pt>
                <c:pt idx="22">
                  <c:v>1.5100670550684021E-2</c:v>
                </c:pt>
                <c:pt idx="23">
                  <c:v>1.5100670550684021E-2</c:v>
                </c:pt>
                <c:pt idx="24">
                  <c:v>1.5100670550684021E-2</c:v>
                </c:pt>
                <c:pt idx="25">
                  <c:v>1.5100670550684021E-2</c:v>
                </c:pt>
                <c:pt idx="26">
                  <c:v>1.5100670550684021E-2</c:v>
                </c:pt>
                <c:pt idx="27">
                  <c:v>1.5100670550684021E-2</c:v>
                </c:pt>
                <c:pt idx="28">
                  <c:v>1.5100670550684021E-2</c:v>
                </c:pt>
                <c:pt idx="29">
                  <c:v>1.5100670550684021E-2</c:v>
                </c:pt>
                <c:pt idx="30">
                  <c:v>1.5100670550684021E-2</c:v>
                </c:pt>
                <c:pt idx="31">
                  <c:v>1.5100670550684021E-2</c:v>
                </c:pt>
                <c:pt idx="32">
                  <c:v>1.5100670550684021E-2</c:v>
                </c:pt>
                <c:pt idx="33">
                  <c:v>1.5100670550684021E-2</c:v>
                </c:pt>
                <c:pt idx="34">
                  <c:v>1.5100670550684021E-2</c:v>
                </c:pt>
                <c:pt idx="35">
                  <c:v>1.5100670550684021E-2</c:v>
                </c:pt>
                <c:pt idx="36">
                  <c:v>1.5100670550684021E-2</c:v>
                </c:pt>
              </c:numCache>
            </c:numRef>
          </c:val>
          <c:smooth val="0"/>
          <c:extLst>
            <c:ext xmlns:c16="http://schemas.microsoft.com/office/drawing/2014/chart" uri="{C3380CC4-5D6E-409C-BE32-E72D297353CC}">
              <c16:uniqueId val="{0000000C-A47E-49B0-A31A-46E9DA201EF3}"/>
            </c:ext>
          </c:extLst>
        </c:ser>
        <c:ser>
          <c:idx val="13"/>
          <c:order val="13"/>
          <c:tx>
            <c:strRef>
              <c:f>'Cumulative Defaults'!$C$23</c:f>
              <c:strCache>
                <c:ptCount val="1"/>
                <c:pt idx="0">
                  <c:v>2016Q2</c:v>
                </c:pt>
              </c:strCache>
            </c:strRef>
          </c:tx>
          <c:spPr>
            <a:ln w="28575" cap="rnd">
              <a:solidFill>
                <a:schemeClr val="accent2">
                  <a:lumMod val="80000"/>
                  <a:lumOff val="20000"/>
                </a:schemeClr>
              </a:solidFill>
              <a:round/>
            </a:ln>
            <a:effectLst/>
          </c:spPr>
          <c:marker>
            <c:symbol val="none"/>
          </c:marker>
          <c:val>
            <c:numRef>
              <c:f>'Cumulative Defaults'!$E$23:$BA$23</c:f>
              <c:numCache>
                <c:formatCode>0.00%</c:formatCode>
                <c:ptCount val="49"/>
                <c:pt idx="0">
                  <c:v>0</c:v>
                </c:pt>
                <c:pt idx="1">
                  <c:v>5.4690677863638724E-4</c:v>
                </c:pt>
                <c:pt idx="2">
                  <c:v>1.7505955039894823E-3</c:v>
                </c:pt>
                <c:pt idx="3">
                  <c:v>3.4404158643144265E-3</c:v>
                </c:pt>
                <c:pt idx="4">
                  <c:v>4.146553681140714E-3</c:v>
                </c:pt>
                <c:pt idx="5">
                  <c:v>5.1427179570803054E-3</c:v>
                </c:pt>
                <c:pt idx="6">
                  <c:v>5.8002995244219981E-3</c:v>
                </c:pt>
                <c:pt idx="7">
                  <c:v>7.3240080233291822E-3</c:v>
                </c:pt>
                <c:pt idx="8">
                  <c:v>8.2592353667946556E-3</c:v>
                </c:pt>
                <c:pt idx="9">
                  <c:v>9.3584256598028201E-3</c:v>
                </c:pt>
                <c:pt idx="10">
                  <c:v>1.0802760294510721E-2</c:v>
                </c:pt>
                <c:pt idx="11">
                  <c:v>1.1816030172225442E-2</c:v>
                </c:pt>
                <c:pt idx="12">
                  <c:v>1.2686264482916905E-2</c:v>
                </c:pt>
                <c:pt idx="13">
                  <c:v>1.4637220482675262E-2</c:v>
                </c:pt>
                <c:pt idx="14">
                  <c:v>1.5058087745844153E-2</c:v>
                </c:pt>
                <c:pt idx="15">
                  <c:v>1.5539467451525752E-2</c:v>
                </c:pt>
                <c:pt idx="16">
                  <c:v>1.5741260600914391E-2</c:v>
                </c:pt>
                <c:pt idx="17">
                  <c:v>1.5831582768701752E-2</c:v>
                </c:pt>
                <c:pt idx="18">
                  <c:v>1.6150631809398353E-2</c:v>
                </c:pt>
                <c:pt idx="19">
                  <c:v>1.6285287538740218E-2</c:v>
                </c:pt>
                <c:pt idx="20">
                  <c:v>1.6295548514105897E-2</c:v>
                </c:pt>
                <c:pt idx="21">
                  <c:v>1.6295548514105897E-2</c:v>
                </c:pt>
                <c:pt idx="22">
                  <c:v>1.6295548514105897E-2</c:v>
                </c:pt>
                <c:pt idx="23">
                  <c:v>1.6295548514105897E-2</c:v>
                </c:pt>
                <c:pt idx="24">
                  <c:v>1.6295548514105897E-2</c:v>
                </c:pt>
                <c:pt idx="25">
                  <c:v>1.6295548514105897E-2</c:v>
                </c:pt>
                <c:pt idx="26">
                  <c:v>1.6295548514105897E-2</c:v>
                </c:pt>
                <c:pt idx="27">
                  <c:v>1.6295548514105897E-2</c:v>
                </c:pt>
                <c:pt idx="28">
                  <c:v>1.6295548514105897E-2</c:v>
                </c:pt>
                <c:pt idx="29">
                  <c:v>1.6295548514105897E-2</c:v>
                </c:pt>
                <c:pt idx="30">
                  <c:v>1.6295548514105897E-2</c:v>
                </c:pt>
                <c:pt idx="31">
                  <c:v>1.6295548514105897E-2</c:v>
                </c:pt>
                <c:pt idx="32">
                  <c:v>1.6295548514105897E-2</c:v>
                </c:pt>
                <c:pt idx="33">
                  <c:v>1.6295548514105897E-2</c:v>
                </c:pt>
                <c:pt idx="34">
                  <c:v>1.6295548514105897E-2</c:v>
                </c:pt>
                <c:pt idx="35">
                  <c:v>1.6295548514105897E-2</c:v>
                </c:pt>
              </c:numCache>
            </c:numRef>
          </c:val>
          <c:smooth val="0"/>
          <c:extLst>
            <c:ext xmlns:c16="http://schemas.microsoft.com/office/drawing/2014/chart" uri="{C3380CC4-5D6E-409C-BE32-E72D297353CC}">
              <c16:uniqueId val="{0000000D-A47E-49B0-A31A-46E9DA201EF3}"/>
            </c:ext>
          </c:extLst>
        </c:ser>
        <c:ser>
          <c:idx val="14"/>
          <c:order val="14"/>
          <c:tx>
            <c:strRef>
              <c:f>'Cumulative Defaults'!$C$24</c:f>
              <c:strCache>
                <c:ptCount val="1"/>
                <c:pt idx="0">
                  <c:v>2016Q3</c:v>
                </c:pt>
              </c:strCache>
            </c:strRef>
          </c:tx>
          <c:spPr>
            <a:ln w="28575" cap="rnd">
              <a:solidFill>
                <a:schemeClr val="accent3">
                  <a:lumMod val="80000"/>
                  <a:lumOff val="20000"/>
                </a:schemeClr>
              </a:solidFill>
              <a:round/>
            </a:ln>
            <a:effectLst/>
          </c:spPr>
          <c:marker>
            <c:symbol val="none"/>
          </c:marker>
          <c:val>
            <c:numRef>
              <c:f>'Cumulative Defaults'!$E$24:$BA$24</c:f>
              <c:numCache>
                <c:formatCode>0.00%</c:formatCode>
                <c:ptCount val="49"/>
                <c:pt idx="0">
                  <c:v>0</c:v>
                </c:pt>
                <c:pt idx="1">
                  <c:v>3.9821594647231317E-4</c:v>
                </c:pt>
                <c:pt idx="2">
                  <c:v>3.2857504283794552E-3</c:v>
                </c:pt>
                <c:pt idx="3">
                  <c:v>4.2097863892871573E-3</c:v>
                </c:pt>
                <c:pt idx="4">
                  <c:v>5.051382379472686E-3</c:v>
                </c:pt>
                <c:pt idx="5">
                  <c:v>5.7738257671967521E-3</c:v>
                </c:pt>
                <c:pt idx="6">
                  <c:v>6.4223499901534991E-3</c:v>
                </c:pt>
                <c:pt idx="7">
                  <c:v>8.5948980224322871E-3</c:v>
                </c:pt>
                <c:pt idx="8">
                  <c:v>9.9216243317747435E-3</c:v>
                </c:pt>
                <c:pt idx="9">
                  <c:v>1.1049130587407042E-2</c:v>
                </c:pt>
                <c:pt idx="10">
                  <c:v>1.3502852663182916E-2</c:v>
                </c:pt>
                <c:pt idx="11">
                  <c:v>1.4591269882146006E-2</c:v>
                </c:pt>
                <c:pt idx="12">
                  <c:v>1.507383311012659E-2</c:v>
                </c:pt>
                <c:pt idx="13">
                  <c:v>1.5257708749184553E-2</c:v>
                </c:pt>
                <c:pt idx="14">
                  <c:v>1.5899551630925622E-2</c:v>
                </c:pt>
                <c:pt idx="15">
                  <c:v>1.6233094752853786E-2</c:v>
                </c:pt>
                <c:pt idx="16">
                  <c:v>1.7024419063878232E-2</c:v>
                </c:pt>
                <c:pt idx="17">
                  <c:v>1.7068477001561139E-2</c:v>
                </c:pt>
                <c:pt idx="18">
                  <c:v>1.7565845761274949E-2</c:v>
                </c:pt>
                <c:pt idx="19">
                  <c:v>1.7598314876828232E-2</c:v>
                </c:pt>
                <c:pt idx="20">
                  <c:v>1.7598314876828232E-2</c:v>
                </c:pt>
                <c:pt idx="21">
                  <c:v>1.7598314876828232E-2</c:v>
                </c:pt>
                <c:pt idx="22">
                  <c:v>1.7598314876828232E-2</c:v>
                </c:pt>
                <c:pt idx="23">
                  <c:v>1.7598314876828232E-2</c:v>
                </c:pt>
                <c:pt idx="24">
                  <c:v>1.7598314876828232E-2</c:v>
                </c:pt>
                <c:pt idx="25">
                  <c:v>1.7598314876828232E-2</c:v>
                </c:pt>
                <c:pt idx="26">
                  <c:v>1.7598314876828232E-2</c:v>
                </c:pt>
                <c:pt idx="27">
                  <c:v>1.7598314876828232E-2</c:v>
                </c:pt>
                <c:pt idx="28">
                  <c:v>1.7598314876828232E-2</c:v>
                </c:pt>
                <c:pt idx="29">
                  <c:v>1.7598314876828232E-2</c:v>
                </c:pt>
                <c:pt idx="30">
                  <c:v>1.7598314876828232E-2</c:v>
                </c:pt>
                <c:pt idx="31">
                  <c:v>1.7598314876828232E-2</c:v>
                </c:pt>
                <c:pt idx="32">
                  <c:v>1.7598314876828232E-2</c:v>
                </c:pt>
                <c:pt idx="33">
                  <c:v>1.7598314876828232E-2</c:v>
                </c:pt>
                <c:pt idx="34">
                  <c:v>1.7598314876828232E-2</c:v>
                </c:pt>
              </c:numCache>
            </c:numRef>
          </c:val>
          <c:smooth val="0"/>
          <c:extLst>
            <c:ext xmlns:c16="http://schemas.microsoft.com/office/drawing/2014/chart" uri="{C3380CC4-5D6E-409C-BE32-E72D297353CC}">
              <c16:uniqueId val="{0000000E-A47E-49B0-A31A-46E9DA201EF3}"/>
            </c:ext>
          </c:extLst>
        </c:ser>
        <c:ser>
          <c:idx val="15"/>
          <c:order val="15"/>
          <c:tx>
            <c:strRef>
              <c:f>'Cumulative Defaults'!$C$25</c:f>
              <c:strCache>
                <c:ptCount val="1"/>
                <c:pt idx="0">
                  <c:v>2016Q4</c:v>
                </c:pt>
              </c:strCache>
            </c:strRef>
          </c:tx>
          <c:spPr>
            <a:ln w="28575" cap="rnd">
              <a:solidFill>
                <a:schemeClr val="accent4">
                  <a:lumMod val="80000"/>
                  <a:lumOff val="20000"/>
                </a:schemeClr>
              </a:solidFill>
              <a:round/>
            </a:ln>
            <a:effectLst/>
          </c:spPr>
          <c:marker>
            <c:symbol val="none"/>
          </c:marker>
          <c:val>
            <c:numRef>
              <c:f>'Cumulative Defaults'!$E$25:$BA$25</c:f>
              <c:numCache>
                <c:formatCode>0.00%</c:formatCode>
                <c:ptCount val="49"/>
                <c:pt idx="0">
                  <c:v>1.8512989840297476E-4</c:v>
                </c:pt>
                <c:pt idx="1">
                  <c:v>3.866361365092382E-4</c:v>
                </c:pt>
                <c:pt idx="2">
                  <c:v>1.168531355906798E-3</c:v>
                </c:pt>
                <c:pt idx="3">
                  <c:v>1.9624038904747271E-3</c:v>
                </c:pt>
                <c:pt idx="4">
                  <c:v>2.2519439977437381E-3</c:v>
                </c:pt>
                <c:pt idx="5">
                  <c:v>4.0254257318544512E-3</c:v>
                </c:pt>
                <c:pt idx="6">
                  <c:v>5.9154436021154437E-3</c:v>
                </c:pt>
                <c:pt idx="7">
                  <c:v>7.3755675548782124E-3</c:v>
                </c:pt>
                <c:pt idx="8">
                  <c:v>8.3749985904862882E-3</c:v>
                </c:pt>
                <c:pt idx="9">
                  <c:v>1.0323375325260974E-2</c:v>
                </c:pt>
                <c:pt idx="10">
                  <c:v>1.103932411780688E-2</c:v>
                </c:pt>
                <c:pt idx="11">
                  <c:v>1.2021402238742342E-2</c:v>
                </c:pt>
                <c:pt idx="12">
                  <c:v>1.2761140492907063E-2</c:v>
                </c:pt>
                <c:pt idx="13">
                  <c:v>1.3341813982951121E-2</c:v>
                </c:pt>
                <c:pt idx="14">
                  <c:v>1.4015668990280514E-2</c:v>
                </c:pt>
                <c:pt idx="15">
                  <c:v>1.4390724640401168E-2</c:v>
                </c:pt>
                <c:pt idx="16">
                  <c:v>1.4870958328642863E-2</c:v>
                </c:pt>
                <c:pt idx="17">
                  <c:v>1.509902269059279E-2</c:v>
                </c:pt>
                <c:pt idx="18">
                  <c:v>1.5213057321945743E-2</c:v>
                </c:pt>
                <c:pt idx="19">
                  <c:v>1.5380925300793954E-2</c:v>
                </c:pt>
                <c:pt idx="20">
                  <c:v>1.5554258152375029E-2</c:v>
                </c:pt>
                <c:pt idx="21">
                  <c:v>1.5589038420230055E-2</c:v>
                </c:pt>
                <c:pt idx="22">
                  <c:v>1.5589038420230055E-2</c:v>
                </c:pt>
                <c:pt idx="23">
                  <c:v>1.5589038420230055E-2</c:v>
                </c:pt>
                <c:pt idx="24">
                  <c:v>1.5589038420230059E-2</c:v>
                </c:pt>
                <c:pt idx="25">
                  <c:v>1.5589038420230059E-2</c:v>
                </c:pt>
                <c:pt idx="26">
                  <c:v>1.5589038420230055E-2</c:v>
                </c:pt>
                <c:pt idx="27">
                  <c:v>1.5589038420230059E-2</c:v>
                </c:pt>
                <c:pt idx="28">
                  <c:v>1.5589038420230059E-2</c:v>
                </c:pt>
                <c:pt idx="29">
                  <c:v>1.5589038420230055E-2</c:v>
                </c:pt>
                <c:pt idx="30">
                  <c:v>1.5589038420230055E-2</c:v>
                </c:pt>
                <c:pt idx="31">
                  <c:v>1.5589038420230055E-2</c:v>
                </c:pt>
                <c:pt idx="32">
                  <c:v>1.5589038420230059E-2</c:v>
                </c:pt>
                <c:pt idx="33">
                  <c:v>1.5589038420230055E-2</c:v>
                </c:pt>
              </c:numCache>
            </c:numRef>
          </c:val>
          <c:smooth val="0"/>
          <c:extLst>
            <c:ext xmlns:c16="http://schemas.microsoft.com/office/drawing/2014/chart" uri="{C3380CC4-5D6E-409C-BE32-E72D297353CC}">
              <c16:uniqueId val="{0000000F-A47E-49B0-A31A-46E9DA201EF3}"/>
            </c:ext>
          </c:extLst>
        </c:ser>
        <c:ser>
          <c:idx val="16"/>
          <c:order val="16"/>
          <c:tx>
            <c:strRef>
              <c:f>'Cumulative Defaults'!$C$26</c:f>
              <c:strCache>
                <c:ptCount val="1"/>
                <c:pt idx="0">
                  <c:v>2017Q1</c:v>
                </c:pt>
              </c:strCache>
            </c:strRef>
          </c:tx>
          <c:spPr>
            <a:ln w="28575" cap="rnd">
              <a:solidFill>
                <a:schemeClr val="accent5">
                  <a:lumMod val="80000"/>
                  <a:lumOff val="20000"/>
                </a:schemeClr>
              </a:solidFill>
              <a:round/>
            </a:ln>
            <a:effectLst/>
          </c:spPr>
          <c:marker>
            <c:symbol val="none"/>
          </c:marker>
          <c:val>
            <c:numRef>
              <c:f>'Cumulative Defaults'!$E$26:$BA$26</c:f>
              <c:numCache>
                <c:formatCode>0.00%</c:formatCode>
                <c:ptCount val="49"/>
                <c:pt idx="0">
                  <c:v>0</c:v>
                </c:pt>
                <c:pt idx="1">
                  <c:v>5.5611110278411811E-4</c:v>
                </c:pt>
                <c:pt idx="2">
                  <c:v>1.2655073536949584E-3</c:v>
                </c:pt>
                <c:pt idx="3">
                  <c:v>3.053842020890683E-3</c:v>
                </c:pt>
                <c:pt idx="4">
                  <c:v>3.7673561439491776E-3</c:v>
                </c:pt>
                <c:pt idx="5">
                  <c:v>4.2889048166382029E-3</c:v>
                </c:pt>
                <c:pt idx="6">
                  <c:v>5.9891041132460977E-3</c:v>
                </c:pt>
                <c:pt idx="7">
                  <c:v>7.9195990503333515E-3</c:v>
                </c:pt>
                <c:pt idx="8">
                  <c:v>9.294268236799191E-3</c:v>
                </c:pt>
                <c:pt idx="9">
                  <c:v>9.6113787569163077E-3</c:v>
                </c:pt>
                <c:pt idx="10">
                  <c:v>1.0014219455524876E-2</c:v>
                </c:pt>
                <c:pt idx="11">
                  <c:v>1.1260858634658517E-2</c:v>
                </c:pt>
                <c:pt idx="12">
                  <c:v>1.2112380677298142E-2</c:v>
                </c:pt>
                <c:pt idx="13">
                  <c:v>1.3043282905488958E-2</c:v>
                </c:pt>
                <c:pt idx="14">
                  <c:v>1.3614159281467931E-2</c:v>
                </c:pt>
                <c:pt idx="15">
                  <c:v>1.3920706100814507E-2</c:v>
                </c:pt>
                <c:pt idx="16">
                  <c:v>1.422771848877313E-2</c:v>
                </c:pt>
                <c:pt idx="17">
                  <c:v>1.4442928004997104E-2</c:v>
                </c:pt>
                <c:pt idx="18">
                  <c:v>1.4621537363658841E-2</c:v>
                </c:pt>
                <c:pt idx="19">
                  <c:v>1.4718229102772495E-2</c:v>
                </c:pt>
                <c:pt idx="20">
                  <c:v>1.4718229102772491E-2</c:v>
                </c:pt>
                <c:pt idx="21">
                  <c:v>1.4718229102772491E-2</c:v>
                </c:pt>
                <c:pt idx="22">
                  <c:v>1.4718229102772491E-2</c:v>
                </c:pt>
                <c:pt idx="23">
                  <c:v>1.4718229102772491E-2</c:v>
                </c:pt>
                <c:pt idx="24">
                  <c:v>1.4718229102772491E-2</c:v>
                </c:pt>
                <c:pt idx="25">
                  <c:v>1.4718229102772491E-2</c:v>
                </c:pt>
                <c:pt idx="26">
                  <c:v>1.4718229102772491E-2</c:v>
                </c:pt>
                <c:pt idx="27">
                  <c:v>1.4718229102772491E-2</c:v>
                </c:pt>
                <c:pt idx="28">
                  <c:v>1.4718229102772491E-2</c:v>
                </c:pt>
                <c:pt idx="29">
                  <c:v>1.4718229102772491E-2</c:v>
                </c:pt>
                <c:pt idx="30">
                  <c:v>1.4718229102772491E-2</c:v>
                </c:pt>
                <c:pt idx="31">
                  <c:v>1.4718229102772491E-2</c:v>
                </c:pt>
                <c:pt idx="32">
                  <c:v>1.4718229102772495E-2</c:v>
                </c:pt>
              </c:numCache>
            </c:numRef>
          </c:val>
          <c:smooth val="0"/>
          <c:extLst>
            <c:ext xmlns:c16="http://schemas.microsoft.com/office/drawing/2014/chart" uri="{C3380CC4-5D6E-409C-BE32-E72D297353CC}">
              <c16:uniqueId val="{00000010-A47E-49B0-A31A-46E9DA201EF3}"/>
            </c:ext>
          </c:extLst>
        </c:ser>
        <c:ser>
          <c:idx val="17"/>
          <c:order val="17"/>
          <c:tx>
            <c:strRef>
              <c:f>'Cumulative Defaults'!$C$27</c:f>
              <c:strCache>
                <c:ptCount val="1"/>
                <c:pt idx="0">
                  <c:v>2017Q2</c:v>
                </c:pt>
              </c:strCache>
            </c:strRef>
          </c:tx>
          <c:spPr>
            <a:ln w="28575" cap="rnd">
              <a:solidFill>
                <a:schemeClr val="accent6">
                  <a:lumMod val="80000"/>
                  <a:lumOff val="20000"/>
                </a:schemeClr>
              </a:solidFill>
              <a:round/>
            </a:ln>
            <a:effectLst/>
          </c:spPr>
          <c:marker>
            <c:symbol val="none"/>
          </c:marker>
          <c:val>
            <c:numRef>
              <c:f>'Cumulative Defaults'!$E$27:$BA$27</c:f>
              <c:numCache>
                <c:formatCode>0.00%</c:formatCode>
                <c:ptCount val="49"/>
                <c:pt idx="0">
                  <c:v>0</c:v>
                </c:pt>
                <c:pt idx="1">
                  <c:v>1.6902193082342313E-4</c:v>
                </c:pt>
                <c:pt idx="2">
                  <c:v>2.7253435051891131E-3</c:v>
                </c:pt>
                <c:pt idx="3">
                  <c:v>3.388649747509946E-3</c:v>
                </c:pt>
                <c:pt idx="4">
                  <c:v>4.6979342456089047E-3</c:v>
                </c:pt>
                <c:pt idx="5">
                  <c:v>7.0319110324956E-3</c:v>
                </c:pt>
                <c:pt idx="6">
                  <c:v>8.870742491603004E-3</c:v>
                </c:pt>
                <c:pt idx="7">
                  <c:v>9.9294772127646504E-3</c:v>
                </c:pt>
                <c:pt idx="8">
                  <c:v>1.0423317061750453E-2</c:v>
                </c:pt>
                <c:pt idx="9">
                  <c:v>1.37174260834834E-2</c:v>
                </c:pt>
                <c:pt idx="10">
                  <c:v>1.4329562416291347E-2</c:v>
                </c:pt>
                <c:pt idx="11">
                  <c:v>1.490393551249289E-2</c:v>
                </c:pt>
                <c:pt idx="12">
                  <c:v>1.5323775469320778E-2</c:v>
                </c:pt>
                <c:pt idx="13">
                  <c:v>1.627524109162869E-2</c:v>
                </c:pt>
                <c:pt idx="14">
                  <c:v>1.6780481706607685E-2</c:v>
                </c:pt>
                <c:pt idx="15">
                  <c:v>1.7275645820853638E-2</c:v>
                </c:pt>
                <c:pt idx="16">
                  <c:v>1.7297458082795401E-2</c:v>
                </c:pt>
                <c:pt idx="17">
                  <c:v>1.7476815641144353E-2</c:v>
                </c:pt>
                <c:pt idx="18">
                  <c:v>1.7668930655465539E-2</c:v>
                </c:pt>
                <c:pt idx="19">
                  <c:v>1.7695123325322436E-2</c:v>
                </c:pt>
                <c:pt idx="20">
                  <c:v>1.7716737606807902E-2</c:v>
                </c:pt>
                <c:pt idx="21">
                  <c:v>1.7716737606807902E-2</c:v>
                </c:pt>
                <c:pt idx="22">
                  <c:v>1.7716737606807899E-2</c:v>
                </c:pt>
                <c:pt idx="23">
                  <c:v>1.7716737606807902E-2</c:v>
                </c:pt>
                <c:pt idx="24">
                  <c:v>1.7716737606807902E-2</c:v>
                </c:pt>
                <c:pt idx="25">
                  <c:v>1.7716737606807899E-2</c:v>
                </c:pt>
                <c:pt idx="26">
                  <c:v>1.7716737606807902E-2</c:v>
                </c:pt>
                <c:pt idx="27">
                  <c:v>1.7716737606807902E-2</c:v>
                </c:pt>
                <c:pt idx="28">
                  <c:v>1.7716737606807902E-2</c:v>
                </c:pt>
                <c:pt idx="29">
                  <c:v>1.7716737606807902E-2</c:v>
                </c:pt>
                <c:pt idx="30">
                  <c:v>1.7716737606807902E-2</c:v>
                </c:pt>
                <c:pt idx="31">
                  <c:v>1.7716737606807902E-2</c:v>
                </c:pt>
              </c:numCache>
            </c:numRef>
          </c:val>
          <c:smooth val="0"/>
          <c:extLst>
            <c:ext xmlns:c16="http://schemas.microsoft.com/office/drawing/2014/chart" uri="{C3380CC4-5D6E-409C-BE32-E72D297353CC}">
              <c16:uniqueId val="{00000011-A47E-49B0-A31A-46E9DA201EF3}"/>
            </c:ext>
          </c:extLst>
        </c:ser>
        <c:ser>
          <c:idx val="18"/>
          <c:order val="18"/>
          <c:tx>
            <c:strRef>
              <c:f>'Cumulative Defaults'!$C$28</c:f>
              <c:strCache>
                <c:ptCount val="1"/>
                <c:pt idx="0">
                  <c:v>2017Q3</c:v>
                </c:pt>
              </c:strCache>
            </c:strRef>
          </c:tx>
          <c:spPr>
            <a:ln w="28575" cap="rnd">
              <a:solidFill>
                <a:schemeClr val="accent1">
                  <a:lumMod val="80000"/>
                </a:schemeClr>
              </a:solidFill>
              <a:round/>
            </a:ln>
            <a:effectLst/>
          </c:spPr>
          <c:marker>
            <c:symbol val="none"/>
          </c:marker>
          <c:val>
            <c:numRef>
              <c:f>'Cumulative Defaults'!$E$28:$BA$28</c:f>
              <c:numCache>
                <c:formatCode>0.00%</c:formatCode>
                <c:ptCount val="49"/>
                <c:pt idx="0">
                  <c:v>0</c:v>
                </c:pt>
                <c:pt idx="1">
                  <c:v>1.1750956894925027E-3</c:v>
                </c:pt>
                <c:pt idx="2">
                  <c:v>2.0868167530902078E-3</c:v>
                </c:pt>
                <c:pt idx="3">
                  <c:v>2.4463315798041187E-3</c:v>
                </c:pt>
                <c:pt idx="4">
                  <c:v>4.628143074891484E-3</c:v>
                </c:pt>
                <c:pt idx="5">
                  <c:v>5.9876372167104218E-3</c:v>
                </c:pt>
                <c:pt idx="6">
                  <c:v>6.9421698037787447E-3</c:v>
                </c:pt>
                <c:pt idx="7">
                  <c:v>8.5523356655292978E-3</c:v>
                </c:pt>
                <c:pt idx="8">
                  <c:v>1.0360589015580048E-2</c:v>
                </c:pt>
                <c:pt idx="9">
                  <c:v>1.0500972477966228E-2</c:v>
                </c:pt>
                <c:pt idx="10">
                  <c:v>1.167756184302877E-2</c:v>
                </c:pt>
                <c:pt idx="11">
                  <c:v>1.2485248710724841E-2</c:v>
                </c:pt>
                <c:pt idx="12">
                  <c:v>1.2992329781848621E-2</c:v>
                </c:pt>
                <c:pt idx="13">
                  <c:v>1.36848224315048E-2</c:v>
                </c:pt>
                <c:pt idx="14">
                  <c:v>1.4651283919693902E-2</c:v>
                </c:pt>
                <c:pt idx="15">
                  <c:v>1.5023506607368882E-2</c:v>
                </c:pt>
                <c:pt idx="16">
                  <c:v>1.5484812041113436E-2</c:v>
                </c:pt>
                <c:pt idx="17">
                  <c:v>1.5650411060593304E-2</c:v>
                </c:pt>
                <c:pt idx="18">
                  <c:v>1.6000968447160875E-2</c:v>
                </c:pt>
                <c:pt idx="19">
                  <c:v>1.604496370254058E-2</c:v>
                </c:pt>
                <c:pt idx="20">
                  <c:v>1.6052225337375478E-2</c:v>
                </c:pt>
                <c:pt idx="21">
                  <c:v>1.6052225337375478E-2</c:v>
                </c:pt>
                <c:pt idx="22">
                  <c:v>1.6052225337375478E-2</c:v>
                </c:pt>
                <c:pt idx="23">
                  <c:v>1.6052225337375478E-2</c:v>
                </c:pt>
                <c:pt idx="24">
                  <c:v>1.6052225337375478E-2</c:v>
                </c:pt>
                <c:pt idx="25">
                  <c:v>1.6052225337375478E-2</c:v>
                </c:pt>
                <c:pt idx="26">
                  <c:v>1.6052225337375478E-2</c:v>
                </c:pt>
                <c:pt idx="27">
                  <c:v>1.6052225337375478E-2</c:v>
                </c:pt>
                <c:pt idx="28">
                  <c:v>1.6052225337375478E-2</c:v>
                </c:pt>
                <c:pt idx="29">
                  <c:v>1.6052225337375478E-2</c:v>
                </c:pt>
                <c:pt idx="30">
                  <c:v>1.6052225337375478E-2</c:v>
                </c:pt>
              </c:numCache>
            </c:numRef>
          </c:val>
          <c:smooth val="0"/>
          <c:extLst>
            <c:ext xmlns:c16="http://schemas.microsoft.com/office/drawing/2014/chart" uri="{C3380CC4-5D6E-409C-BE32-E72D297353CC}">
              <c16:uniqueId val="{00000012-A47E-49B0-A31A-46E9DA201EF3}"/>
            </c:ext>
          </c:extLst>
        </c:ser>
        <c:ser>
          <c:idx val="19"/>
          <c:order val="19"/>
          <c:tx>
            <c:strRef>
              <c:f>'Cumulative Defaults'!$C$29</c:f>
              <c:strCache>
                <c:ptCount val="1"/>
                <c:pt idx="0">
                  <c:v>2017Q4</c:v>
                </c:pt>
              </c:strCache>
            </c:strRef>
          </c:tx>
          <c:spPr>
            <a:ln w="28575" cap="rnd">
              <a:solidFill>
                <a:schemeClr val="accent2">
                  <a:lumMod val="80000"/>
                </a:schemeClr>
              </a:solidFill>
              <a:round/>
            </a:ln>
            <a:effectLst/>
          </c:spPr>
          <c:marker>
            <c:symbol val="none"/>
          </c:marker>
          <c:val>
            <c:numRef>
              <c:f>'Cumulative Defaults'!$E$29:$BA$29</c:f>
              <c:numCache>
                <c:formatCode>0.00%</c:formatCode>
                <c:ptCount val="49"/>
                <c:pt idx="0">
                  <c:v>0</c:v>
                </c:pt>
                <c:pt idx="1">
                  <c:v>0</c:v>
                </c:pt>
                <c:pt idx="2">
                  <c:v>7.6101898440912672E-4</c:v>
                </c:pt>
                <c:pt idx="3">
                  <c:v>1.5771360246572145E-3</c:v>
                </c:pt>
                <c:pt idx="4">
                  <c:v>2.1480765015317043E-3</c:v>
                </c:pt>
                <c:pt idx="5">
                  <c:v>4.0045854687256891E-3</c:v>
                </c:pt>
                <c:pt idx="6">
                  <c:v>4.9761516195895869E-3</c:v>
                </c:pt>
                <c:pt idx="7">
                  <c:v>5.829072866689591E-3</c:v>
                </c:pt>
                <c:pt idx="8">
                  <c:v>6.4454918050750199E-3</c:v>
                </c:pt>
                <c:pt idx="9">
                  <c:v>7.1853723941613119E-3</c:v>
                </c:pt>
                <c:pt idx="10">
                  <c:v>8.2424703814746592E-3</c:v>
                </c:pt>
                <c:pt idx="11">
                  <c:v>9.2718023629876148E-3</c:v>
                </c:pt>
                <c:pt idx="12">
                  <c:v>1.0289279055111938E-2</c:v>
                </c:pt>
                <c:pt idx="13">
                  <c:v>1.0755876578785892E-2</c:v>
                </c:pt>
                <c:pt idx="14">
                  <c:v>1.0849183804167235E-2</c:v>
                </c:pt>
                <c:pt idx="15">
                  <c:v>1.1552635218321531E-2</c:v>
                </c:pt>
                <c:pt idx="16">
                  <c:v>1.1655551037776764E-2</c:v>
                </c:pt>
                <c:pt idx="17">
                  <c:v>1.1708112298575756E-2</c:v>
                </c:pt>
                <c:pt idx="18">
                  <c:v>1.187460967218407E-2</c:v>
                </c:pt>
                <c:pt idx="19">
                  <c:v>1.1891254421057564E-2</c:v>
                </c:pt>
                <c:pt idx="20">
                  <c:v>1.1929751899586135E-2</c:v>
                </c:pt>
                <c:pt idx="21">
                  <c:v>1.193859738300714E-2</c:v>
                </c:pt>
                <c:pt idx="22">
                  <c:v>1.193859738300714E-2</c:v>
                </c:pt>
                <c:pt idx="23">
                  <c:v>1.193859738300714E-2</c:v>
                </c:pt>
                <c:pt idx="24">
                  <c:v>1.193859738300714E-2</c:v>
                </c:pt>
                <c:pt idx="25">
                  <c:v>1.193859738300714E-2</c:v>
                </c:pt>
                <c:pt idx="26">
                  <c:v>1.193859738300714E-2</c:v>
                </c:pt>
                <c:pt idx="27">
                  <c:v>1.193859738300714E-2</c:v>
                </c:pt>
                <c:pt idx="28">
                  <c:v>1.193859738300714E-2</c:v>
                </c:pt>
                <c:pt idx="29">
                  <c:v>1.193859738300714E-2</c:v>
                </c:pt>
              </c:numCache>
            </c:numRef>
          </c:val>
          <c:smooth val="0"/>
          <c:extLst>
            <c:ext xmlns:c16="http://schemas.microsoft.com/office/drawing/2014/chart" uri="{C3380CC4-5D6E-409C-BE32-E72D297353CC}">
              <c16:uniqueId val="{00000013-A47E-49B0-A31A-46E9DA201EF3}"/>
            </c:ext>
          </c:extLst>
        </c:ser>
        <c:ser>
          <c:idx val="20"/>
          <c:order val="20"/>
          <c:tx>
            <c:strRef>
              <c:f>'Cumulative Defaults'!$C$30</c:f>
              <c:strCache>
                <c:ptCount val="1"/>
                <c:pt idx="0">
                  <c:v>2018Q1</c:v>
                </c:pt>
              </c:strCache>
            </c:strRef>
          </c:tx>
          <c:spPr>
            <a:ln w="28575" cap="rnd">
              <a:solidFill>
                <a:schemeClr val="accent3">
                  <a:lumMod val="80000"/>
                </a:schemeClr>
              </a:solidFill>
              <a:round/>
            </a:ln>
            <a:effectLst/>
          </c:spPr>
          <c:marker>
            <c:symbol val="none"/>
          </c:marker>
          <c:val>
            <c:numRef>
              <c:f>'Cumulative Defaults'!$E$30:$BA$30</c:f>
              <c:numCache>
                <c:formatCode>0.00%</c:formatCode>
                <c:ptCount val="49"/>
                <c:pt idx="0">
                  <c:v>0</c:v>
                </c:pt>
                <c:pt idx="1">
                  <c:v>5.2368750985604866E-4</c:v>
                </c:pt>
                <c:pt idx="2">
                  <c:v>1.0836595174604209E-3</c:v>
                </c:pt>
                <c:pt idx="3">
                  <c:v>1.4396584260552812E-3</c:v>
                </c:pt>
                <c:pt idx="4">
                  <c:v>2.3475518947077088E-3</c:v>
                </c:pt>
                <c:pt idx="5">
                  <c:v>3.338809270855698E-3</c:v>
                </c:pt>
                <c:pt idx="6">
                  <c:v>3.9513971741142826E-3</c:v>
                </c:pt>
                <c:pt idx="7">
                  <c:v>5.2445173309036324E-3</c:v>
                </c:pt>
                <c:pt idx="8">
                  <c:v>6.0492621487466961E-3</c:v>
                </c:pt>
                <c:pt idx="9">
                  <c:v>7.0602444609094029E-3</c:v>
                </c:pt>
                <c:pt idx="10">
                  <c:v>7.9839852345621985E-3</c:v>
                </c:pt>
                <c:pt idx="11">
                  <c:v>8.2782867026112723E-3</c:v>
                </c:pt>
                <c:pt idx="12">
                  <c:v>9.0216135653232218E-3</c:v>
                </c:pt>
                <c:pt idx="13">
                  <c:v>9.3200907504823027E-3</c:v>
                </c:pt>
                <c:pt idx="14">
                  <c:v>9.9286592773911407E-3</c:v>
                </c:pt>
                <c:pt idx="15">
                  <c:v>1.0126912870654486E-2</c:v>
                </c:pt>
                <c:pt idx="16">
                  <c:v>1.0314177330939712E-2</c:v>
                </c:pt>
                <c:pt idx="17">
                  <c:v>1.0536765842131686E-2</c:v>
                </c:pt>
                <c:pt idx="18">
                  <c:v>1.0643173549484061E-2</c:v>
                </c:pt>
                <c:pt idx="19">
                  <c:v>1.0643173549484063E-2</c:v>
                </c:pt>
                <c:pt idx="20">
                  <c:v>1.0660144905855852E-2</c:v>
                </c:pt>
                <c:pt idx="21">
                  <c:v>1.0660144905855852E-2</c:v>
                </c:pt>
                <c:pt idx="22">
                  <c:v>1.0660144905855852E-2</c:v>
                </c:pt>
                <c:pt idx="23">
                  <c:v>1.0660144905855852E-2</c:v>
                </c:pt>
                <c:pt idx="24">
                  <c:v>1.0660144905855852E-2</c:v>
                </c:pt>
                <c:pt idx="25">
                  <c:v>1.0660144905855852E-2</c:v>
                </c:pt>
                <c:pt idx="26">
                  <c:v>1.0660144905855852E-2</c:v>
                </c:pt>
                <c:pt idx="27">
                  <c:v>1.0660144905855852E-2</c:v>
                </c:pt>
                <c:pt idx="28">
                  <c:v>1.066014490585585E-2</c:v>
                </c:pt>
              </c:numCache>
            </c:numRef>
          </c:val>
          <c:smooth val="0"/>
          <c:extLst>
            <c:ext xmlns:c16="http://schemas.microsoft.com/office/drawing/2014/chart" uri="{C3380CC4-5D6E-409C-BE32-E72D297353CC}">
              <c16:uniqueId val="{00000014-A47E-49B0-A31A-46E9DA201EF3}"/>
            </c:ext>
          </c:extLst>
        </c:ser>
        <c:ser>
          <c:idx val="21"/>
          <c:order val="21"/>
          <c:tx>
            <c:strRef>
              <c:f>'Cumulative Defaults'!$C$31</c:f>
              <c:strCache>
                <c:ptCount val="1"/>
                <c:pt idx="0">
                  <c:v>2018Q2</c:v>
                </c:pt>
              </c:strCache>
            </c:strRef>
          </c:tx>
          <c:spPr>
            <a:ln w="28575" cap="rnd">
              <a:solidFill>
                <a:schemeClr val="accent4">
                  <a:lumMod val="80000"/>
                </a:schemeClr>
              </a:solidFill>
              <a:round/>
            </a:ln>
            <a:effectLst/>
          </c:spPr>
          <c:marker>
            <c:symbol val="none"/>
          </c:marker>
          <c:val>
            <c:numRef>
              <c:f>'Cumulative Defaults'!$E$31:$BA$31</c:f>
              <c:numCache>
                <c:formatCode>0.00%</c:formatCode>
                <c:ptCount val="49"/>
                <c:pt idx="0">
                  <c:v>0</c:v>
                </c:pt>
                <c:pt idx="1">
                  <c:v>6.3131786259540846E-4</c:v>
                </c:pt>
                <c:pt idx="2">
                  <c:v>1.2780668382419941E-3</c:v>
                </c:pt>
                <c:pt idx="3">
                  <c:v>2.7831527580150354E-3</c:v>
                </c:pt>
                <c:pt idx="4">
                  <c:v>3.2387527953133136E-3</c:v>
                </c:pt>
                <c:pt idx="5">
                  <c:v>4.2104401469834612E-3</c:v>
                </c:pt>
                <c:pt idx="6">
                  <c:v>5.0789692523351476E-3</c:v>
                </c:pt>
                <c:pt idx="7">
                  <c:v>5.9141566712641201E-3</c:v>
                </c:pt>
                <c:pt idx="8">
                  <c:v>7.0601743171547562E-3</c:v>
                </c:pt>
                <c:pt idx="9">
                  <c:v>8.0414864332433202E-3</c:v>
                </c:pt>
                <c:pt idx="10">
                  <c:v>8.8290173298661238E-3</c:v>
                </c:pt>
                <c:pt idx="11">
                  <c:v>9.5794386837968291E-3</c:v>
                </c:pt>
                <c:pt idx="12">
                  <c:v>9.9513888130279039E-3</c:v>
                </c:pt>
                <c:pt idx="13">
                  <c:v>1.0249922196118663E-2</c:v>
                </c:pt>
                <c:pt idx="14">
                  <c:v>1.0349782651396865E-2</c:v>
                </c:pt>
                <c:pt idx="15">
                  <c:v>1.0475171995171999E-2</c:v>
                </c:pt>
                <c:pt idx="16">
                  <c:v>1.0526481667972239E-2</c:v>
                </c:pt>
                <c:pt idx="17">
                  <c:v>1.0778865695311916E-2</c:v>
                </c:pt>
                <c:pt idx="18">
                  <c:v>1.0895839795367551E-2</c:v>
                </c:pt>
                <c:pt idx="19">
                  <c:v>1.0908661832976996E-2</c:v>
                </c:pt>
                <c:pt idx="20">
                  <c:v>1.0908661832976996E-2</c:v>
                </c:pt>
                <c:pt idx="21">
                  <c:v>1.0908661832976996E-2</c:v>
                </c:pt>
                <c:pt idx="22">
                  <c:v>1.0908661832976996E-2</c:v>
                </c:pt>
                <c:pt idx="23">
                  <c:v>1.0908661832976996E-2</c:v>
                </c:pt>
                <c:pt idx="24">
                  <c:v>1.0908661832976996E-2</c:v>
                </c:pt>
                <c:pt idx="25">
                  <c:v>1.0908661832976996E-2</c:v>
                </c:pt>
                <c:pt idx="26">
                  <c:v>1.0908661832976996E-2</c:v>
                </c:pt>
                <c:pt idx="27">
                  <c:v>1.0908661832976996E-2</c:v>
                </c:pt>
              </c:numCache>
            </c:numRef>
          </c:val>
          <c:smooth val="0"/>
          <c:extLst>
            <c:ext xmlns:c16="http://schemas.microsoft.com/office/drawing/2014/chart" uri="{C3380CC4-5D6E-409C-BE32-E72D297353CC}">
              <c16:uniqueId val="{00000015-A47E-49B0-A31A-46E9DA201EF3}"/>
            </c:ext>
          </c:extLst>
        </c:ser>
        <c:ser>
          <c:idx val="22"/>
          <c:order val="22"/>
          <c:tx>
            <c:strRef>
              <c:f>'Cumulative Defaults'!$C$32</c:f>
              <c:strCache>
                <c:ptCount val="1"/>
                <c:pt idx="0">
                  <c:v>2018Q3</c:v>
                </c:pt>
              </c:strCache>
            </c:strRef>
          </c:tx>
          <c:spPr>
            <a:ln w="28575" cap="rnd">
              <a:solidFill>
                <a:schemeClr val="accent5">
                  <a:lumMod val="80000"/>
                </a:schemeClr>
              </a:solidFill>
              <a:round/>
            </a:ln>
            <a:effectLst/>
          </c:spPr>
          <c:marker>
            <c:symbol val="none"/>
          </c:marker>
          <c:val>
            <c:numRef>
              <c:f>'Cumulative Defaults'!$E$32:$BA$32</c:f>
              <c:numCache>
                <c:formatCode>0.00%</c:formatCode>
                <c:ptCount val="49"/>
                <c:pt idx="0">
                  <c:v>0</c:v>
                </c:pt>
                <c:pt idx="1">
                  <c:v>3.6166830628273582E-4</c:v>
                </c:pt>
                <c:pt idx="2">
                  <c:v>1.1025044199294606E-3</c:v>
                </c:pt>
                <c:pt idx="3">
                  <c:v>2.1920206915997833E-3</c:v>
                </c:pt>
                <c:pt idx="4">
                  <c:v>3.4585168808013806E-3</c:v>
                </c:pt>
                <c:pt idx="5">
                  <c:v>4.7609743723817594E-3</c:v>
                </c:pt>
                <c:pt idx="6">
                  <c:v>6.5293195576017222E-3</c:v>
                </c:pt>
                <c:pt idx="7">
                  <c:v>7.0602658387659781E-3</c:v>
                </c:pt>
                <c:pt idx="8">
                  <c:v>7.7180906261035817E-3</c:v>
                </c:pt>
                <c:pt idx="9">
                  <c:v>8.4595277555181113E-3</c:v>
                </c:pt>
                <c:pt idx="10">
                  <c:v>9.0854321489398805E-3</c:v>
                </c:pt>
                <c:pt idx="11">
                  <c:v>9.5638609497446288E-3</c:v>
                </c:pt>
                <c:pt idx="12">
                  <c:v>1.0630275653634527E-2</c:v>
                </c:pt>
                <c:pt idx="13">
                  <c:v>1.1316617955867555E-2</c:v>
                </c:pt>
                <c:pt idx="14">
                  <c:v>1.1544408851839702E-2</c:v>
                </c:pt>
                <c:pt idx="15">
                  <c:v>1.2031382278821723E-2</c:v>
                </c:pt>
                <c:pt idx="16">
                  <c:v>1.237607646796236E-2</c:v>
                </c:pt>
                <c:pt idx="17">
                  <c:v>1.2621050505984157E-2</c:v>
                </c:pt>
                <c:pt idx="18">
                  <c:v>1.2665223034833245E-2</c:v>
                </c:pt>
                <c:pt idx="19">
                  <c:v>1.2668612524751582E-2</c:v>
                </c:pt>
                <c:pt idx="20">
                  <c:v>1.2677892555659187E-2</c:v>
                </c:pt>
                <c:pt idx="21">
                  <c:v>1.2701783859154389E-2</c:v>
                </c:pt>
                <c:pt idx="22">
                  <c:v>1.2701783859154389E-2</c:v>
                </c:pt>
                <c:pt idx="23">
                  <c:v>1.2701783859154389E-2</c:v>
                </c:pt>
                <c:pt idx="24">
                  <c:v>1.2701783859154389E-2</c:v>
                </c:pt>
                <c:pt idx="25">
                  <c:v>1.2701783859154389E-2</c:v>
                </c:pt>
                <c:pt idx="26">
                  <c:v>1.2701783859154389E-2</c:v>
                </c:pt>
              </c:numCache>
            </c:numRef>
          </c:val>
          <c:smooth val="0"/>
          <c:extLst>
            <c:ext xmlns:c16="http://schemas.microsoft.com/office/drawing/2014/chart" uri="{C3380CC4-5D6E-409C-BE32-E72D297353CC}">
              <c16:uniqueId val="{00000016-A47E-49B0-A31A-46E9DA201EF3}"/>
            </c:ext>
          </c:extLst>
        </c:ser>
        <c:ser>
          <c:idx val="23"/>
          <c:order val="23"/>
          <c:tx>
            <c:strRef>
              <c:f>'Cumulative Defaults'!$C$33</c:f>
              <c:strCache>
                <c:ptCount val="1"/>
                <c:pt idx="0">
                  <c:v>2018Q4</c:v>
                </c:pt>
              </c:strCache>
            </c:strRef>
          </c:tx>
          <c:spPr>
            <a:ln w="28575" cap="rnd">
              <a:solidFill>
                <a:schemeClr val="accent6">
                  <a:lumMod val="80000"/>
                </a:schemeClr>
              </a:solidFill>
              <a:round/>
            </a:ln>
            <a:effectLst/>
          </c:spPr>
          <c:marker>
            <c:symbol val="none"/>
          </c:marker>
          <c:val>
            <c:numRef>
              <c:f>'Cumulative Defaults'!$E$33:$BA$33</c:f>
              <c:numCache>
                <c:formatCode>0.00%</c:formatCode>
                <c:ptCount val="49"/>
                <c:pt idx="0">
                  <c:v>0</c:v>
                </c:pt>
                <c:pt idx="1">
                  <c:v>2.7375084530993811E-4</c:v>
                </c:pt>
                <c:pt idx="2">
                  <c:v>1.0009877943756801E-3</c:v>
                </c:pt>
                <c:pt idx="3">
                  <c:v>2.2742783967582103E-3</c:v>
                </c:pt>
                <c:pt idx="4">
                  <c:v>3.4968219384054404E-3</c:v>
                </c:pt>
                <c:pt idx="5">
                  <c:v>4.4375547883443575E-3</c:v>
                </c:pt>
                <c:pt idx="6">
                  <c:v>5.7264472476518165E-3</c:v>
                </c:pt>
                <c:pt idx="7">
                  <c:v>6.2033869631151787E-3</c:v>
                </c:pt>
                <c:pt idx="8">
                  <c:v>6.7498652327300278E-3</c:v>
                </c:pt>
                <c:pt idx="9">
                  <c:v>7.5953993023763662E-3</c:v>
                </c:pt>
                <c:pt idx="10">
                  <c:v>7.8745736921171042E-3</c:v>
                </c:pt>
                <c:pt idx="11">
                  <c:v>8.580599712362481E-3</c:v>
                </c:pt>
                <c:pt idx="12">
                  <c:v>9.1477983114517068E-3</c:v>
                </c:pt>
                <c:pt idx="13">
                  <c:v>9.2710388614701544E-3</c:v>
                </c:pt>
                <c:pt idx="14">
                  <c:v>9.7178907629201054E-3</c:v>
                </c:pt>
                <c:pt idx="15">
                  <c:v>9.9984637311680748E-3</c:v>
                </c:pt>
                <c:pt idx="16">
                  <c:v>1.0722219818044844E-2</c:v>
                </c:pt>
                <c:pt idx="17">
                  <c:v>1.086668992940237E-2</c:v>
                </c:pt>
                <c:pt idx="18">
                  <c:v>1.0928879977717075E-2</c:v>
                </c:pt>
                <c:pt idx="19">
                  <c:v>1.0952928120618134E-2</c:v>
                </c:pt>
                <c:pt idx="20">
                  <c:v>1.0952928120618134E-2</c:v>
                </c:pt>
                <c:pt idx="21">
                  <c:v>1.0952928120618134E-2</c:v>
                </c:pt>
                <c:pt idx="22">
                  <c:v>1.0952928120618134E-2</c:v>
                </c:pt>
                <c:pt idx="23">
                  <c:v>1.0952928120618134E-2</c:v>
                </c:pt>
                <c:pt idx="24">
                  <c:v>1.0952928120618134E-2</c:v>
                </c:pt>
                <c:pt idx="25">
                  <c:v>1.0952928120618134E-2</c:v>
                </c:pt>
              </c:numCache>
            </c:numRef>
          </c:val>
          <c:smooth val="0"/>
          <c:extLst>
            <c:ext xmlns:c16="http://schemas.microsoft.com/office/drawing/2014/chart" uri="{C3380CC4-5D6E-409C-BE32-E72D297353CC}">
              <c16:uniqueId val="{00000017-A47E-49B0-A31A-46E9DA201EF3}"/>
            </c:ext>
          </c:extLst>
        </c:ser>
        <c:ser>
          <c:idx val="24"/>
          <c:order val="24"/>
          <c:tx>
            <c:strRef>
              <c:f>'Cumulative Defaults'!$C$34</c:f>
              <c:strCache>
                <c:ptCount val="1"/>
                <c:pt idx="0">
                  <c:v>2019Q1</c:v>
                </c:pt>
              </c:strCache>
            </c:strRef>
          </c:tx>
          <c:spPr>
            <a:ln w="28575" cap="rnd">
              <a:solidFill>
                <a:schemeClr val="accent1">
                  <a:lumMod val="60000"/>
                  <a:lumOff val="40000"/>
                </a:schemeClr>
              </a:solidFill>
              <a:round/>
            </a:ln>
            <a:effectLst/>
          </c:spPr>
          <c:marker>
            <c:symbol val="none"/>
          </c:marker>
          <c:val>
            <c:numRef>
              <c:f>'Cumulative Defaults'!$E$34:$BA$34</c:f>
              <c:numCache>
                <c:formatCode>0.00%</c:formatCode>
                <c:ptCount val="49"/>
                <c:pt idx="0">
                  <c:v>0</c:v>
                </c:pt>
                <c:pt idx="1">
                  <c:v>1.5483463120137432E-6</c:v>
                </c:pt>
                <c:pt idx="2">
                  <c:v>3.8314428184687389E-4</c:v>
                </c:pt>
                <c:pt idx="3">
                  <c:v>7.3308298674401974E-4</c:v>
                </c:pt>
                <c:pt idx="4">
                  <c:v>1.4520389649603136E-3</c:v>
                </c:pt>
                <c:pt idx="5">
                  <c:v>1.913365342262922E-3</c:v>
                </c:pt>
                <c:pt idx="6">
                  <c:v>2.6811334540808858E-3</c:v>
                </c:pt>
                <c:pt idx="7">
                  <c:v>3.4864890145231207E-3</c:v>
                </c:pt>
                <c:pt idx="8">
                  <c:v>4.1200000692379179E-3</c:v>
                </c:pt>
                <c:pt idx="9">
                  <c:v>4.8278901711968801E-3</c:v>
                </c:pt>
                <c:pt idx="10">
                  <c:v>5.1420354447299418E-3</c:v>
                </c:pt>
                <c:pt idx="11">
                  <c:v>5.6815585235551616E-3</c:v>
                </c:pt>
                <c:pt idx="12">
                  <c:v>6.3409225746993694E-3</c:v>
                </c:pt>
                <c:pt idx="13">
                  <c:v>6.4211004885512905E-3</c:v>
                </c:pt>
                <c:pt idx="14">
                  <c:v>6.6688988129453008E-3</c:v>
                </c:pt>
                <c:pt idx="15">
                  <c:v>6.7769164063795776E-3</c:v>
                </c:pt>
                <c:pt idx="16">
                  <c:v>7.0873910153107485E-3</c:v>
                </c:pt>
                <c:pt idx="17">
                  <c:v>7.4063400332768327E-3</c:v>
                </c:pt>
                <c:pt idx="18">
                  <c:v>7.5122020189755242E-3</c:v>
                </c:pt>
                <c:pt idx="19">
                  <c:v>7.5149036252322695E-3</c:v>
                </c:pt>
                <c:pt idx="20">
                  <c:v>7.5149036252322695E-3</c:v>
                </c:pt>
                <c:pt idx="21">
                  <c:v>7.5458705514725435E-3</c:v>
                </c:pt>
                <c:pt idx="22">
                  <c:v>7.5458705514725444E-3</c:v>
                </c:pt>
                <c:pt idx="23">
                  <c:v>7.5458705514725444E-3</c:v>
                </c:pt>
                <c:pt idx="24">
                  <c:v>7.5458705514725435E-3</c:v>
                </c:pt>
              </c:numCache>
            </c:numRef>
          </c:val>
          <c:smooth val="0"/>
          <c:extLst>
            <c:ext xmlns:c16="http://schemas.microsoft.com/office/drawing/2014/chart" uri="{C3380CC4-5D6E-409C-BE32-E72D297353CC}">
              <c16:uniqueId val="{00000018-A47E-49B0-A31A-46E9DA201EF3}"/>
            </c:ext>
          </c:extLst>
        </c:ser>
        <c:ser>
          <c:idx val="25"/>
          <c:order val="25"/>
          <c:tx>
            <c:strRef>
              <c:f>'Cumulative Defaults'!$C$35</c:f>
              <c:strCache>
                <c:ptCount val="1"/>
                <c:pt idx="0">
                  <c:v>2019Q2</c:v>
                </c:pt>
              </c:strCache>
            </c:strRef>
          </c:tx>
          <c:spPr>
            <a:ln w="28575" cap="rnd">
              <a:solidFill>
                <a:schemeClr val="accent2">
                  <a:lumMod val="60000"/>
                  <a:lumOff val="40000"/>
                </a:schemeClr>
              </a:solidFill>
              <a:round/>
            </a:ln>
            <a:effectLst/>
          </c:spPr>
          <c:marker>
            <c:symbol val="none"/>
          </c:marker>
          <c:val>
            <c:numRef>
              <c:f>'Cumulative Defaults'!$E$35:$BA$35</c:f>
              <c:numCache>
                <c:formatCode>0.00%</c:formatCode>
                <c:ptCount val="49"/>
                <c:pt idx="0">
                  <c:v>0</c:v>
                </c:pt>
                <c:pt idx="1">
                  <c:v>1.5885493759192971E-4</c:v>
                </c:pt>
                <c:pt idx="2">
                  <c:v>1.0422210641474023E-3</c:v>
                </c:pt>
                <c:pt idx="3">
                  <c:v>1.7443715670232539E-3</c:v>
                </c:pt>
                <c:pt idx="4">
                  <c:v>2.2213012872004303E-3</c:v>
                </c:pt>
                <c:pt idx="5">
                  <c:v>3.0480042634114931E-3</c:v>
                </c:pt>
                <c:pt idx="6">
                  <c:v>3.2286185634432534E-3</c:v>
                </c:pt>
                <c:pt idx="7">
                  <c:v>4.3350155608785478E-3</c:v>
                </c:pt>
                <c:pt idx="8">
                  <c:v>5.1986446701377557E-3</c:v>
                </c:pt>
                <c:pt idx="9">
                  <c:v>5.9985499255744493E-3</c:v>
                </c:pt>
                <c:pt idx="10">
                  <c:v>6.4412810401148482E-3</c:v>
                </c:pt>
                <c:pt idx="11">
                  <c:v>6.7828723215483224E-3</c:v>
                </c:pt>
                <c:pt idx="12">
                  <c:v>7.2496419390177327E-3</c:v>
                </c:pt>
                <c:pt idx="13">
                  <c:v>7.990582467915357E-3</c:v>
                </c:pt>
                <c:pt idx="14">
                  <c:v>8.2682775145225644E-3</c:v>
                </c:pt>
                <c:pt idx="15">
                  <c:v>8.5934740444012347E-3</c:v>
                </c:pt>
                <c:pt idx="16">
                  <c:v>8.7417911648354669E-3</c:v>
                </c:pt>
                <c:pt idx="17">
                  <c:v>8.8670794358282467E-3</c:v>
                </c:pt>
                <c:pt idx="18">
                  <c:v>8.8726617665385137E-3</c:v>
                </c:pt>
                <c:pt idx="19">
                  <c:v>8.8822654170093752E-3</c:v>
                </c:pt>
                <c:pt idx="20">
                  <c:v>8.9415142356690583E-3</c:v>
                </c:pt>
                <c:pt idx="21">
                  <c:v>8.9415142356690583E-3</c:v>
                </c:pt>
                <c:pt idx="22">
                  <c:v>8.9415142356690583E-3</c:v>
                </c:pt>
                <c:pt idx="23">
                  <c:v>8.9415142356690583E-3</c:v>
                </c:pt>
              </c:numCache>
            </c:numRef>
          </c:val>
          <c:smooth val="0"/>
          <c:extLst>
            <c:ext xmlns:c16="http://schemas.microsoft.com/office/drawing/2014/chart" uri="{C3380CC4-5D6E-409C-BE32-E72D297353CC}">
              <c16:uniqueId val="{00000019-A47E-49B0-A31A-46E9DA201EF3}"/>
            </c:ext>
          </c:extLst>
        </c:ser>
        <c:ser>
          <c:idx val="26"/>
          <c:order val="26"/>
          <c:tx>
            <c:strRef>
              <c:f>'Cumulative Defaults'!$C$36</c:f>
              <c:strCache>
                <c:ptCount val="1"/>
                <c:pt idx="0">
                  <c:v>2019Q3</c:v>
                </c:pt>
              </c:strCache>
            </c:strRef>
          </c:tx>
          <c:spPr>
            <a:ln w="28575" cap="rnd">
              <a:solidFill>
                <a:schemeClr val="accent3">
                  <a:lumMod val="60000"/>
                  <a:lumOff val="40000"/>
                </a:schemeClr>
              </a:solidFill>
              <a:round/>
            </a:ln>
            <a:effectLst/>
          </c:spPr>
          <c:marker>
            <c:symbol val="none"/>
          </c:marker>
          <c:val>
            <c:numRef>
              <c:f>'Cumulative Defaults'!$E$36:$BA$36</c:f>
              <c:numCache>
                <c:formatCode>0.00%</c:formatCode>
                <c:ptCount val="49"/>
                <c:pt idx="0">
                  <c:v>1.240544844920254E-4</c:v>
                </c:pt>
                <c:pt idx="1">
                  <c:v>4.3532311721823115E-4</c:v>
                </c:pt>
                <c:pt idx="2">
                  <c:v>9.6264871629764769E-4</c:v>
                </c:pt>
                <c:pt idx="3">
                  <c:v>2.3122939564447593E-3</c:v>
                </c:pt>
                <c:pt idx="4">
                  <c:v>3.2185902151321429E-3</c:v>
                </c:pt>
                <c:pt idx="5">
                  <c:v>4.1231061857825756E-3</c:v>
                </c:pt>
                <c:pt idx="6">
                  <c:v>4.472667124073796E-3</c:v>
                </c:pt>
                <c:pt idx="7">
                  <c:v>5.0856217386869799E-3</c:v>
                </c:pt>
                <c:pt idx="8">
                  <c:v>5.57665392126468E-3</c:v>
                </c:pt>
                <c:pt idx="9">
                  <c:v>6.1460441850436261E-3</c:v>
                </c:pt>
                <c:pt idx="10">
                  <c:v>6.629177221664841E-3</c:v>
                </c:pt>
                <c:pt idx="11">
                  <c:v>7.3171318030284564E-3</c:v>
                </c:pt>
                <c:pt idx="12">
                  <c:v>7.7686337931375509E-3</c:v>
                </c:pt>
                <c:pt idx="13">
                  <c:v>8.3648603157607786E-3</c:v>
                </c:pt>
                <c:pt idx="14">
                  <c:v>8.6178617610779516E-3</c:v>
                </c:pt>
                <c:pt idx="15">
                  <c:v>8.8300397843166928E-3</c:v>
                </c:pt>
                <c:pt idx="16">
                  <c:v>9.038291884395833E-3</c:v>
                </c:pt>
                <c:pt idx="17">
                  <c:v>9.1744317990704195E-3</c:v>
                </c:pt>
                <c:pt idx="18">
                  <c:v>9.3140528711711731E-3</c:v>
                </c:pt>
                <c:pt idx="19">
                  <c:v>9.3196066369151433E-3</c:v>
                </c:pt>
                <c:pt idx="20">
                  <c:v>9.3196066369151433E-3</c:v>
                </c:pt>
                <c:pt idx="21">
                  <c:v>9.3196066369151415E-3</c:v>
                </c:pt>
                <c:pt idx="22">
                  <c:v>9.3826180631679384E-3</c:v>
                </c:pt>
              </c:numCache>
            </c:numRef>
          </c:val>
          <c:smooth val="0"/>
          <c:extLst>
            <c:ext xmlns:c16="http://schemas.microsoft.com/office/drawing/2014/chart" uri="{C3380CC4-5D6E-409C-BE32-E72D297353CC}">
              <c16:uniqueId val="{0000001A-A47E-49B0-A31A-46E9DA201EF3}"/>
            </c:ext>
          </c:extLst>
        </c:ser>
        <c:ser>
          <c:idx val="27"/>
          <c:order val="27"/>
          <c:tx>
            <c:strRef>
              <c:f>'Cumulative Defaults'!$C$37</c:f>
              <c:strCache>
                <c:ptCount val="1"/>
                <c:pt idx="0">
                  <c:v>2019Q4</c:v>
                </c:pt>
              </c:strCache>
            </c:strRef>
          </c:tx>
          <c:spPr>
            <a:ln w="28575" cap="rnd">
              <a:solidFill>
                <a:schemeClr val="accent4">
                  <a:lumMod val="60000"/>
                  <a:lumOff val="40000"/>
                </a:schemeClr>
              </a:solidFill>
              <a:round/>
            </a:ln>
            <a:effectLst/>
          </c:spPr>
          <c:marker>
            <c:symbol val="none"/>
          </c:marker>
          <c:val>
            <c:numRef>
              <c:f>'Cumulative Defaults'!$E$37:$BA$37</c:f>
              <c:numCache>
                <c:formatCode>0.00%</c:formatCode>
                <c:ptCount val="49"/>
                <c:pt idx="0">
                  <c:v>0</c:v>
                </c:pt>
                <c:pt idx="1">
                  <c:v>9.4597029155757265E-5</c:v>
                </c:pt>
                <c:pt idx="2">
                  <c:v>5.4686419770782059E-4</c:v>
                </c:pt>
                <c:pt idx="3">
                  <c:v>1.8793475690717018E-3</c:v>
                </c:pt>
                <c:pt idx="4">
                  <c:v>2.4075457138834611E-3</c:v>
                </c:pt>
                <c:pt idx="5">
                  <c:v>3.5666144368292738E-3</c:v>
                </c:pt>
                <c:pt idx="6">
                  <c:v>4.692529490095969E-3</c:v>
                </c:pt>
                <c:pt idx="7">
                  <c:v>5.3188327635582443E-3</c:v>
                </c:pt>
                <c:pt idx="8">
                  <c:v>6.1551123861320837E-3</c:v>
                </c:pt>
                <c:pt idx="9">
                  <c:v>6.8593949394346355E-3</c:v>
                </c:pt>
                <c:pt idx="10">
                  <c:v>7.1441022577100749E-3</c:v>
                </c:pt>
                <c:pt idx="11">
                  <c:v>7.2512956953624773E-3</c:v>
                </c:pt>
                <c:pt idx="12">
                  <c:v>7.9492863354699746E-3</c:v>
                </c:pt>
                <c:pt idx="13">
                  <c:v>8.3916770482461225E-3</c:v>
                </c:pt>
                <c:pt idx="14">
                  <c:v>8.9881585115138152E-3</c:v>
                </c:pt>
                <c:pt idx="15">
                  <c:v>9.3774935134150281E-3</c:v>
                </c:pt>
                <c:pt idx="16">
                  <c:v>9.6422272354211615E-3</c:v>
                </c:pt>
                <c:pt idx="17">
                  <c:v>9.9395720577066735E-3</c:v>
                </c:pt>
                <c:pt idx="18">
                  <c:v>1.0027773484436913E-2</c:v>
                </c:pt>
                <c:pt idx="19">
                  <c:v>1.0035733477194596E-2</c:v>
                </c:pt>
                <c:pt idx="20">
                  <c:v>1.0048264983746027E-2</c:v>
                </c:pt>
                <c:pt idx="21">
                  <c:v>1.0066204261581944E-2</c:v>
                </c:pt>
              </c:numCache>
            </c:numRef>
          </c:val>
          <c:smooth val="0"/>
          <c:extLst>
            <c:ext xmlns:c16="http://schemas.microsoft.com/office/drawing/2014/chart" uri="{C3380CC4-5D6E-409C-BE32-E72D297353CC}">
              <c16:uniqueId val="{0000001B-A47E-49B0-A31A-46E9DA201EF3}"/>
            </c:ext>
          </c:extLst>
        </c:ser>
        <c:ser>
          <c:idx val="28"/>
          <c:order val="28"/>
          <c:tx>
            <c:strRef>
              <c:f>'Cumulative Defaults'!$C$38</c:f>
              <c:strCache>
                <c:ptCount val="1"/>
                <c:pt idx="0">
                  <c:v>2020Q1</c:v>
                </c:pt>
              </c:strCache>
            </c:strRef>
          </c:tx>
          <c:spPr>
            <a:ln w="28575" cap="rnd">
              <a:solidFill>
                <a:schemeClr val="accent5">
                  <a:lumMod val="60000"/>
                  <a:lumOff val="40000"/>
                </a:schemeClr>
              </a:solidFill>
              <a:round/>
            </a:ln>
            <a:effectLst/>
          </c:spPr>
          <c:marker>
            <c:symbol val="none"/>
          </c:marker>
          <c:val>
            <c:numRef>
              <c:f>'Cumulative Defaults'!$E$38:$BA$38</c:f>
              <c:numCache>
                <c:formatCode>0.00%</c:formatCode>
                <c:ptCount val="49"/>
                <c:pt idx="0">
                  <c:v>0</c:v>
                </c:pt>
                <c:pt idx="1">
                  <c:v>0</c:v>
                </c:pt>
                <c:pt idx="2">
                  <c:v>5.3446542832748202E-4</c:v>
                </c:pt>
                <c:pt idx="3">
                  <c:v>7.962926352294066E-4</c:v>
                </c:pt>
                <c:pt idx="4">
                  <c:v>1.4432409801464073E-3</c:v>
                </c:pt>
                <c:pt idx="5">
                  <c:v>2.0284398019760549E-3</c:v>
                </c:pt>
                <c:pt idx="6">
                  <c:v>2.4012197960305991E-3</c:v>
                </c:pt>
                <c:pt idx="7">
                  <c:v>3.5268594859636558E-3</c:v>
                </c:pt>
                <c:pt idx="8">
                  <c:v>4.2946548424034571E-3</c:v>
                </c:pt>
                <c:pt idx="9">
                  <c:v>5.1084469131925528E-3</c:v>
                </c:pt>
                <c:pt idx="10">
                  <c:v>5.4103533325587832E-3</c:v>
                </c:pt>
                <c:pt idx="11">
                  <c:v>5.9582188340933937E-3</c:v>
                </c:pt>
                <c:pt idx="12">
                  <c:v>6.4558085674962847E-3</c:v>
                </c:pt>
                <c:pt idx="13">
                  <c:v>6.951579228389437E-3</c:v>
                </c:pt>
                <c:pt idx="14">
                  <c:v>7.2299990169059497E-3</c:v>
                </c:pt>
                <c:pt idx="15">
                  <c:v>7.6849744518984074E-3</c:v>
                </c:pt>
                <c:pt idx="16">
                  <c:v>8.0584836610182748E-3</c:v>
                </c:pt>
                <c:pt idx="17">
                  <c:v>8.2039518504483447E-3</c:v>
                </c:pt>
                <c:pt idx="18">
                  <c:v>8.440821681069419E-3</c:v>
                </c:pt>
                <c:pt idx="19">
                  <c:v>8.4579222688291791E-3</c:v>
                </c:pt>
                <c:pt idx="20">
                  <c:v>8.5755716405693187E-3</c:v>
                </c:pt>
              </c:numCache>
            </c:numRef>
          </c:val>
          <c:smooth val="0"/>
          <c:extLst>
            <c:ext xmlns:c16="http://schemas.microsoft.com/office/drawing/2014/chart" uri="{C3380CC4-5D6E-409C-BE32-E72D297353CC}">
              <c16:uniqueId val="{0000001C-A47E-49B0-A31A-46E9DA201EF3}"/>
            </c:ext>
          </c:extLst>
        </c:ser>
        <c:ser>
          <c:idx val="29"/>
          <c:order val="29"/>
          <c:tx>
            <c:strRef>
              <c:f>'Cumulative Defaults'!$C$39</c:f>
              <c:strCache>
                <c:ptCount val="1"/>
                <c:pt idx="0">
                  <c:v>2020Q2</c:v>
                </c:pt>
              </c:strCache>
            </c:strRef>
          </c:tx>
          <c:spPr>
            <a:ln w="28575" cap="rnd">
              <a:solidFill>
                <a:schemeClr val="accent6">
                  <a:lumMod val="60000"/>
                  <a:lumOff val="40000"/>
                </a:schemeClr>
              </a:solidFill>
              <a:round/>
            </a:ln>
            <a:effectLst/>
          </c:spPr>
          <c:marker>
            <c:symbol val="none"/>
          </c:marker>
          <c:val>
            <c:numRef>
              <c:f>'Cumulative Defaults'!$E$39:$BA$39</c:f>
              <c:numCache>
                <c:formatCode>0.00%</c:formatCode>
                <c:ptCount val="49"/>
                <c:pt idx="0">
                  <c:v>1.4882839768690513E-4</c:v>
                </c:pt>
                <c:pt idx="1">
                  <c:v>2.5841764282590101E-4</c:v>
                </c:pt>
                <c:pt idx="2">
                  <c:v>8.6406835264919073E-4</c:v>
                </c:pt>
                <c:pt idx="3">
                  <c:v>1.5334891147958344E-3</c:v>
                </c:pt>
                <c:pt idx="4">
                  <c:v>1.5832647282006018E-3</c:v>
                </c:pt>
                <c:pt idx="5">
                  <c:v>1.9503424309851402E-3</c:v>
                </c:pt>
                <c:pt idx="6">
                  <c:v>2.8037974631628703E-3</c:v>
                </c:pt>
                <c:pt idx="7">
                  <c:v>3.5057270239049055E-3</c:v>
                </c:pt>
                <c:pt idx="8">
                  <c:v>4.0732555410340583E-3</c:v>
                </c:pt>
                <c:pt idx="9">
                  <c:v>4.6550666178830635E-3</c:v>
                </c:pt>
                <c:pt idx="10">
                  <c:v>5.4434724047934084E-3</c:v>
                </c:pt>
                <c:pt idx="11">
                  <c:v>5.681195023903747E-3</c:v>
                </c:pt>
                <c:pt idx="12">
                  <c:v>6.1343488601034203E-3</c:v>
                </c:pt>
                <c:pt idx="13">
                  <c:v>6.7415291878182432E-3</c:v>
                </c:pt>
                <c:pt idx="14">
                  <c:v>6.9582784093147531E-3</c:v>
                </c:pt>
                <c:pt idx="15">
                  <c:v>7.2237298518443302E-3</c:v>
                </c:pt>
                <c:pt idx="16">
                  <c:v>7.3803252394622192E-3</c:v>
                </c:pt>
                <c:pt idx="17">
                  <c:v>7.5168790568793768E-3</c:v>
                </c:pt>
                <c:pt idx="18">
                  <c:v>7.5693141656117385E-3</c:v>
                </c:pt>
                <c:pt idx="19">
                  <c:v>7.6509393699013203E-3</c:v>
                </c:pt>
              </c:numCache>
            </c:numRef>
          </c:val>
          <c:smooth val="0"/>
          <c:extLst>
            <c:ext xmlns:c16="http://schemas.microsoft.com/office/drawing/2014/chart" uri="{C3380CC4-5D6E-409C-BE32-E72D297353CC}">
              <c16:uniqueId val="{0000001D-A47E-49B0-A31A-46E9DA201EF3}"/>
            </c:ext>
          </c:extLst>
        </c:ser>
        <c:ser>
          <c:idx val="30"/>
          <c:order val="30"/>
          <c:tx>
            <c:strRef>
              <c:f>'Cumulative Defaults'!$C$40</c:f>
              <c:strCache>
                <c:ptCount val="1"/>
                <c:pt idx="0">
                  <c:v>2020Q3</c:v>
                </c:pt>
              </c:strCache>
            </c:strRef>
          </c:tx>
          <c:spPr>
            <a:ln w="28575" cap="rnd">
              <a:solidFill>
                <a:schemeClr val="accent1">
                  <a:lumMod val="50000"/>
                </a:schemeClr>
              </a:solidFill>
              <a:round/>
            </a:ln>
            <a:effectLst/>
          </c:spPr>
          <c:marker>
            <c:symbol val="none"/>
          </c:marker>
          <c:val>
            <c:numRef>
              <c:f>'Cumulative Defaults'!$E$40:$BA$40</c:f>
              <c:numCache>
                <c:formatCode>0.00%</c:formatCode>
                <c:ptCount val="49"/>
                <c:pt idx="0">
                  <c:v>0</c:v>
                </c:pt>
                <c:pt idx="1">
                  <c:v>2.2087676329379005E-4</c:v>
                </c:pt>
                <c:pt idx="2">
                  <c:v>5.5367933645126914E-4</c:v>
                </c:pt>
                <c:pt idx="3">
                  <c:v>1.2877146991483032E-3</c:v>
                </c:pt>
                <c:pt idx="4">
                  <c:v>1.9173848852413078E-3</c:v>
                </c:pt>
                <c:pt idx="5">
                  <c:v>2.4046834752180163E-3</c:v>
                </c:pt>
                <c:pt idx="6">
                  <c:v>3.3505364212268953E-3</c:v>
                </c:pt>
                <c:pt idx="7">
                  <c:v>3.7542577254453674E-3</c:v>
                </c:pt>
                <c:pt idx="8">
                  <c:v>4.7277050191605009E-3</c:v>
                </c:pt>
                <c:pt idx="9">
                  <c:v>5.3739410850764903E-3</c:v>
                </c:pt>
                <c:pt idx="10">
                  <c:v>5.7302285666901622E-3</c:v>
                </c:pt>
                <c:pt idx="11">
                  <c:v>6.2278932686818129E-3</c:v>
                </c:pt>
                <c:pt idx="12">
                  <c:v>6.8297941329932832E-3</c:v>
                </c:pt>
                <c:pt idx="13">
                  <c:v>7.2455361512309517E-3</c:v>
                </c:pt>
                <c:pt idx="14">
                  <c:v>7.7827195875842204E-3</c:v>
                </c:pt>
                <c:pt idx="15">
                  <c:v>8.0602032129040626E-3</c:v>
                </c:pt>
                <c:pt idx="16">
                  <c:v>8.3028775462037751E-3</c:v>
                </c:pt>
                <c:pt idx="17">
                  <c:v>8.6382530257255036E-3</c:v>
                </c:pt>
                <c:pt idx="18">
                  <c:v>8.7465342934930097E-3</c:v>
                </c:pt>
              </c:numCache>
            </c:numRef>
          </c:val>
          <c:smooth val="0"/>
          <c:extLst>
            <c:ext xmlns:c16="http://schemas.microsoft.com/office/drawing/2014/chart" uri="{C3380CC4-5D6E-409C-BE32-E72D297353CC}">
              <c16:uniqueId val="{0000001E-A47E-49B0-A31A-46E9DA201EF3}"/>
            </c:ext>
          </c:extLst>
        </c:ser>
        <c:ser>
          <c:idx val="31"/>
          <c:order val="31"/>
          <c:tx>
            <c:strRef>
              <c:f>'Cumulative Defaults'!$C$41</c:f>
              <c:strCache>
                <c:ptCount val="1"/>
                <c:pt idx="0">
                  <c:v>2020Q4</c:v>
                </c:pt>
              </c:strCache>
            </c:strRef>
          </c:tx>
          <c:spPr>
            <a:ln w="28575" cap="rnd">
              <a:solidFill>
                <a:schemeClr val="accent2">
                  <a:lumMod val="50000"/>
                </a:schemeClr>
              </a:solidFill>
              <a:round/>
            </a:ln>
            <a:effectLst/>
          </c:spPr>
          <c:marker>
            <c:symbol val="none"/>
          </c:marker>
          <c:val>
            <c:numRef>
              <c:f>'Cumulative Defaults'!$E$41:$BA$41</c:f>
              <c:numCache>
                <c:formatCode>0.00%</c:formatCode>
                <c:ptCount val="49"/>
                <c:pt idx="0">
                  <c:v>0</c:v>
                </c:pt>
                <c:pt idx="1">
                  <c:v>1.3819700621643645E-6</c:v>
                </c:pt>
                <c:pt idx="2">
                  <c:v>3.467068489217562E-4</c:v>
                </c:pt>
                <c:pt idx="3">
                  <c:v>3.467068489217562E-4</c:v>
                </c:pt>
                <c:pt idx="4">
                  <c:v>9.0740999064989033E-4</c:v>
                </c:pt>
                <c:pt idx="5">
                  <c:v>1.1395042322898301E-3</c:v>
                </c:pt>
                <c:pt idx="6">
                  <c:v>2.0583925028148653E-3</c:v>
                </c:pt>
                <c:pt idx="7">
                  <c:v>2.5073709697696939E-3</c:v>
                </c:pt>
                <c:pt idx="8">
                  <c:v>2.892781283493494E-3</c:v>
                </c:pt>
                <c:pt idx="9">
                  <c:v>3.9274167001315738E-3</c:v>
                </c:pt>
                <c:pt idx="10">
                  <c:v>4.2767465074523749E-3</c:v>
                </c:pt>
                <c:pt idx="11">
                  <c:v>4.4634911732746507E-3</c:v>
                </c:pt>
                <c:pt idx="12">
                  <c:v>4.8877642428407494E-3</c:v>
                </c:pt>
                <c:pt idx="13">
                  <c:v>5.5446102361838001E-3</c:v>
                </c:pt>
                <c:pt idx="14">
                  <c:v>6.2529666769335739E-3</c:v>
                </c:pt>
                <c:pt idx="15">
                  <c:v>6.8201166136229478E-3</c:v>
                </c:pt>
                <c:pt idx="16">
                  <c:v>7.0244928942844297E-3</c:v>
                </c:pt>
                <c:pt idx="17">
                  <c:v>7.2737473071929487E-3</c:v>
                </c:pt>
              </c:numCache>
            </c:numRef>
          </c:val>
          <c:smooth val="0"/>
          <c:extLst>
            <c:ext xmlns:c16="http://schemas.microsoft.com/office/drawing/2014/chart" uri="{C3380CC4-5D6E-409C-BE32-E72D297353CC}">
              <c16:uniqueId val="{0000001F-A47E-49B0-A31A-46E9DA201EF3}"/>
            </c:ext>
          </c:extLst>
        </c:ser>
        <c:ser>
          <c:idx val="32"/>
          <c:order val="32"/>
          <c:tx>
            <c:strRef>
              <c:f>'Cumulative Defaults'!$C$42</c:f>
              <c:strCache>
                <c:ptCount val="1"/>
                <c:pt idx="0">
                  <c:v>2021Q1</c:v>
                </c:pt>
              </c:strCache>
            </c:strRef>
          </c:tx>
          <c:spPr>
            <a:ln w="28575" cap="rnd">
              <a:solidFill>
                <a:schemeClr val="accent3">
                  <a:lumMod val="50000"/>
                </a:schemeClr>
              </a:solidFill>
              <a:round/>
            </a:ln>
            <a:effectLst/>
          </c:spPr>
          <c:marker>
            <c:symbol val="none"/>
          </c:marker>
          <c:val>
            <c:numRef>
              <c:f>'Cumulative Defaults'!$E$42:$BA$42</c:f>
              <c:numCache>
                <c:formatCode>0.00%</c:formatCode>
                <c:ptCount val="49"/>
                <c:pt idx="0">
                  <c:v>0</c:v>
                </c:pt>
                <c:pt idx="1">
                  <c:v>0</c:v>
                </c:pt>
                <c:pt idx="2">
                  <c:v>9.2350908514456789E-5</c:v>
                </c:pt>
                <c:pt idx="3">
                  <c:v>1.0697260445312342E-3</c:v>
                </c:pt>
                <c:pt idx="4">
                  <c:v>1.380277598576764E-3</c:v>
                </c:pt>
                <c:pt idx="5">
                  <c:v>1.7769313936162883E-3</c:v>
                </c:pt>
                <c:pt idx="6">
                  <c:v>2.6315746560482307E-3</c:v>
                </c:pt>
                <c:pt idx="7">
                  <c:v>3.1707049642867202E-3</c:v>
                </c:pt>
                <c:pt idx="8">
                  <c:v>3.8556210158287277E-3</c:v>
                </c:pt>
                <c:pt idx="9">
                  <c:v>4.8487536975441092E-3</c:v>
                </c:pt>
                <c:pt idx="10">
                  <c:v>5.7001919707390606E-3</c:v>
                </c:pt>
                <c:pt idx="11">
                  <c:v>6.2823686287254588E-3</c:v>
                </c:pt>
                <c:pt idx="12">
                  <c:v>6.7316424146098989E-3</c:v>
                </c:pt>
                <c:pt idx="13">
                  <c:v>7.357871752229855E-3</c:v>
                </c:pt>
                <c:pt idx="14">
                  <c:v>7.5714340369605936E-3</c:v>
                </c:pt>
                <c:pt idx="15">
                  <c:v>7.8653557734712307E-3</c:v>
                </c:pt>
                <c:pt idx="16">
                  <c:v>8.4534330728321568E-3</c:v>
                </c:pt>
              </c:numCache>
            </c:numRef>
          </c:val>
          <c:smooth val="0"/>
          <c:extLst>
            <c:ext xmlns:c16="http://schemas.microsoft.com/office/drawing/2014/chart" uri="{C3380CC4-5D6E-409C-BE32-E72D297353CC}">
              <c16:uniqueId val="{00000020-A47E-49B0-A31A-46E9DA201EF3}"/>
            </c:ext>
          </c:extLst>
        </c:ser>
        <c:ser>
          <c:idx val="33"/>
          <c:order val="33"/>
          <c:tx>
            <c:strRef>
              <c:f>'Cumulative Defaults'!$C$43</c:f>
              <c:strCache>
                <c:ptCount val="1"/>
                <c:pt idx="0">
                  <c:v>2021Q2</c:v>
                </c:pt>
              </c:strCache>
            </c:strRef>
          </c:tx>
          <c:spPr>
            <a:ln w="28575" cap="rnd">
              <a:solidFill>
                <a:schemeClr val="accent4">
                  <a:lumMod val="50000"/>
                </a:schemeClr>
              </a:solidFill>
              <a:round/>
            </a:ln>
            <a:effectLst/>
          </c:spPr>
          <c:marker>
            <c:symbol val="none"/>
          </c:marker>
          <c:val>
            <c:numRef>
              <c:f>'Cumulative Defaults'!$E$43:$BA$43</c:f>
              <c:numCache>
                <c:formatCode>0.00%</c:formatCode>
                <c:ptCount val="49"/>
                <c:pt idx="0">
                  <c:v>0</c:v>
                </c:pt>
                <c:pt idx="1">
                  <c:v>1.0522032657174589E-6</c:v>
                </c:pt>
                <c:pt idx="2">
                  <c:v>3.9924026697990729E-4</c:v>
                </c:pt>
                <c:pt idx="3">
                  <c:v>6.5312935686199971E-4</c:v>
                </c:pt>
                <c:pt idx="4">
                  <c:v>1.0661340966416021E-3</c:v>
                </c:pt>
                <c:pt idx="5">
                  <c:v>1.711286890093157E-3</c:v>
                </c:pt>
                <c:pt idx="6">
                  <c:v>2.1736320883282562E-3</c:v>
                </c:pt>
                <c:pt idx="7">
                  <c:v>3.0683820982509804E-3</c:v>
                </c:pt>
                <c:pt idx="8">
                  <c:v>4.1037222534582507E-3</c:v>
                </c:pt>
                <c:pt idx="9">
                  <c:v>5.1365993270532121E-3</c:v>
                </c:pt>
                <c:pt idx="10">
                  <c:v>5.7514987242607224E-3</c:v>
                </c:pt>
                <c:pt idx="11">
                  <c:v>6.3743059889452688E-3</c:v>
                </c:pt>
                <c:pt idx="12">
                  <c:v>6.6245213105315375E-3</c:v>
                </c:pt>
                <c:pt idx="13">
                  <c:v>7.0682234375533566E-3</c:v>
                </c:pt>
                <c:pt idx="14">
                  <c:v>7.5801453354435123E-3</c:v>
                </c:pt>
                <c:pt idx="15">
                  <c:v>8.0251470660626517E-3</c:v>
                </c:pt>
              </c:numCache>
            </c:numRef>
          </c:val>
          <c:smooth val="0"/>
          <c:extLst>
            <c:ext xmlns:c16="http://schemas.microsoft.com/office/drawing/2014/chart" uri="{C3380CC4-5D6E-409C-BE32-E72D297353CC}">
              <c16:uniqueId val="{00000021-A47E-49B0-A31A-46E9DA201EF3}"/>
            </c:ext>
          </c:extLst>
        </c:ser>
        <c:ser>
          <c:idx val="34"/>
          <c:order val="34"/>
          <c:tx>
            <c:strRef>
              <c:f>'Cumulative Defaults'!$C$44</c:f>
              <c:strCache>
                <c:ptCount val="1"/>
                <c:pt idx="0">
                  <c:v>2021Q3</c:v>
                </c:pt>
              </c:strCache>
            </c:strRef>
          </c:tx>
          <c:spPr>
            <a:ln w="28575" cap="rnd">
              <a:solidFill>
                <a:schemeClr val="accent5">
                  <a:lumMod val="50000"/>
                </a:schemeClr>
              </a:solidFill>
              <a:round/>
            </a:ln>
            <a:effectLst/>
          </c:spPr>
          <c:marker>
            <c:symbol val="none"/>
          </c:marker>
          <c:val>
            <c:numRef>
              <c:f>'Cumulative Defaults'!$E$44:$BA$44</c:f>
              <c:numCache>
                <c:formatCode>0.00%</c:formatCode>
                <c:ptCount val="49"/>
                <c:pt idx="0">
                  <c:v>0</c:v>
                </c:pt>
                <c:pt idx="1">
                  <c:v>0</c:v>
                </c:pt>
                <c:pt idx="2">
                  <c:v>2.5813251550142253E-4</c:v>
                </c:pt>
                <c:pt idx="3">
                  <c:v>7.5559121896548659E-4</c:v>
                </c:pt>
                <c:pt idx="4">
                  <c:v>1.2794033912270793E-3</c:v>
                </c:pt>
                <c:pt idx="5">
                  <c:v>1.4815559821530883E-3</c:v>
                </c:pt>
                <c:pt idx="6">
                  <c:v>1.8861087278533267E-3</c:v>
                </c:pt>
                <c:pt idx="7">
                  <c:v>3.3251006805367382E-3</c:v>
                </c:pt>
                <c:pt idx="8">
                  <c:v>3.9323715851043136E-3</c:v>
                </c:pt>
                <c:pt idx="9">
                  <c:v>5.0898388691781229E-3</c:v>
                </c:pt>
                <c:pt idx="10">
                  <c:v>6.280163263663833E-3</c:v>
                </c:pt>
                <c:pt idx="11">
                  <c:v>6.6937253946275418E-3</c:v>
                </c:pt>
                <c:pt idx="12">
                  <c:v>7.2377200610379503E-3</c:v>
                </c:pt>
                <c:pt idx="13">
                  <c:v>7.79282280332753E-3</c:v>
                </c:pt>
                <c:pt idx="14">
                  <c:v>8.0477224233572731E-3</c:v>
                </c:pt>
              </c:numCache>
            </c:numRef>
          </c:val>
          <c:smooth val="0"/>
          <c:extLst>
            <c:ext xmlns:c16="http://schemas.microsoft.com/office/drawing/2014/chart" uri="{C3380CC4-5D6E-409C-BE32-E72D297353CC}">
              <c16:uniqueId val="{00000022-A47E-49B0-A31A-46E9DA201EF3}"/>
            </c:ext>
          </c:extLst>
        </c:ser>
        <c:ser>
          <c:idx val="35"/>
          <c:order val="35"/>
          <c:tx>
            <c:strRef>
              <c:f>'Cumulative Defaults'!$C$45</c:f>
              <c:strCache>
                <c:ptCount val="1"/>
                <c:pt idx="0">
                  <c:v>2021Q4</c:v>
                </c:pt>
              </c:strCache>
            </c:strRef>
          </c:tx>
          <c:spPr>
            <a:ln w="28575" cap="rnd">
              <a:solidFill>
                <a:schemeClr val="accent6">
                  <a:lumMod val="50000"/>
                </a:schemeClr>
              </a:solidFill>
              <a:round/>
            </a:ln>
            <a:effectLst/>
          </c:spPr>
          <c:marker>
            <c:symbol val="none"/>
          </c:marker>
          <c:val>
            <c:numRef>
              <c:f>'Cumulative Defaults'!$E$45:$BA$45</c:f>
              <c:numCache>
                <c:formatCode>0.00%</c:formatCode>
                <c:ptCount val="49"/>
                <c:pt idx="0">
                  <c:v>0</c:v>
                </c:pt>
                <c:pt idx="1">
                  <c:v>1.3222959574946277E-4</c:v>
                </c:pt>
                <c:pt idx="2">
                  <c:v>3.9880809008436239E-4</c:v>
                </c:pt>
                <c:pt idx="3">
                  <c:v>7.014790440333247E-4</c:v>
                </c:pt>
                <c:pt idx="4">
                  <c:v>1.1132118145193348E-3</c:v>
                </c:pt>
                <c:pt idx="5">
                  <c:v>1.5115653495718733E-3</c:v>
                </c:pt>
                <c:pt idx="6">
                  <c:v>2.0632024363876488E-3</c:v>
                </c:pt>
                <c:pt idx="7">
                  <c:v>2.2027520205362386E-3</c:v>
                </c:pt>
                <c:pt idx="8">
                  <c:v>2.5400971850195009E-3</c:v>
                </c:pt>
                <c:pt idx="9">
                  <c:v>3.5527873039804974E-3</c:v>
                </c:pt>
                <c:pt idx="10">
                  <c:v>4.3263659293240955E-3</c:v>
                </c:pt>
                <c:pt idx="11">
                  <c:v>5.0485201547502455E-3</c:v>
                </c:pt>
                <c:pt idx="12">
                  <c:v>5.4305498077086177E-3</c:v>
                </c:pt>
                <c:pt idx="13">
                  <c:v>6.1766727739096606E-3</c:v>
                </c:pt>
              </c:numCache>
            </c:numRef>
          </c:val>
          <c:smooth val="0"/>
          <c:extLst>
            <c:ext xmlns:c16="http://schemas.microsoft.com/office/drawing/2014/chart" uri="{C3380CC4-5D6E-409C-BE32-E72D297353CC}">
              <c16:uniqueId val="{00000023-A47E-49B0-A31A-46E9DA201EF3}"/>
            </c:ext>
          </c:extLst>
        </c:ser>
        <c:ser>
          <c:idx val="36"/>
          <c:order val="36"/>
          <c:tx>
            <c:strRef>
              <c:f>'Cumulative Defaults'!$C$46</c:f>
              <c:strCache>
                <c:ptCount val="1"/>
                <c:pt idx="0">
                  <c:v>2022Q1</c:v>
                </c:pt>
              </c:strCache>
            </c:strRef>
          </c:tx>
          <c:spPr>
            <a:ln w="28575" cap="rnd">
              <a:solidFill>
                <a:schemeClr val="accent1">
                  <a:lumMod val="70000"/>
                  <a:lumOff val="30000"/>
                </a:schemeClr>
              </a:solidFill>
              <a:round/>
            </a:ln>
            <a:effectLst/>
          </c:spPr>
          <c:marker>
            <c:symbol val="none"/>
          </c:marker>
          <c:val>
            <c:numRef>
              <c:f>'Cumulative Defaults'!$E$46:$BA$46</c:f>
              <c:numCache>
                <c:formatCode>0.00%</c:formatCode>
                <c:ptCount val="49"/>
                <c:pt idx="0">
                  <c:v>0</c:v>
                </c:pt>
                <c:pt idx="1">
                  <c:v>5.8060208360674942E-5</c:v>
                </c:pt>
                <c:pt idx="2">
                  <c:v>1.8202876255705262E-4</c:v>
                </c:pt>
                <c:pt idx="3">
                  <c:v>5.9863630587645388E-4</c:v>
                </c:pt>
                <c:pt idx="4">
                  <c:v>1.2844486186976214E-3</c:v>
                </c:pt>
                <c:pt idx="5">
                  <c:v>1.749212317164864E-3</c:v>
                </c:pt>
                <c:pt idx="6">
                  <c:v>2.6827919494669021E-3</c:v>
                </c:pt>
                <c:pt idx="7">
                  <c:v>3.1166150185212307E-3</c:v>
                </c:pt>
                <c:pt idx="8">
                  <c:v>4.3938887057799018E-3</c:v>
                </c:pt>
                <c:pt idx="9">
                  <c:v>4.8679723956023139E-3</c:v>
                </c:pt>
                <c:pt idx="10">
                  <c:v>5.6497139937327252E-3</c:v>
                </c:pt>
                <c:pt idx="11">
                  <c:v>6.6783892157887452E-3</c:v>
                </c:pt>
                <c:pt idx="12">
                  <c:v>7.4807933145483547E-3</c:v>
                </c:pt>
              </c:numCache>
            </c:numRef>
          </c:val>
          <c:smooth val="0"/>
          <c:extLst>
            <c:ext xmlns:c16="http://schemas.microsoft.com/office/drawing/2014/chart" uri="{C3380CC4-5D6E-409C-BE32-E72D297353CC}">
              <c16:uniqueId val="{00000024-A47E-49B0-A31A-46E9DA201EF3}"/>
            </c:ext>
          </c:extLst>
        </c:ser>
        <c:ser>
          <c:idx val="37"/>
          <c:order val="37"/>
          <c:tx>
            <c:strRef>
              <c:f>'Cumulative Defaults'!$C$47</c:f>
              <c:strCache>
                <c:ptCount val="1"/>
                <c:pt idx="0">
                  <c:v>2022Q2</c:v>
                </c:pt>
              </c:strCache>
            </c:strRef>
          </c:tx>
          <c:spPr>
            <a:ln w="28575" cap="rnd">
              <a:solidFill>
                <a:schemeClr val="accent2">
                  <a:lumMod val="70000"/>
                  <a:lumOff val="30000"/>
                </a:schemeClr>
              </a:solidFill>
              <a:round/>
            </a:ln>
            <a:effectLst/>
          </c:spPr>
          <c:marker>
            <c:symbol val="none"/>
          </c:marker>
          <c:val>
            <c:numRef>
              <c:f>'Cumulative Defaults'!$E$47:$BA$47</c:f>
              <c:numCache>
                <c:formatCode>0.00%</c:formatCode>
                <c:ptCount val="49"/>
                <c:pt idx="0">
                  <c:v>0</c:v>
                </c:pt>
                <c:pt idx="1">
                  <c:v>2.4204220088024377E-4</c:v>
                </c:pt>
                <c:pt idx="2">
                  <c:v>2.4204220088024377E-4</c:v>
                </c:pt>
                <c:pt idx="3">
                  <c:v>6.7559791075369794E-4</c:v>
                </c:pt>
                <c:pt idx="4">
                  <c:v>1.6378640404450977E-3</c:v>
                </c:pt>
                <c:pt idx="5">
                  <c:v>2.2979605232440097E-3</c:v>
                </c:pt>
                <c:pt idx="6">
                  <c:v>2.7365370643117502E-3</c:v>
                </c:pt>
                <c:pt idx="7">
                  <c:v>3.9750295315165865E-3</c:v>
                </c:pt>
                <c:pt idx="8">
                  <c:v>4.2981792178091432E-3</c:v>
                </c:pt>
                <c:pt idx="9">
                  <c:v>5.286820606836275E-3</c:v>
                </c:pt>
                <c:pt idx="10">
                  <c:v>6.7925360186185868E-3</c:v>
                </c:pt>
                <c:pt idx="11">
                  <c:v>7.4428625086978084E-3</c:v>
                </c:pt>
              </c:numCache>
            </c:numRef>
          </c:val>
          <c:smooth val="0"/>
          <c:extLst>
            <c:ext xmlns:c16="http://schemas.microsoft.com/office/drawing/2014/chart" uri="{C3380CC4-5D6E-409C-BE32-E72D297353CC}">
              <c16:uniqueId val="{00000025-A47E-49B0-A31A-46E9DA201EF3}"/>
            </c:ext>
          </c:extLst>
        </c:ser>
        <c:ser>
          <c:idx val="38"/>
          <c:order val="38"/>
          <c:tx>
            <c:strRef>
              <c:f>'Cumulative Defaults'!$C$48</c:f>
              <c:strCache>
                <c:ptCount val="1"/>
                <c:pt idx="0">
                  <c:v>2022Q3</c:v>
                </c:pt>
              </c:strCache>
            </c:strRef>
          </c:tx>
          <c:spPr>
            <a:ln w="28575" cap="rnd">
              <a:solidFill>
                <a:schemeClr val="accent3">
                  <a:lumMod val="70000"/>
                  <a:lumOff val="30000"/>
                </a:schemeClr>
              </a:solidFill>
              <a:round/>
            </a:ln>
            <a:effectLst/>
          </c:spPr>
          <c:marker>
            <c:symbol val="none"/>
          </c:marker>
          <c:val>
            <c:numRef>
              <c:f>'Cumulative Defaults'!$E$48:$BA$48</c:f>
              <c:numCache>
                <c:formatCode>0.00%</c:formatCode>
                <c:ptCount val="49"/>
                <c:pt idx="0">
                  <c:v>0</c:v>
                </c:pt>
                <c:pt idx="1">
                  <c:v>0</c:v>
                </c:pt>
                <c:pt idx="2">
                  <c:v>4.4635563615748352E-4</c:v>
                </c:pt>
                <c:pt idx="3">
                  <c:v>1.2369796855960292E-3</c:v>
                </c:pt>
                <c:pt idx="4">
                  <c:v>1.5099678263337465E-3</c:v>
                </c:pt>
                <c:pt idx="5">
                  <c:v>1.8342718678393453E-3</c:v>
                </c:pt>
                <c:pt idx="6">
                  <c:v>3.3942191825346644E-3</c:v>
                </c:pt>
                <c:pt idx="7">
                  <c:v>3.9819291562775217E-3</c:v>
                </c:pt>
                <c:pt idx="8">
                  <c:v>4.7475282256718163E-3</c:v>
                </c:pt>
                <c:pt idx="9">
                  <c:v>5.8887984467944927E-3</c:v>
                </c:pt>
                <c:pt idx="10">
                  <c:v>7.3698259510517053E-3</c:v>
                </c:pt>
              </c:numCache>
            </c:numRef>
          </c:val>
          <c:smooth val="0"/>
          <c:extLst>
            <c:ext xmlns:c16="http://schemas.microsoft.com/office/drawing/2014/chart" uri="{C3380CC4-5D6E-409C-BE32-E72D297353CC}">
              <c16:uniqueId val="{00000026-A47E-49B0-A31A-46E9DA201EF3}"/>
            </c:ext>
          </c:extLst>
        </c:ser>
        <c:ser>
          <c:idx val="39"/>
          <c:order val="39"/>
          <c:tx>
            <c:strRef>
              <c:f>'Cumulative Defaults'!$C$49</c:f>
              <c:strCache>
                <c:ptCount val="1"/>
                <c:pt idx="0">
                  <c:v>2022Q4</c:v>
                </c:pt>
              </c:strCache>
            </c:strRef>
          </c:tx>
          <c:spPr>
            <a:ln w="28575" cap="rnd">
              <a:solidFill>
                <a:schemeClr val="accent4">
                  <a:lumMod val="70000"/>
                  <a:lumOff val="30000"/>
                </a:schemeClr>
              </a:solidFill>
              <a:round/>
            </a:ln>
            <a:effectLst/>
          </c:spPr>
          <c:marker>
            <c:symbol val="none"/>
          </c:marker>
          <c:val>
            <c:numRef>
              <c:f>'Cumulative Defaults'!$E$49:$BA$49</c:f>
              <c:numCache>
                <c:formatCode>0.00%</c:formatCode>
                <c:ptCount val="49"/>
                <c:pt idx="0">
                  <c:v>0</c:v>
                </c:pt>
                <c:pt idx="1">
                  <c:v>3.634120308480616E-4</c:v>
                </c:pt>
                <c:pt idx="2">
                  <c:v>1.082329000435071E-3</c:v>
                </c:pt>
                <c:pt idx="3">
                  <c:v>1.5620625529788718E-3</c:v>
                </c:pt>
                <c:pt idx="4">
                  <c:v>1.9415154840061021E-3</c:v>
                </c:pt>
                <c:pt idx="5">
                  <c:v>2.9339093527077659E-3</c:v>
                </c:pt>
                <c:pt idx="6">
                  <c:v>3.6092284839418193E-3</c:v>
                </c:pt>
                <c:pt idx="7">
                  <c:v>3.8459577753020887E-3</c:v>
                </c:pt>
                <c:pt idx="8">
                  <c:v>5.0197420625162827E-3</c:v>
                </c:pt>
                <c:pt idx="9">
                  <c:v>6.1140928752768621E-3</c:v>
                </c:pt>
              </c:numCache>
            </c:numRef>
          </c:val>
          <c:smooth val="0"/>
          <c:extLst>
            <c:ext xmlns:c16="http://schemas.microsoft.com/office/drawing/2014/chart" uri="{C3380CC4-5D6E-409C-BE32-E72D297353CC}">
              <c16:uniqueId val="{00000027-A47E-49B0-A31A-46E9DA201EF3}"/>
            </c:ext>
          </c:extLst>
        </c:ser>
        <c:ser>
          <c:idx val="40"/>
          <c:order val="40"/>
          <c:tx>
            <c:strRef>
              <c:f>'Cumulative Defaults'!$C$50</c:f>
              <c:strCache>
                <c:ptCount val="1"/>
                <c:pt idx="0">
                  <c:v>2023Q1</c:v>
                </c:pt>
              </c:strCache>
            </c:strRef>
          </c:tx>
          <c:spPr>
            <a:ln w="28575" cap="rnd">
              <a:solidFill>
                <a:schemeClr val="accent5">
                  <a:lumMod val="70000"/>
                  <a:lumOff val="30000"/>
                </a:schemeClr>
              </a:solidFill>
              <a:round/>
            </a:ln>
            <a:effectLst/>
          </c:spPr>
          <c:marker>
            <c:symbol val="none"/>
          </c:marker>
          <c:val>
            <c:numRef>
              <c:f>'Cumulative Defaults'!$E$50:$BA$50</c:f>
              <c:numCache>
                <c:formatCode>0.00%</c:formatCode>
                <c:ptCount val="49"/>
                <c:pt idx="0">
                  <c:v>0</c:v>
                </c:pt>
                <c:pt idx="1">
                  <c:v>0</c:v>
                </c:pt>
                <c:pt idx="2">
                  <c:v>5.6496877204648046E-4</c:v>
                </c:pt>
                <c:pt idx="3">
                  <c:v>7.6154457676885464E-4</c:v>
                </c:pt>
                <c:pt idx="4">
                  <c:v>2.3322507049508483E-3</c:v>
                </c:pt>
                <c:pt idx="5">
                  <c:v>2.519910022844866E-3</c:v>
                </c:pt>
                <c:pt idx="6">
                  <c:v>3.308834375639144E-3</c:v>
                </c:pt>
                <c:pt idx="7">
                  <c:v>3.889616215332653E-3</c:v>
                </c:pt>
                <c:pt idx="8">
                  <c:v>4.4574395090642063E-3</c:v>
                </c:pt>
              </c:numCache>
            </c:numRef>
          </c:val>
          <c:smooth val="0"/>
          <c:extLst>
            <c:ext xmlns:c16="http://schemas.microsoft.com/office/drawing/2014/chart" uri="{C3380CC4-5D6E-409C-BE32-E72D297353CC}">
              <c16:uniqueId val="{00000028-A47E-49B0-A31A-46E9DA201EF3}"/>
            </c:ext>
          </c:extLst>
        </c:ser>
        <c:ser>
          <c:idx val="41"/>
          <c:order val="41"/>
          <c:tx>
            <c:strRef>
              <c:f>'Cumulative Defaults'!$C$51</c:f>
              <c:strCache>
                <c:ptCount val="1"/>
                <c:pt idx="0">
                  <c:v>2023Q2</c:v>
                </c:pt>
              </c:strCache>
            </c:strRef>
          </c:tx>
          <c:spPr>
            <a:ln w="28575" cap="rnd">
              <a:solidFill>
                <a:schemeClr val="accent6">
                  <a:lumMod val="70000"/>
                  <a:lumOff val="30000"/>
                </a:schemeClr>
              </a:solidFill>
              <a:round/>
            </a:ln>
            <a:effectLst/>
          </c:spPr>
          <c:marker>
            <c:symbol val="none"/>
          </c:marker>
          <c:val>
            <c:numRef>
              <c:f>'Cumulative Defaults'!$E$51:$BA$51</c:f>
              <c:numCache>
                <c:formatCode>0.00%</c:formatCode>
                <c:ptCount val="49"/>
                <c:pt idx="0">
                  <c:v>0</c:v>
                </c:pt>
                <c:pt idx="1">
                  <c:v>2.2991113010936815E-4</c:v>
                </c:pt>
                <c:pt idx="2">
                  <c:v>6.3205723202610069E-4</c:v>
                </c:pt>
                <c:pt idx="3">
                  <c:v>1.4540875825189363E-3</c:v>
                </c:pt>
                <c:pt idx="4">
                  <c:v>1.9471738006917453E-3</c:v>
                </c:pt>
                <c:pt idx="5">
                  <c:v>2.9918844566225074E-3</c:v>
                </c:pt>
                <c:pt idx="6">
                  <c:v>4.0284325610132699E-3</c:v>
                </c:pt>
                <c:pt idx="7">
                  <c:v>5.5035222034066529E-3</c:v>
                </c:pt>
              </c:numCache>
            </c:numRef>
          </c:val>
          <c:smooth val="0"/>
          <c:extLst>
            <c:ext xmlns:c16="http://schemas.microsoft.com/office/drawing/2014/chart" uri="{C3380CC4-5D6E-409C-BE32-E72D297353CC}">
              <c16:uniqueId val="{00000029-A47E-49B0-A31A-46E9DA201EF3}"/>
            </c:ext>
          </c:extLst>
        </c:ser>
        <c:ser>
          <c:idx val="42"/>
          <c:order val="42"/>
          <c:tx>
            <c:strRef>
              <c:f>'Cumulative Defaults'!$C$52</c:f>
              <c:strCache>
                <c:ptCount val="1"/>
                <c:pt idx="0">
                  <c:v>2023Q3</c:v>
                </c:pt>
              </c:strCache>
            </c:strRef>
          </c:tx>
          <c:spPr>
            <a:ln w="28575" cap="rnd">
              <a:solidFill>
                <a:schemeClr val="accent1">
                  <a:lumMod val="70000"/>
                </a:schemeClr>
              </a:solidFill>
              <a:round/>
            </a:ln>
            <a:effectLst/>
          </c:spPr>
          <c:marker>
            <c:symbol val="none"/>
          </c:marker>
          <c:val>
            <c:numRef>
              <c:f>'Cumulative Defaults'!$E$52:$BA$52</c:f>
              <c:numCache>
                <c:formatCode>0.00%</c:formatCode>
                <c:ptCount val="49"/>
                <c:pt idx="0">
                  <c:v>4.8710447764764177E-5</c:v>
                </c:pt>
                <c:pt idx="1">
                  <c:v>3.7708479712021307E-4</c:v>
                </c:pt>
                <c:pt idx="2">
                  <c:v>1.1683012674582893E-3</c:v>
                </c:pt>
                <c:pt idx="3">
                  <c:v>1.7304304810116325E-3</c:v>
                </c:pt>
                <c:pt idx="4">
                  <c:v>2.4550711280729586E-3</c:v>
                </c:pt>
                <c:pt idx="5">
                  <c:v>3.3796821038652972E-3</c:v>
                </c:pt>
                <c:pt idx="6">
                  <c:v>4.4577932823426925E-3</c:v>
                </c:pt>
              </c:numCache>
            </c:numRef>
          </c:val>
          <c:smooth val="0"/>
          <c:extLst>
            <c:ext xmlns:c16="http://schemas.microsoft.com/office/drawing/2014/chart" uri="{C3380CC4-5D6E-409C-BE32-E72D297353CC}">
              <c16:uniqueId val="{0000002A-A47E-49B0-A31A-46E9DA201EF3}"/>
            </c:ext>
          </c:extLst>
        </c:ser>
        <c:ser>
          <c:idx val="43"/>
          <c:order val="43"/>
          <c:tx>
            <c:strRef>
              <c:f>'Cumulative Defaults'!$C$53</c:f>
              <c:strCache>
                <c:ptCount val="1"/>
                <c:pt idx="0">
                  <c:v>2023Q4</c:v>
                </c:pt>
              </c:strCache>
            </c:strRef>
          </c:tx>
          <c:spPr>
            <a:ln w="28575" cap="rnd">
              <a:solidFill>
                <a:schemeClr val="accent2">
                  <a:lumMod val="70000"/>
                </a:schemeClr>
              </a:solidFill>
              <a:round/>
            </a:ln>
            <a:effectLst/>
          </c:spPr>
          <c:marker>
            <c:symbol val="none"/>
          </c:marker>
          <c:val>
            <c:numRef>
              <c:f>'Cumulative Defaults'!$E$53:$BA$53</c:f>
              <c:numCache>
                <c:formatCode>0.00%</c:formatCode>
                <c:ptCount val="49"/>
                <c:pt idx="0">
                  <c:v>0</c:v>
                </c:pt>
                <c:pt idx="1">
                  <c:v>1.4147009033611875E-4</c:v>
                </c:pt>
                <c:pt idx="2">
                  <c:v>5.8958679618035799E-4</c:v>
                </c:pt>
                <c:pt idx="3">
                  <c:v>1.1312123607362923E-3</c:v>
                </c:pt>
                <c:pt idx="4">
                  <c:v>1.9830128480351206E-3</c:v>
                </c:pt>
                <c:pt idx="5">
                  <c:v>3.0055514760054065E-3</c:v>
                </c:pt>
              </c:numCache>
            </c:numRef>
          </c:val>
          <c:smooth val="0"/>
          <c:extLst xmlns:c15="http://schemas.microsoft.com/office/drawing/2012/chart">
            <c:ext xmlns:c16="http://schemas.microsoft.com/office/drawing/2014/chart" uri="{C3380CC4-5D6E-409C-BE32-E72D297353CC}">
              <c16:uniqueId val="{0000002B-A47E-49B0-A31A-46E9DA201EF3}"/>
            </c:ext>
          </c:extLst>
        </c:ser>
        <c:ser>
          <c:idx val="44"/>
          <c:order val="44"/>
          <c:tx>
            <c:strRef>
              <c:f>'Cumulative Defaults'!$C$54</c:f>
              <c:strCache>
                <c:ptCount val="1"/>
                <c:pt idx="0">
                  <c:v>2024Q1</c:v>
                </c:pt>
              </c:strCache>
            </c:strRef>
          </c:tx>
          <c:spPr>
            <a:ln w="28575" cap="rnd">
              <a:solidFill>
                <a:schemeClr val="accent3">
                  <a:lumMod val="70000"/>
                </a:schemeClr>
              </a:solidFill>
              <a:round/>
            </a:ln>
            <a:effectLst/>
          </c:spPr>
          <c:marker>
            <c:symbol val="none"/>
          </c:marker>
          <c:val>
            <c:numRef>
              <c:f>'Cumulative Defaults'!$E$54:$BA$54</c:f>
              <c:numCache>
                <c:formatCode>0.00%</c:formatCode>
                <c:ptCount val="49"/>
                <c:pt idx="0">
                  <c:v>2.6530022802706065E-5</c:v>
                </c:pt>
                <c:pt idx="1">
                  <c:v>1.5689722725897509E-4</c:v>
                </c:pt>
                <c:pt idx="2">
                  <c:v>7.834672873973694E-4</c:v>
                </c:pt>
                <c:pt idx="3">
                  <c:v>1.607516335310259E-3</c:v>
                </c:pt>
                <c:pt idx="4">
                  <c:v>2.9542269119402762E-3</c:v>
                </c:pt>
              </c:numCache>
            </c:numRef>
          </c:val>
          <c:smooth val="0"/>
          <c:extLst>
            <c:ext xmlns:c16="http://schemas.microsoft.com/office/drawing/2014/chart" uri="{C3380CC4-5D6E-409C-BE32-E72D297353CC}">
              <c16:uniqueId val="{0000002C-A47E-49B0-A31A-46E9DA201EF3}"/>
            </c:ext>
          </c:extLst>
        </c:ser>
        <c:ser>
          <c:idx val="45"/>
          <c:order val="45"/>
          <c:tx>
            <c:strRef>
              <c:f>'Cumulative Defaults'!$C$55</c:f>
              <c:strCache>
                <c:ptCount val="1"/>
                <c:pt idx="0">
                  <c:v>2024Q2</c:v>
                </c:pt>
              </c:strCache>
            </c:strRef>
          </c:tx>
          <c:spPr>
            <a:ln w="28575" cap="rnd">
              <a:solidFill>
                <a:schemeClr val="accent4">
                  <a:lumMod val="70000"/>
                </a:schemeClr>
              </a:solidFill>
              <a:round/>
            </a:ln>
            <a:effectLst/>
          </c:spPr>
          <c:marker>
            <c:symbol val="none"/>
          </c:marker>
          <c:val>
            <c:numRef>
              <c:f>'Cumulative Defaults'!$E$55:$BA$55</c:f>
              <c:numCache>
                <c:formatCode>0.00%</c:formatCode>
                <c:ptCount val="49"/>
                <c:pt idx="0">
                  <c:v>0</c:v>
                </c:pt>
                <c:pt idx="1">
                  <c:v>1.674777076232367E-4</c:v>
                </c:pt>
                <c:pt idx="2">
                  <c:v>7.6545260629447189E-4</c:v>
                </c:pt>
                <c:pt idx="3">
                  <c:v>1.8063792518948814E-3</c:v>
                </c:pt>
              </c:numCache>
            </c:numRef>
          </c:val>
          <c:smooth val="0"/>
          <c:extLst>
            <c:ext xmlns:c16="http://schemas.microsoft.com/office/drawing/2014/chart" uri="{C3380CC4-5D6E-409C-BE32-E72D297353CC}">
              <c16:uniqueId val="{0000002D-A47E-49B0-A31A-46E9DA201EF3}"/>
            </c:ext>
          </c:extLst>
        </c:ser>
        <c:ser>
          <c:idx val="46"/>
          <c:order val="46"/>
          <c:tx>
            <c:strRef>
              <c:f>'Cumulative Defaults'!$C$56</c:f>
              <c:strCache>
                <c:ptCount val="1"/>
                <c:pt idx="0">
                  <c:v>2024Q3</c:v>
                </c:pt>
              </c:strCache>
            </c:strRef>
          </c:tx>
          <c:spPr>
            <a:ln w="28575" cap="rnd">
              <a:solidFill>
                <a:schemeClr val="accent5">
                  <a:lumMod val="70000"/>
                </a:schemeClr>
              </a:solidFill>
              <a:round/>
            </a:ln>
            <a:effectLst/>
          </c:spPr>
          <c:marker>
            <c:symbol val="none"/>
          </c:marker>
          <c:val>
            <c:numRef>
              <c:f>'Cumulative Defaults'!$E$56:$BA$56</c:f>
              <c:numCache>
                <c:formatCode>0.00%</c:formatCode>
                <c:ptCount val="49"/>
                <c:pt idx="0">
                  <c:v>5.973348019328587E-5</c:v>
                </c:pt>
                <c:pt idx="1">
                  <c:v>3.4022648945046784E-4</c:v>
                </c:pt>
                <c:pt idx="2">
                  <c:v>9.9260956725011492E-4</c:v>
                </c:pt>
              </c:numCache>
            </c:numRef>
          </c:val>
          <c:smooth val="0"/>
          <c:extLst>
            <c:ext xmlns:c16="http://schemas.microsoft.com/office/drawing/2014/chart" uri="{C3380CC4-5D6E-409C-BE32-E72D297353CC}">
              <c16:uniqueId val="{0000002E-A47E-49B0-A31A-46E9DA201EF3}"/>
            </c:ext>
          </c:extLst>
        </c:ser>
        <c:ser>
          <c:idx val="47"/>
          <c:order val="47"/>
          <c:tx>
            <c:strRef>
              <c:f>'Cumulative Defaults'!$C$57</c:f>
              <c:strCache>
                <c:ptCount val="1"/>
                <c:pt idx="0">
                  <c:v>2024Q4</c:v>
                </c:pt>
              </c:strCache>
            </c:strRef>
          </c:tx>
          <c:spPr>
            <a:ln w="28575" cap="rnd">
              <a:solidFill>
                <a:schemeClr val="accent6">
                  <a:lumMod val="70000"/>
                </a:schemeClr>
              </a:solidFill>
              <a:round/>
            </a:ln>
            <a:effectLst/>
          </c:spPr>
          <c:marker>
            <c:symbol val="none"/>
          </c:marker>
          <c:val>
            <c:numRef>
              <c:f>'Cumulative Defaults'!$E$57:$BA$57</c:f>
              <c:numCache>
                <c:formatCode>0.00%</c:formatCode>
                <c:ptCount val="49"/>
                <c:pt idx="0">
                  <c:v>2.1610144885750974E-5</c:v>
                </c:pt>
                <c:pt idx="1">
                  <c:v>1.4140582230032846E-4</c:v>
                </c:pt>
              </c:numCache>
            </c:numRef>
          </c:val>
          <c:smooth val="0"/>
          <c:extLst>
            <c:ext xmlns:c16="http://schemas.microsoft.com/office/drawing/2014/chart" uri="{C3380CC4-5D6E-409C-BE32-E72D297353CC}">
              <c16:uniqueId val="{0000002F-A47E-49B0-A31A-46E9DA201EF3}"/>
            </c:ext>
          </c:extLst>
        </c:ser>
        <c:ser>
          <c:idx val="48"/>
          <c:order val="48"/>
          <c:tx>
            <c:strRef>
              <c:f>'Cumulative Defaults'!$C$58</c:f>
              <c:strCache>
                <c:ptCount val="1"/>
                <c:pt idx="0">
                  <c:v>2025Q1</c:v>
                </c:pt>
              </c:strCache>
            </c:strRef>
          </c:tx>
          <c:spPr>
            <a:ln w="28575" cap="rnd">
              <a:solidFill>
                <a:schemeClr val="accent1">
                  <a:lumMod val="50000"/>
                  <a:lumOff val="50000"/>
                </a:schemeClr>
              </a:solidFill>
              <a:round/>
            </a:ln>
            <a:effectLst/>
          </c:spPr>
          <c:marker>
            <c:symbol val="none"/>
          </c:marker>
          <c:val>
            <c:numRef>
              <c:f>'Cumulative Defaults'!$E$58:$BA$58</c:f>
              <c:numCache>
                <c:formatCode>General</c:formatCode>
                <c:ptCount val="49"/>
                <c:pt idx="0" formatCode="0.00%">
                  <c:v>0</c:v>
                </c:pt>
              </c:numCache>
            </c:numRef>
          </c:val>
          <c:smooth val="0"/>
          <c:extLst>
            <c:ext xmlns:c16="http://schemas.microsoft.com/office/drawing/2014/chart" uri="{C3380CC4-5D6E-409C-BE32-E72D297353CC}">
              <c16:uniqueId val="{00000030-A47E-49B0-A31A-46E9DA201EF3}"/>
            </c:ext>
          </c:extLst>
        </c:ser>
        <c:dLbls>
          <c:showLegendKey val="0"/>
          <c:showVal val="0"/>
          <c:showCatName val="0"/>
          <c:showSerName val="0"/>
          <c:showPercent val="0"/>
          <c:showBubbleSize val="0"/>
        </c:dLbls>
        <c:smooth val="0"/>
        <c:axId val="935825648"/>
        <c:axId val="935824664"/>
        <c:extLst/>
      </c:lineChart>
      <c:catAx>
        <c:axId val="93582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35824664"/>
        <c:crosses val="autoZero"/>
        <c:auto val="1"/>
        <c:lblAlgn val="ctr"/>
        <c:lblOffset val="100"/>
        <c:noMultiLvlLbl val="0"/>
      </c:catAx>
      <c:valAx>
        <c:axId val="935824664"/>
        <c:scaling>
          <c:orientation val="minMax"/>
          <c:max val="5.000000000000001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3582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Cumulative recoveries - Total Portfolio</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'Cumulative recoveries'!$C$9</c:f>
              <c:strCache>
                <c:ptCount val="1"/>
                <c:pt idx="0">
                  <c:v>2013Q1</c:v>
                </c:pt>
              </c:strCache>
            </c:strRef>
          </c:tx>
          <c:spPr>
            <a:ln w="28575" cap="rnd">
              <a:solidFill>
                <a:schemeClr val="accent1"/>
              </a:solidFill>
              <a:round/>
            </a:ln>
            <a:effectLst/>
          </c:spPr>
          <c:marker>
            <c:symbol val="none"/>
          </c:marker>
          <c:val>
            <c:numRef>
              <c:f>'Cumulative recoveries'!$E$9:$BA$9</c:f>
              <c:numCache>
                <c:formatCode>0.00%</c:formatCode>
                <c:ptCount val="49"/>
                <c:pt idx="0">
                  <c:v>0.41795873119405103</c:v>
                </c:pt>
                <c:pt idx="1">
                  <c:v>0.5238130370730365</c:v>
                </c:pt>
                <c:pt idx="2">
                  <c:v>0.53782339901980714</c:v>
                </c:pt>
                <c:pt idx="3">
                  <c:v>0.54168516477373985</c:v>
                </c:pt>
                <c:pt idx="4">
                  <c:v>0.54538480741026529</c:v>
                </c:pt>
                <c:pt idx="5">
                  <c:v>0.54777379707959184</c:v>
                </c:pt>
                <c:pt idx="6">
                  <c:v>0.55365546548600286</c:v>
                </c:pt>
                <c:pt idx="7">
                  <c:v>0.55559937135649595</c:v>
                </c:pt>
                <c:pt idx="8">
                  <c:v>0.55849552561741789</c:v>
                </c:pt>
                <c:pt idx="9">
                  <c:v>0.56070167064818222</c:v>
                </c:pt>
                <c:pt idx="10">
                  <c:v>0.564223488186684</c:v>
                </c:pt>
                <c:pt idx="11">
                  <c:v>0.57007372247440891</c:v>
                </c:pt>
                <c:pt idx="12">
                  <c:v>0.57363742201370582</c:v>
                </c:pt>
                <c:pt idx="13">
                  <c:v>0.57539061550118764</c:v>
                </c:pt>
                <c:pt idx="14">
                  <c:v>0.57704984841708007</c:v>
                </c:pt>
                <c:pt idx="15">
                  <c:v>0.5791446588324014</c:v>
                </c:pt>
                <c:pt idx="16">
                  <c:v>0.58215268719209512</c:v>
                </c:pt>
                <c:pt idx="17">
                  <c:v>0.58358607764286297</c:v>
                </c:pt>
                <c:pt idx="18">
                  <c:v>0.5850449812990115</c:v>
                </c:pt>
                <c:pt idx="19">
                  <c:v>0.58660988170139206</c:v>
                </c:pt>
                <c:pt idx="20">
                  <c:v>0.58831265527800392</c:v>
                </c:pt>
                <c:pt idx="21">
                  <c:v>0.58948221492513875</c:v>
                </c:pt>
                <c:pt idx="22">
                  <c:v>0.59025142432897393</c:v>
                </c:pt>
                <c:pt idx="23">
                  <c:v>0.59164598538337276</c:v>
                </c:pt>
                <c:pt idx="24">
                  <c:v>0.59219887202480015</c:v>
                </c:pt>
                <c:pt idx="25">
                  <c:v>0.59258702525370732</c:v>
                </c:pt>
                <c:pt idx="26">
                  <c:v>0.59303938705123871</c:v>
                </c:pt>
                <c:pt idx="27">
                  <c:v>0.59575082020984571</c:v>
                </c:pt>
                <c:pt idx="28">
                  <c:v>0.59717112232593816</c:v>
                </c:pt>
                <c:pt idx="29">
                  <c:v>0.59757322170152183</c:v>
                </c:pt>
                <c:pt idx="30">
                  <c:v>0.59790830451450805</c:v>
                </c:pt>
                <c:pt idx="31">
                  <c:v>0.59790830451450805</c:v>
                </c:pt>
                <c:pt idx="32">
                  <c:v>0.5979225053241225</c:v>
                </c:pt>
                <c:pt idx="33">
                  <c:v>0.59800676859910418</c:v>
                </c:pt>
                <c:pt idx="34">
                  <c:v>0.59820781828689595</c:v>
                </c:pt>
                <c:pt idx="35">
                  <c:v>0.5984009600203013</c:v>
                </c:pt>
                <c:pt idx="36">
                  <c:v>0.59860200970809307</c:v>
                </c:pt>
                <c:pt idx="37">
                  <c:v>0.59880305939588485</c:v>
                </c:pt>
                <c:pt idx="38">
                  <c:v>0.59900410908367663</c:v>
                </c:pt>
                <c:pt idx="39">
                  <c:v>0.59907112564627385</c:v>
                </c:pt>
                <c:pt idx="40">
                  <c:v>0.59907112564627385</c:v>
                </c:pt>
                <c:pt idx="41">
                  <c:v>0.59907112564627385</c:v>
                </c:pt>
                <c:pt idx="42">
                  <c:v>0.59907165172629018</c:v>
                </c:pt>
                <c:pt idx="43">
                  <c:v>0.59907165172629029</c:v>
                </c:pt>
                <c:pt idx="44">
                  <c:v>0.59907165172629018</c:v>
                </c:pt>
                <c:pt idx="45">
                  <c:v>0.59907165172629029</c:v>
                </c:pt>
                <c:pt idx="46">
                  <c:v>0.59907165172629018</c:v>
                </c:pt>
                <c:pt idx="47">
                  <c:v>0.59907165172629018</c:v>
                </c:pt>
                <c:pt idx="48">
                  <c:v>0.59907165172629018</c:v>
                </c:pt>
              </c:numCache>
            </c:numRef>
          </c:val>
          <c:smooth val="0"/>
          <c:extLst>
            <c:ext xmlns:c16="http://schemas.microsoft.com/office/drawing/2014/chart" uri="{C3380CC4-5D6E-409C-BE32-E72D297353CC}">
              <c16:uniqueId val="{00000000-F6D1-4A49-989B-E82CB1D26503}"/>
            </c:ext>
          </c:extLst>
        </c:ser>
        <c:ser>
          <c:idx val="1"/>
          <c:order val="1"/>
          <c:tx>
            <c:strRef>
              <c:f>'Cumulative recoveries'!$C$10</c:f>
              <c:strCache>
                <c:ptCount val="1"/>
                <c:pt idx="0">
                  <c:v>2013Q2</c:v>
                </c:pt>
              </c:strCache>
            </c:strRef>
          </c:tx>
          <c:spPr>
            <a:ln w="28575" cap="rnd">
              <a:solidFill>
                <a:schemeClr val="accent2"/>
              </a:solidFill>
              <a:round/>
            </a:ln>
            <a:effectLst/>
          </c:spPr>
          <c:marker>
            <c:symbol val="none"/>
          </c:marker>
          <c:val>
            <c:numRef>
              <c:f>'Cumulative recoveries'!$E$10:$BA$10</c:f>
              <c:numCache>
                <c:formatCode>0.00%</c:formatCode>
                <c:ptCount val="49"/>
                <c:pt idx="0">
                  <c:v>0.32543478162261802</c:v>
                </c:pt>
                <c:pt idx="1">
                  <c:v>0.53170170226354208</c:v>
                </c:pt>
                <c:pt idx="2">
                  <c:v>0.54605587964702196</c:v>
                </c:pt>
                <c:pt idx="3">
                  <c:v>0.55493750170328882</c:v>
                </c:pt>
                <c:pt idx="4">
                  <c:v>0.56113377880856685</c:v>
                </c:pt>
                <c:pt idx="5">
                  <c:v>0.56764639896579205</c:v>
                </c:pt>
                <c:pt idx="6">
                  <c:v>0.57041489083641661</c:v>
                </c:pt>
                <c:pt idx="7">
                  <c:v>0.57432178806885226</c:v>
                </c:pt>
                <c:pt idx="8">
                  <c:v>0.57943138078576228</c:v>
                </c:pt>
                <c:pt idx="9">
                  <c:v>0.58458950762825668</c:v>
                </c:pt>
                <c:pt idx="10">
                  <c:v>0.58773640771895985</c:v>
                </c:pt>
                <c:pt idx="11">
                  <c:v>0.59044781291087534</c:v>
                </c:pt>
                <c:pt idx="12">
                  <c:v>0.59432446735664102</c:v>
                </c:pt>
                <c:pt idx="13">
                  <c:v>0.59710362610182433</c:v>
                </c:pt>
                <c:pt idx="14">
                  <c:v>0.59997618069394176</c:v>
                </c:pt>
                <c:pt idx="15">
                  <c:v>0.60300543785033889</c:v>
                </c:pt>
                <c:pt idx="16">
                  <c:v>0.60476934431093943</c:v>
                </c:pt>
                <c:pt idx="17">
                  <c:v>0.60778559593200621</c:v>
                </c:pt>
                <c:pt idx="18">
                  <c:v>0.61069345784818108</c:v>
                </c:pt>
                <c:pt idx="19">
                  <c:v>0.61461663043862946</c:v>
                </c:pt>
                <c:pt idx="20">
                  <c:v>0.61613423381791499</c:v>
                </c:pt>
                <c:pt idx="21">
                  <c:v>0.61702135146270543</c:v>
                </c:pt>
                <c:pt idx="22">
                  <c:v>0.61755618566431802</c:v>
                </c:pt>
                <c:pt idx="23">
                  <c:v>0.61769321397595478</c:v>
                </c:pt>
                <c:pt idx="24">
                  <c:v>0.6181036658436917</c:v>
                </c:pt>
                <c:pt idx="25">
                  <c:v>0.61817742124254083</c:v>
                </c:pt>
                <c:pt idx="26">
                  <c:v>0.61850834327832693</c:v>
                </c:pt>
                <c:pt idx="27">
                  <c:v>0.61879501822108685</c:v>
                </c:pt>
                <c:pt idx="28">
                  <c:v>0.61921305152919703</c:v>
                </c:pt>
                <c:pt idx="29">
                  <c:v>0.61956911186342445</c:v>
                </c:pt>
                <c:pt idx="30">
                  <c:v>0.62070380179701834</c:v>
                </c:pt>
                <c:pt idx="31">
                  <c:v>0.6209587772839813</c:v>
                </c:pt>
                <c:pt idx="32">
                  <c:v>0.62119233604700341</c:v>
                </c:pt>
                <c:pt idx="33">
                  <c:v>0.6214412605181191</c:v>
                </c:pt>
                <c:pt idx="34">
                  <c:v>0.62170559986759433</c:v>
                </c:pt>
                <c:pt idx="35">
                  <c:v>0.62177935526644335</c:v>
                </c:pt>
                <c:pt idx="36">
                  <c:v>0.6218377449571989</c:v>
                </c:pt>
                <c:pt idx="37">
                  <c:v>0.6219268660641416</c:v>
                </c:pt>
                <c:pt idx="38">
                  <c:v>0.62195759748032875</c:v>
                </c:pt>
                <c:pt idx="39">
                  <c:v>0.62195759748032875</c:v>
                </c:pt>
                <c:pt idx="40">
                  <c:v>0.62195759748032875</c:v>
                </c:pt>
                <c:pt idx="41">
                  <c:v>0.62195895580892424</c:v>
                </c:pt>
                <c:pt idx="42">
                  <c:v>0.62201054771041919</c:v>
                </c:pt>
                <c:pt idx="43">
                  <c:v>0.62201054771041919</c:v>
                </c:pt>
                <c:pt idx="44">
                  <c:v>0.62201054771041908</c:v>
                </c:pt>
                <c:pt idx="45">
                  <c:v>0.62201054771041919</c:v>
                </c:pt>
                <c:pt idx="46">
                  <c:v>0.62201054771041908</c:v>
                </c:pt>
                <c:pt idx="47">
                  <c:v>0.62201054771041919</c:v>
                </c:pt>
              </c:numCache>
            </c:numRef>
          </c:val>
          <c:smooth val="0"/>
          <c:extLst>
            <c:ext xmlns:c16="http://schemas.microsoft.com/office/drawing/2014/chart" uri="{C3380CC4-5D6E-409C-BE32-E72D297353CC}">
              <c16:uniqueId val="{00000001-F6D1-4A49-989B-E82CB1D26503}"/>
            </c:ext>
          </c:extLst>
        </c:ser>
        <c:ser>
          <c:idx val="2"/>
          <c:order val="2"/>
          <c:tx>
            <c:strRef>
              <c:f>'Cumulative recoveries'!$C$11</c:f>
              <c:strCache>
                <c:ptCount val="1"/>
                <c:pt idx="0">
                  <c:v>2013Q3</c:v>
                </c:pt>
              </c:strCache>
            </c:strRef>
          </c:tx>
          <c:spPr>
            <a:ln w="28575" cap="rnd">
              <a:solidFill>
                <a:schemeClr val="accent3"/>
              </a:solidFill>
              <a:round/>
            </a:ln>
            <a:effectLst/>
          </c:spPr>
          <c:marker>
            <c:symbol val="none"/>
          </c:marker>
          <c:val>
            <c:numRef>
              <c:f>'Cumulative recoveries'!$E$11:$BA$11</c:f>
              <c:numCache>
                <c:formatCode>0.00%</c:formatCode>
                <c:ptCount val="49"/>
                <c:pt idx="0">
                  <c:v>0.31108748733446612</c:v>
                </c:pt>
                <c:pt idx="1">
                  <c:v>0.48362102078712382</c:v>
                </c:pt>
                <c:pt idx="2">
                  <c:v>0.49938620934791667</c:v>
                </c:pt>
                <c:pt idx="3">
                  <c:v>0.50766486638012576</c:v>
                </c:pt>
                <c:pt idx="4">
                  <c:v>0.51607884486885447</c:v>
                </c:pt>
                <c:pt idx="5">
                  <c:v>0.52462885752694788</c:v>
                </c:pt>
                <c:pt idx="6">
                  <c:v>0.53016329206793844</c:v>
                </c:pt>
                <c:pt idx="7">
                  <c:v>0.53392778649341177</c:v>
                </c:pt>
                <c:pt idx="8">
                  <c:v>0.5476788446370271</c:v>
                </c:pt>
                <c:pt idx="9">
                  <c:v>0.55742092043715519</c:v>
                </c:pt>
                <c:pt idx="10">
                  <c:v>0.55971444212174903</c:v>
                </c:pt>
                <c:pt idx="11">
                  <c:v>0.56362275181781718</c:v>
                </c:pt>
                <c:pt idx="12">
                  <c:v>0.56694785485808108</c:v>
                </c:pt>
                <c:pt idx="13">
                  <c:v>0.57402687911127626</c:v>
                </c:pt>
                <c:pt idx="14">
                  <c:v>0.57573084238053118</c:v>
                </c:pt>
                <c:pt idx="15">
                  <c:v>0.58108022612201293</c:v>
                </c:pt>
                <c:pt idx="16">
                  <c:v>0.58175126484600448</c:v>
                </c:pt>
                <c:pt idx="17">
                  <c:v>0.58279347032227691</c:v>
                </c:pt>
                <c:pt idx="18">
                  <c:v>0.58362327953860316</c:v>
                </c:pt>
                <c:pt idx="19">
                  <c:v>0.58592175105306843</c:v>
                </c:pt>
                <c:pt idx="20">
                  <c:v>0.58691527275959188</c:v>
                </c:pt>
                <c:pt idx="21">
                  <c:v>0.58883669568279917</c:v>
                </c:pt>
                <c:pt idx="22">
                  <c:v>0.58951021323773112</c:v>
                </c:pt>
                <c:pt idx="23">
                  <c:v>0.58953958327257017</c:v>
                </c:pt>
                <c:pt idx="24">
                  <c:v>0.58955828219475093</c:v>
                </c:pt>
                <c:pt idx="25">
                  <c:v>0.58962985892765574</c:v>
                </c:pt>
                <c:pt idx="26">
                  <c:v>0.58962985892765574</c:v>
                </c:pt>
                <c:pt idx="27">
                  <c:v>0.58962985892765574</c:v>
                </c:pt>
                <c:pt idx="28">
                  <c:v>0.58962985892765574</c:v>
                </c:pt>
                <c:pt idx="29">
                  <c:v>0.58962985892765574</c:v>
                </c:pt>
                <c:pt idx="30">
                  <c:v>0.58962985892765574</c:v>
                </c:pt>
                <c:pt idx="31">
                  <c:v>0.58962985892765574</c:v>
                </c:pt>
                <c:pt idx="32">
                  <c:v>0.58962985892765574</c:v>
                </c:pt>
                <c:pt idx="33">
                  <c:v>0.58962985892765574</c:v>
                </c:pt>
                <c:pt idx="34">
                  <c:v>0.58962985892765574</c:v>
                </c:pt>
                <c:pt idx="35">
                  <c:v>0.58966664979129735</c:v>
                </c:pt>
                <c:pt idx="36">
                  <c:v>0.58966664979129735</c:v>
                </c:pt>
                <c:pt idx="37">
                  <c:v>0.58966664979129735</c:v>
                </c:pt>
                <c:pt idx="38">
                  <c:v>0.58966664979129746</c:v>
                </c:pt>
                <c:pt idx="39">
                  <c:v>0.58966664979129735</c:v>
                </c:pt>
                <c:pt idx="40">
                  <c:v>0.58966664979129746</c:v>
                </c:pt>
                <c:pt idx="41">
                  <c:v>0.58966664979129746</c:v>
                </c:pt>
                <c:pt idx="42">
                  <c:v>0.58966664979129746</c:v>
                </c:pt>
                <c:pt idx="43">
                  <c:v>0.58966664979129746</c:v>
                </c:pt>
                <c:pt idx="44">
                  <c:v>0.58985614525607843</c:v>
                </c:pt>
                <c:pt idx="45">
                  <c:v>0.58985614525607843</c:v>
                </c:pt>
                <c:pt idx="46">
                  <c:v>0.58985614525607832</c:v>
                </c:pt>
              </c:numCache>
            </c:numRef>
          </c:val>
          <c:smooth val="0"/>
          <c:extLst>
            <c:ext xmlns:c16="http://schemas.microsoft.com/office/drawing/2014/chart" uri="{C3380CC4-5D6E-409C-BE32-E72D297353CC}">
              <c16:uniqueId val="{00000002-F6D1-4A49-989B-E82CB1D26503}"/>
            </c:ext>
          </c:extLst>
        </c:ser>
        <c:ser>
          <c:idx val="3"/>
          <c:order val="3"/>
          <c:tx>
            <c:strRef>
              <c:f>'Cumulative recoveries'!$C$12</c:f>
              <c:strCache>
                <c:ptCount val="1"/>
                <c:pt idx="0">
                  <c:v>2013Q4</c:v>
                </c:pt>
              </c:strCache>
            </c:strRef>
          </c:tx>
          <c:spPr>
            <a:ln w="28575" cap="rnd">
              <a:solidFill>
                <a:schemeClr val="accent4"/>
              </a:solidFill>
              <a:round/>
            </a:ln>
            <a:effectLst/>
          </c:spPr>
          <c:marker>
            <c:symbol val="none"/>
          </c:marker>
          <c:val>
            <c:numRef>
              <c:f>'Cumulative recoveries'!$E$12:$BA$12</c:f>
              <c:numCache>
                <c:formatCode>0.00%</c:formatCode>
                <c:ptCount val="49"/>
                <c:pt idx="0">
                  <c:v>0.29101586227255122</c:v>
                </c:pt>
                <c:pt idx="1">
                  <c:v>0.46994439149140166</c:v>
                </c:pt>
                <c:pt idx="2">
                  <c:v>0.48275592375033799</c:v>
                </c:pt>
                <c:pt idx="3">
                  <c:v>0.50465868415075732</c:v>
                </c:pt>
                <c:pt idx="4">
                  <c:v>0.5126980207700732</c:v>
                </c:pt>
                <c:pt idx="5">
                  <c:v>0.52393502631211442</c:v>
                </c:pt>
                <c:pt idx="6">
                  <c:v>0.53153864612238833</c:v>
                </c:pt>
                <c:pt idx="7">
                  <c:v>0.53988885560167821</c:v>
                </c:pt>
                <c:pt idx="8">
                  <c:v>0.5439988169388551</c:v>
                </c:pt>
                <c:pt idx="9">
                  <c:v>0.54836884284182985</c:v>
                </c:pt>
                <c:pt idx="10">
                  <c:v>0.55230787216262978</c:v>
                </c:pt>
                <c:pt idx="11">
                  <c:v>0.55529774787047725</c:v>
                </c:pt>
                <c:pt idx="12">
                  <c:v>0.56549063638166264</c:v>
                </c:pt>
                <c:pt idx="13">
                  <c:v>0.5686237243422253</c:v>
                </c:pt>
                <c:pt idx="14">
                  <c:v>0.5713847793992185</c:v>
                </c:pt>
                <c:pt idx="15">
                  <c:v>0.57367303218449672</c:v>
                </c:pt>
                <c:pt idx="16">
                  <c:v>0.57579441818649169</c:v>
                </c:pt>
                <c:pt idx="17">
                  <c:v>0.57743659080923926</c:v>
                </c:pt>
                <c:pt idx="18">
                  <c:v>0.57864549928984621</c:v>
                </c:pt>
                <c:pt idx="19">
                  <c:v>0.57972030491483728</c:v>
                </c:pt>
                <c:pt idx="20">
                  <c:v>0.58076895350587565</c:v>
                </c:pt>
                <c:pt idx="21">
                  <c:v>0.58245005198140942</c:v>
                </c:pt>
                <c:pt idx="22">
                  <c:v>0.58309842818189594</c:v>
                </c:pt>
                <c:pt idx="23">
                  <c:v>0.58366988177123891</c:v>
                </c:pt>
                <c:pt idx="24">
                  <c:v>0.58451417942445916</c:v>
                </c:pt>
                <c:pt idx="25">
                  <c:v>0.58515812729747751</c:v>
                </c:pt>
                <c:pt idx="26">
                  <c:v>0.58568565002726547</c:v>
                </c:pt>
                <c:pt idx="27">
                  <c:v>0.58606029222668232</c:v>
                </c:pt>
                <c:pt idx="28">
                  <c:v>0.58629523564541908</c:v>
                </c:pt>
                <c:pt idx="29">
                  <c:v>0.58675810621806923</c:v>
                </c:pt>
                <c:pt idx="30">
                  <c:v>0.58699304963680587</c:v>
                </c:pt>
                <c:pt idx="31">
                  <c:v>0.58722799305554252</c:v>
                </c:pt>
                <c:pt idx="32">
                  <c:v>0.58746293647427905</c:v>
                </c:pt>
                <c:pt idx="33">
                  <c:v>0.58769787989301581</c:v>
                </c:pt>
                <c:pt idx="34">
                  <c:v>0.58793282331175245</c:v>
                </c:pt>
                <c:pt idx="35">
                  <c:v>0.58816316041558236</c:v>
                </c:pt>
                <c:pt idx="36">
                  <c:v>0.58825220753103225</c:v>
                </c:pt>
                <c:pt idx="37">
                  <c:v>0.58825220753103225</c:v>
                </c:pt>
                <c:pt idx="38">
                  <c:v>0.58825220753103225</c:v>
                </c:pt>
                <c:pt idx="39">
                  <c:v>0.58825220753103225</c:v>
                </c:pt>
                <c:pt idx="40">
                  <c:v>0.58825220753103225</c:v>
                </c:pt>
                <c:pt idx="41">
                  <c:v>0.58825220753103225</c:v>
                </c:pt>
                <c:pt idx="42">
                  <c:v>0.58825220753103225</c:v>
                </c:pt>
                <c:pt idx="43">
                  <c:v>0.58825220753103225</c:v>
                </c:pt>
                <c:pt idx="44">
                  <c:v>0.58825220753103225</c:v>
                </c:pt>
                <c:pt idx="45">
                  <c:v>0.58825220753103225</c:v>
                </c:pt>
              </c:numCache>
            </c:numRef>
          </c:val>
          <c:smooth val="0"/>
          <c:extLst>
            <c:ext xmlns:c16="http://schemas.microsoft.com/office/drawing/2014/chart" uri="{C3380CC4-5D6E-409C-BE32-E72D297353CC}">
              <c16:uniqueId val="{00000003-F6D1-4A49-989B-E82CB1D26503}"/>
            </c:ext>
          </c:extLst>
        </c:ser>
        <c:ser>
          <c:idx val="4"/>
          <c:order val="4"/>
          <c:tx>
            <c:strRef>
              <c:f>'Cumulative recoveries'!$C$13</c:f>
              <c:strCache>
                <c:ptCount val="1"/>
                <c:pt idx="0">
                  <c:v>2014Q1</c:v>
                </c:pt>
              </c:strCache>
            </c:strRef>
          </c:tx>
          <c:spPr>
            <a:ln w="28575" cap="rnd">
              <a:solidFill>
                <a:schemeClr val="accent5"/>
              </a:solidFill>
              <a:round/>
            </a:ln>
            <a:effectLst/>
          </c:spPr>
          <c:marker>
            <c:symbol val="none"/>
          </c:marker>
          <c:val>
            <c:numRef>
              <c:f>'Cumulative recoveries'!$E$13:$BA$13</c:f>
              <c:numCache>
                <c:formatCode>0.00%</c:formatCode>
                <c:ptCount val="49"/>
                <c:pt idx="0">
                  <c:v>0.2718123208123096</c:v>
                </c:pt>
                <c:pt idx="1">
                  <c:v>0.43378656404392196</c:v>
                </c:pt>
                <c:pt idx="2">
                  <c:v>0.45144546782130507</c:v>
                </c:pt>
                <c:pt idx="3">
                  <c:v>0.46429132080100116</c:v>
                </c:pt>
                <c:pt idx="4">
                  <c:v>0.47070375629467537</c:v>
                </c:pt>
                <c:pt idx="5">
                  <c:v>0.48737061143552823</c:v>
                </c:pt>
                <c:pt idx="6">
                  <c:v>0.49723722732186421</c:v>
                </c:pt>
                <c:pt idx="7">
                  <c:v>0.50235918679312086</c:v>
                </c:pt>
                <c:pt idx="8">
                  <c:v>0.50660276464913545</c:v>
                </c:pt>
                <c:pt idx="9">
                  <c:v>0.50825437714728539</c:v>
                </c:pt>
                <c:pt idx="10">
                  <c:v>0.51019216103135068</c:v>
                </c:pt>
                <c:pt idx="11">
                  <c:v>0.51465790801233591</c:v>
                </c:pt>
                <c:pt idx="12">
                  <c:v>0.51700605430865032</c:v>
                </c:pt>
                <c:pt idx="13">
                  <c:v>0.51898627206841141</c:v>
                </c:pt>
                <c:pt idx="14">
                  <c:v>0.52282970861228029</c:v>
                </c:pt>
                <c:pt idx="15">
                  <c:v>0.52410790145094877</c:v>
                </c:pt>
                <c:pt idx="16">
                  <c:v>0.52728621699252609</c:v>
                </c:pt>
                <c:pt idx="17">
                  <c:v>0.52864781742542855</c:v>
                </c:pt>
                <c:pt idx="18">
                  <c:v>0.52906522043588744</c:v>
                </c:pt>
                <c:pt idx="19">
                  <c:v>0.52966898377038429</c:v>
                </c:pt>
                <c:pt idx="20">
                  <c:v>0.52986629915650141</c:v>
                </c:pt>
                <c:pt idx="21">
                  <c:v>0.53004105200781559</c:v>
                </c:pt>
                <c:pt idx="22">
                  <c:v>0.53304002840658071</c:v>
                </c:pt>
                <c:pt idx="23">
                  <c:v>0.53368434993616942</c:v>
                </c:pt>
                <c:pt idx="24">
                  <c:v>0.53487124023512134</c:v>
                </c:pt>
                <c:pt idx="25">
                  <c:v>0.53517220347905126</c:v>
                </c:pt>
                <c:pt idx="26">
                  <c:v>0.53554112616515881</c:v>
                </c:pt>
                <c:pt idx="27">
                  <c:v>0.53575471298343158</c:v>
                </c:pt>
                <c:pt idx="28">
                  <c:v>0.53622072058693593</c:v>
                </c:pt>
                <c:pt idx="29">
                  <c:v>0.53643430740520881</c:v>
                </c:pt>
                <c:pt idx="30">
                  <c:v>0.53680323009131636</c:v>
                </c:pt>
                <c:pt idx="31">
                  <c:v>0.53701681690958913</c:v>
                </c:pt>
                <c:pt idx="32">
                  <c:v>0.53772836391937984</c:v>
                </c:pt>
                <c:pt idx="33">
                  <c:v>0.53861218617339279</c:v>
                </c:pt>
                <c:pt idx="34">
                  <c:v>0.53867043712383089</c:v>
                </c:pt>
                <c:pt idx="35">
                  <c:v>0.53877552183842115</c:v>
                </c:pt>
                <c:pt idx="36">
                  <c:v>0.53877552183842103</c:v>
                </c:pt>
                <c:pt idx="37">
                  <c:v>0.53877552183842115</c:v>
                </c:pt>
                <c:pt idx="38">
                  <c:v>0.53877552183842115</c:v>
                </c:pt>
                <c:pt idx="39">
                  <c:v>0.53877552183842103</c:v>
                </c:pt>
                <c:pt idx="40">
                  <c:v>0.53877552183842115</c:v>
                </c:pt>
                <c:pt idx="41">
                  <c:v>0.53877552183842115</c:v>
                </c:pt>
                <c:pt idx="42">
                  <c:v>0.53877552183842115</c:v>
                </c:pt>
                <c:pt idx="43">
                  <c:v>0.53877552183842103</c:v>
                </c:pt>
                <c:pt idx="44">
                  <c:v>0.53877552183842115</c:v>
                </c:pt>
              </c:numCache>
            </c:numRef>
          </c:val>
          <c:smooth val="0"/>
          <c:extLst>
            <c:ext xmlns:c16="http://schemas.microsoft.com/office/drawing/2014/chart" uri="{C3380CC4-5D6E-409C-BE32-E72D297353CC}">
              <c16:uniqueId val="{00000004-F6D1-4A49-989B-E82CB1D26503}"/>
            </c:ext>
          </c:extLst>
        </c:ser>
        <c:ser>
          <c:idx val="5"/>
          <c:order val="5"/>
          <c:tx>
            <c:strRef>
              <c:f>'Cumulative recoveries'!$C$14</c:f>
              <c:strCache>
                <c:ptCount val="1"/>
                <c:pt idx="0">
                  <c:v>2014Q2</c:v>
                </c:pt>
              </c:strCache>
            </c:strRef>
          </c:tx>
          <c:spPr>
            <a:ln w="28575" cap="rnd">
              <a:solidFill>
                <a:schemeClr val="accent6"/>
              </a:solidFill>
              <a:round/>
            </a:ln>
            <a:effectLst/>
          </c:spPr>
          <c:marker>
            <c:symbol val="none"/>
          </c:marker>
          <c:val>
            <c:numRef>
              <c:f>'Cumulative recoveries'!$E$14:$BA$14</c:f>
              <c:numCache>
                <c:formatCode>0.00%</c:formatCode>
                <c:ptCount val="49"/>
                <c:pt idx="0">
                  <c:v>0.29692604507277798</c:v>
                </c:pt>
                <c:pt idx="1">
                  <c:v>0.47145640487612561</c:v>
                </c:pt>
                <c:pt idx="2">
                  <c:v>0.48917030021224928</c:v>
                </c:pt>
                <c:pt idx="3">
                  <c:v>0.49431547660917458</c:v>
                </c:pt>
                <c:pt idx="4">
                  <c:v>0.50464191985276685</c:v>
                </c:pt>
                <c:pt idx="5">
                  <c:v>0.52448228296442601</c:v>
                </c:pt>
                <c:pt idx="6">
                  <c:v>0.53416141581079857</c:v>
                </c:pt>
                <c:pt idx="7">
                  <c:v>0.54236239615496806</c:v>
                </c:pt>
                <c:pt idx="8">
                  <c:v>0.5593732428849747</c:v>
                </c:pt>
                <c:pt idx="9">
                  <c:v>0.56801020169678851</c:v>
                </c:pt>
                <c:pt idx="10">
                  <c:v>0.57691975746569468</c:v>
                </c:pt>
                <c:pt idx="11">
                  <c:v>0.58288537063753298</c:v>
                </c:pt>
                <c:pt idx="12">
                  <c:v>0.5848387849699318</c:v>
                </c:pt>
                <c:pt idx="13">
                  <c:v>0.58810498080135554</c:v>
                </c:pt>
                <c:pt idx="14">
                  <c:v>0.59071497632349801</c:v>
                </c:pt>
                <c:pt idx="15">
                  <c:v>0.59361435185458311</c:v>
                </c:pt>
                <c:pt idx="16">
                  <c:v>0.59542557216511316</c:v>
                </c:pt>
                <c:pt idx="17">
                  <c:v>0.59756921602872048</c:v>
                </c:pt>
                <c:pt idx="18">
                  <c:v>0.60049529776326882</c:v>
                </c:pt>
                <c:pt idx="19">
                  <c:v>0.60192797556945188</c:v>
                </c:pt>
                <c:pt idx="20">
                  <c:v>0.6033919666119214</c:v>
                </c:pt>
                <c:pt idx="21">
                  <c:v>0.60514238786571239</c:v>
                </c:pt>
                <c:pt idx="22">
                  <c:v>0.60734142957695303</c:v>
                </c:pt>
                <c:pt idx="23">
                  <c:v>0.60809908590634032</c:v>
                </c:pt>
                <c:pt idx="24">
                  <c:v>0.60884069663328244</c:v>
                </c:pt>
                <c:pt idx="25">
                  <c:v>0.60958170767609299</c:v>
                </c:pt>
                <c:pt idx="26">
                  <c:v>0.61023552950844628</c:v>
                </c:pt>
                <c:pt idx="27">
                  <c:v>0.61067406473749031</c:v>
                </c:pt>
                <c:pt idx="28">
                  <c:v>0.61103063368071142</c:v>
                </c:pt>
                <c:pt idx="29">
                  <c:v>0.61128590462869914</c:v>
                </c:pt>
                <c:pt idx="30">
                  <c:v>0.61221638344179408</c:v>
                </c:pt>
                <c:pt idx="31">
                  <c:v>0.61239871983321392</c:v>
                </c:pt>
                <c:pt idx="32">
                  <c:v>0.61252027742749382</c:v>
                </c:pt>
                <c:pt idx="33">
                  <c:v>0.61258105622463377</c:v>
                </c:pt>
                <c:pt idx="34">
                  <c:v>0.61258105622463377</c:v>
                </c:pt>
                <c:pt idx="35">
                  <c:v>0.61258105622463377</c:v>
                </c:pt>
                <c:pt idx="36">
                  <c:v>0.61258105622463377</c:v>
                </c:pt>
                <c:pt idx="37">
                  <c:v>0.61258105622463377</c:v>
                </c:pt>
                <c:pt idx="38">
                  <c:v>0.61258105622463377</c:v>
                </c:pt>
                <c:pt idx="39">
                  <c:v>0.61258105622463377</c:v>
                </c:pt>
                <c:pt idx="40">
                  <c:v>0.61258105622463377</c:v>
                </c:pt>
                <c:pt idx="41">
                  <c:v>0.61258105622463377</c:v>
                </c:pt>
                <c:pt idx="42">
                  <c:v>0.61258105622463377</c:v>
                </c:pt>
                <c:pt idx="43">
                  <c:v>0.61258105622463377</c:v>
                </c:pt>
              </c:numCache>
            </c:numRef>
          </c:val>
          <c:smooth val="0"/>
          <c:extLst>
            <c:ext xmlns:c16="http://schemas.microsoft.com/office/drawing/2014/chart" uri="{C3380CC4-5D6E-409C-BE32-E72D297353CC}">
              <c16:uniqueId val="{00000005-F6D1-4A49-989B-E82CB1D26503}"/>
            </c:ext>
          </c:extLst>
        </c:ser>
        <c:ser>
          <c:idx val="6"/>
          <c:order val="6"/>
          <c:tx>
            <c:strRef>
              <c:f>'Cumulative recoveries'!$C$15</c:f>
              <c:strCache>
                <c:ptCount val="1"/>
                <c:pt idx="0">
                  <c:v>2014Q3</c:v>
                </c:pt>
              </c:strCache>
            </c:strRef>
          </c:tx>
          <c:spPr>
            <a:ln w="28575" cap="rnd">
              <a:solidFill>
                <a:schemeClr val="accent1">
                  <a:lumMod val="60000"/>
                </a:schemeClr>
              </a:solidFill>
              <a:round/>
            </a:ln>
            <a:effectLst/>
          </c:spPr>
          <c:marker>
            <c:symbol val="none"/>
          </c:marker>
          <c:val>
            <c:numRef>
              <c:f>'Cumulative recoveries'!$E$15:$BA$15</c:f>
              <c:numCache>
                <c:formatCode>0.00%</c:formatCode>
                <c:ptCount val="49"/>
                <c:pt idx="0">
                  <c:v>0.3602512521555164</c:v>
                </c:pt>
                <c:pt idx="1">
                  <c:v>0.52395775787343257</c:v>
                </c:pt>
                <c:pt idx="2">
                  <c:v>0.53629964047708834</c:v>
                </c:pt>
                <c:pt idx="3">
                  <c:v>0.55305287755008559</c:v>
                </c:pt>
                <c:pt idx="4">
                  <c:v>0.56686190942493964</c:v>
                </c:pt>
                <c:pt idx="5">
                  <c:v>0.57622477724253951</c:v>
                </c:pt>
                <c:pt idx="6">
                  <c:v>0.5825530879068338</c:v>
                </c:pt>
                <c:pt idx="7">
                  <c:v>0.5858957562934044</c:v>
                </c:pt>
                <c:pt idx="8">
                  <c:v>0.59060395648070807</c:v>
                </c:pt>
                <c:pt idx="9">
                  <c:v>0.5931614196712065</c:v>
                </c:pt>
                <c:pt idx="10">
                  <c:v>0.59682172758170282</c:v>
                </c:pt>
                <c:pt idx="11">
                  <c:v>0.60203974420909079</c:v>
                </c:pt>
                <c:pt idx="12">
                  <c:v>0.60556710764737709</c:v>
                </c:pt>
                <c:pt idx="13">
                  <c:v>0.60989516483961148</c:v>
                </c:pt>
                <c:pt idx="14">
                  <c:v>0.61280803083068436</c:v>
                </c:pt>
                <c:pt idx="15">
                  <c:v>0.61608418833095302</c:v>
                </c:pt>
                <c:pt idx="16">
                  <c:v>0.61849210373831665</c:v>
                </c:pt>
                <c:pt idx="17">
                  <c:v>0.6209440681648869</c:v>
                </c:pt>
                <c:pt idx="18">
                  <c:v>0.62258253138276998</c:v>
                </c:pt>
                <c:pt idx="19">
                  <c:v>0.62400483015172981</c:v>
                </c:pt>
                <c:pt idx="20">
                  <c:v>0.62531079589628802</c:v>
                </c:pt>
                <c:pt idx="21">
                  <c:v>0.6266552206210404</c:v>
                </c:pt>
                <c:pt idx="22">
                  <c:v>0.6274657152512485</c:v>
                </c:pt>
                <c:pt idx="23">
                  <c:v>0.62794636503217571</c:v>
                </c:pt>
                <c:pt idx="24">
                  <c:v>0.63079957952979615</c:v>
                </c:pt>
                <c:pt idx="25">
                  <c:v>0.63113897301194655</c:v>
                </c:pt>
                <c:pt idx="26">
                  <c:v>0.6317101496910329</c:v>
                </c:pt>
                <c:pt idx="27">
                  <c:v>0.63201645453614552</c:v>
                </c:pt>
                <c:pt idx="28">
                  <c:v>0.63204086518685576</c:v>
                </c:pt>
                <c:pt idx="29">
                  <c:v>0.63217979026848981</c:v>
                </c:pt>
                <c:pt idx="30">
                  <c:v>0.63238142224335669</c:v>
                </c:pt>
                <c:pt idx="31">
                  <c:v>0.63258386790658061</c:v>
                </c:pt>
                <c:pt idx="32">
                  <c:v>0.63266767780735256</c:v>
                </c:pt>
                <c:pt idx="33">
                  <c:v>0.63268395157449275</c:v>
                </c:pt>
                <c:pt idx="34">
                  <c:v>0.63268395157449275</c:v>
                </c:pt>
                <c:pt idx="35">
                  <c:v>0.63268395157449275</c:v>
                </c:pt>
                <c:pt idx="36">
                  <c:v>0.63268395157449275</c:v>
                </c:pt>
                <c:pt idx="37">
                  <c:v>0.63268395157449275</c:v>
                </c:pt>
                <c:pt idx="38">
                  <c:v>0.63268395157449275</c:v>
                </c:pt>
                <c:pt idx="39">
                  <c:v>0.63268395157449275</c:v>
                </c:pt>
                <c:pt idx="40">
                  <c:v>0.63268395157449275</c:v>
                </c:pt>
                <c:pt idx="41">
                  <c:v>0.63268395157449286</c:v>
                </c:pt>
                <c:pt idx="42">
                  <c:v>0.63268395157449275</c:v>
                </c:pt>
              </c:numCache>
            </c:numRef>
          </c:val>
          <c:smooth val="0"/>
          <c:extLst>
            <c:ext xmlns:c16="http://schemas.microsoft.com/office/drawing/2014/chart" uri="{C3380CC4-5D6E-409C-BE32-E72D297353CC}">
              <c16:uniqueId val="{00000006-F6D1-4A49-989B-E82CB1D26503}"/>
            </c:ext>
          </c:extLst>
        </c:ser>
        <c:ser>
          <c:idx val="7"/>
          <c:order val="7"/>
          <c:tx>
            <c:strRef>
              <c:f>'Cumulative recoveries'!$C$16</c:f>
              <c:strCache>
                <c:ptCount val="1"/>
                <c:pt idx="0">
                  <c:v>2014Q4</c:v>
                </c:pt>
              </c:strCache>
            </c:strRef>
          </c:tx>
          <c:spPr>
            <a:ln w="28575" cap="rnd">
              <a:solidFill>
                <a:schemeClr val="accent2">
                  <a:lumMod val="60000"/>
                </a:schemeClr>
              </a:solidFill>
              <a:round/>
            </a:ln>
            <a:effectLst/>
          </c:spPr>
          <c:marker>
            <c:symbol val="none"/>
          </c:marker>
          <c:val>
            <c:numRef>
              <c:f>'Cumulative recoveries'!$E$16:$BA$16</c:f>
              <c:numCache>
                <c:formatCode>0.00%</c:formatCode>
                <c:ptCount val="49"/>
                <c:pt idx="0">
                  <c:v>0.30921418216228574</c:v>
                </c:pt>
                <c:pt idx="1">
                  <c:v>0.46778729266189678</c:v>
                </c:pt>
                <c:pt idx="2">
                  <c:v>0.48341784344610034</c:v>
                </c:pt>
                <c:pt idx="3">
                  <c:v>0.49726700333776308</c:v>
                </c:pt>
                <c:pt idx="4">
                  <c:v>0.51196944316857051</c:v>
                </c:pt>
                <c:pt idx="5">
                  <c:v>0.52191407318274607</c:v>
                </c:pt>
                <c:pt idx="6">
                  <c:v>0.53143917932874374</c:v>
                </c:pt>
                <c:pt idx="7">
                  <c:v>0.53587429195642922</c:v>
                </c:pt>
                <c:pt idx="8">
                  <c:v>0.54752048792274455</c:v>
                </c:pt>
                <c:pt idx="9">
                  <c:v>0.55052262605324276</c:v>
                </c:pt>
                <c:pt idx="10">
                  <c:v>0.55738397393805261</c:v>
                </c:pt>
                <c:pt idx="11">
                  <c:v>0.56112099799243198</c:v>
                </c:pt>
                <c:pt idx="12">
                  <c:v>0.56455173764439159</c:v>
                </c:pt>
                <c:pt idx="13">
                  <c:v>0.5680303187194734</c:v>
                </c:pt>
                <c:pt idx="14">
                  <c:v>0.57142333135234435</c:v>
                </c:pt>
                <c:pt idx="15">
                  <c:v>0.57451704426508077</c:v>
                </c:pt>
                <c:pt idx="16">
                  <c:v>0.57517985897600354</c:v>
                </c:pt>
                <c:pt idx="17">
                  <c:v>0.5755865378431011</c:v>
                </c:pt>
                <c:pt idx="18">
                  <c:v>0.57585731961654008</c:v>
                </c:pt>
                <c:pt idx="19">
                  <c:v>0.57614365265123402</c:v>
                </c:pt>
                <c:pt idx="20">
                  <c:v>0.57642998568592818</c:v>
                </c:pt>
                <c:pt idx="21">
                  <c:v>0.57725258169676241</c:v>
                </c:pt>
                <c:pt idx="22">
                  <c:v>0.57833285650911126</c:v>
                </c:pt>
                <c:pt idx="23">
                  <c:v>0.58148948510353204</c:v>
                </c:pt>
                <c:pt idx="24">
                  <c:v>0.58181360356580747</c:v>
                </c:pt>
                <c:pt idx="25">
                  <c:v>0.5838879714591183</c:v>
                </c:pt>
                <c:pt idx="26">
                  <c:v>0.58488236144991956</c:v>
                </c:pt>
                <c:pt idx="27">
                  <c:v>0.58582628650278934</c:v>
                </c:pt>
                <c:pt idx="28">
                  <c:v>0.58856353725026456</c:v>
                </c:pt>
                <c:pt idx="29">
                  <c:v>0.58936116849772591</c:v>
                </c:pt>
                <c:pt idx="30">
                  <c:v>0.58937577062096991</c:v>
                </c:pt>
                <c:pt idx="31">
                  <c:v>0.58939037274421413</c:v>
                </c:pt>
                <c:pt idx="32">
                  <c:v>0.58969025168190425</c:v>
                </c:pt>
                <c:pt idx="33">
                  <c:v>0.58969025168190425</c:v>
                </c:pt>
                <c:pt idx="34">
                  <c:v>0.58969025168190425</c:v>
                </c:pt>
                <c:pt idx="35">
                  <c:v>0.58969025168190425</c:v>
                </c:pt>
                <c:pt idx="36">
                  <c:v>0.58969025168190425</c:v>
                </c:pt>
                <c:pt idx="37">
                  <c:v>0.58969025168190425</c:v>
                </c:pt>
                <c:pt idx="38">
                  <c:v>0.58969025168190425</c:v>
                </c:pt>
                <c:pt idx="39">
                  <c:v>0.58969025168190425</c:v>
                </c:pt>
                <c:pt idx="40">
                  <c:v>0.58969025168190425</c:v>
                </c:pt>
                <c:pt idx="41">
                  <c:v>0.58969025168190425</c:v>
                </c:pt>
              </c:numCache>
            </c:numRef>
          </c:val>
          <c:smooth val="0"/>
          <c:extLst>
            <c:ext xmlns:c16="http://schemas.microsoft.com/office/drawing/2014/chart" uri="{C3380CC4-5D6E-409C-BE32-E72D297353CC}">
              <c16:uniqueId val="{00000007-F6D1-4A49-989B-E82CB1D26503}"/>
            </c:ext>
          </c:extLst>
        </c:ser>
        <c:ser>
          <c:idx val="8"/>
          <c:order val="8"/>
          <c:tx>
            <c:strRef>
              <c:f>'Cumulative recoveries'!$C$17</c:f>
              <c:strCache>
                <c:ptCount val="1"/>
                <c:pt idx="0">
                  <c:v>2015Q1</c:v>
                </c:pt>
              </c:strCache>
            </c:strRef>
          </c:tx>
          <c:spPr>
            <a:ln w="28575" cap="rnd">
              <a:solidFill>
                <a:schemeClr val="accent3">
                  <a:lumMod val="60000"/>
                </a:schemeClr>
              </a:solidFill>
              <a:round/>
            </a:ln>
            <a:effectLst/>
          </c:spPr>
          <c:marker>
            <c:symbol val="none"/>
          </c:marker>
          <c:val>
            <c:numRef>
              <c:f>'Cumulative recoveries'!$E$17:$BA$17</c:f>
              <c:numCache>
                <c:formatCode>0.00%</c:formatCode>
                <c:ptCount val="49"/>
                <c:pt idx="0">
                  <c:v>0.2869921503945152</c:v>
                </c:pt>
                <c:pt idx="1">
                  <c:v>0.48688325805119526</c:v>
                </c:pt>
                <c:pt idx="2">
                  <c:v>0.51619710462679025</c:v>
                </c:pt>
                <c:pt idx="3">
                  <c:v>0.52959454531529937</c:v>
                </c:pt>
                <c:pt idx="4">
                  <c:v>0.53884741180632778</c:v>
                </c:pt>
                <c:pt idx="5">
                  <c:v>0.54274576802025865</c:v>
                </c:pt>
                <c:pt idx="6">
                  <c:v>0.54929356207559521</c:v>
                </c:pt>
                <c:pt idx="7">
                  <c:v>0.55743272129666799</c:v>
                </c:pt>
                <c:pt idx="8">
                  <c:v>0.56003650915538528</c:v>
                </c:pt>
                <c:pt idx="9">
                  <c:v>0.56263868086086943</c:v>
                </c:pt>
                <c:pt idx="10">
                  <c:v>0.56918676683917213</c:v>
                </c:pt>
                <c:pt idx="11">
                  <c:v>0.57292512388301065</c:v>
                </c:pt>
                <c:pt idx="12">
                  <c:v>0.57654304789559785</c:v>
                </c:pt>
                <c:pt idx="13">
                  <c:v>0.58014403614537702</c:v>
                </c:pt>
                <c:pt idx="14">
                  <c:v>0.58298024545441463</c:v>
                </c:pt>
                <c:pt idx="15">
                  <c:v>0.58769601981989394</c:v>
                </c:pt>
                <c:pt idx="16">
                  <c:v>0.58980630555807023</c:v>
                </c:pt>
                <c:pt idx="17">
                  <c:v>0.5920503300916824</c:v>
                </c:pt>
                <c:pt idx="18">
                  <c:v>0.5939531686008368</c:v>
                </c:pt>
                <c:pt idx="19">
                  <c:v>0.59570808255070395</c:v>
                </c:pt>
                <c:pt idx="20">
                  <c:v>0.59749990571734335</c:v>
                </c:pt>
                <c:pt idx="21">
                  <c:v>0.59821954659827958</c:v>
                </c:pt>
                <c:pt idx="22">
                  <c:v>0.59892528517679566</c:v>
                </c:pt>
                <c:pt idx="23">
                  <c:v>0.60065016067651589</c:v>
                </c:pt>
                <c:pt idx="24">
                  <c:v>0.60189324058971705</c:v>
                </c:pt>
                <c:pt idx="25">
                  <c:v>0.60268136913698833</c:v>
                </c:pt>
                <c:pt idx="26">
                  <c:v>0.60365966222752798</c:v>
                </c:pt>
                <c:pt idx="27">
                  <c:v>0.60436825657419191</c:v>
                </c:pt>
                <c:pt idx="28">
                  <c:v>0.60503201324555178</c:v>
                </c:pt>
                <c:pt idx="29">
                  <c:v>0.60605051555161216</c:v>
                </c:pt>
                <c:pt idx="30">
                  <c:v>0.60641100656874891</c:v>
                </c:pt>
                <c:pt idx="31">
                  <c:v>0.60645168116870851</c:v>
                </c:pt>
                <c:pt idx="32">
                  <c:v>0.60645168116870851</c:v>
                </c:pt>
                <c:pt idx="33">
                  <c:v>0.60645168116870851</c:v>
                </c:pt>
                <c:pt idx="34">
                  <c:v>0.60645168116870851</c:v>
                </c:pt>
                <c:pt idx="35">
                  <c:v>0.60645168116870851</c:v>
                </c:pt>
                <c:pt idx="36">
                  <c:v>0.60645168116870851</c:v>
                </c:pt>
                <c:pt idx="37">
                  <c:v>0.60645168116870851</c:v>
                </c:pt>
                <c:pt idx="38">
                  <c:v>0.60645168116870851</c:v>
                </c:pt>
                <c:pt idx="39">
                  <c:v>0.60645168116870851</c:v>
                </c:pt>
                <c:pt idx="40">
                  <c:v>0.60645168116870851</c:v>
                </c:pt>
              </c:numCache>
            </c:numRef>
          </c:val>
          <c:smooth val="0"/>
          <c:extLst>
            <c:ext xmlns:c16="http://schemas.microsoft.com/office/drawing/2014/chart" uri="{C3380CC4-5D6E-409C-BE32-E72D297353CC}">
              <c16:uniqueId val="{00000008-F6D1-4A49-989B-E82CB1D26503}"/>
            </c:ext>
          </c:extLst>
        </c:ser>
        <c:ser>
          <c:idx val="9"/>
          <c:order val="9"/>
          <c:tx>
            <c:strRef>
              <c:f>'Cumulative recoveries'!$C$18</c:f>
              <c:strCache>
                <c:ptCount val="1"/>
                <c:pt idx="0">
                  <c:v>2015Q2</c:v>
                </c:pt>
              </c:strCache>
            </c:strRef>
          </c:tx>
          <c:spPr>
            <a:ln w="28575" cap="rnd">
              <a:solidFill>
                <a:schemeClr val="accent4">
                  <a:lumMod val="60000"/>
                </a:schemeClr>
              </a:solidFill>
              <a:round/>
            </a:ln>
            <a:effectLst/>
          </c:spPr>
          <c:marker>
            <c:symbol val="none"/>
          </c:marker>
          <c:val>
            <c:numRef>
              <c:f>'Cumulative recoveries'!$E$18:$BA$18</c:f>
              <c:numCache>
                <c:formatCode>0.00%</c:formatCode>
                <c:ptCount val="49"/>
                <c:pt idx="0">
                  <c:v>0.35754809826511263</c:v>
                </c:pt>
                <c:pt idx="1">
                  <c:v>0.50563836147613828</c:v>
                </c:pt>
                <c:pt idx="2">
                  <c:v>0.52286880118891554</c:v>
                </c:pt>
                <c:pt idx="3">
                  <c:v>0.52761773198876061</c:v>
                </c:pt>
                <c:pt idx="4">
                  <c:v>0.5382632427153623</c:v>
                </c:pt>
                <c:pt idx="5">
                  <c:v>0.54940351497680007</c:v>
                </c:pt>
                <c:pt idx="6">
                  <c:v>0.55492704670345272</c:v>
                </c:pt>
                <c:pt idx="7">
                  <c:v>0.56327970593702426</c:v>
                </c:pt>
                <c:pt idx="8">
                  <c:v>0.56853353079560565</c:v>
                </c:pt>
                <c:pt idx="9">
                  <c:v>0.57559258239240974</c:v>
                </c:pt>
                <c:pt idx="10">
                  <c:v>0.58380900390271584</c:v>
                </c:pt>
                <c:pt idx="11">
                  <c:v>0.60240346779738374</c:v>
                </c:pt>
                <c:pt idx="12">
                  <c:v>0.60521215041721788</c:v>
                </c:pt>
                <c:pt idx="13">
                  <c:v>0.61008918357900921</c:v>
                </c:pt>
                <c:pt idx="14">
                  <c:v>0.61144813440003065</c:v>
                </c:pt>
                <c:pt idx="15">
                  <c:v>0.61433745127591777</c:v>
                </c:pt>
                <c:pt idx="16">
                  <c:v>0.61462140804098253</c:v>
                </c:pt>
                <c:pt idx="17">
                  <c:v>0.61609789803228976</c:v>
                </c:pt>
                <c:pt idx="18">
                  <c:v>0.61862214589317122</c:v>
                </c:pt>
                <c:pt idx="19">
                  <c:v>0.61971352425447224</c:v>
                </c:pt>
                <c:pt idx="20">
                  <c:v>0.62009204808752905</c:v>
                </c:pt>
                <c:pt idx="21">
                  <c:v>0.62207024708919101</c:v>
                </c:pt>
                <c:pt idx="22">
                  <c:v>0.62329117599193995</c:v>
                </c:pt>
                <c:pt idx="23">
                  <c:v>0.62469102131974352</c:v>
                </c:pt>
                <c:pt idx="24">
                  <c:v>0.62536663965086214</c:v>
                </c:pt>
                <c:pt idx="25">
                  <c:v>0.62536663965086214</c:v>
                </c:pt>
                <c:pt idx="26">
                  <c:v>0.62536663965086214</c:v>
                </c:pt>
                <c:pt idx="27">
                  <c:v>0.6253938663720191</c:v>
                </c:pt>
                <c:pt idx="28">
                  <c:v>0.62799819950587443</c:v>
                </c:pt>
                <c:pt idx="29">
                  <c:v>0.62799819950587443</c:v>
                </c:pt>
                <c:pt idx="30">
                  <c:v>0.62799819950587443</c:v>
                </c:pt>
                <c:pt idx="31">
                  <c:v>0.62799819950587443</c:v>
                </c:pt>
                <c:pt idx="32">
                  <c:v>0.62882998459255313</c:v>
                </c:pt>
                <c:pt idx="33">
                  <c:v>0.62882998459255313</c:v>
                </c:pt>
                <c:pt idx="34">
                  <c:v>0.62882998459255313</c:v>
                </c:pt>
                <c:pt idx="35">
                  <c:v>0.62882998459255313</c:v>
                </c:pt>
                <c:pt idx="36">
                  <c:v>0.62882998459255313</c:v>
                </c:pt>
                <c:pt idx="37">
                  <c:v>0.62882998459255313</c:v>
                </c:pt>
                <c:pt idx="38">
                  <c:v>0.62882998459255313</c:v>
                </c:pt>
                <c:pt idx="39">
                  <c:v>0.62882998459255313</c:v>
                </c:pt>
              </c:numCache>
            </c:numRef>
          </c:val>
          <c:smooth val="0"/>
          <c:extLst>
            <c:ext xmlns:c16="http://schemas.microsoft.com/office/drawing/2014/chart" uri="{C3380CC4-5D6E-409C-BE32-E72D297353CC}">
              <c16:uniqueId val="{00000009-F6D1-4A49-989B-E82CB1D26503}"/>
            </c:ext>
          </c:extLst>
        </c:ser>
        <c:ser>
          <c:idx val="10"/>
          <c:order val="10"/>
          <c:tx>
            <c:strRef>
              <c:f>'Cumulative recoveries'!$C$19</c:f>
              <c:strCache>
                <c:ptCount val="1"/>
                <c:pt idx="0">
                  <c:v>2015Q3</c:v>
                </c:pt>
              </c:strCache>
            </c:strRef>
          </c:tx>
          <c:spPr>
            <a:ln w="28575" cap="rnd">
              <a:solidFill>
                <a:schemeClr val="accent5">
                  <a:lumMod val="60000"/>
                </a:schemeClr>
              </a:solidFill>
              <a:round/>
            </a:ln>
            <a:effectLst/>
          </c:spPr>
          <c:marker>
            <c:symbol val="none"/>
          </c:marker>
          <c:val>
            <c:numRef>
              <c:f>'Cumulative recoveries'!$E$19:$BA$19</c:f>
              <c:numCache>
                <c:formatCode>0.00%</c:formatCode>
                <c:ptCount val="49"/>
                <c:pt idx="0">
                  <c:v>0.32375266467969399</c:v>
                </c:pt>
                <c:pt idx="1">
                  <c:v>0.47984381921922703</c:v>
                </c:pt>
                <c:pt idx="2">
                  <c:v>0.49104099983427962</c:v>
                </c:pt>
                <c:pt idx="3">
                  <c:v>0.49978455762855234</c:v>
                </c:pt>
                <c:pt idx="4">
                  <c:v>0.50651231335333191</c:v>
                </c:pt>
                <c:pt idx="5">
                  <c:v>0.5148354199741505</c:v>
                </c:pt>
                <c:pt idx="6">
                  <c:v>0.51701354335934557</c:v>
                </c:pt>
                <c:pt idx="7">
                  <c:v>0.52461162035298947</c:v>
                </c:pt>
                <c:pt idx="8">
                  <c:v>0.52661427947476336</c:v>
                </c:pt>
                <c:pt idx="9">
                  <c:v>0.53371681610751587</c:v>
                </c:pt>
                <c:pt idx="10">
                  <c:v>0.53803565375310147</c:v>
                </c:pt>
                <c:pt idx="11">
                  <c:v>0.54439560398743825</c:v>
                </c:pt>
                <c:pt idx="12">
                  <c:v>0.55075458377173747</c:v>
                </c:pt>
                <c:pt idx="13">
                  <c:v>0.55507513571485156</c:v>
                </c:pt>
                <c:pt idx="14">
                  <c:v>0.56248481239533277</c:v>
                </c:pt>
                <c:pt idx="15">
                  <c:v>0.56665246673300973</c:v>
                </c:pt>
                <c:pt idx="16">
                  <c:v>0.56966013770705737</c:v>
                </c:pt>
                <c:pt idx="17">
                  <c:v>0.5724878517758849</c:v>
                </c:pt>
                <c:pt idx="18">
                  <c:v>0.5737468900093553</c:v>
                </c:pt>
                <c:pt idx="19">
                  <c:v>0.57471358140049433</c:v>
                </c:pt>
                <c:pt idx="20">
                  <c:v>0.57576716008993578</c:v>
                </c:pt>
                <c:pt idx="21">
                  <c:v>0.57789499248815024</c:v>
                </c:pt>
                <c:pt idx="22">
                  <c:v>0.58204775509758322</c:v>
                </c:pt>
                <c:pt idx="23">
                  <c:v>0.58420710002824106</c:v>
                </c:pt>
                <c:pt idx="24">
                  <c:v>0.58663052559657791</c:v>
                </c:pt>
                <c:pt idx="25">
                  <c:v>0.58745919633209698</c:v>
                </c:pt>
                <c:pt idx="26">
                  <c:v>0.58795727858242741</c:v>
                </c:pt>
                <c:pt idx="27">
                  <c:v>0.59207117885506999</c:v>
                </c:pt>
                <c:pt idx="28">
                  <c:v>0.59218940627083427</c:v>
                </c:pt>
                <c:pt idx="29">
                  <c:v>0.59232409192810154</c:v>
                </c:pt>
                <c:pt idx="30">
                  <c:v>0.59242730446206382</c:v>
                </c:pt>
                <c:pt idx="31">
                  <c:v>0.59253902936996095</c:v>
                </c:pt>
                <c:pt idx="32">
                  <c:v>0.59261351264189255</c:v>
                </c:pt>
                <c:pt idx="33">
                  <c:v>0.59278054334965591</c:v>
                </c:pt>
                <c:pt idx="34">
                  <c:v>0.59278054334965591</c:v>
                </c:pt>
                <c:pt idx="35">
                  <c:v>0.59278054334965591</c:v>
                </c:pt>
                <c:pt idx="36">
                  <c:v>0.59278054334965591</c:v>
                </c:pt>
                <c:pt idx="37">
                  <c:v>0.59278054334965591</c:v>
                </c:pt>
                <c:pt idx="38">
                  <c:v>0.59278054334965591</c:v>
                </c:pt>
              </c:numCache>
            </c:numRef>
          </c:val>
          <c:smooth val="0"/>
          <c:extLst>
            <c:ext xmlns:c16="http://schemas.microsoft.com/office/drawing/2014/chart" uri="{C3380CC4-5D6E-409C-BE32-E72D297353CC}">
              <c16:uniqueId val="{0000000A-F6D1-4A49-989B-E82CB1D26503}"/>
            </c:ext>
          </c:extLst>
        </c:ser>
        <c:ser>
          <c:idx val="11"/>
          <c:order val="11"/>
          <c:tx>
            <c:strRef>
              <c:f>'Cumulative recoveries'!$C$20</c:f>
              <c:strCache>
                <c:ptCount val="1"/>
                <c:pt idx="0">
                  <c:v>2015Q4</c:v>
                </c:pt>
              </c:strCache>
            </c:strRef>
          </c:tx>
          <c:spPr>
            <a:ln w="28575" cap="rnd">
              <a:solidFill>
                <a:schemeClr val="accent6">
                  <a:lumMod val="60000"/>
                </a:schemeClr>
              </a:solidFill>
              <a:round/>
            </a:ln>
            <a:effectLst/>
          </c:spPr>
          <c:marker>
            <c:symbol val="none"/>
          </c:marker>
          <c:val>
            <c:numRef>
              <c:f>'Cumulative recoveries'!$E$20:$BA$20</c:f>
              <c:numCache>
                <c:formatCode>0.00%</c:formatCode>
                <c:ptCount val="49"/>
                <c:pt idx="0">
                  <c:v>0.32171733896641952</c:v>
                </c:pt>
                <c:pt idx="1">
                  <c:v>0.53931390855910544</c:v>
                </c:pt>
                <c:pt idx="2">
                  <c:v>0.54695114144616763</c:v>
                </c:pt>
                <c:pt idx="3">
                  <c:v>0.56115786224931008</c:v>
                </c:pt>
                <c:pt idx="4">
                  <c:v>0.57155620602086454</c:v>
                </c:pt>
                <c:pt idx="5">
                  <c:v>0.58167786710245861</c:v>
                </c:pt>
                <c:pt idx="6">
                  <c:v>0.58877857380956555</c:v>
                </c:pt>
                <c:pt idx="7">
                  <c:v>0.59509313125279739</c:v>
                </c:pt>
                <c:pt idx="8">
                  <c:v>0.59902130227691974</c:v>
                </c:pt>
                <c:pt idx="9">
                  <c:v>0.60435748034537751</c:v>
                </c:pt>
                <c:pt idx="10">
                  <c:v>0.61071929113050027</c:v>
                </c:pt>
                <c:pt idx="11">
                  <c:v>0.61646172440107216</c:v>
                </c:pt>
                <c:pt idx="12">
                  <c:v>0.62508373213783897</c:v>
                </c:pt>
                <c:pt idx="13">
                  <c:v>0.62945095774256477</c:v>
                </c:pt>
                <c:pt idx="14">
                  <c:v>0.63196503034132578</c:v>
                </c:pt>
                <c:pt idx="15">
                  <c:v>0.63712324695506395</c:v>
                </c:pt>
                <c:pt idx="16">
                  <c:v>0.64027771280806245</c:v>
                </c:pt>
                <c:pt idx="17">
                  <c:v>0.64284774818820012</c:v>
                </c:pt>
                <c:pt idx="18">
                  <c:v>0.64538316912935612</c:v>
                </c:pt>
                <c:pt idx="19">
                  <c:v>0.65052485063703291</c:v>
                </c:pt>
                <c:pt idx="20">
                  <c:v>0.65455284998826746</c:v>
                </c:pt>
                <c:pt idx="21">
                  <c:v>0.65622587487044237</c:v>
                </c:pt>
                <c:pt idx="22">
                  <c:v>0.6582741658852681</c:v>
                </c:pt>
                <c:pt idx="23">
                  <c:v>0.65965330301453762</c:v>
                </c:pt>
                <c:pt idx="24">
                  <c:v>0.66078340149035975</c:v>
                </c:pt>
                <c:pt idx="25">
                  <c:v>0.66270997891987804</c:v>
                </c:pt>
                <c:pt idx="26">
                  <c:v>0.66383236576433868</c:v>
                </c:pt>
                <c:pt idx="27">
                  <c:v>0.66600866130712255</c:v>
                </c:pt>
                <c:pt idx="28">
                  <c:v>0.66629634839525498</c:v>
                </c:pt>
                <c:pt idx="29">
                  <c:v>0.66629634839525498</c:v>
                </c:pt>
                <c:pt idx="30">
                  <c:v>0.66629634839525498</c:v>
                </c:pt>
                <c:pt idx="31">
                  <c:v>0.66629634839525498</c:v>
                </c:pt>
                <c:pt idx="32">
                  <c:v>0.66629634839525509</c:v>
                </c:pt>
                <c:pt idx="33">
                  <c:v>0.66629634839525509</c:v>
                </c:pt>
                <c:pt idx="34">
                  <c:v>0.66629634839525498</c:v>
                </c:pt>
                <c:pt idx="35">
                  <c:v>0.66629634839525498</c:v>
                </c:pt>
                <c:pt idx="36">
                  <c:v>0.66629634839525509</c:v>
                </c:pt>
                <c:pt idx="37">
                  <c:v>0.66629634839525509</c:v>
                </c:pt>
              </c:numCache>
            </c:numRef>
          </c:val>
          <c:smooth val="0"/>
          <c:extLst>
            <c:ext xmlns:c16="http://schemas.microsoft.com/office/drawing/2014/chart" uri="{C3380CC4-5D6E-409C-BE32-E72D297353CC}">
              <c16:uniqueId val="{0000000B-F6D1-4A49-989B-E82CB1D26503}"/>
            </c:ext>
          </c:extLst>
        </c:ser>
        <c:ser>
          <c:idx val="12"/>
          <c:order val="12"/>
          <c:tx>
            <c:strRef>
              <c:f>'Cumulative recoveries'!$C$21</c:f>
              <c:strCache>
                <c:ptCount val="1"/>
                <c:pt idx="0">
                  <c:v>2016Q1</c:v>
                </c:pt>
              </c:strCache>
            </c:strRef>
          </c:tx>
          <c:spPr>
            <a:ln w="28575" cap="rnd">
              <a:solidFill>
                <a:schemeClr val="accent1">
                  <a:lumMod val="80000"/>
                  <a:lumOff val="20000"/>
                </a:schemeClr>
              </a:solidFill>
              <a:round/>
            </a:ln>
            <a:effectLst/>
          </c:spPr>
          <c:marker>
            <c:symbol val="none"/>
          </c:marker>
          <c:val>
            <c:numRef>
              <c:f>'Cumulative recoveries'!$E$21:$BA$21</c:f>
              <c:numCache>
                <c:formatCode>0.00%</c:formatCode>
                <c:ptCount val="49"/>
                <c:pt idx="0">
                  <c:v>0.26407602041536182</c:v>
                </c:pt>
                <c:pt idx="1">
                  <c:v>0.46959630688360238</c:v>
                </c:pt>
                <c:pt idx="2">
                  <c:v>0.47687120392873261</c:v>
                </c:pt>
                <c:pt idx="3">
                  <c:v>0.48452777937188929</c:v>
                </c:pt>
                <c:pt idx="4">
                  <c:v>0.49770301401970996</c:v>
                </c:pt>
                <c:pt idx="5">
                  <c:v>0.50528288116993381</c:v>
                </c:pt>
                <c:pt idx="6">
                  <c:v>0.51428903427840744</c:v>
                </c:pt>
                <c:pt idx="7">
                  <c:v>0.53490220932841692</c:v>
                </c:pt>
                <c:pt idx="8">
                  <c:v>0.54205319853866396</c:v>
                </c:pt>
                <c:pt idx="9">
                  <c:v>0.54446931789799125</c:v>
                </c:pt>
                <c:pt idx="10">
                  <c:v>0.54916918990308872</c:v>
                </c:pt>
                <c:pt idx="11">
                  <c:v>0.5538199714926334</c:v>
                </c:pt>
                <c:pt idx="12">
                  <c:v>0.55699014343761166</c:v>
                </c:pt>
                <c:pt idx="13">
                  <c:v>0.56175592907192973</c:v>
                </c:pt>
                <c:pt idx="14">
                  <c:v>0.5638832397340704</c:v>
                </c:pt>
                <c:pt idx="15">
                  <c:v>0.57014822118818742</c:v>
                </c:pt>
                <c:pt idx="16">
                  <c:v>0.57377969955542285</c:v>
                </c:pt>
                <c:pt idx="17">
                  <c:v>0.5757153646165728</c:v>
                </c:pt>
                <c:pt idx="18">
                  <c:v>0.57714608300500214</c:v>
                </c:pt>
                <c:pt idx="19">
                  <c:v>0.57817353366798052</c:v>
                </c:pt>
                <c:pt idx="20">
                  <c:v>0.57942801707527825</c:v>
                </c:pt>
                <c:pt idx="21">
                  <c:v>0.58133718766042353</c:v>
                </c:pt>
                <c:pt idx="22">
                  <c:v>0.58231406857732515</c:v>
                </c:pt>
                <c:pt idx="23">
                  <c:v>0.5828656308457365</c:v>
                </c:pt>
                <c:pt idx="24">
                  <c:v>0.58414187042224719</c:v>
                </c:pt>
                <c:pt idx="25">
                  <c:v>0.58490387579981373</c:v>
                </c:pt>
                <c:pt idx="26">
                  <c:v>0.58541675858027142</c:v>
                </c:pt>
                <c:pt idx="27">
                  <c:v>0.58563754588031014</c:v>
                </c:pt>
                <c:pt idx="28">
                  <c:v>0.58563754588031014</c:v>
                </c:pt>
                <c:pt idx="29">
                  <c:v>0.58563754588031003</c:v>
                </c:pt>
                <c:pt idx="30">
                  <c:v>0.58563754588031003</c:v>
                </c:pt>
                <c:pt idx="31">
                  <c:v>0.58563754588031014</c:v>
                </c:pt>
                <c:pt idx="32">
                  <c:v>0.58563754588031003</c:v>
                </c:pt>
                <c:pt idx="33">
                  <c:v>0.58563754588031014</c:v>
                </c:pt>
                <c:pt idx="34">
                  <c:v>0.58563754588031014</c:v>
                </c:pt>
                <c:pt idx="35">
                  <c:v>0.58563754588031003</c:v>
                </c:pt>
                <c:pt idx="36">
                  <c:v>0.58563754588031003</c:v>
                </c:pt>
              </c:numCache>
            </c:numRef>
          </c:val>
          <c:smooth val="0"/>
          <c:extLst>
            <c:ext xmlns:c16="http://schemas.microsoft.com/office/drawing/2014/chart" uri="{C3380CC4-5D6E-409C-BE32-E72D297353CC}">
              <c16:uniqueId val="{0000000C-F6D1-4A49-989B-E82CB1D26503}"/>
            </c:ext>
          </c:extLst>
        </c:ser>
        <c:ser>
          <c:idx val="13"/>
          <c:order val="13"/>
          <c:tx>
            <c:strRef>
              <c:f>'Cumulative recoveries'!$C$22</c:f>
              <c:strCache>
                <c:ptCount val="1"/>
                <c:pt idx="0">
                  <c:v>2016Q2</c:v>
                </c:pt>
              </c:strCache>
            </c:strRef>
          </c:tx>
          <c:spPr>
            <a:ln w="28575" cap="rnd">
              <a:solidFill>
                <a:schemeClr val="accent2">
                  <a:lumMod val="80000"/>
                  <a:lumOff val="20000"/>
                </a:schemeClr>
              </a:solidFill>
              <a:round/>
            </a:ln>
            <a:effectLst/>
          </c:spPr>
          <c:marker>
            <c:symbol val="none"/>
          </c:marker>
          <c:val>
            <c:numRef>
              <c:f>'Cumulative recoveries'!$E$22:$BA$22</c:f>
              <c:numCache>
                <c:formatCode>0.00%</c:formatCode>
                <c:ptCount val="49"/>
                <c:pt idx="0">
                  <c:v>0.27599825179746318</c:v>
                </c:pt>
                <c:pt idx="1">
                  <c:v>0.51904314405091012</c:v>
                </c:pt>
                <c:pt idx="2">
                  <c:v>0.53727221346161991</c:v>
                </c:pt>
                <c:pt idx="3">
                  <c:v>0.56197302432853091</c:v>
                </c:pt>
                <c:pt idx="4">
                  <c:v>0.56901994395750155</c:v>
                </c:pt>
                <c:pt idx="5">
                  <c:v>0.57906918077648128</c:v>
                </c:pt>
                <c:pt idx="6">
                  <c:v>0.58349324456328966</c:v>
                </c:pt>
                <c:pt idx="7">
                  <c:v>0.58826582605367017</c:v>
                </c:pt>
                <c:pt idx="8">
                  <c:v>0.5934791154232385</c:v>
                </c:pt>
                <c:pt idx="9">
                  <c:v>0.59645660573586434</c:v>
                </c:pt>
                <c:pt idx="10">
                  <c:v>0.59981255682931134</c:v>
                </c:pt>
                <c:pt idx="11">
                  <c:v>0.60245508884667975</c:v>
                </c:pt>
                <c:pt idx="12">
                  <c:v>0.60547432695589809</c:v>
                </c:pt>
                <c:pt idx="13">
                  <c:v>0.60782090307640779</c:v>
                </c:pt>
                <c:pt idx="14">
                  <c:v>0.60925362633708091</c:v>
                </c:pt>
                <c:pt idx="15">
                  <c:v>0.61120444616103842</c:v>
                </c:pt>
                <c:pt idx="16">
                  <c:v>0.61335842545134167</c:v>
                </c:pt>
                <c:pt idx="17">
                  <c:v>0.61846326419889985</c:v>
                </c:pt>
                <c:pt idx="18">
                  <c:v>0.62230938962804039</c:v>
                </c:pt>
                <c:pt idx="19">
                  <c:v>0.62477073522241733</c:v>
                </c:pt>
                <c:pt idx="20">
                  <c:v>0.62710465885250766</c:v>
                </c:pt>
                <c:pt idx="21">
                  <c:v>0.6289338038114497</c:v>
                </c:pt>
                <c:pt idx="22">
                  <c:v>0.62977181566229368</c:v>
                </c:pt>
                <c:pt idx="23">
                  <c:v>0.63056336275770941</c:v>
                </c:pt>
                <c:pt idx="24">
                  <c:v>0.63104899757502464</c:v>
                </c:pt>
                <c:pt idx="25">
                  <c:v>0.63417533085831179</c:v>
                </c:pt>
                <c:pt idx="26">
                  <c:v>0.63437248692250281</c:v>
                </c:pt>
                <c:pt idx="27">
                  <c:v>0.63437248692250281</c:v>
                </c:pt>
                <c:pt idx="28">
                  <c:v>0.6343724869225027</c:v>
                </c:pt>
                <c:pt idx="29">
                  <c:v>0.6343724869225027</c:v>
                </c:pt>
                <c:pt idx="30">
                  <c:v>0.63437248692250281</c:v>
                </c:pt>
                <c:pt idx="31">
                  <c:v>0.63437248692250281</c:v>
                </c:pt>
                <c:pt idx="32">
                  <c:v>0.63437248692250281</c:v>
                </c:pt>
                <c:pt idx="33">
                  <c:v>0.6343724869225027</c:v>
                </c:pt>
                <c:pt idx="34">
                  <c:v>0.63437248692250259</c:v>
                </c:pt>
                <c:pt idx="35">
                  <c:v>0.6343724869225027</c:v>
                </c:pt>
              </c:numCache>
            </c:numRef>
          </c:val>
          <c:smooth val="0"/>
          <c:extLst>
            <c:ext xmlns:c16="http://schemas.microsoft.com/office/drawing/2014/chart" uri="{C3380CC4-5D6E-409C-BE32-E72D297353CC}">
              <c16:uniqueId val="{0000000D-F6D1-4A49-989B-E82CB1D26503}"/>
            </c:ext>
          </c:extLst>
        </c:ser>
        <c:ser>
          <c:idx val="14"/>
          <c:order val="14"/>
          <c:tx>
            <c:strRef>
              <c:f>'Cumulative recoveries'!$C$23</c:f>
              <c:strCache>
                <c:ptCount val="1"/>
                <c:pt idx="0">
                  <c:v>2016Q3</c:v>
                </c:pt>
              </c:strCache>
            </c:strRef>
          </c:tx>
          <c:spPr>
            <a:ln w="28575" cap="rnd">
              <a:solidFill>
                <a:schemeClr val="accent3">
                  <a:lumMod val="80000"/>
                  <a:lumOff val="20000"/>
                </a:schemeClr>
              </a:solidFill>
              <a:round/>
            </a:ln>
            <a:effectLst/>
          </c:spPr>
          <c:marker>
            <c:symbol val="none"/>
          </c:marker>
          <c:val>
            <c:numRef>
              <c:f>'Cumulative recoveries'!$E$23:$BA$23</c:f>
              <c:numCache>
                <c:formatCode>0.00%</c:formatCode>
                <c:ptCount val="49"/>
                <c:pt idx="0">
                  <c:v>0.29828426092235433</c:v>
                </c:pt>
                <c:pt idx="1">
                  <c:v>0.5574005829222255</c:v>
                </c:pt>
                <c:pt idx="2">
                  <c:v>0.59395739834548866</c:v>
                </c:pt>
                <c:pt idx="3">
                  <c:v>0.60604512094017704</c:v>
                </c:pt>
                <c:pt idx="4">
                  <c:v>0.60835096885034268</c:v>
                </c:pt>
                <c:pt idx="5">
                  <c:v>0.61693404101628002</c:v>
                </c:pt>
                <c:pt idx="6">
                  <c:v>0.62501376512109974</c:v>
                </c:pt>
                <c:pt idx="7">
                  <c:v>0.6306351432056212</c:v>
                </c:pt>
                <c:pt idx="8">
                  <c:v>0.63493124541625656</c:v>
                </c:pt>
                <c:pt idx="9">
                  <c:v>0.6380041593170428</c:v>
                </c:pt>
                <c:pt idx="10">
                  <c:v>0.6423749026601534</c:v>
                </c:pt>
                <c:pt idx="11">
                  <c:v>0.64631929198065186</c:v>
                </c:pt>
                <c:pt idx="12">
                  <c:v>0.65345023000929126</c:v>
                </c:pt>
                <c:pt idx="13">
                  <c:v>0.65838864452535328</c:v>
                </c:pt>
                <c:pt idx="14">
                  <c:v>0.66185918092075557</c:v>
                </c:pt>
                <c:pt idx="15">
                  <c:v>0.66372017438622022</c:v>
                </c:pt>
                <c:pt idx="16">
                  <c:v>0.66641270595082713</c:v>
                </c:pt>
                <c:pt idx="17">
                  <c:v>0.66778294778350222</c:v>
                </c:pt>
                <c:pt idx="18">
                  <c:v>0.66900615471793723</c:v>
                </c:pt>
                <c:pt idx="19">
                  <c:v>0.6696658685948792</c:v>
                </c:pt>
                <c:pt idx="20">
                  <c:v>0.67037613580640842</c:v>
                </c:pt>
                <c:pt idx="21">
                  <c:v>0.67169933193485876</c:v>
                </c:pt>
                <c:pt idx="22">
                  <c:v>0.67489639732589191</c:v>
                </c:pt>
                <c:pt idx="23">
                  <c:v>0.67572462024872681</c:v>
                </c:pt>
                <c:pt idx="24">
                  <c:v>0.67667803143042915</c:v>
                </c:pt>
                <c:pt idx="25">
                  <c:v>0.67712427030268907</c:v>
                </c:pt>
                <c:pt idx="26">
                  <c:v>0.67712427030268907</c:v>
                </c:pt>
                <c:pt idx="27">
                  <c:v>0.67712427030268907</c:v>
                </c:pt>
                <c:pt idx="28">
                  <c:v>0.67712427030268907</c:v>
                </c:pt>
                <c:pt idx="29">
                  <c:v>0.67712427030268907</c:v>
                </c:pt>
                <c:pt idx="30">
                  <c:v>0.67712427030268907</c:v>
                </c:pt>
                <c:pt idx="31">
                  <c:v>0.67712427030268907</c:v>
                </c:pt>
                <c:pt idx="32">
                  <c:v>0.67712427030268907</c:v>
                </c:pt>
                <c:pt idx="33">
                  <c:v>0.67712427030268907</c:v>
                </c:pt>
                <c:pt idx="34">
                  <c:v>0.67712427030268907</c:v>
                </c:pt>
              </c:numCache>
            </c:numRef>
          </c:val>
          <c:smooth val="0"/>
          <c:extLst>
            <c:ext xmlns:c16="http://schemas.microsoft.com/office/drawing/2014/chart" uri="{C3380CC4-5D6E-409C-BE32-E72D297353CC}">
              <c16:uniqueId val="{0000000E-F6D1-4A49-989B-E82CB1D26503}"/>
            </c:ext>
          </c:extLst>
        </c:ser>
        <c:ser>
          <c:idx val="15"/>
          <c:order val="15"/>
          <c:tx>
            <c:strRef>
              <c:f>'Cumulative recoveries'!$C$24</c:f>
              <c:strCache>
                <c:ptCount val="1"/>
                <c:pt idx="0">
                  <c:v>2016Q4</c:v>
                </c:pt>
              </c:strCache>
            </c:strRef>
          </c:tx>
          <c:spPr>
            <a:ln w="28575" cap="rnd">
              <a:solidFill>
                <a:schemeClr val="accent4">
                  <a:lumMod val="80000"/>
                  <a:lumOff val="20000"/>
                </a:schemeClr>
              </a:solidFill>
              <a:round/>
            </a:ln>
            <a:effectLst/>
          </c:spPr>
          <c:marker>
            <c:symbol val="none"/>
          </c:marker>
          <c:val>
            <c:numRef>
              <c:f>'Cumulative recoveries'!$E$24:$BA$24</c:f>
              <c:numCache>
                <c:formatCode>0.00%</c:formatCode>
                <c:ptCount val="49"/>
                <c:pt idx="0">
                  <c:v>0.30452818019933348</c:v>
                </c:pt>
                <c:pt idx="1">
                  <c:v>0.56120560044257328</c:v>
                </c:pt>
                <c:pt idx="2">
                  <c:v>0.57441780437847101</c:v>
                </c:pt>
                <c:pt idx="3">
                  <c:v>0.58996363570619714</c:v>
                </c:pt>
                <c:pt idx="4">
                  <c:v>0.60100216519388938</c:v>
                </c:pt>
                <c:pt idx="5">
                  <c:v>0.61004886209783804</c:v>
                </c:pt>
                <c:pt idx="6">
                  <c:v>0.62370471965529417</c:v>
                </c:pt>
                <c:pt idx="7">
                  <c:v>0.63141981751442888</c:v>
                </c:pt>
                <c:pt idx="8">
                  <c:v>0.63487238522300604</c:v>
                </c:pt>
                <c:pt idx="9">
                  <c:v>0.64349148169651327</c:v>
                </c:pt>
                <c:pt idx="10">
                  <c:v>0.64774066927674889</c:v>
                </c:pt>
                <c:pt idx="11">
                  <c:v>0.64997512873836882</c:v>
                </c:pt>
                <c:pt idx="12">
                  <c:v>0.65409906853200706</c:v>
                </c:pt>
                <c:pt idx="13">
                  <c:v>0.65533963808817497</c:v>
                </c:pt>
                <c:pt idx="14">
                  <c:v>0.65707726444307246</c:v>
                </c:pt>
                <c:pt idx="15">
                  <c:v>0.65837871112112845</c:v>
                </c:pt>
                <c:pt idx="16">
                  <c:v>0.65996674673568556</c:v>
                </c:pt>
                <c:pt idx="17">
                  <c:v>0.67235621146847613</c:v>
                </c:pt>
                <c:pt idx="18">
                  <c:v>0.67348953386546317</c:v>
                </c:pt>
                <c:pt idx="19">
                  <c:v>0.6740496060185045</c:v>
                </c:pt>
                <c:pt idx="20">
                  <c:v>0.67457717703871012</c:v>
                </c:pt>
                <c:pt idx="21">
                  <c:v>0.67628770376483249</c:v>
                </c:pt>
                <c:pt idx="22">
                  <c:v>0.67660908996683311</c:v>
                </c:pt>
                <c:pt idx="23">
                  <c:v>0.67678212889288736</c:v>
                </c:pt>
                <c:pt idx="24">
                  <c:v>0.67678212889288736</c:v>
                </c:pt>
                <c:pt idx="25">
                  <c:v>0.676819090707517</c:v>
                </c:pt>
                <c:pt idx="26">
                  <c:v>0.676819090707517</c:v>
                </c:pt>
                <c:pt idx="27">
                  <c:v>0.67681909070751689</c:v>
                </c:pt>
                <c:pt idx="28">
                  <c:v>0.67681909070751678</c:v>
                </c:pt>
                <c:pt idx="29">
                  <c:v>0.676819090707517</c:v>
                </c:pt>
                <c:pt idx="30">
                  <c:v>0.67681909070751689</c:v>
                </c:pt>
                <c:pt idx="31">
                  <c:v>0.676819090707517</c:v>
                </c:pt>
                <c:pt idx="32">
                  <c:v>0.67681909070751689</c:v>
                </c:pt>
                <c:pt idx="33">
                  <c:v>0.676819090707517</c:v>
                </c:pt>
              </c:numCache>
            </c:numRef>
          </c:val>
          <c:smooth val="0"/>
          <c:extLst>
            <c:ext xmlns:c16="http://schemas.microsoft.com/office/drawing/2014/chart" uri="{C3380CC4-5D6E-409C-BE32-E72D297353CC}">
              <c16:uniqueId val="{0000000F-F6D1-4A49-989B-E82CB1D26503}"/>
            </c:ext>
          </c:extLst>
        </c:ser>
        <c:ser>
          <c:idx val="16"/>
          <c:order val="16"/>
          <c:tx>
            <c:strRef>
              <c:f>'Cumulative recoveries'!$C$25</c:f>
              <c:strCache>
                <c:ptCount val="1"/>
                <c:pt idx="0">
                  <c:v>2017Q1</c:v>
                </c:pt>
              </c:strCache>
            </c:strRef>
          </c:tx>
          <c:spPr>
            <a:ln w="28575" cap="rnd">
              <a:solidFill>
                <a:schemeClr val="accent5">
                  <a:lumMod val="80000"/>
                  <a:lumOff val="20000"/>
                </a:schemeClr>
              </a:solidFill>
              <a:round/>
            </a:ln>
            <a:effectLst/>
          </c:spPr>
          <c:marker>
            <c:symbol val="none"/>
          </c:marker>
          <c:val>
            <c:numRef>
              <c:f>'Cumulative recoveries'!$E$25:$BA$25</c:f>
              <c:numCache>
                <c:formatCode>0.00%</c:formatCode>
                <c:ptCount val="49"/>
                <c:pt idx="0">
                  <c:v>0.36162271971365467</c:v>
                </c:pt>
                <c:pt idx="1">
                  <c:v>0.58396417901272524</c:v>
                </c:pt>
                <c:pt idx="2">
                  <c:v>0.59747083610932539</c:v>
                </c:pt>
                <c:pt idx="3">
                  <c:v>0.60720399360764699</c:v>
                </c:pt>
                <c:pt idx="4">
                  <c:v>0.6168017664514519</c:v>
                </c:pt>
                <c:pt idx="5">
                  <c:v>0.61921354295378095</c:v>
                </c:pt>
                <c:pt idx="6">
                  <c:v>0.62281781688423066</c:v>
                </c:pt>
                <c:pt idx="7">
                  <c:v>0.62551037491097605</c:v>
                </c:pt>
                <c:pt idx="8">
                  <c:v>0.62750329333558597</c:v>
                </c:pt>
                <c:pt idx="9">
                  <c:v>0.62926442691394202</c:v>
                </c:pt>
                <c:pt idx="10">
                  <c:v>0.6398500991439372</c:v>
                </c:pt>
                <c:pt idx="11">
                  <c:v>0.6461537707215177</c:v>
                </c:pt>
                <c:pt idx="12">
                  <c:v>0.64826844949658313</c:v>
                </c:pt>
                <c:pt idx="13">
                  <c:v>0.64911748948135417</c:v>
                </c:pt>
                <c:pt idx="14">
                  <c:v>0.65003565358138571</c:v>
                </c:pt>
                <c:pt idx="15">
                  <c:v>0.65103405961334859</c:v>
                </c:pt>
                <c:pt idx="16">
                  <c:v>0.65219822343332656</c:v>
                </c:pt>
                <c:pt idx="17">
                  <c:v>0.6533232791829281</c:v>
                </c:pt>
                <c:pt idx="18">
                  <c:v>0.65540221476109994</c:v>
                </c:pt>
                <c:pt idx="19">
                  <c:v>0.65598084252545241</c:v>
                </c:pt>
                <c:pt idx="20">
                  <c:v>0.65634056810202812</c:v>
                </c:pt>
                <c:pt idx="21">
                  <c:v>0.65846343244687211</c:v>
                </c:pt>
                <c:pt idx="22">
                  <c:v>0.65922526040464047</c:v>
                </c:pt>
                <c:pt idx="23">
                  <c:v>0.66120263860743089</c:v>
                </c:pt>
                <c:pt idx="24">
                  <c:v>0.66120263860743089</c:v>
                </c:pt>
                <c:pt idx="25">
                  <c:v>0.66120263860743089</c:v>
                </c:pt>
                <c:pt idx="26">
                  <c:v>0.66120263860743089</c:v>
                </c:pt>
                <c:pt idx="27">
                  <c:v>0.66120263860743089</c:v>
                </c:pt>
                <c:pt idx="28">
                  <c:v>0.66159165231748429</c:v>
                </c:pt>
                <c:pt idx="29">
                  <c:v>0.66159165231748429</c:v>
                </c:pt>
                <c:pt idx="30">
                  <c:v>0.66159165231748429</c:v>
                </c:pt>
                <c:pt idx="31">
                  <c:v>0.66159165231748429</c:v>
                </c:pt>
                <c:pt idx="32">
                  <c:v>0.66159165231748429</c:v>
                </c:pt>
              </c:numCache>
            </c:numRef>
          </c:val>
          <c:smooth val="0"/>
          <c:extLst>
            <c:ext xmlns:c16="http://schemas.microsoft.com/office/drawing/2014/chart" uri="{C3380CC4-5D6E-409C-BE32-E72D297353CC}">
              <c16:uniqueId val="{00000010-F6D1-4A49-989B-E82CB1D26503}"/>
            </c:ext>
          </c:extLst>
        </c:ser>
        <c:ser>
          <c:idx val="17"/>
          <c:order val="17"/>
          <c:tx>
            <c:strRef>
              <c:f>'Cumulative recoveries'!$C$26</c:f>
              <c:strCache>
                <c:ptCount val="1"/>
                <c:pt idx="0">
                  <c:v>2017Q2</c:v>
                </c:pt>
              </c:strCache>
            </c:strRef>
          </c:tx>
          <c:spPr>
            <a:ln w="28575" cap="rnd">
              <a:solidFill>
                <a:schemeClr val="accent6">
                  <a:lumMod val="80000"/>
                  <a:lumOff val="20000"/>
                </a:schemeClr>
              </a:solidFill>
              <a:round/>
            </a:ln>
            <a:effectLst/>
          </c:spPr>
          <c:marker>
            <c:symbol val="none"/>
          </c:marker>
          <c:val>
            <c:numRef>
              <c:f>'Cumulative recoveries'!$E$26:$BA$26</c:f>
              <c:numCache>
                <c:formatCode>0.00%</c:formatCode>
                <c:ptCount val="49"/>
                <c:pt idx="0">
                  <c:v>0.34265283678340919</c:v>
                </c:pt>
                <c:pt idx="1">
                  <c:v>0.56295051315154121</c:v>
                </c:pt>
                <c:pt idx="2">
                  <c:v>0.58214173768693112</c:v>
                </c:pt>
                <c:pt idx="3">
                  <c:v>0.61189094341231021</c:v>
                </c:pt>
                <c:pt idx="4">
                  <c:v>0.6195420428141194</c:v>
                </c:pt>
                <c:pt idx="5">
                  <c:v>0.63164622941055837</c:v>
                </c:pt>
                <c:pt idx="6">
                  <c:v>0.6368280595728244</c:v>
                </c:pt>
                <c:pt idx="7">
                  <c:v>0.63905432180475419</c:v>
                </c:pt>
                <c:pt idx="8">
                  <c:v>0.64273928149820292</c:v>
                </c:pt>
                <c:pt idx="9">
                  <c:v>0.64605393786348031</c:v>
                </c:pt>
                <c:pt idx="10">
                  <c:v>0.64801469709771675</c:v>
                </c:pt>
                <c:pt idx="11">
                  <c:v>0.64904631500654275</c:v>
                </c:pt>
                <c:pt idx="12">
                  <c:v>0.65035919899498673</c:v>
                </c:pt>
                <c:pt idx="13">
                  <c:v>0.65156076159638177</c:v>
                </c:pt>
                <c:pt idx="14">
                  <c:v>0.65241803889227001</c:v>
                </c:pt>
                <c:pt idx="15">
                  <c:v>0.65316604711332948</c:v>
                </c:pt>
                <c:pt idx="16">
                  <c:v>0.65447377383977468</c:v>
                </c:pt>
                <c:pt idx="17">
                  <c:v>0.65519232807029126</c:v>
                </c:pt>
                <c:pt idx="18">
                  <c:v>0.65954438192042164</c:v>
                </c:pt>
                <c:pt idx="19">
                  <c:v>0.66144518053601398</c:v>
                </c:pt>
                <c:pt idx="20">
                  <c:v>0.6659460071610338</c:v>
                </c:pt>
                <c:pt idx="21">
                  <c:v>0.66798131167140296</c:v>
                </c:pt>
                <c:pt idx="22">
                  <c:v>0.66864761800500661</c:v>
                </c:pt>
                <c:pt idx="23">
                  <c:v>0.67629334167287103</c:v>
                </c:pt>
                <c:pt idx="24">
                  <c:v>0.67629334167287103</c:v>
                </c:pt>
                <c:pt idx="25">
                  <c:v>0.67629334167287103</c:v>
                </c:pt>
                <c:pt idx="26">
                  <c:v>0.67629334167287103</c:v>
                </c:pt>
                <c:pt idx="27">
                  <c:v>0.67629334167287103</c:v>
                </c:pt>
                <c:pt idx="28">
                  <c:v>0.67629334167287103</c:v>
                </c:pt>
                <c:pt idx="29">
                  <c:v>0.67629334167287103</c:v>
                </c:pt>
                <c:pt idx="30">
                  <c:v>0.67629334167287103</c:v>
                </c:pt>
                <c:pt idx="31">
                  <c:v>0.67629334167287103</c:v>
                </c:pt>
              </c:numCache>
            </c:numRef>
          </c:val>
          <c:smooth val="0"/>
          <c:extLst>
            <c:ext xmlns:c16="http://schemas.microsoft.com/office/drawing/2014/chart" uri="{C3380CC4-5D6E-409C-BE32-E72D297353CC}">
              <c16:uniqueId val="{00000011-F6D1-4A49-989B-E82CB1D26503}"/>
            </c:ext>
          </c:extLst>
        </c:ser>
        <c:ser>
          <c:idx val="18"/>
          <c:order val="18"/>
          <c:tx>
            <c:strRef>
              <c:f>'Cumulative recoveries'!$C$27</c:f>
              <c:strCache>
                <c:ptCount val="1"/>
                <c:pt idx="0">
                  <c:v>2017Q3</c:v>
                </c:pt>
              </c:strCache>
            </c:strRef>
          </c:tx>
          <c:spPr>
            <a:ln w="28575" cap="rnd">
              <a:solidFill>
                <a:schemeClr val="accent1">
                  <a:lumMod val="80000"/>
                </a:schemeClr>
              </a:solidFill>
              <a:round/>
            </a:ln>
            <a:effectLst/>
          </c:spPr>
          <c:marker>
            <c:symbol val="none"/>
          </c:marker>
          <c:val>
            <c:numRef>
              <c:f>'Cumulative recoveries'!$E$27:$BA$27</c:f>
              <c:numCache>
                <c:formatCode>0.00%</c:formatCode>
                <c:ptCount val="49"/>
                <c:pt idx="0">
                  <c:v>0.28625037693276767</c:v>
                </c:pt>
                <c:pt idx="1">
                  <c:v>0.56668293779254542</c:v>
                </c:pt>
                <c:pt idx="2">
                  <c:v>0.60814695264483598</c:v>
                </c:pt>
                <c:pt idx="3">
                  <c:v>0.61732529707530104</c:v>
                </c:pt>
                <c:pt idx="4">
                  <c:v>0.62262829328060665</c:v>
                </c:pt>
                <c:pt idx="5">
                  <c:v>0.62585620185630786</c:v>
                </c:pt>
                <c:pt idx="6">
                  <c:v>0.63301902671159449</c:v>
                </c:pt>
                <c:pt idx="7">
                  <c:v>0.63618224674603607</c:v>
                </c:pt>
                <c:pt idx="8">
                  <c:v>0.64969622897983281</c:v>
                </c:pt>
                <c:pt idx="9">
                  <c:v>0.65436976928103807</c:v>
                </c:pt>
                <c:pt idx="10">
                  <c:v>0.65864164502861144</c:v>
                </c:pt>
                <c:pt idx="11">
                  <c:v>0.66102124031707876</c:v>
                </c:pt>
                <c:pt idx="12">
                  <c:v>0.66402668483394434</c:v>
                </c:pt>
                <c:pt idx="13">
                  <c:v>0.6671418268886159</c:v>
                </c:pt>
                <c:pt idx="14">
                  <c:v>0.66908249139859532</c:v>
                </c:pt>
                <c:pt idx="15">
                  <c:v>0.66992708219943986</c:v>
                </c:pt>
                <c:pt idx="16">
                  <c:v>0.67158544988601443</c:v>
                </c:pt>
                <c:pt idx="17">
                  <c:v>0.6731630065291665</c:v>
                </c:pt>
                <c:pt idx="18">
                  <c:v>0.67434975173456058</c:v>
                </c:pt>
                <c:pt idx="19">
                  <c:v>0.67866552800495572</c:v>
                </c:pt>
                <c:pt idx="20">
                  <c:v>0.68032421003482568</c:v>
                </c:pt>
                <c:pt idx="21">
                  <c:v>0.68089581850043124</c:v>
                </c:pt>
                <c:pt idx="22">
                  <c:v>0.68326686034239426</c:v>
                </c:pt>
                <c:pt idx="23">
                  <c:v>0.68326686034239426</c:v>
                </c:pt>
                <c:pt idx="24">
                  <c:v>0.68326686034239426</c:v>
                </c:pt>
                <c:pt idx="25">
                  <c:v>0.68537626929651108</c:v>
                </c:pt>
                <c:pt idx="26">
                  <c:v>0.68570090319845356</c:v>
                </c:pt>
                <c:pt idx="27">
                  <c:v>0.68576294463828058</c:v>
                </c:pt>
                <c:pt idx="28">
                  <c:v>0.68582498607810749</c:v>
                </c:pt>
                <c:pt idx="29">
                  <c:v>0.68588702751793462</c:v>
                </c:pt>
                <c:pt idx="30">
                  <c:v>0.68594906895776142</c:v>
                </c:pt>
              </c:numCache>
            </c:numRef>
          </c:val>
          <c:smooth val="0"/>
          <c:extLst>
            <c:ext xmlns:c16="http://schemas.microsoft.com/office/drawing/2014/chart" uri="{C3380CC4-5D6E-409C-BE32-E72D297353CC}">
              <c16:uniqueId val="{00000012-F6D1-4A49-989B-E82CB1D26503}"/>
            </c:ext>
          </c:extLst>
        </c:ser>
        <c:ser>
          <c:idx val="19"/>
          <c:order val="19"/>
          <c:tx>
            <c:strRef>
              <c:f>'Cumulative recoveries'!$C$28</c:f>
              <c:strCache>
                <c:ptCount val="1"/>
                <c:pt idx="0">
                  <c:v>2017Q4</c:v>
                </c:pt>
              </c:strCache>
            </c:strRef>
          </c:tx>
          <c:spPr>
            <a:ln w="28575" cap="rnd">
              <a:solidFill>
                <a:schemeClr val="accent2">
                  <a:lumMod val="80000"/>
                </a:schemeClr>
              </a:solidFill>
              <a:round/>
            </a:ln>
            <a:effectLst/>
          </c:spPr>
          <c:marker>
            <c:symbol val="none"/>
          </c:marker>
          <c:val>
            <c:numRef>
              <c:f>'Cumulative recoveries'!$E$28:$BA$28</c:f>
              <c:numCache>
                <c:formatCode>0.00%</c:formatCode>
                <c:ptCount val="49"/>
                <c:pt idx="0">
                  <c:v>0.36841712849669905</c:v>
                </c:pt>
                <c:pt idx="1">
                  <c:v>0.60699763171244581</c:v>
                </c:pt>
                <c:pt idx="2">
                  <c:v>0.61446689738693228</c:v>
                </c:pt>
                <c:pt idx="3">
                  <c:v>0.62169293020956529</c:v>
                </c:pt>
                <c:pt idx="4">
                  <c:v>0.63041548233902789</c:v>
                </c:pt>
                <c:pt idx="5">
                  <c:v>0.63911603533693162</c:v>
                </c:pt>
                <c:pt idx="6">
                  <c:v>0.64247786822031816</c:v>
                </c:pt>
                <c:pt idx="7">
                  <c:v>0.64937922642071</c:v>
                </c:pt>
                <c:pt idx="8">
                  <c:v>0.65508423457477627</c:v>
                </c:pt>
                <c:pt idx="9">
                  <c:v>0.65693641721886376</c:v>
                </c:pt>
                <c:pt idx="10">
                  <c:v>0.65930697537481764</c:v>
                </c:pt>
                <c:pt idx="11">
                  <c:v>0.66070632292527365</c:v>
                </c:pt>
                <c:pt idx="12">
                  <c:v>0.6614107092700664</c:v>
                </c:pt>
                <c:pt idx="13">
                  <c:v>0.6646916787438758</c:v>
                </c:pt>
                <c:pt idx="14">
                  <c:v>0.66718065806078641</c:v>
                </c:pt>
                <c:pt idx="15">
                  <c:v>0.66851365834397602</c:v>
                </c:pt>
                <c:pt idx="16">
                  <c:v>0.66988999284639084</c:v>
                </c:pt>
                <c:pt idx="17">
                  <c:v>0.67162758864748562</c:v>
                </c:pt>
                <c:pt idx="18">
                  <c:v>0.67280698772389202</c:v>
                </c:pt>
                <c:pt idx="19">
                  <c:v>0.67343479481325741</c:v>
                </c:pt>
                <c:pt idx="20">
                  <c:v>0.67392033228356552</c:v>
                </c:pt>
                <c:pt idx="21">
                  <c:v>0.67392033228356552</c:v>
                </c:pt>
                <c:pt idx="22">
                  <c:v>0.67392033228356552</c:v>
                </c:pt>
                <c:pt idx="23">
                  <c:v>0.67392033228356563</c:v>
                </c:pt>
                <c:pt idx="24">
                  <c:v>0.67392033228356563</c:v>
                </c:pt>
                <c:pt idx="25">
                  <c:v>0.67392033228356563</c:v>
                </c:pt>
                <c:pt idx="26">
                  <c:v>0.67468529656803622</c:v>
                </c:pt>
                <c:pt idx="27">
                  <c:v>0.67480367488745152</c:v>
                </c:pt>
                <c:pt idx="28">
                  <c:v>0.67480367488745152</c:v>
                </c:pt>
                <c:pt idx="29">
                  <c:v>0.67480367488745152</c:v>
                </c:pt>
              </c:numCache>
            </c:numRef>
          </c:val>
          <c:smooth val="0"/>
          <c:extLst>
            <c:ext xmlns:c16="http://schemas.microsoft.com/office/drawing/2014/chart" uri="{C3380CC4-5D6E-409C-BE32-E72D297353CC}">
              <c16:uniqueId val="{00000013-F6D1-4A49-989B-E82CB1D26503}"/>
            </c:ext>
          </c:extLst>
        </c:ser>
        <c:ser>
          <c:idx val="20"/>
          <c:order val="20"/>
          <c:tx>
            <c:strRef>
              <c:f>'Cumulative recoveries'!$C$29</c:f>
              <c:strCache>
                <c:ptCount val="1"/>
                <c:pt idx="0">
                  <c:v>2018Q1</c:v>
                </c:pt>
              </c:strCache>
            </c:strRef>
          </c:tx>
          <c:spPr>
            <a:ln w="28575" cap="rnd">
              <a:solidFill>
                <a:schemeClr val="accent3">
                  <a:lumMod val="80000"/>
                </a:schemeClr>
              </a:solidFill>
              <a:round/>
            </a:ln>
            <a:effectLst/>
          </c:spPr>
          <c:marker>
            <c:symbol val="none"/>
          </c:marker>
          <c:val>
            <c:numRef>
              <c:f>'Cumulative recoveries'!$E$29:$BA$29</c:f>
              <c:numCache>
                <c:formatCode>0.00%</c:formatCode>
                <c:ptCount val="49"/>
                <c:pt idx="0">
                  <c:v>0.35885878053207809</c:v>
                </c:pt>
                <c:pt idx="1">
                  <c:v>0.586894997829013</c:v>
                </c:pt>
                <c:pt idx="2">
                  <c:v>0.61682016540908091</c:v>
                </c:pt>
                <c:pt idx="3">
                  <c:v>0.62262109009388422</c:v>
                </c:pt>
                <c:pt idx="4">
                  <c:v>0.63314105677634458</c:v>
                </c:pt>
                <c:pt idx="5">
                  <c:v>0.64058433500184575</c:v>
                </c:pt>
                <c:pt idx="6">
                  <c:v>0.64845085585469198</c:v>
                </c:pt>
                <c:pt idx="7">
                  <c:v>0.66055905423049865</c:v>
                </c:pt>
                <c:pt idx="8">
                  <c:v>0.67323261398823164</c:v>
                </c:pt>
                <c:pt idx="9">
                  <c:v>0.68454950042030016</c:v>
                </c:pt>
                <c:pt idx="10">
                  <c:v>0.68648070486859436</c:v>
                </c:pt>
                <c:pt idx="11">
                  <c:v>0.68941533162713664</c:v>
                </c:pt>
                <c:pt idx="12">
                  <c:v>0.69482210417754631</c:v>
                </c:pt>
                <c:pt idx="13">
                  <c:v>0.69893112611833141</c:v>
                </c:pt>
                <c:pt idx="14">
                  <c:v>0.71457261713284137</c:v>
                </c:pt>
                <c:pt idx="15">
                  <c:v>0.71599288362914382</c:v>
                </c:pt>
                <c:pt idx="16">
                  <c:v>0.71795105934142689</c:v>
                </c:pt>
                <c:pt idx="17">
                  <c:v>0.71898960379628907</c:v>
                </c:pt>
                <c:pt idx="18">
                  <c:v>0.71967606281166419</c:v>
                </c:pt>
                <c:pt idx="19">
                  <c:v>0.71990021202885779</c:v>
                </c:pt>
                <c:pt idx="20">
                  <c:v>0.72011943811415369</c:v>
                </c:pt>
                <c:pt idx="21">
                  <c:v>0.72011943811415358</c:v>
                </c:pt>
                <c:pt idx="22">
                  <c:v>0.72011943811415369</c:v>
                </c:pt>
                <c:pt idx="23">
                  <c:v>0.72011943811415369</c:v>
                </c:pt>
                <c:pt idx="24">
                  <c:v>0.72024170132353182</c:v>
                </c:pt>
                <c:pt idx="25">
                  <c:v>0.72036396453291018</c:v>
                </c:pt>
                <c:pt idx="26">
                  <c:v>0.72036396453291007</c:v>
                </c:pt>
                <c:pt idx="27">
                  <c:v>0.72036396453291018</c:v>
                </c:pt>
                <c:pt idx="28">
                  <c:v>0.72036396453291007</c:v>
                </c:pt>
              </c:numCache>
            </c:numRef>
          </c:val>
          <c:smooth val="0"/>
          <c:extLst>
            <c:ext xmlns:c16="http://schemas.microsoft.com/office/drawing/2014/chart" uri="{C3380CC4-5D6E-409C-BE32-E72D297353CC}">
              <c16:uniqueId val="{00000014-F6D1-4A49-989B-E82CB1D26503}"/>
            </c:ext>
          </c:extLst>
        </c:ser>
        <c:ser>
          <c:idx val="21"/>
          <c:order val="21"/>
          <c:tx>
            <c:strRef>
              <c:f>'Cumulative recoveries'!$C$30</c:f>
              <c:strCache>
                <c:ptCount val="1"/>
                <c:pt idx="0">
                  <c:v>2018Q2</c:v>
                </c:pt>
              </c:strCache>
            </c:strRef>
          </c:tx>
          <c:spPr>
            <a:ln w="28575" cap="rnd">
              <a:solidFill>
                <a:schemeClr val="accent4">
                  <a:lumMod val="80000"/>
                </a:schemeClr>
              </a:solidFill>
              <a:round/>
            </a:ln>
            <a:effectLst/>
          </c:spPr>
          <c:marker>
            <c:symbol val="none"/>
          </c:marker>
          <c:val>
            <c:numRef>
              <c:f>'Cumulative recoveries'!$E$30:$BA$30</c:f>
              <c:numCache>
                <c:formatCode>0.00%</c:formatCode>
                <c:ptCount val="49"/>
                <c:pt idx="0">
                  <c:v>0.3558357019441013</c:v>
                </c:pt>
                <c:pt idx="1">
                  <c:v>0.60667732701088217</c:v>
                </c:pt>
                <c:pt idx="2">
                  <c:v>0.62738960400183619</c:v>
                </c:pt>
                <c:pt idx="3">
                  <c:v>0.64026859120328972</c:v>
                </c:pt>
                <c:pt idx="4">
                  <c:v>0.65321406757689926</c:v>
                </c:pt>
                <c:pt idx="5">
                  <c:v>0.65401714965670255</c:v>
                </c:pt>
                <c:pt idx="6">
                  <c:v>0.66765580228602395</c:v>
                </c:pt>
                <c:pt idx="7">
                  <c:v>0.66956861859659822</c:v>
                </c:pt>
                <c:pt idx="8">
                  <c:v>0.67405820708045472</c:v>
                </c:pt>
                <c:pt idx="9">
                  <c:v>0.67513761948433959</c:v>
                </c:pt>
                <c:pt idx="10">
                  <c:v>0.67644779308500524</c:v>
                </c:pt>
                <c:pt idx="11">
                  <c:v>0.68476626090034409</c:v>
                </c:pt>
                <c:pt idx="12">
                  <c:v>0.68689179072963569</c:v>
                </c:pt>
                <c:pt idx="13">
                  <c:v>0.68814098232755816</c:v>
                </c:pt>
                <c:pt idx="14">
                  <c:v>0.68961541355501998</c:v>
                </c:pt>
                <c:pt idx="15">
                  <c:v>0.68980329801843565</c:v>
                </c:pt>
                <c:pt idx="16">
                  <c:v>0.69418499637419495</c:v>
                </c:pt>
                <c:pt idx="17">
                  <c:v>0.70572968641327893</c:v>
                </c:pt>
                <c:pt idx="18">
                  <c:v>0.70644715180572248</c:v>
                </c:pt>
                <c:pt idx="19">
                  <c:v>0.7072383628759018</c:v>
                </c:pt>
                <c:pt idx="20">
                  <c:v>0.7072383628759018</c:v>
                </c:pt>
                <c:pt idx="21">
                  <c:v>0.7072383628759018</c:v>
                </c:pt>
                <c:pt idx="22">
                  <c:v>0.70802331808958441</c:v>
                </c:pt>
                <c:pt idx="23">
                  <c:v>0.70802331808958441</c:v>
                </c:pt>
                <c:pt idx="24">
                  <c:v>0.70802331808958441</c:v>
                </c:pt>
                <c:pt idx="25">
                  <c:v>0.71002691990796107</c:v>
                </c:pt>
                <c:pt idx="26">
                  <c:v>0.71002691990796107</c:v>
                </c:pt>
                <c:pt idx="27">
                  <c:v>0.71150709586900684</c:v>
                </c:pt>
              </c:numCache>
            </c:numRef>
          </c:val>
          <c:smooth val="0"/>
          <c:extLst>
            <c:ext xmlns:c16="http://schemas.microsoft.com/office/drawing/2014/chart" uri="{C3380CC4-5D6E-409C-BE32-E72D297353CC}">
              <c16:uniqueId val="{00000015-F6D1-4A49-989B-E82CB1D26503}"/>
            </c:ext>
          </c:extLst>
        </c:ser>
        <c:ser>
          <c:idx val="22"/>
          <c:order val="22"/>
          <c:tx>
            <c:strRef>
              <c:f>'Cumulative recoveries'!$C$31</c:f>
              <c:strCache>
                <c:ptCount val="1"/>
                <c:pt idx="0">
                  <c:v>2018Q3</c:v>
                </c:pt>
              </c:strCache>
            </c:strRef>
          </c:tx>
          <c:spPr>
            <a:ln w="28575" cap="rnd">
              <a:solidFill>
                <a:schemeClr val="accent5">
                  <a:lumMod val="80000"/>
                </a:schemeClr>
              </a:solidFill>
              <a:round/>
            </a:ln>
            <a:effectLst/>
          </c:spPr>
          <c:marker>
            <c:symbol val="none"/>
          </c:marker>
          <c:val>
            <c:numRef>
              <c:f>'Cumulative recoveries'!$E$31:$BA$31</c:f>
              <c:numCache>
                <c:formatCode>0.00%</c:formatCode>
                <c:ptCount val="49"/>
                <c:pt idx="0">
                  <c:v>0.29853173164903513</c:v>
                </c:pt>
                <c:pt idx="1">
                  <c:v>0.56313324708760137</c:v>
                </c:pt>
                <c:pt idx="2">
                  <c:v>0.59700380699180611</c:v>
                </c:pt>
                <c:pt idx="3">
                  <c:v>0.61730512845682362</c:v>
                </c:pt>
                <c:pt idx="4">
                  <c:v>0.62716874659356669</c:v>
                </c:pt>
                <c:pt idx="5">
                  <c:v>0.63257780914059625</c:v>
                </c:pt>
                <c:pt idx="6">
                  <c:v>0.63738142892704908</c:v>
                </c:pt>
                <c:pt idx="7">
                  <c:v>0.64250067775839059</c:v>
                </c:pt>
                <c:pt idx="8">
                  <c:v>0.646612323157575</c:v>
                </c:pt>
                <c:pt idx="9">
                  <c:v>0.65004725804316177</c:v>
                </c:pt>
                <c:pt idx="10">
                  <c:v>0.65083073693025062</c:v>
                </c:pt>
                <c:pt idx="11">
                  <c:v>0.65777528459765033</c:v>
                </c:pt>
                <c:pt idx="12">
                  <c:v>0.65931986747129556</c:v>
                </c:pt>
                <c:pt idx="13">
                  <c:v>0.65995105287596023</c:v>
                </c:pt>
                <c:pt idx="14">
                  <c:v>0.66425068014791366</c:v>
                </c:pt>
                <c:pt idx="15">
                  <c:v>0.66696495425507907</c:v>
                </c:pt>
                <c:pt idx="16">
                  <c:v>0.67121542216246366</c:v>
                </c:pt>
                <c:pt idx="17">
                  <c:v>0.67173679853308843</c:v>
                </c:pt>
                <c:pt idx="18">
                  <c:v>0.67173679853308843</c:v>
                </c:pt>
                <c:pt idx="19">
                  <c:v>0.67173679853308843</c:v>
                </c:pt>
                <c:pt idx="20">
                  <c:v>0.67173679853308843</c:v>
                </c:pt>
                <c:pt idx="21">
                  <c:v>0.67402745774623596</c:v>
                </c:pt>
                <c:pt idx="22">
                  <c:v>0.67603868510062881</c:v>
                </c:pt>
                <c:pt idx="23">
                  <c:v>0.67603868510062881</c:v>
                </c:pt>
                <c:pt idx="24">
                  <c:v>0.67603868510062892</c:v>
                </c:pt>
                <c:pt idx="25">
                  <c:v>0.67603868510062892</c:v>
                </c:pt>
                <c:pt idx="26">
                  <c:v>0.67603868510062881</c:v>
                </c:pt>
              </c:numCache>
            </c:numRef>
          </c:val>
          <c:smooth val="0"/>
          <c:extLst>
            <c:ext xmlns:c16="http://schemas.microsoft.com/office/drawing/2014/chart" uri="{C3380CC4-5D6E-409C-BE32-E72D297353CC}">
              <c16:uniqueId val="{00000016-F6D1-4A49-989B-E82CB1D26503}"/>
            </c:ext>
          </c:extLst>
        </c:ser>
        <c:ser>
          <c:idx val="23"/>
          <c:order val="23"/>
          <c:tx>
            <c:strRef>
              <c:f>'Cumulative recoveries'!$C$32</c:f>
              <c:strCache>
                <c:ptCount val="1"/>
                <c:pt idx="0">
                  <c:v>2018Q4</c:v>
                </c:pt>
              </c:strCache>
            </c:strRef>
          </c:tx>
          <c:spPr>
            <a:ln w="28575" cap="rnd">
              <a:solidFill>
                <a:schemeClr val="accent6">
                  <a:lumMod val="80000"/>
                </a:schemeClr>
              </a:solidFill>
              <a:round/>
            </a:ln>
            <a:effectLst/>
          </c:spPr>
          <c:marker>
            <c:symbol val="none"/>
          </c:marker>
          <c:val>
            <c:numRef>
              <c:f>'Cumulative recoveries'!$E$32:$BA$32</c:f>
              <c:numCache>
                <c:formatCode>0.00%</c:formatCode>
                <c:ptCount val="49"/>
                <c:pt idx="0">
                  <c:v>0.2640190532127652</c:v>
                </c:pt>
                <c:pt idx="1">
                  <c:v>0.59689936716569292</c:v>
                </c:pt>
                <c:pt idx="2">
                  <c:v>0.65317269920141263</c:v>
                </c:pt>
                <c:pt idx="3">
                  <c:v>0.67415693174425528</c:v>
                </c:pt>
                <c:pt idx="4">
                  <c:v>0.68848304703094487</c:v>
                </c:pt>
                <c:pt idx="5">
                  <c:v>0.70969385585421896</c:v>
                </c:pt>
                <c:pt idx="6">
                  <c:v>0.71786221044274179</c:v>
                </c:pt>
                <c:pt idx="7">
                  <c:v>0.72091170633993851</c:v>
                </c:pt>
                <c:pt idx="8">
                  <c:v>0.72370077390582788</c:v>
                </c:pt>
                <c:pt idx="9">
                  <c:v>0.72595259634842135</c:v>
                </c:pt>
                <c:pt idx="10">
                  <c:v>0.72835343319436519</c:v>
                </c:pt>
                <c:pt idx="11">
                  <c:v>0.7300754783051433</c:v>
                </c:pt>
                <c:pt idx="12">
                  <c:v>0.73179397839428451</c:v>
                </c:pt>
                <c:pt idx="13">
                  <c:v>0.73854060496113871</c:v>
                </c:pt>
                <c:pt idx="14">
                  <c:v>0.7475135341734348</c:v>
                </c:pt>
                <c:pt idx="15">
                  <c:v>0.75221633227208851</c:v>
                </c:pt>
                <c:pt idx="16">
                  <c:v>0.75383740238132768</c:v>
                </c:pt>
                <c:pt idx="17">
                  <c:v>0.75383740238132768</c:v>
                </c:pt>
                <c:pt idx="18">
                  <c:v>0.75430603535429741</c:v>
                </c:pt>
                <c:pt idx="19">
                  <c:v>0.75516817299333661</c:v>
                </c:pt>
                <c:pt idx="20">
                  <c:v>0.75603031063237569</c:v>
                </c:pt>
                <c:pt idx="21">
                  <c:v>0.75669776265693689</c:v>
                </c:pt>
                <c:pt idx="22">
                  <c:v>0.76166351709413072</c:v>
                </c:pt>
                <c:pt idx="23">
                  <c:v>0.76166351709413072</c:v>
                </c:pt>
                <c:pt idx="24">
                  <c:v>0.76203819972933751</c:v>
                </c:pt>
                <c:pt idx="25">
                  <c:v>0.76203819972933773</c:v>
                </c:pt>
              </c:numCache>
            </c:numRef>
          </c:val>
          <c:smooth val="0"/>
          <c:extLst>
            <c:ext xmlns:c16="http://schemas.microsoft.com/office/drawing/2014/chart" uri="{C3380CC4-5D6E-409C-BE32-E72D297353CC}">
              <c16:uniqueId val="{00000017-F6D1-4A49-989B-E82CB1D26503}"/>
            </c:ext>
          </c:extLst>
        </c:ser>
        <c:ser>
          <c:idx val="24"/>
          <c:order val="24"/>
          <c:tx>
            <c:strRef>
              <c:f>'Cumulative recoveries'!$C$33</c:f>
              <c:strCache>
                <c:ptCount val="1"/>
                <c:pt idx="0">
                  <c:v>2019Q1</c:v>
                </c:pt>
              </c:strCache>
            </c:strRef>
          </c:tx>
          <c:spPr>
            <a:ln w="28575" cap="rnd">
              <a:solidFill>
                <a:schemeClr val="accent1">
                  <a:lumMod val="60000"/>
                  <a:lumOff val="40000"/>
                </a:schemeClr>
              </a:solidFill>
              <a:round/>
            </a:ln>
            <a:effectLst/>
          </c:spPr>
          <c:marker>
            <c:symbol val="none"/>
          </c:marker>
          <c:val>
            <c:numRef>
              <c:f>'Cumulative recoveries'!$E$33:$BA$33</c:f>
              <c:numCache>
                <c:formatCode>0.00%</c:formatCode>
                <c:ptCount val="49"/>
                <c:pt idx="0">
                  <c:v>0.28437836565386532</c:v>
                </c:pt>
                <c:pt idx="1">
                  <c:v>0.54570704288915017</c:v>
                </c:pt>
                <c:pt idx="2">
                  <c:v>0.58069466382624979</c:v>
                </c:pt>
                <c:pt idx="3">
                  <c:v>0.61019032264583151</c:v>
                </c:pt>
                <c:pt idx="4">
                  <c:v>0.62512583665400512</c:v>
                </c:pt>
                <c:pt idx="5">
                  <c:v>0.63737444431330026</c:v>
                </c:pt>
                <c:pt idx="6">
                  <c:v>0.66003580702518938</c:v>
                </c:pt>
                <c:pt idx="7">
                  <c:v>0.66746355189044748</c:v>
                </c:pt>
                <c:pt idx="8">
                  <c:v>0.67527516654737185</c:v>
                </c:pt>
                <c:pt idx="9">
                  <c:v>0.67936744559080486</c:v>
                </c:pt>
                <c:pt idx="10">
                  <c:v>0.68620221019423611</c:v>
                </c:pt>
                <c:pt idx="11">
                  <c:v>0.69148008017023999</c:v>
                </c:pt>
                <c:pt idx="12">
                  <c:v>0.69533108911381336</c:v>
                </c:pt>
                <c:pt idx="13">
                  <c:v>0.70294571172368203</c:v>
                </c:pt>
                <c:pt idx="14">
                  <c:v>0.70617221584773038</c:v>
                </c:pt>
                <c:pt idx="15">
                  <c:v>0.70764615029087186</c:v>
                </c:pt>
                <c:pt idx="16">
                  <c:v>0.70764615029087186</c:v>
                </c:pt>
                <c:pt idx="17">
                  <c:v>0.70764615029087174</c:v>
                </c:pt>
                <c:pt idx="18">
                  <c:v>0.70764615029087186</c:v>
                </c:pt>
                <c:pt idx="19">
                  <c:v>0.70816500932134741</c:v>
                </c:pt>
                <c:pt idx="20">
                  <c:v>0.70816500932134729</c:v>
                </c:pt>
                <c:pt idx="21">
                  <c:v>0.70816500932134729</c:v>
                </c:pt>
                <c:pt idx="22">
                  <c:v>0.70880293914653669</c:v>
                </c:pt>
                <c:pt idx="23">
                  <c:v>0.70880320462745527</c:v>
                </c:pt>
                <c:pt idx="24">
                  <c:v>0.70880320462745516</c:v>
                </c:pt>
              </c:numCache>
            </c:numRef>
          </c:val>
          <c:smooth val="0"/>
          <c:extLst>
            <c:ext xmlns:c16="http://schemas.microsoft.com/office/drawing/2014/chart" uri="{C3380CC4-5D6E-409C-BE32-E72D297353CC}">
              <c16:uniqueId val="{00000018-F6D1-4A49-989B-E82CB1D26503}"/>
            </c:ext>
          </c:extLst>
        </c:ser>
        <c:ser>
          <c:idx val="25"/>
          <c:order val="25"/>
          <c:tx>
            <c:strRef>
              <c:f>'Cumulative recoveries'!$C$34</c:f>
              <c:strCache>
                <c:ptCount val="1"/>
                <c:pt idx="0">
                  <c:v>2019Q2</c:v>
                </c:pt>
              </c:strCache>
            </c:strRef>
          </c:tx>
          <c:spPr>
            <a:ln w="28575" cap="rnd">
              <a:solidFill>
                <a:schemeClr val="accent2">
                  <a:lumMod val="60000"/>
                  <a:lumOff val="40000"/>
                </a:schemeClr>
              </a:solidFill>
              <a:round/>
            </a:ln>
            <a:effectLst/>
          </c:spPr>
          <c:marker>
            <c:symbol val="none"/>
          </c:marker>
          <c:val>
            <c:numRef>
              <c:f>'Cumulative recoveries'!$E$34:$BA$34</c:f>
              <c:numCache>
                <c:formatCode>0.00%</c:formatCode>
                <c:ptCount val="49"/>
                <c:pt idx="0">
                  <c:v>0.32205836441685087</c:v>
                </c:pt>
                <c:pt idx="1">
                  <c:v>0.61580505083112824</c:v>
                </c:pt>
                <c:pt idx="2">
                  <c:v>0.64216162973884783</c:v>
                </c:pt>
                <c:pt idx="3">
                  <c:v>0.66033680943586226</c:v>
                </c:pt>
                <c:pt idx="4">
                  <c:v>0.67199133307755277</c:v>
                </c:pt>
                <c:pt idx="5">
                  <c:v>0.67539521498404598</c:v>
                </c:pt>
                <c:pt idx="6">
                  <c:v>0.69056987129376968</c:v>
                </c:pt>
                <c:pt idx="7">
                  <c:v>0.69693823857162351</c:v>
                </c:pt>
                <c:pt idx="8">
                  <c:v>0.69925214365501764</c:v>
                </c:pt>
                <c:pt idx="9">
                  <c:v>0.70184765039657171</c:v>
                </c:pt>
                <c:pt idx="10">
                  <c:v>0.70732551977002101</c:v>
                </c:pt>
                <c:pt idx="11">
                  <c:v>0.71402575022932002</c:v>
                </c:pt>
                <c:pt idx="12">
                  <c:v>0.71778971844990469</c:v>
                </c:pt>
                <c:pt idx="13">
                  <c:v>0.7204403351606844</c:v>
                </c:pt>
                <c:pt idx="14">
                  <c:v>0.72584197269146755</c:v>
                </c:pt>
                <c:pt idx="15">
                  <c:v>0.72584197269146755</c:v>
                </c:pt>
                <c:pt idx="16">
                  <c:v>0.73583670467654727</c:v>
                </c:pt>
                <c:pt idx="17">
                  <c:v>0.73583670467654727</c:v>
                </c:pt>
                <c:pt idx="18">
                  <c:v>0.73583670467654727</c:v>
                </c:pt>
                <c:pt idx="19">
                  <c:v>0.73583670467654727</c:v>
                </c:pt>
                <c:pt idx="20">
                  <c:v>0.73583670467654727</c:v>
                </c:pt>
                <c:pt idx="21">
                  <c:v>0.73584796874287373</c:v>
                </c:pt>
                <c:pt idx="22">
                  <c:v>0.73584796874287373</c:v>
                </c:pt>
                <c:pt idx="23">
                  <c:v>0.73584796874287373</c:v>
                </c:pt>
              </c:numCache>
            </c:numRef>
          </c:val>
          <c:smooth val="0"/>
          <c:extLst>
            <c:ext xmlns:c16="http://schemas.microsoft.com/office/drawing/2014/chart" uri="{C3380CC4-5D6E-409C-BE32-E72D297353CC}">
              <c16:uniqueId val="{00000019-F6D1-4A49-989B-E82CB1D26503}"/>
            </c:ext>
          </c:extLst>
        </c:ser>
        <c:ser>
          <c:idx val="26"/>
          <c:order val="26"/>
          <c:tx>
            <c:strRef>
              <c:f>'Cumulative recoveries'!$C$35</c:f>
              <c:strCache>
                <c:ptCount val="1"/>
                <c:pt idx="0">
                  <c:v>2019Q3</c:v>
                </c:pt>
              </c:strCache>
            </c:strRef>
          </c:tx>
          <c:spPr>
            <a:ln w="28575" cap="rnd">
              <a:solidFill>
                <a:schemeClr val="accent3">
                  <a:lumMod val="60000"/>
                  <a:lumOff val="40000"/>
                </a:schemeClr>
              </a:solidFill>
              <a:round/>
            </a:ln>
            <a:effectLst/>
          </c:spPr>
          <c:marker>
            <c:symbol val="none"/>
          </c:marker>
          <c:val>
            <c:numRef>
              <c:f>'Cumulative recoveries'!$E$35:$BA$35</c:f>
              <c:numCache>
                <c:formatCode>0.00%</c:formatCode>
                <c:ptCount val="49"/>
                <c:pt idx="0">
                  <c:v>0.41412400289032658</c:v>
                </c:pt>
                <c:pt idx="1">
                  <c:v>0.64692051871564271</c:v>
                </c:pt>
                <c:pt idx="2">
                  <c:v>0.67927888120096469</c:v>
                </c:pt>
                <c:pt idx="3">
                  <c:v>0.68715291349576635</c:v>
                </c:pt>
                <c:pt idx="4">
                  <c:v>0.69541765677415424</c:v>
                </c:pt>
                <c:pt idx="5">
                  <c:v>0.71135374272601237</c:v>
                </c:pt>
                <c:pt idx="6">
                  <c:v>0.71695535013301692</c:v>
                </c:pt>
                <c:pt idx="7">
                  <c:v>0.720154745219449</c:v>
                </c:pt>
                <c:pt idx="8">
                  <c:v>0.7255156854918664</c:v>
                </c:pt>
                <c:pt idx="9">
                  <c:v>0.7291905339524406</c:v>
                </c:pt>
                <c:pt idx="10">
                  <c:v>0.73455371680616355</c:v>
                </c:pt>
                <c:pt idx="11">
                  <c:v>0.73616569365820783</c:v>
                </c:pt>
                <c:pt idx="12">
                  <c:v>0.76347298415098264</c:v>
                </c:pt>
                <c:pt idx="13">
                  <c:v>0.76441939005426784</c:v>
                </c:pt>
                <c:pt idx="14">
                  <c:v>0.76444883112166706</c:v>
                </c:pt>
                <c:pt idx="15">
                  <c:v>0.76476247885674475</c:v>
                </c:pt>
                <c:pt idx="16">
                  <c:v>0.76507612659182234</c:v>
                </c:pt>
                <c:pt idx="17">
                  <c:v>0.76538977432689992</c:v>
                </c:pt>
                <c:pt idx="18">
                  <c:v>0.76575569668449039</c:v>
                </c:pt>
                <c:pt idx="19">
                  <c:v>0.76614775635333732</c:v>
                </c:pt>
                <c:pt idx="20">
                  <c:v>0.76640912946590201</c:v>
                </c:pt>
                <c:pt idx="21">
                  <c:v>0.76680118913474893</c:v>
                </c:pt>
                <c:pt idx="22">
                  <c:v>0.76719324880359596</c:v>
                </c:pt>
              </c:numCache>
            </c:numRef>
          </c:val>
          <c:smooth val="0"/>
          <c:extLst>
            <c:ext xmlns:c16="http://schemas.microsoft.com/office/drawing/2014/chart" uri="{C3380CC4-5D6E-409C-BE32-E72D297353CC}">
              <c16:uniqueId val="{0000001A-F6D1-4A49-989B-E82CB1D26503}"/>
            </c:ext>
          </c:extLst>
        </c:ser>
        <c:ser>
          <c:idx val="27"/>
          <c:order val="27"/>
          <c:tx>
            <c:strRef>
              <c:f>'Cumulative recoveries'!$C$36</c:f>
              <c:strCache>
                <c:ptCount val="1"/>
                <c:pt idx="0">
                  <c:v>2019Q4</c:v>
                </c:pt>
              </c:strCache>
            </c:strRef>
          </c:tx>
          <c:spPr>
            <a:ln w="28575" cap="rnd">
              <a:solidFill>
                <a:schemeClr val="accent4">
                  <a:lumMod val="60000"/>
                  <a:lumOff val="40000"/>
                </a:schemeClr>
              </a:solidFill>
              <a:round/>
            </a:ln>
            <a:effectLst/>
          </c:spPr>
          <c:marker>
            <c:symbol val="none"/>
          </c:marker>
          <c:val>
            <c:numRef>
              <c:f>'Cumulative recoveries'!$E$36:$BA$36</c:f>
              <c:numCache>
                <c:formatCode>0.00%</c:formatCode>
                <c:ptCount val="49"/>
                <c:pt idx="0">
                  <c:v>0.2816658340289791</c:v>
                </c:pt>
                <c:pt idx="1">
                  <c:v>0.61439488625709782</c:v>
                </c:pt>
                <c:pt idx="2">
                  <c:v>0.62074644946080859</c:v>
                </c:pt>
                <c:pt idx="3">
                  <c:v>0.63286628728065075</c:v>
                </c:pt>
                <c:pt idx="4">
                  <c:v>0.64475445197067349</c:v>
                </c:pt>
                <c:pt idx="5">
                  <c:v>0.65311537621582627</c:v>
                </c:pt>
                <c:pt idx="6">
                  <c:v>0.66179899439575918</c:v>
                </c:pt>
                <c:pt idx="7">
                  <c:v>0.67789441461332745</c:v>
                </c:pt>
                <c:pt idx="8">
                  <c:v>0.6845010510323436</c:v>
                </c:pt>
                <c:pt idx="9">
                  <c:v>0.68954204362146876</c:v>
                </c:pt>
                <c:pt idx="10">
                  <c:v>0.6905124531508483</c:v>
                </c:pt>
                <c:pt idx="11">
                  <c:v>0.69781680518964506</c:v>
                </c:pt>
                <c:pt idx="12">
                  <c:v>0.6981853104728869</c:v>
                </c:pt>
                <c:pt idx="13">
                  <c:v>0.6981853104728869</c:v>
                </c:pt>
                <c:pt idx="14">
                  <c:v>0.6981853104728869</c:v>
                </c:pt>
                <c:pt idx="15">
                  <c:v>0.70002783688909598</c:v>
                </c:pt>
                <c:pt idx="16">
                  <c:v>0.70033796479371757</c:v>
                </c:pt>
                <c:pt idx="17">
                  <c:v>0.70033796479371768</c:v>
                </c:pt>
                <c:pt idx="18">
                  <c:v>0.70033796479371768</c:v>
                </c:pt>
                <c:pt idx="19">
                  <c:v>0.70033796479371768</c:v>
                </c:pt>
                <c:pt idx="20">
                  <c:v>0.70033796479371757</c:v>
                </c:pt>
                <c:pt idx="21">
                  <c:v>0.70033796479371757</c:v>
                </c:pt>
              </c:numCache>
            </c:numRef>
          </c:val>
          <c:smooth val="0"/>
          <c:extLst>
            <c:ext xmlns:c16="http://schemas.microsoft.com/office/drawing/2014/chart" uri="{C3380CC4-5D6E-409C-BE32-E72D297353CC}">
              <c16:uniqueId val="{0000001B-F6D1-4A49-989B-E82CB1D26503}"/>
            </c:ext>
          </c:extLst>
        </c:ser>
        <c:ser>
          <c:idx val="28"/>
          <c:order val="28"/>
          <c:tx>
            <c:strRef>
              <c:f>'Cumulative recoveries'!$C$37</c:f>
              <c:strCache>
                <c:ptCount val="1"/>
                <c:pt idx="0">
                  <c:v>2020Q1</c:v>
                </c:pt>
              </c:strCache>
            </c:strRef>
          </c:tx>
          <c:spPr>
            <a:ln w="28575" cap="rnd">
              <a:solidFill>
                <a:schemeClr val="accent5">
                  <a:lumMod val="60000"/>
                  <a:lumOff val="40000"/>
                </a:schemeClr>
              </a:solidFill>
              <a:round/>
            </a:ln>
            <a:effectLst/>
          </c:spPr>
          <c:marker>
            <c:symbol val="none"/>
          </c:marker>
          <c:val>
            <c:numRef>
              <c:f>'Cumulative recoveries'!$E$37:$BA$37</c:f>
              <c:numCache>
                <c:formatCode>0.00%</c:formatCode>
                <c:ptCount val="49"/>
                <c:pt idx="0">
                  <c:v>0.32217056184802961</c:v>
                </c:pt>
                <c:pt idx="1">
                  <c:v>0.61276754051209559</c:v>
                </c:pt>
                <c:pt idx="2">
                  <c:v>0.64232001556490104</c:v>
                </c:pt>
                <c:pt idx="3">
                  <c:v>0.65012750173879463</c:v>
                </c:pt>
                <c:pt idx="4">
                  <c:v>0.65571542717714704</c:v>
                </c:pt>
                <c:pt idx="5">
                  <c:v>0.67279157786632704</c:v>
                </c:pt>
                <c:pt idx="6">
                  <c:v>0.6763744766776697</c:v>
                </c:pt>
                <c:pt idx="7">
                  <c:v>0.68198606332659728</c:v>
                </c:pt>
                <c:pt idx="8">
                  <c:v>0.69211779949419405</c:v>
                </c:pt>
                <c:pt idx="9">
                  <c:v>0.6973824304457984</c:v>
                </c:pt>
                <c:pt idx="10">
                  <c:v>0.69938846615384753</c:v>
                </c:pt>
                <c:pt idx="11">
                  <c:v>0.70072974942969379</c:v>
                </c:pt>
                <c:pt idx="12">
                  <c:v>0.70133758157224113</c:v>
                </c:pt>
                <c:pt idx="13">
                  <c:v>0.70226561136662291</c:v>
                </c:pt>
                <c:pt idx="14">
                  <c:v>0.70278175051887504</c:v>
                </c:pt>
                <c:pt idx="15">
                  <c:v>0.70318770266109576</c:v>
                </c:pt>
                <c:pt idx="16">
                  <c:v>0.70370964112966528</c:v>
                </c:pt>
                <c:pt idx="17">
                  <c:v>0.70407511984330662</c:v>
                </c:pt>
                <c:pt idx="18">
                  <c:v>0.70434188839390888</c:v>
                </c:pt>
                <c:pt idx="19">
                  <c:v>0.70460865694451114</c:v>
                </c:pt>
                <c:pt idx="20">
                  <c:v>0.70475943916876449</c:v>
                </c:pt>
              </c:numCache>
            </c:numRef>
          </c:val>
          <c:smooth val="0"/>
          <c:extLst>
            <c:ext xmlns:c16="http://schemas.microsoft.com/office/drawing/2014/chart" uri="{C3380CC4-5D6E-409C-BE32-E72D297353CC}">
              <c16:uniqueId val="{0000001C-F6D1-4A49-989B-E82CB1D26503}"/>
            </c:ext>
          </c:extLst>
        </c:ser>
        <c:ser>
          <c:idx val="29"/>
          <c:order val="29"/>
          <c:tx>
            <c:strRef>
              <c:f>'Cumulative recoveries'!$C$38</c:f>
              <c:strCache>
                <c:ptCount val="1"/>
                <c:pt idx="0">
                  <c:v>2020Q2</c:v>
                </c:pt>
              </c:strCache>
            </c:strRef>
          </c:tx>
          <c:spPr>
            <a:ln w="28575" cap="rnd">
              <a:solidFill>
                <a:schemeClr val="accent6">
                  <a:lumMod val="60000"/>
                  <a:lumOff val="40000"/>
                </a:schemeClr>
              </a:solidFill>
              <a:round/>
            </a:ln>
            <a:effectLst/>
          </c:spPr>
          <c:marker>
            <c:symbol val="none"/>
          </c:marker>
          <c:val>
            <c:numRef>
              <c:f>'Cumulative recoveries'!$E$38:$BA$38</c:f>
              <c:numCache>
                <c:formatCode>0.00%</c:formatCode>
                <c:ptCount val="49"/>
                <c:pt idx="0">
                  <c:v>0.30274514281723969</c:v>
                </c:pt>
                <c:pt idx="1">
                  <c:v>0.68911501147644338</c:v>
                </c:pt>
                <c:pt idx="2">
                  <c:v>0.70459910934773196</c:v>
                </c:pt>
                <c:pt idx="3">
                  <c:v>0.70891378656394677</c:v>
                </c:pt>
                <c:pt idx="4">
                  <c:v>0.72276211812753477</c:v>
                </c:pt>
                <c:pt idx="5">
                  <c:v>0.72633598925883303</c:v>
                </c:pt>
                <c:pt idx="6">
                  <c:v>0.7298191327791842</c:v>
                </c:pt>
                <c:pt idx="7">
                  <c:v>0.73528223313487129</c:v>
                </c:pt>
                <c:pt idx="8">
                  <c:v>0.74285079424875311</c:v>
                </c:pt>
                <c:pt idx="9">
                  <c:v>0.74463753584063441</c:v>
                </c:pt>
                <c:pt idx="10">
                  <c:v>0.74642472907293012</c:v>
                </c:pt>
                <c:pt idx="11">
                  <c:v>0.74726566036357112</c:v>
                </c:pt>
                <c:pt idx="12">
                  <c:v>0.74870052196024817</c:v>
                </c:pt>
                <c:pt idx="13">
                  <c:v>0.74978311561418476</c:v>
                </c:pt>
                <c:pt idx="14">
                  <c:v>0.75142704619091549</c:v>
                </c:pt>
                <c:pt idx="15">
                  <c:v>0.75268506740429209</c:v>
                </c:pt>
                <c:pt idx="16">
                  <c:v>0.75368051761928867</c:v>
                </c:pt>
                <c:pt idx="17">
                  <c:v>0.7556336250110125</c:v>
                </c:pt>
                <c:pt idx="18">
                  <c:v>0.75612641102526057</c:v>
                </c:pt>
                <c:pt idx="19">
                  <c:v>0.75664429203381867</c:v>
                </c:pt>
              </c:numCache>
            </c:numRef>
          </c:val>
          <c:smooth val="0"/>
          <c:extLst>
            <c:ext xmlns:c16="http://schemas.microsoft.com/office/drawing/2014/chart" uri="{C3380CC4-5D6E-409C-BE32-E72D297353CC}">
              <c16:uniqueId val="{0000001D-F6D1-4A49-989B-E82CB1D26503}"/>
            </c:ext>
          </c:extLst>
        </c:ser>
        <c:ser>
          <c:idx val="30"/>
          <c:order val="30"/>
          <c:tx>
            <c:strRef>
              <c:f>'Cumulative recoveries'!$C$39</c:f>
              <c:strCache>
                <c:ptCount val="1"/>
                <c:pt idx="0">
                  <c:v>2020Q3</c:v>
                </c:pt>
              </c:strCache>
            </c:strRef>
          </c:tx>
          <c:spPr>
            <a:ln w="28575" cap="rnd">
              <a:solidFill>
                <a:schemeClr val="accent1">
                  <a:lumMod val="50000"/>
                </a:schemeClr>
              </a:solidFill>
              <a:round/>
            </a:ln>
            <a:effectLst/>
          </c:spPr>
          <c:marker>
            <c:symbol val="none"/>
          </c:marker>
          <c:val>
            <c:numRef>
              <c:f>'Cumulative recoveries'!$E$39:$BA$39</c:f>
              <c:numCache>
                <c:formatCode>0.00%</c:formatCode>
                <c:ptCount val="49"/>
                <c:pt idx="0">
                  <c:v>0.38574591676355263</c:v>
                </c:pt>
                <c:pt idx="1">
                  <c:v>0.67166472841463265</c:v>
                </c:pt>
                <c:pt idx="2">
                  <c:v>0.73291785990335268</c:v>
                </c:pt>
                <c:pt idx="3">
                  <c:v>0.76194170069641209</c:v>
                </c:pt>
                <c:pt idx="4">
                  <c:v>0.76840388288350725</c:v>
                </c:pt>
                <c:pt idx="5">
                  <c:v>0.7714563754230529</c:v>
                </c:pt>
                <c:pt idx="6">
                  <c:v>0.77551421044126345</c:v>
                </c:pt>
                <c:pt idx="7">
                  <c:v>0.78292551363234897</c:v>
                </c:pt>
                <c:pt idx="8">
                  <c:v>0.78457986995214202</c:v>
                </c:pt>
                <c:pt idx="9">
                  <c:v>0.79827425327657131</c:v>
                </c:pt>
                <c:pt idx="10">
                  <c:v>0.8006052706353779</c:v>
                </c:pt>
                <c:pt idx="11">
                  <c:v>0.80487176767146928</c:v>
                </c:pt>
                <c:pt idx="12">
                  <c:v>0.80838355854335442</c:v>
                </c:pt>
                <c:pt idx="13">
                  <c:v>0.81258844212861803</c:v>
                </c:pt>
                <c:pt idx="14">
                  <c:v>0.81397615137472223</c:v>
                </c:pt>
                <c:pt idx="15">
                  <c:v>0.81483702405753766</c:v>
                </c:pt>
                <c:pt idx="16">
                  <c:v>0.81724578817131499</c:v>
                </c:pt>
                <c:pt idx="17">
                  <c:v>0.81846367148074595</c:v>
                </c:pt>
                <c:pt idx="18">
                  <c:v>0.82008254305628825</c:v>
                </c:pt>
              </c:numCache>
            </c:numRef>
          </c:val>
          <c:smooth val="0"/>
          <c:extLst>
            <c:ext xmlns:c16="http://schemas.microsoft.com/office/drawing/2014/chart" uri="{C3380CC4-5D6E-409C-BE32-E72D297353CC}">
              <c16:uniqueId val="{0000001E-F6D1-4A49-989B-E82CB1D26503}"/>
            </c:ext>
          </c:extLst>
        </c:ser>
        <c:ser>
          <c:idx val="31"/>
          <c:order val="31"/>
          <c:tx>
            <c:strRef>
              <c:f>'Cumulative recoveries'!$C$40</c:f>
              <c:strCache>
                <c:ptCount val="1"/>
                <c:pt idx="0">
                  <c:v>2020Q4</c:v>
                </c:pt>
              </c:strCache>
            </c:strRef>
          </c:tx>
          <c:spPr>
            <a:ln w="28575" cap="rnd">
              <a:solidFill>
                <a:schemeClr val="accent2">
                  <a:lumMod val="50000"/>
                </a:schemeClr>
              </a:solidFill>
              <a:round/>
            </a:ln>
            <a:effectLst/>
          </c:spPr>
          <c:marker>
            <c:symbol val="none"/>
          </c:marker>
          <c:val>
            <c:numRef>
              <c:f>'Cumulative recoveries'!$E$40:$BA$40</c:f>
              <c:numCache>
                <c:formatCode>0.00%</c:formatCode>
                <c:ptCount val="49"/>
                <c:pt idx="0">
                  <c:v>0.47198686614219676</c:v>
                </c:pt>
                <c:pt idx="1">
                  <c:v>0.73868106874308959</c:v>
                </c:pt>
                <c:pt idx="2">
                  <c:v>0.75995202222542413</c:v>
                </c:pt>
                <c:pt idx="3">
                  <c:v>0.78404369812350649</c:v>
                </c:pt>
                <c:pt idx="4">
                  <c:v>0.79142510077701822</c:v>
                </c:pt>
                <c:pt idx="5">
                  <c:v>0.79565164554831302</c:v>
                </c:pt>
                <c:pt idx="6">
                  <c:v>0.80163908553950769</c:v>
                </c:pt>
                <c:pt idx="7">
                  <c:v>0.80821919264510156</c:v>
                </c:pt>
                <c:pt idx="8">
                  <c:v>0.82025765107606219</c:v>
                </c:pt>
                <c:pt idx="9">
                  <c:v>0.82844174372337798</c:v>
                </c:pt>
                <c:pt idx="10">
                  <c:v>0.83481842050313693</c:v>
                </c:pt>
                <c:pt idx="11">
                  <c:v>0.83742555798959228</c:v>
                </c:pt>
                <c:pt idx="12">
                  <c:v>0.8413456767290064</c:v>
                </c:pt>
                <c:pt idx="13">
                  <c:v>0.84258775524089358</c:v>
                </c:pt>
                <c:pt idx="14">
                  <c:v>0.84348681387118551</c:v>
                </c:pt>
                <c:pt idx="15">
                  <c:v>0.84420008674834046</c:v>
                </c:pt>
                <c:pt idx="16">
                  <c:v>0.84486914464578877</c:v>
                </c:pt>
                <c:pt idx="17">
                  <c:v>0.84541706523427695</c:v>
                </c:pt>
              </c:numCache>
            </c:numRef>
          </c:val>
          <c:smooth val="0"/>
          <c:extLst>
            <c:ext xmlns:c16="http://schemas.microsoft.com/office/drawing/2014/chart" uri="{C3380CC4-5D6E-409C-BE32-E72D297353CC}">
              <c16:uniqueId val="{0000001F-F6D1-4A49-989B-E82CB1D26503}"/>
            </c:ext>
          </c:extLst>
        </c:ser>
        <c:ser>
          <c:idx val="32"/>
          <c:order val="32"/>
          <c:tx>
            <c:strRef>
              <c:f>'Cumulative recoveries'!$C$41</c:f>
              <c:strCache>
                <c:ptCount val="1"/>
                <c:pt idx="0">
                  <c:v>2021Q1</c:v>
                </c:pt>
              </c:strCache>
            </c:strRef>
          </c:tx>
          <c:spPr>
            <a:ln w="28575" cap="rnd">
              <a:solidFill>
                <a:schemeClr val="accent3">
                  <a:lumMod val="50000"/>
                </a:schemeClr>
              </a:solidFill>
              <a:round/>
            </a:ln>
            <a:effectLst/>
          </c:spPr>
          <c:marker>
            <c:symbol val="none"/>
          </c:marker>
          <c:val>
            <c:numRef>
              <c:f>'Cumulative recoveries'!$E$41:$BA$41</c:f>
              <c:numCache>
                <c:formatCode>0.00%</c:formatCode>
                <c:ptCount val="49"/>
                <c:pt idx="0">
                  <c:v>0.37011705423275704</c:v>
                </c:pt>
                <c:pt idx="1">
                  <c:v>0.69935803726269319</c:v>
                </c:pt>
                <c:pt idx="2">
                  <c:v>0.71881906455312483</c:v>
                </c:pt>
                <c:pt idx="3">
                  <c:v>0.73085994082859296</c:v>
                </c:pt>
                <c:pt idx="4">
                  <c:v>0.73802300487792261</c:v>
                </c:pt>
                <c:pt idx="5">
                  <c:v>0.74754826797014451</c:v>
                </c:pt>
                <c:pt idx="6">
                  <c:v>0.75120857731949842</c:v>
                </c:pt>
                <c:pt idx="7">
                  <c:v>0.75654447338132713</c:v>
                </c:pt>
                <c:pt idx="8">
                  <c:v>0.76272294094680704</c:v>
                </c:pt>
                <c:pt idx="9">
                  <c:v>0.76337949318171061</c:v>
                </c:pt>
                <c:pt idx="10">
                  <c:v>0.76642306543093475</c:v>
                </c:pt>
                <c:pt idx="11">
                  <c:v>0.76743874885653618</c:v>
                </c:pt>
                <c:pt idx="12">
                  <c:v>0.7681740977385042</c:v>
                </c:pt>
                <c:pt idx="13">
                  <c:v>0.77055045180157933</c:v>
                </c:pt>
                <c:pt idx="14">
                  <c:v>0.77153604200759485</c:v>
                </c:pt>
                <c:pt idx="15">
                  <c:v>0.77251936321466541</c:v>
                </c:pt>
                <c:pt idx="16">
                  <c:v>0.77288926524950419</c:v>
                </c:pt>
              </c:numCache>
            </c:numRef>
          </c:val>
          <c:smooth val="0"/>
          <c:extLst>
            <c:ext xmlns:c16="http://schemas.microsoft.com/office/drawing/2014/chart" uri="{C3380CC4-5D6E-409C-BE32-E72D297353CC}">
              <c16:uniqueId val="{00000020-F6D1-4A49-989B-E82CB1D26503}"/>
            </c:ext>
          </c:extLst>
        </c:ser>
        <c:ser>
          <c:idx val="33"/>
          <c:order val="33"/>
          <c:tx>
            <c:strRef>
              <c:f>'Cumulative recoveries'!$C$42</c:f>
              <c:strCache>
                <c:ptCount val="1"/>
                <c:pt idx="0">
                  <c:v>2021Q2</c:v>
                </c:pt>
              </c:strCache>
            </c:strRef>
          </c:tx>
          <c:spPr>
            <a:ln w="28575" cap="rnd">
              <a:solidFill>
                <a:schemeClr val="accent4">
                  <a:lumMod val="50000"/>
                </a:schemeClr>
              </a:solidFill>
              <a:round/>
            </a:ln>
            <a:effectLst/>
          </c:spPr>
          <c:marker>
            <c:symbol val="none"/>
          </c:marker>
          <c:val>
            <c:numRef>
              <c:f>'Cumulative recoveries'!$E$42:$BA$42</c:f>
              <c:numCache>
                <c:formatCode>0.00%</c:formatCode>
                <c:ptCount val="49"/>
                <c:pt idx="0">
                  <c:v>0.44266773819263122</c:v>
                </c:pt>
                <c:pt idx="1">
                  <c:v>0.72841133259339175</c:v>
                </c:pt>
                <c:pt idx="2">
                  <c:v>0.74898277881680786</c:v>
                </c:pt>
                <c:pt idx="3">
                  <c:v>0.75704226113714468</c:v>
                </c:pt>
                <c:pt idx="4">
                  <c:v>0.76713842861339565</c:v>
                </c:pt>
                <c:pt idx="5">
                  <c:v>0.78451203439489769</c:v>
                </c:pt>
                <c:pt idx="6">
                  <c:v>0.79509923487198908</c:v>
                </c:pt>
                <c:pt idx="7">
                  <c:v>0.79793290145674922</c:v>
                </c:pt>
                <c:pt idx="8">
                  <c:v>0.80072801238461122</c:v>
                </c:pt>
                <c:pt idx="9">
                  <c:v>0.80395922611538395</c:v>
                </c:pt>
                <c:pt idx="10">
                  <c:v>0.80600089766743643</c:v>
                </c:pt>
                <c:pt idx="11">
                  <c:v>0.8069591639705167</c:v>
                </c:pt>
                <c:pt idx="12">
                  <c:v>0.80788731592486396</c:v>
                </c:pt>
                <c:pt idx="13">
                  <c:v>0.80846797340826793</c:v>
                </c:pt>
                <c:pt idx="14">
                  <c:v>0.8093389596333741</c:v>
                </c:pt>
                <c:pt idx="15">
                  <c:v>0.8139785290572692</c:v>
                </c:pt>
              </c:numCache>
            </c:numRef>
          </c:val>
          <c:smooth val="0"/>
          <c:extLst>
            <c:ext xmlns:c16="http://schemas.microsoft.com/office/drawing/2014/chart" uri="{C3380CC4-5D6E-409C-BE32-E72D297353CC}">
              <c16:uniqueId val="{00000021-F6D1-4A49-989B-E82CB1D26503}"/>
            </c:ext>
          </c:extLst>
        </c:ser>
        <c:ser>
          <c:idx val="34"/>
          <c:order val="34"/>
          <c:tx>
            <c:strRef>
              <c:f>'Cumulative recoveries'!$C$43</c:f>
              <c:strCache>
                <c:ptCount val="1"/>
                <c:pt idx="0">
                  <c:v>2021Q3</c:v>
                </c:pt>
              </c:strCache>
            </c:strRef>
          </c:tx>
          <c:spPr>
            <a:ln w="28575" cap="rnd">
              <a:solidFill>
                <a:schemeClr val="accent5">
                  <a:lumMod val="50000"/>
                </a:schemeClr>
              </a:solidFill>
              <a:round/>
            </a:ln>
            <a:effectLst/>
          </c:spPr>
          <c:marker>
            <c:symbol val="none"/>
          </c:marker>
          <c:val>
            <c:numRef>
              <c:f>'Cumulative recoveries'!$E$43:$BA$43</c:f>
              <c:numCache>
                <c:formatCode>0.00%</c:formatCode>
                <c:ptCount val="49"/>
                <c:pt idx="0">
                  <c:v>0.3778357780623221</c:v>
                </c:pt>
                <c:pt idx="1">
                  <c:v>0.65079481627513847</c:v>
                </c:pt>
                <c:pt idx="2">
                  <c:v>0.72201997529146789</c:v>
                </c:pt>
                <c:pt idx="3">
                  <c:v>0.74216683258420413</c:v>
                </c:pt>
                <c:pt idx="4">
                  <c:v>0.75307759520999495</c:v>
                </c:pt>
                <c:pt idx="5">
                  <c:v>0.75767005601828685</c:v>
                </c:pt>
                <c:pt idx="6">
                  <c:v>0.78399678288153274</c:v>
                </c:pt>
                <c:pt idx="7">
                  <c:v>0.78867056174283434</c:v>
                </c:pt>
                <c:pt idx="8">
                  <c:v>0.79130505926042294</c:v>
                </c:pt>
                <c:pt idx="9">
                  <c:v>0.79354586419565387</c:v>
                </c:pt>
                <c:pt idx="10">
                  <c:v>0.80049041296017898</c:v>
                </c:pt>
                <c:pt idx="11">
                  <c:v>0.80623141565267653</c:v>
                </c:pt>
                <c:pt idx="12">
                  <c:v>0.8075418663028946</c:v>
                </c:pt>
                <c:pt idx="13">
                  <c:v>0.8092172832059048</c:v>
                </c:pt>
                <c:pt idx="14">
                  <c:v>0.81022105562326197</c:v>
                </c:pt>
              </c:numCache>
            </c:numRef>
          </c:val>
          <c:smooth val="0"/>
          <c:extLst>
            <c:ext xmlns:c16="http://schemas.microsoft.com/office/drawing/2014/chart" uri="{C3380CC4-5D6E-409C-BE32-E72D297353CC}">
              <c16:uniqueId val="{00000022-F6D1-4A49-989B-E82CB1D26503}"/>
            </c:ext>
          </c:extLst>
        </c:ser>
        <c:ser>
          <c:idx val="35"/>
          <c:order val="35"/>
          <c:tx>
            <c:strRef>
              <c:f>'Cumulative recoveries'!$C$44</c:f>
              <c:strCache>
                <c:ptCount val="1"/>
                <c:pt idx="0">
                  <c:v>2021Q4</c:v>
                </c:pt>
              </c:strCache>
            </c:strRef>
          </c:tx>
          <c:spPr>
            <a:ln w="28575" cap="rnd">
              <a:solidFill>
                <a:schemeClr val="accent6">
                  <a:lumMod val="50000"/>
                </a:schemeClr>
              </a:solidFill>
              <a:round/>
            </a:ln>
            <a:effectLst/>
          </c:spPr>
          <c:marker>
            <c:symbol val="none"/>
          </c:marker>
          <c:val>
            <c:numRef>
              <c:f>'Cumulative recoveries'!$E$44:$BA$44</c:f>
              <c:numCache>
                <c:formatCode>0.00%</c:formatCode>
                <c:ptCount val="49"/>
                <c:pt idx="0">
                  <c:v>0.36805775388046474</c:v>
                </c:pt>
                <c:pt idx="1">
                  <c:v>0.68414169387862589</c:v>
                </c:pt>
                <c:pt idx="2">
                  <c:v>0.71204171291271445</c:v>
                </c:pt>
                <c:pt idx="3">
                  <c:v>0.7568627283460494</c:v>
                </c:pt>
                <c:pt idx="4">
                  <c:v>0.76538635297988411</c:v>
                </c:pt>
                <c:pt idx="5">
                  <c:v>0.81107139399816686</c:v>
                </c:pt>
                <c:pt idx="6">
                  <c:v>0.819348911789614</c:v>
                </c:pt>
                <c:pt idx="7">
                  <c:v>0.84236008221378866</c:v>
                </c:pt>
                <c:pt idx="8">
                  <c:v>0.84831785507006408</c:v>
                </c:pt>
                <c:pt idx="9">
                  <c:v>0.85613205910170453</c:v>
                </c:pt>
                <c:pt idx="10">
                  <c:v>0.85661285035192847</c:v>
                </c:pt>
                <c:pt idx="11">
                  <c:v>0.85721019705675228</c:v>
                </c:pt>
                <c:pt idx="12">
                  <c:v>0.85785125205705093</c:v>
                </c:pt>
                <c:pt idx="13">
                  <c:v>0.86122244957593952</c:v>
                </c:pt>
              </c:numCache>
            </c:numRef>
          </c:val>
          <c:smooth val="0"/>
          <c:extLst>
            <c:ext xmlns:c16="http://schemas.microsoft.com/office/drawing/2014/chart" uri="{C3380CC4-5D6E-409C-BE32-E72D297353CC}">
              <c16:uniqueId val="{00000023-F6D1-4A49-989B-E82CB1D26503}"/>
            </c:ext>
          </c:extLst>
        </c:ser>
        <c:ser>
          <c:idx val="36"/>
          <c:order val="36"/>
          <c:tx>
            <c:strRef>
              <c:f>'Cumulative recoveries'!$C$45</c:f>
              <c:strCache>
                <c:ptCount val="1"/>
                <c:pt idx="0">
                  <c:v>2022Q1</c:v>
                </c:pt>
              </c:strCache>
            </c:strRef>
          </c:tx>
          <c:spPr>
            <a:ln w="28575" cap="rnd">
              <a:solidFill>
                <a:schemeClr val="accent1">
                  <a:lumMod val="70000"/>
                  <a:lumOff val="30000"/>
                </a:schemeClr>
              </a:solidFill>
              <a:round/>
            </a:ln>
            <a:effectLst/>
          </c:spPr>
          <c:marker>
            <c:symbol val="none"/>
          </c:marker>
          <c:val>
            <c:numRef>
              <c:f>'Cumulative recoveries'!$E$45:$BA$45</c:f>
              <c:numCache>
                <c:formatCode>0.00%</c:formatCode>
                <c:ptCount val="49"/>
                <c:pt idx="0">
                  <c:v>0.44645386600176262</c:v>
                </c:pt>
                <c:pt idx="1">
                  <c:v>0.82438986521745006</c:v>
                </c:pt>
                <c:pt idx="2">
                  <c:v>0.83468804672088293</c:v>
                </c:pt>
                <c:pt idx="3">
                  <c:v>0.85047868316015729</c:v>
                </c:pt>
                <c:pt idx="4">
                  <c:v>0.85950737497963769</c:v>
                </c:pt>
                <c:pt idx="5">
                  <c:v>0.87116491283254061</c:v>
                </c:pt>
                <c:pt idx="6">
                  <c:v>0.88045975971001778</c:v>
                </c:pt>
                <c:pt idx="7">
                  <c:v>0.88604094045510184</c:v>
                </c:pt>
                <c:pt idx="8">
                  <c:v>0.8883961226575291</c:v>
                </c:pt>
                <c:pt idx="9">
                  <c:v>0.88934623969372439</c:v>
                </c:pt>
                <c:pt idx="10">
                  <c:v>0.88994249741372333</c:v>
                </c:pt>
                <c:pt idx="11">
                  <c:v>0.89105298305058889</c:v>
                </c:pt>
                <c:pt idx="12">
                  <c:v>0.89127668035937757</c:v>
                </c:pt>
              </c:numCache>
            </c:numRef>
          </c:val>
          <c:smooth val="0"/>
          <c:extLst>
            <c:ext xmlns:c16="http://schemas.microsoft.com/office/drawing/2014/chart" uri="{C3380CC4-5D6E-409C-BE32-E72D297353CC}">
              <c16:uniqueId val="{00000024-F6D1-4A49-989B-E82CB1D26503}"/>
            </c:ext>
          </c:extLst>
        </c:ser>
        <c:ser>
          <c:idx val="37"/>
          <c:order val="37"/>
          <c:tx>
            <c:strRef>
              <c:f>'Cumulative recoveries'!$C$46</c:f>
              <c:strCache>
                <c:ptCount val="1"/>
                <c:pt idx="0">
                  <c:v>2022Q2</c:v>
                </c:pt>
              </c:strCache>
            </c:strRef>
          </c:tx>
          <c:spPr>
            <a:ln w="28575" cap="rnd">
              <a:solidFill>
                <a:schemeClr val="accent2">
                  <a:lumMod val="70000"/>
                  <a:lumOff val="30000"/>
                </a:schemeClr>
              </a:solidFill>
              <a:round/>
            </a:ln>
            <a:effectLst/>
          </c:spPr>
          <c:marker>
            <c:symbol val="none"/>
          </c:marker>
          <c:val>
            <c:numRef>
              <c:f>'Cumulative recoveries'!$E$46:$BA$46</c:f>
              <c:numCache>
                <c:formatCode>0.00%</c:formatCode>
                <c:ptCount val="49"/>
                <c:pt idx="0">
                  <c:v>0.41850818943916612</c:v>
                </c:pt>
                <c:pt idx="1">
                  <c:v>0.73591335467127472</c:v>
                </c:pt>
                <c:pt idx="2">
                  <c:v>0.77101779566204121</c:v>
                </c:pt>
                <c:pt idx="3">
                  <c:v>0.78505734174533515</c:v>
                </c:pt>
                <c:pt idx="4">
                  <c:v>0.79465943593518473</c:v>
                </c:pt>
                <c:pt idx="5">
                  <c:v>0.80624609720941354</c:v>
                </c:pt>
                <c:pt idx="6">
                  <c:v>0.81392875055217739</c:v>
                </c:pt>
                <c:pt idx="7">
                  <c:v>0.82124723602698957</c:v>
                </c:pt>
                <c:pt idx="8">
                  <c:v>0.82684977957141648</c:v>
                </c:pt>
                <c:pt idx="9">
                  <c:v>0.83343781010146623</c:v>
                </c:pt>
                <c:pt idx="10">
                  <c:v>0.83909770259242356</c:v>
                </c:pt>
                <c:pt idx="11">
                  <c:v>0.84352417437783211</c:v>
                </c:pt>
              </c:numCache>
            </c:numRef>
          </c:val>
          <c:smooth val="0"/>
          <c:extLst>
            <c:ext xmlns:c16="http://schemas.microsoft.com/office/drawing/2014/chart" uri="{C3380CC4-5D6E-409C-BE32-E72D297353CC}">
              <c16:uniqueId val="{00000025-F6D1-4A49-989B-E82CB1D26503}"/>
            </c:ext>
          </c:extLst>
        </c:ser>
        <c:ser>
          <c:idx val="38"/>
          <c:order val="38"/>
          <c:tx>
            <c:strRef>
              <c:f>'Cumulative recoveries'!$C$47</c:f>
              <c:strCache>
                <c:ptCount val="1"/>
                <c:pt idx="0">
                  <c:v>2022Q3</c:v>
                </c:pt>
              </c:strCache>
            </c:strRef>
          </c:tx>
          <c:spPr>
            <a:ln w="28575" cap="rnd">
              <a:solidFill>
                <a:schemeClr val="accent3">
                  <a:lumMod val="70000"/>
                  <a:lumOff val="30000"/>
                </a:schemeClr>
              </a:solidFill>
              <a:round/>
            </a:ln>
            <a:effectLst/>
          </c:spPr>
          <c:marker>
            <c:symbol val="none"/>
          </c:marker>
          <c:val>
            <c:numRef>
              <c:f>'Cumulative recoveries'!$E$47:$BA$47</c:f>
              <c:numCache>
                <c:formatCode>0.00%</c:formatCode>
                <c:ptCount val="49"/>
                <c:pt idx="0">
                  <c:v>0.31161678330463133</c:v>
                </c:pt>
                <c:pt idx="1">
                  <c:v>0.70322039352122001</c:v>
                </c:pt>
                <c:pt idx="2">
                  <c:v>0.72483277470692564</c:v>
                </c:pt>
                <c:pt idx="3">
                  <c:v>0.74693240312177844</c:v>
                </c:pt>
                <c:pt idx="4">
                  <c:v>0.75395270490113675</c:v>
                </c:pt>
                <c:pt idx="5">
                  <c:v>0.76776159837904079</c:v>
                </c:pt>
                <c:pt idx="6">
                  <c:v>0.78475412342673823</c:v>
                </c:pt>
                <c:pt idx="7">
                  <c:v>0.78888120972570186</c:v>
                </c:pt>
                <c:pt idx="8">
                  <c:v>0.80383372925345087</c:v>
                </c:pt>
                <c:pt idx="9">
                  <c:v>0.81464093121582737</c:v>
                </c:pt>
                <c:pt idx="10">
                  <c:v>0.81653110766387893</c:v>
                </c:pt>
              </c:numCache>
            </c:numRef>
          </c:val>
          <c:smooth val="0"/>
          <c:extLst>
            <c:ext xmlns:c16="http://schemas.microsoft.com/office/drawing/2014/chart" uri="{C3380CC4-5D6E-409C-BE32-E72D297353CC}">
              <c16:uniqueId val="{00000026-F6D1-4A49-989B-E82CB1D26503}"/>
            </c:ext>
          </c:extLst>
        </c:ser>
        <c:ser>
          <c:idx val="39"/>
          <c:order val="39"/>
          <c:tx>
            <c:strRef>
              <c:f>'Cumulative recoveries'!$C$48</c:f>
              <c:strCache>
                <c:ptCount val="1"/>
                <c:pt idx="0">
                  <c:v>2022Q4</c:v>
                </c:pt>
              </c:strCache>
            </c:strRef>
          </c:tx>
          <c:spPr>
            <a:ln w="28575" cap="rnd">
              <a:solidFill>
                <a:schemeClr val="accent4">
                  <a:lumMod val="70000"/>
                  <a:lumOff val="30000"/>
                </a:schemeClr>
              </a:solidFill>
              <a:round/>
            </a:ln>
            <a:effectLst/>
          </c:spPr>
          <c:marker>
            <c:symbol val="none"/>
          </c:marker>
          <c:val>
            <c:numRef>
              <c:f>'Cumulative recoveries'!$E$48:$BA$48</c:f>
              <c:numCache>
                <c:formatCode>0.00%</c:formatCode>
                <c:ptCount val="49"/>
                <c:pt idx="0">
                  <c:v>0.30894575575079342</c:v>
                </c:pt>
                <c:pt idx="1">
                  <c:v>0.6583995366920089</c:v>
                </c:pt>
                <c:pt idx="2">
                  <c:v>0.68328823642695979</c:v>
                </c:pt>
                <c:pt idx="3">
                  <c:v>0.68623077726743498</c:v>
                </c:pt>
                <c:pt idx="4">
                  <c:v>0.69665010828446383</c:v>
                </c:pt>
                <c:pt idx="5">
                  <c:v>0.72312369965760326</c:v>
                </c:pt>
                <c:pt idx="6">
                  <c:v>0.72448767385056057</c:v>
                </c:pt>
                <c:pt idx="7">
                  <c:v>0.72986432465494044</c:v>
                </c:pt>
                <c:pt idx="8">
                  <c:v>0.73912172094004003</c:v>
                </c:pt>
                <c:pt idx="9">
                  <c:v>0.74838174975137706</c:v>
                </c:pt>
              </c:numCache>
            </c:numRef>
          </c:val>
          <c:smooth val="0"/>
          <c:extLst>
            <c:ext xmlns:c16="http://schemas.microsoft.com/office/drawing/2014/chart" uri="{C3380CC4-5D6E-409C-BE32-E72D297353CC}">
              <c16:uniqueId val="{00000027-F6D1-4A49-989B-E82CB1D26503}"/>
            </c:ext>
          </c:extLst>
        </c:ser>
        <c:ser>
          <c:idx val="40"/>
          <c:order val="40"/>
          <c:tx>
            <c:strRef>
              <c:f>'Cumulative recoveries'!$C$49</c:f>
              <c:strCache>
                <c:ptCount val="1"/>
                <c:pt idx="0">
                  <c:v>2023Q1</c:v>
                </c:pt>
              </c:strCache>
            </c:strRef>
          </c:tx>
          <c:spPr>
            <a:ln w="28575" cap="rnd">
              <a:solidFill>
                <a:schemeClr val="accent5">
                  <a:lumMod val="70000"/>
                  <a:lumOff val="30000"/>
                </a:schemeClr>
              </a:solidFill>
              <a:round/>
            </a:ln>
            <a:effectLst/>
          </c:spPr>
          <c:marker>
            <c:symbol val="none"/>
          </c:marker>
          <c:val>
            <c:numRef>
              <c:f>'Cumulative recoveries'!$E$49:$BA$49</c:f>
              <c:numCache>
                <c:formatCode>0.00%</c:formatCode>
                <c:ptCount val="49"/>
                <c:pt idx="0">
                  <c:v>0.43273905631413384</c:v>
                </c:pt>
                <c:pt idx="1">
                  <c:v>0.73838866276457638</c:v>
                </c:pt>
                <c:pt idx="2">
                  <c:v>0.75600408742421521</c:v>
                </c:pt>
                <c:pt idx="3">
                  <c:v>0.76318651207277211</c:v>
                </c:pt>
                <c:pt idx="4">
                  <c:v>0.76607489564505138</c:v>
                </c:pt>
                <c:pt idx="5">
                  <c:v>0.76843178637310428</c:v>
                </c:pt>
                <c:pt idx="6">
                  <c:v>0.79443935016834455</c:v>
                </c:pt>
                <c:pt idx="7">
                  <c:v>0.80058053891299319</c:v>
                </c:pt>
                <c:pt idx="8">
                  <c:v>0.80578503693658654</c:v>
                </c:pt>
              </c:numCache>
            </c:numRef>
          </c:val>
          <c:smooth val="0"/>
          <c:extLst>
            <c:ext xmlns:c16="http://schemas.microsoft.com/office/drawing/2014/chart" uri="{C3380CC4-5D6E-409C-BE32-E72D297353CC}">
              <c16:uniqueId val="{00000028-F6D1-4A49-989B-E82CB1D26503}"/>
            </c:ext>
          </c:extLst>
        </c:ser>
        <c:ser>
          <c:idx val="41"/>
          <c:order val="41"/>
          <c:tx>
            <c:strRef>
              <c:f>'Cumulative recoveries'!$C$50</c:f>
              <c:strCache>
                <c:ptCount val="1"/>
                <c:pt idx="0">
                  <c:v>2023Q2</c:v>
                </c:pt>
              </c:strCache>
            </c:strRef>
          </c:tx>
          <c:spPr>
            <a:ln w="28575" cap="rnd">
              <a:solidFill>
                <a:schemeClr val="accent6">
                  <a:lumMod val="70000"/>
                  <a:lumOff val="30000"/>
                </a:schemeClr>
              </a:solidFill>
              <a:round/>
            </a:ln>
            <a:effectLst/>
          </c:spPr>
          <c:marker>
            <c:symbol val="none"/>
          </c:marker>
          <c:val>
            <c:numRef>
              <c:f>'Cumulative recoveries'!$E$50:$BA$50</c:f>
              <c:numCache>
                <c:formatCode>0.00%</c:formatCode>
                <c:ptCount val="49"/>
                <c:pt idx="0">
                  <c:v>0.40912188297918251</c:v>
                </c:pt>
                <c:pt idx="1">
                  <c:v>0.6989820004086652</c:v>
                </c:pt>
                <c:pt idx="2">
                  <c:v>0.74292180400098307</c:v>
                </c:pt>
                <c:pt idx="3">
                  <c:v>0.75489959510468574</c:v>
                </c:pt>
                <c:pt idx="4">
                  <c:v>0.76082142186017532</c:v>
                </c:pt>
                <c:pt idx="5">
                  <c:v>0.76276130453323976</c:v>
                </c:pt>
                <c:pt idx="6">
                  <c:v>0.77040775961432295</c:v>
                </c:pt>
                <c:pt idx="7">
                  <c:v>0.77992020869153167</c:v>
                </c:pt>
              </c:numCache>
            </c:numRef>
          </c:val>
          <c:smooth val="0"/>
          <c:extLst>
            <c:ext xmlns:c16="http://schemas.microsoft.com/office/drawing/2014/chart" uri="{C3380CC4-5D6E-409C-BE32-E72D297353CC}">
              <c16:uniqueId val="{00000029-F6D1-4A49-989B-E82CB1D26503}"/>
            </c:ext>
          </c:extLst>
        </c:ser>
        <c:ser>
          <c:idx val="42"/>
          <c:order val="42"/>
          <c:tx>
            <c:strRef>
              <c:f>'Cumulative recoveries'!$C$51</c:f>
              <c:strCache>
                <c:ptCount val="1"/>
                <c:pt idx="0">
                  <c:v>2023Q3</c:v>
                </c:pt>
              </c:strCache>
            </c:strRef>
          </c:tx>
          <c:spPr>
            <a:ln w="28575" cap="rnd">
              <a:solidFill>
                <a:schemeClr val="accent1">
                  <a:lumMod val="70000"/>
                </a:schemeClr>
              </a:solidFill>
              <a:round/>
            </a:ln>
            <a:effectLst/>
          </c:spPr>
          <c:marker>
            <c:symbol val="none"/>
          </c:marker>
          <c:val>
            <c:numRef>
              <c:f>'Cumulative recoveries'!$E$51:$BA$51</c:f>
              <c:numCache>
                <c:formatCode>0.00%</c:formatCode>
                <c:ptCount val="49"/>
                <c:pt idx="0">
                  <c:v>0.33032260766692656</c:v>
                </c:pt>
                <c:pt idx="1">
                  <c:v>0.70114029679675394</c:v>
                </c:pt>
                <c:pt idx="2">
                  <c:v>0.70880637317809991</c:v>
                </c:pt>
                <c:pt idx="3">
                  <c:v>0.72064480881523652</c:v>
                </c:pt>
                <c:pt idx="4">
                  <c:v>0.7291360419019004</c:v>
                </c:pt>
                <c:pt idx="5">
                  <c:v>0.74587735050730763</c:v>
                </c:pt>
                <c:pt idx="6">
                  <c:v>0.75713059136405669</c:v>
                </c:pt>
              </c:numCache>
            </c:numRef>
          </c:val>
          <c:smooth val="0"/>
          <c:extLst>
            <c:ext xmlns:c16="http://schemas.microsoft.com/office/drawing/2014/chart" uri="{C3380CC4-5D6E-409C-BE32-E72D297353CC}">
              <c16:uniqueId val="{0000002A-F6D1-4A49-989B-E82CB1D26503}"/>
            </c:ext>
          </c:extLst>
        </c:ser>
        <c:ser>
          <c:idx val="43"/>
          <c:order val="43"/>
          <c:tx>
            <c:strRef>
              <c:f>'Cumulative recoveries'!$C$52</c:f>
              <c:strCache>
                <c:ptCount val="1"/>
                <c:pt idx="0">
                  <c:v>2023Q4</c:v>
                </c:pt>
              </c:strCache>
            </c:strRef>
          </c:tx>
          <c:spPr>
            <a:ln w="28575" cap="rnd">
              <a:solidFill>
                <a:schemeClr val="accent2">
                  <a:lumMod val="70000"/>
                </a:schemeClr>
              </a:solidFill>
              <a:round/>
            </a:ln>
            <a:effectLst/>
          </c:spPr>
          <c:marker>
            <c:symbol val="none"/>
          </c:marker>
          <c:val>
            <c:numRef>
              <c:f>'Cumulative recoveries'!$E$52:$BA$52</c:f>
              <c:numCache>
                <c:formatCode>0.00%</c:formatCode>
                <c:ptCount val="49"/>
                <c:pt idx="0">
                  <c:v>0.29740824054451664</c:v>
                </c:pt>
                <c:pt idx="1">
                  <c:v>0.71519258129206442</c:v>
                </c:pt>
                <c:pt idx="2">
                  <c:v>0.72109302582701262</c:v>
                </c:pt>
                <c:pt idx="3">
                  <c:v>0.73221182767854753</c:v>
                </c:pt>
                <c:pt idx="4">
                  <c:v>0.73358068990866221</c:v>
                </c:pt>
                <c:pt idx="5">
                  <c:v>0.73854528222830229</c:v>
                </c:pt>
              </c:numCache>
            </c:numRef>
          </c:val>
          <c:smooth val="0"/>
          <c:extLst xmlns:c15="http://schemas.microsoft.com/office/drawing/2012/chart">
            <c:ext xmlns:c16="http://schemas.microsoft.com/office/drawing/2014/chart" uri="{C3380CC4-5D6E-409C-BE32-E72D297353CC}">
              <c16:uniqueId val="{0000002B-F6D1-4A49-989B-E82CB1D26503}"/>
            </c:ext>
          </c:extLst>
        </c:ser>
        <c:ser>
          <c:idx val="44"/>
          <c:order val="44"/>
          <c:tx>
            <c:strRef>
              <c:f>'Cumulative recoveries'!$C$53</c:f>
              <c:strCache>
                <c:ptCount val="1"/>
                <c:pt idx="0">
                  <c:v>2024Q1</c:v>
                </c:pt>
              </c:strCache>
            </c:strRef>
          </c:tx>
          <c:spPr>
            <a:ln w="28575" cap="rnd">
              <a:solidFill>
                <a:schemeClr val="accent3">
                  <a:lumMod val="70000"/>
                </a:schemeClr>
              </a:solidFill>
              <a:round/>
            </a:ln>
            <a:effectLst/>
          </c:spPr>
          <c:marker>
            <c:symbol val="none"/>
          </c:marker>
          <c:val>
            <c:numRef>
              <c:f>'Cumulative recoveries'!$E$53:$BA$53</c:f>
              <c:numCache>
                <c:formatCode>0.00%</c:formatCode>
                <c:ptCount val="49"/>
                <c:pt idx="0">
                  <c:v>0.30593429450886561</c:v>
                </c:pt>
                <c:pt idx="1">
                  <c:v>0.67405294101302848</c:v>
                </c:pt>
                <c:pt idx="2">
                  <c:v>0.70418874988574165</c:v>
                </c:pt>
                <c:pt idx="3">
                  <c:v>0.72796225917481139</c:v>
                </c:pt>
                <c:pt idx="4">
                  <c:v>0.73789177946612783</c:v>
                </c:pt>
              </c:numCache>
            </c:numRef>
          </c:val>
          <c:smooth val="0"/>
          <c:extLst>
            <c:ext xmlns:c16="http://schemas.microsoft.com/office/drawing/2014/chart" uri="{C3380CC4-5D6E-409C-BE32-E72D297353CC}">
              <c16:uniqueId val="{0000002C-F6D1-4A49-989B-E82CB1D26503}"/>
            </c:ext>
          </c:extLst>
        </c:ser>
        <c:ser>
          <c:idx val="45"/>
          <c:order val="45"/>
          <c:tx>
            <c:strRef>
              <c:f>'Cumulative recoveries'!$C$54</c:f>
              <c:strCache>
                <c:ptCount val="1"/>
                <c:pt idx="0">
                  <c:v>2024Q2</c:v>
                </c:pt>
              </c:strCache>
            </c:strRef>
          </c:tx>
          <c:spPr>
            <a:ln w="28575" cap="rnd">
              <a:solidFill>
                <a:schemeClr val="accent4">
                  <a:lumMod val="70000"/>
                </a:schemeClr>
              </a:solidFill>
              <a:round/>
            </a:ln>
            <a:effectLst/>
          </c:spPr>
          <c:marker>
            <c:symbol val="none"/>
          </c:marker>
          <c:val>
            <c:numRef>
              <c:f>'Cumulative recoveries'!$E$54:$BA$54</c:f>
              <c:numCache>
                <c:formatCode>0.00%</c:formatCode>
                <c:ptCount val="49"/>
                <c:pt idx="0">
                  <c:v>0.38003989197117116</c:v>
                </c:pt>
                <c:pt idx="1">
                  <c:v>0.59001499713749206</c:v>
                </c:pt>
                <c:pt idx="2">
                  <c:v>0.6255908536182363</c:v>
                </c:pt>
                <c:pt idx="3">
                  <c:v>0.64253361801003328</c:v>
                </c:pt>
              </c:numCache>
            </c:numRef>
          </c:val>
          <c:smooth val="0"/>
          <c:extLst>
            <c:ext xmlns:c16="http://schemas.microsoft.com/office/drawing/2014/chart" uri="{C3380CC4-5D6E-409C-BE32-E72D297353CC}">
              <c16:uniqueId val="{0000002D-F6D1-4A49-989B-E82CB1D26503}"/>
            </c:ext>
          </c:extLst>
        </c:ser>
        <c:ser>
          <c:idx val="46"/>
          <c:order val="46"/>
          <c:tx>
            <c:strRef>
              <c:f>'Cumulative recoveries'!$C$55</c:f>
              <c:strCache>
                <c:ptCount val="1"/>
                <c:pt idx="0">
                  <c:v>2024Q3</c:v>
                </c:pt>
              </c:strCache>
            </c:strRef>
          </c:tx>
          <c:spPr>
            <a:ln w="28575" cap="rnd">
              <a:solidFill>
                <a:schemeClr val="accent5">
                  <a:lumMod val="70000"/>
                </a:schemeClr>
              </a:solidFill>
              <a:round/>
            </a:ln>
            <a:effectLst/>
          </c:spPr>
          <c:marker>
            <c:symbol val="none"/>
          </c:marker>
          <c:val>
            <c:numRef>
              <c:f>'Cumulative recoveries'!$E$55:$BA$55</c:f>
              <c:numCache>
                <c:formatCode>0.00%</c:formatCode>
                <c:ptCount val="49"/>
                <c:pt idx="0">
                  <c:v>0.30298064126713314</c:v>
                </c:pt>
                <c:pt idx="1">
                  <c:v>0.56824604100521814</c:v>
                </c:pt>
                <c:pt idx="2">
                  <c:v>0.62016987949594427</c:v>
                </c:pt>
              </c:numCache>
            </c:numRef>
          </c:val>
          <c:smooth val="0"/>
          <c:extLst>
            <c:ext xmlns:c16="http://schemas.microsoft.com/office/drawing/2014/chart" uri="{C3380CC4-5D6E-409C-BE32-E72D297353CC}">
              <c16:uniqueId val="{0000002E-F6D1-4A49-989B-E82CB1D26503}"/>
            </c:ext>
          </c:extLst>
        </c:ser>
        <c:ser>
          <c:idx val="47"/>
          <c:order val="47"/>
          <c:tx>
            <c:strRef>
              <c:f>'Cumulative recoveries'!$C$56</c:f>
              <c:strCache>
                <c:ptCount val="1"/>
                <c:pt idx="0">
                  <c:v>2024Q4</c:v>
                </c:pt>
              </c:strCache>
            </c:strRef>
          </c:tx>
          <c:spPr>
            <a:ln w="28575" cap="rnd">
              <a:solidFill>
                <a:schemeClr val="accent6">
                  <a:lumMod val="70000"/>
                </a:schemeClr>
              </a:solidFill>
              <a:round/>
            </a:ln>
            <a:effectLst/>
          </c:spPr>
          <c:marker>
            <c:symbol val="none"/>
          </c:marker>
          <c:val>
            <c:numRef>
              <c:f>'Cumulative recoveries'!$E$56:$BA$56</c:f>
              <c:numCache>
                <c:formatCode>0.00%</c:formatCode>
                <c:ptCount val="49"/>
                <c:pt idx="0">
                  <c:v>0.21200679408255951</c:v>
                </c:pt>
                <c:pt idx="1">
                  <c:v>0.51689462000092634</c:v>
                </c:pt>
              </c:numCache>
            </c:numRef>
          </c:val>
          <c:smooth val="0"/>
          <c:extLst>
            <c:ext xmlns:c16="http://schemas.microsoft.com/office/drawing/2014/chart" uri="{C3380CC4-5D6E-409C-BE32-E72D297353CC}">
              <c16:uniqueId val="{0000002F-F6D1-4A49-989B-E82CB1D26503}"/>
            </c:ext>
          </c:extLst>
        </c:ser>
        <c:ser>
          <c:idx val="48"/>
          <c:order val="48"/>
          <c:tx>
            <c:strRef>
              <c:f>'Cumulative recoveries'!$C$57</c:f>
              <c:strCache>
                <c:ptCount val="1"/>
                <c:pt idx="0">
                  <c:v>2025Q1</c:v>
                </c:pt>
              </c:strCache>
            </c:strRef>
          </c:tx>
          <c:spPr>
            <a:ln w="28575" cap="rnd">
              <a:solidFill>
                <a:schemeClr val="accent1">
                  <a:lumMod val="50000"/>
                  <a:lumOff val="50000"/>
                </a:schemeClr>
              </a:solidFill>
              <a:round/>
            </a:ln>
            <a:effectLst/>
          </c:spPr>
          <c:marker>
            <c:symbol val="none"/>
          </c:marker>
          <c:val>
            <c:numRef>
              <c:f>'Cumulative recoveries'!$E$57:$BA$57</c:f>
              <c:numCache>
                <c:formatCode>General</c:formatCode>
                <c:ptCount val="49"/>
                <c:pt idx="0" formatCode="0.00%">
                  <c:v>0.17649035782784384</c:v>
                </c:pt>
              </c:numCache>
            </c:numRef>
          </c:val>
          <c:smooth val="0"/>
          <c:extLst>
            <c:ext xmlns:c16="http://schemas.microsoft.com/office/drawing/2014/chart" uri="{C3380CC4-5D6E-409C-BE32-E72D297353CC}">
              <c16:uniqueId val="{00000030-F6D1-4A49-989B-E82CB1D26503}"/>
            </c:ext>
          </c:extLst>
        </c:ser>
        <c:dLbls>
          <c:showLegendKey val="0"/>
          <c:showVal val="0"/>
          <c:showCatName val="0"/>
          <c:showSerName val="0"/>
          <c:showPercent val="0"/>
          <c:showBubbleSize val="0"/>
        </c:dLbls>
        <c:smooth val="0"/>
        <c:axId val="935825648"/>
        <c:axId val="935824664"/>
        <c:extLst/>
      </c:lineChart>
      <c:catAx>
        <c:axId val="93582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35824664"/>
        <c:crosses val="autoZero"/>
        <c:auto val="1"/>
        <c:lblAlgn val="ctr"/>
        <c:lblOffset val="100"/>
        <c:noMultiLvlLbl val="0"/>
      </c:catAx>
      <c:valAx>
        <c:axId val="9358246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93582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022143473453953E-2"/>
          <c:y val="6.0185185185185182E-2"/>
          <c:w val="0.88128712897412287"/>
          <c:h val="0.56007691746864974"/>
        </c:manualLayout>
      </c:layout>
      <c:barChart>
        <c:barDir val="col"/>
        <c:grouping val="clustered"/>
        <c:varyColors val="0"/>
        <c:ser>
          <c:idx val="1"/>
          <c:order val="0"/>
          <c:spPr>
            <a:solidFill>
              <a:schemeClr val="accent2"/>
            </a:solidFill>
            <a:ln>
              <a:noFill/>
            </a:ln>
            <a:effectLst/>
          </c:spPr>
          <c:invertIfNegative val="0"/>
          <c:val>
            <c:numRef>
              <c:f>Prepayments!$M$9:$M$57</c:f>
              <c:numCache>
                <c:formatCode>#,##0</c:formatCode>
                <c:ptCount val="49"/>
                <c:pt idx="0">
                  <c:v>1139398103.6699989</c:v>
                </c:pt>
                <c:pt idx="1">
                  <c:v>1115836604.1899996</c:v>
                </c:pt>
                <c:pt idx="2">
                  <c:v>1108460574.1799996</c:v>
                </c:pt>
                <c:pt idx="3">
                  <c:v>1087538187.79</c:v>
                </c:pt>
                <c:pt idx="4">
                  <c:v>1050424485.62</c:v>
                </c:pt>
                <c:pt idx="5">
                  <c:v>1009843689.9999999</c:v>
                </c:pt>
                <c:pt idx="6">
                  <c:v>965878867.64999998</c:v>
                </c:pt>
                <c:pt idx="7">
                  <c:v>937823992.81999969</c:v>
                </c:pt>
                <c:pt idx="8">
                  <c:v>919208397.8300004</c:v>
                </c:pt>
                <c:pt idx="9">
                  <c:v>912954043.26000059</c:v>
                </c:pt>
                <c:pt idx="10">
                  <c:v>908150413.57000005</c:v>
                </c:pt>
                <c:pt idx="11">
                  <c:v>905586211.6899997</c:v>
                </c:pt>
                <c:pt idx="12">
                  <c:v>878337027.46000063</c:v>
                </c:pt>
                <c:pt idx="13">
                  <c:v>848823008.79999983</c:v>
                </c:pt>
                <c:pt idx="14">
                  <c:v>824229607.97999966</c:v>
                </c:pt>
                <c:pt idx="15">
                  <c:v>808521321.35999966</c:v>
                </c:pt>
                <c:pt idx="16">
                  <c:v>812162681.58000004</c:v>
                </c:pt>
                <c:pt idx="17">
                  <c:v>835272357.6500001</c:v>
                </c:pt>
                <c:pt idx="18">
                  <c:v>868089680.77999973</c:v>
                </c:pt>
                <c:pt idx="19">
                  <c:v>898900842.76000011</c:v>
                </c:pt>
                <c:pt idx="20">
                  <c:v>956390956.73000002</c:v>
                </c:pt>
                <c:pt idx="21">
                  <c:v>1023710044.5099999</c:v>
                </c:pt>
                <c:pt idx="22">
                  <c:v>1108497079.3500001</c:v>
                </c:pt>
                <c:pt idx="23">
                  <c:v>1181476829.1200004</c:v>
                </c:pt>
                <c:pt idx="24">
                  <c:v>1266387843.5799994</c:v>
                </c:pt>
                <c:pt idx="25">
                  <c:v>1366917181.9000008</c:v>
                </c:pt>
                <c:pt idx="26">
                  <c:v>1443005533.51</c:v>
                </c:pt>
                <c:pt idx="27">
                  <c:v>1544591014.5400004</c:v>
                </c:pt>
                <c:pt idx="28">
                  <c:v>1626930163.9599996</c:v>
                </c:pt>
                <c:pt idx="29">
                  <c:v>1666259707.4400005</c:v>
                </c:pt>
                <c:pt idx="30">
                  <c:v>1722557772.5599999</c:v>
                </c:pt>
                <c:pt idx="31">
                  <c:v>1800369987.8699985</c:v>
                </c:pt>
                <c:pt idx="32">
                  <c:v>1805571709.1099997</c:v>
                </c:pt>
                <c:pt idx="33">
                  <c:v>1883783714.069998</c:v>
                </c:pt>
                <c:pt idx="34">
                  <c:v>1915729793.0900013</c:v>
                </c:pt>
                <c:pt idx="35">
                  <c:v>1965110884.22</c:v>
                </c:pt>
                <c:pt idx="36">
                  <c:v>1979479056.4800012</c:v>
                </c:pt>
                <c:pt idx="37">
                  <c:v>1949454646.3800006</c:v>
                </c:pt>
                <c:pt idx="38">
                  <c:v>1905703325.5199997</c:v>
                </c:pt>
                <c:pt idx="39">
                  <c:v>1909382870.7099998</c:v>
                </c:pt>
                <c:pt idx="40">
                  <c:v>1882072408.8800001</c:v>
                </c:pt>
                <c:pt idx="41">
                  <c:v>1890366679.5800002</c:v>
                </c:pt>
                <c:pt idx="42">
                  <c:v>2104758321.009999</c:v>
                </c:pt>
                <c:pt idx="43">
                  <c:v>2476932419.2699981</c:v>
                </c:pt>
                <c:pt idx="44">
                  <c:v>2901215490.3700018</c:v>
                </c:pt>
                <c:pt idx="45">
                  <c:v>3402889696.9999995</c:v>
                </c:pt>
                <c:pt idx="46">
                  <c:v>4060500014.9499965</c:v>
                </c:pt>
                <c:pt idx="47">
                  <c:v>4535900309.3599968</c:v>
                </c:pt>
                <c:pt idx="48">
                  <c:v>4871902999.5699978</c:v>
                </c:pt>
              </c:numCache>
            </c:numRef>
          </c:val>
          <c:extLst>
            <c:ext xmlns:c16="http://schemas.microsoft.com/office/drawing/2014/chart" uri="{C3380CC4-5D6E-409C-BE32-E72D297353CC}">
              <c16:uniqueId val="{00000000-6C70-4777-AAEC-D8F0B7EB6E28}"/>
            </c:ext>
          </c:extLst>
        </c:ser>
        <c:dLbls>
          <c:showLegendKey val="0"/>
          <c:showVal val="0"/>
          <c:showCatName val="0"/>
          <c:showSerName val="0"/>
          <c:showPercent val="0"/>
          <c:showBubbleSize val="0"/>
        </c:dLbls>
        <c:gapWidth val="150"/>
        <c:axId val="816788976"/>
        <c:axId val="816787896"/>
      </c:barChart>
      <c:lineChart>
        <c:grouping val="standard"/>
        <c:varyColors val="0"/>
        <c:ser>
          <c:idx val="0"/>
          <c:order val="1"/>
          <c:spPr>
            <a:ln w="31750" cap="rnd">
              <a:solidFill>
                <a:schemeClr val="accent1"/>
              </a:solidFill>
              <a:round/>
            </a:ln>
            <a:effectLst/>
          </c:spPr>
          <c:marker>
            <c:symbol val="none"/>
          </c:marker>
          <c:cat>
            <c:numRef>
              <c:f>Prepayments!$B$9:$B$57</c:f>
              <c:numCache>
                <c:formatCode>dd\ mmmm\ yyyy*.</c:formatCode>
                <c:ptCount val="49"/>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pt idx="44">
                  <c:v>45382</c:v>
                </c:pt>
                <c:pt idx="45">
                  <c:v>45473</c:v>
                </c:pt>
                <c:pt idx="46">
                  <c:v>45565</c:v>
                </c:pt>
                <c:pt idx="47">
                  <c:v>45657</c:v>
                </c:pt>
                <c:pt idx="48">
                  <c:v>45747</c:v>
                </c:pt>
              </c:numCache>
            </c:numRef>
          </c:cat>
          <c:val>
            <c:numRef>
              <c:f>Prepayments!$N$9:$N$57</c:f>
              <c:numCache>
                <c:formatCode>0.00%</c:formatCode>
                <c:ptCount val="49"/>
                <c:pt idx="0">
                  <c:v>0</c:v>
                </c:pt>
                <c:pt idx="1">
                  <c:v>9.6696422705129903E-2</c:v>
                </c:pt>
                <c:pt idx="2">
                  <c:v>9.8488803369985556E-2</c:v>
                </c:pt>
                <c:pt idx="3">
                  <c:v>0.10760838828467134</c:v>
                </c:pt>
                <c:pt idx="4">
                  <c:v>0.12233705772095105</c:v>
                </c:pt>
                <c:pt idx="5">
                  <c:v>0.13852801857563379</c:v>
                </c:pt>
                <c:pt idx="6">
                  <c:v>0.12451467218551659</c:v>
                </c:pt>
                <c:pt idx="7">
                  <c:v>0.13936874348412609</c:v>
                </c:pt>
                <c:pt idx="8">
                  <c:v>0.13291836754136022</c:v>
                </c:pt>
                <c:pt idx="9">
                  <c:v>0.13611990082788239</c:v>
                </c:pt>
                <c:pt idx="10">
                  <c:v>0.12456097105051278</c:v>
                </c:pt>
                <c:pt idx="11">
                  <c:v>0.11725561407188212</c:v>
                </c:pt>
                <c:pt idx="12">
                  <c:v>0.10953154715767588</c:v>
                </c:pt>
                <c:pt idx="13">
                  <c:v>0.12194667030481454</c:v>
                </c:pt>
                <c:pt idx="14">
                  <c:v>0.11084698574051155</c:v>
                </c:pt>
                <c:pt idx="15">
                  <c:v>0.11651612022752167</c:v>
                </c:pt>
                <c:pt idx="16">
                  <c:v>7.7998437180614499E-2</c:v>
                </c:pt>
                <c:pt idx="17">
                  <c:v>7.0601895194283393E-2</c:v>
                </c:pt>
                <c:pt idx="18">
                  <c:v>6.2488559028470281E-2</c:v>
                </c:pt>
                <c:pt idx="19">
                  <c:v>6.1001502521842665E-2</c:v>
                </c:pt>
                <c:pt idx="20">
                  <c:v>6.1213237973352763E-2</c:v>
                </c:pt>
                <c:pt idx="21">
                  <c:v>6.3826911082775606E-2</c:v>
                </c:pt>
                <c:pt idx="22">
                  <c:v>5.9262376431136299E-2</c:v>
                </c:pt>
                <c:pt idx="23">
                  <c:v>5.5553266402901924E-2</c:v>
                </c:pt>
                <c:pt idx="24">
                  <c:v>5.4580571348134432E-2</c:v>
                </c:pt>
                <c:pt idx="25">
                  <c:v>5.3485404524991398E-2</c:v>
                </c:pt>
                <c:pt idx="26">
                  <c:v>4.6848112731498914E-2</c:v>
                </c:pt>
                <c:pt idx="27">
                  <c:v>5.0539549366258929E-2</c:v>
                </c:pt>
                <c:pt idx="28">
                  <c:v>4.5403363422637844E-2</c:v>
                </c:pt>
                <c:pt idx="29">
                  <c:v>3.8624098713281541E-2</c:v>
                </c:pt>
                <c:pt idx="30">
                  <c:v>4.6913069511253624E-2</c:v>
                </c:pt>
                <c:pt idx="31">
                  <c:v>5.5479628990625085E-2</c:v>
                </c:pt>
                <c:pt idx="32">
                  <c:v>4.4135834510748206E-2</c:v>
                </c:pt>
                <c:pt idx="33">
                  <c:v>5.1662840630585127E-2</c:v>
                </c:pt>
                <c:pt idx="34">
                  <c:v>5.1526928552018569E-2</c:v>
                </c:pt>
                <c:pt idx="35">
                  <c:v>6.1664716263007291E-2</c:v>
                </c:pt>
                <c:pt idx="36">
                  <c:v>6.7830283958430049E-2</c:v>
                </c:pt>
                <c:pt idx="37">
                  <c:v>7.3901947056025152E-2</c:v>
                </c:pt>
                <c:pt idx="38">
                  <c:v>7.1780309584829727E-2</c:v>
                </c:pt>
                <c:pt idx="39">
                  <c:v>8.2376927695846813E-2</c:v>
                </c:pt>
                <c:pt idx="40">
                  <c:v>7.1800308654218492E-2</c:v>
                </c:pt>
                <c:pt idx="41">
                  <c:v>6.4776624577997044E-2</c:v>
                </c:pt>
                <c:pt idx="42">
                  <c:v>6.1956950177248116E-2</c:v>
                </c:pt>
                <c:pt idx="43">
                  <c:v>5.1422491607879039E-2</c:v>
                </c:pt>
                <c:pt idx="44">
                  <c:v>4.6116200397953722E-2</c:v>
                </c:pt>
                <c:pt idx="45">
                  <c:v>3.159637650136804E-2</c:v>
                </c:pt>
                <c:pt idx="46">
                  <c:v>2.9631647877352285E-2</c:v>
                </c:pt>
                <c:pt idx="47">
                  <c:v>2.466586896753642E-2</c:v>
                </c:pt>
                <c:pt idx="48">
                  <c:v>2.581793103744956E-2</c:v>
                </c:pt>
              </c:numCache>
            </c:numRef>
          </c:val>
          <c:smooth val="0"/>
          <c:extLst>
            <c:ext xmlns:c16="http://schemas.microsoft.com/office/drawing/2014/chart" uri="{C3380CC4-5D6E-409C-BE32-E72D297353CC}">
              <c16:uniqueId val="{00000001-6C70-4777-AAEC-D8F0B7EB6E28}"/>
            </c:ext>
          </c:extLst>
        </c:ser>
        <c:dLbls>
          <c:showLegendKey val="0"/>
          <c:showVal val="0"/>
          <c:showCatName val="0"/>
          <c:showSerName val="0"/>
          <c:showPercent val="0"/>
          <c:showBubbleSize val="0"/>
        </c:dLbls>
        <c:marker val="1"/>
        <c:smooth val="0"/>
        <c:axId val="832155424"/>
        <c:axId val="832153624"/>
      </c:lineChart>
      <c:catAx>
        <c:axId val="832155424"/>
        <c:scaling>
          <c:orientation val="minMax"/>
          <c:min val="1"/>
        </c:scaling>
        <c:delete val="0"/>
        <c:axPos val="b"/>
        <c:numFmt formatCode="[$-809]dd\ m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2153624"/>
        <c:crosses val="autoZero"/>
        <c:auto val="0"/>
        <c:lblAlgn val="ctr"/>
        <c:lblOffset val="100"/>
        <c:noMultiLvlLbl val="0"/>
      </c:catAx>
      <c:valAx>
        <c:axId val="832153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32155424"/>
        <c:crosses val="autoZero"/>
        <c:crossBetween val="between"/>
      </c:valAx>
      <c:valAx>
        <c:axId val="81678789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16788976"/>
        <c:crosses val="max"/>
        <c:crossBetween val="between"/>
      </c:valAx>
      <c:catAx>
        <c:axId val="816788976"/>
        <c:scaling>
          <c:orientation val="minMax"/>
        </c:scaling>
        <c:delete val="1"/>
        <c:axPos val="b"/>
        <c:majorTickMark val="out"/>
        <c:minorTickMark val="none"/>
        <c:tickLblPos val="nextTo"/>
        <c:crossAx val="81678789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GB"/>
              <a:t>Total portfolio - Delinquency Data by Days in Arrears Bucket</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'Delinquency data'!$D$6</c:f>
              <c:strCache>
                <c:ptCount val="1"/>
                <c:pt idx="0">
                  <c:v>[1-30] days</c:v>
                </c:pt>
              </c:strCache>
            </c:strRef>
          </c:tx>
          <c:spPr>
            <a:ln w="28575" cap="rnd">
              <a:solidFill>
                <a:schemeClr val="accent1"/>
              </a:solidFill>
              <a:round/>
            </a:ln>
            <a:effectLst/>
          </c:spPr>
          <c:marker>
            <c:symbol val="none"/>
          </c:marker>
          <c:cat>
            <c:numRef>
              <c:f>'Delinquency data'!$B$7:$B$55</c:f>
              <c:numCache>
                <c:formatCode>[$-809]dd\ mmmm\ yyyy;@</c:formatCode>
                <c:ptCount val="49"/>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pt idx="44">
                  <c:v>45382</c:v>
                </c:pt>
                <c:pt idx="45">
                  <c:v>45473</c:v>
                </c:pt>
                <c:pt idx="46">
                  <c:v>45565</c:v>
                </c:pt>
                <c:pt idx="47">
                  <c:v>45657</c:v>
                </c:pt>
                <c:pt idx="48">
                  <c:v>45747</c:v>
                </c:pt>
              </c:numCache>
            </c:numRef>
          </c:cat>
          <c:val>
            <c:numRef>
              <c:f>'Delinquency data'!$D$7:$D$55</c:f>
              <c:numCache>
                <c:formatCode>0.00%</c:formatCode>
                <c:ptCount val="49"/>
                <c:pt idx="0">
                  <c:v>6.2589392390857024E-3</c:v>
                </c:pt>
                <c:pt idx="1">
                  <c:v>6.7606334132371635E-3</c:v>
                </c:pt>
                <c:pt idx="2">
                  <c:v>6.5126540881622072E-3</c:v>
                </c:pt>
                <c:pt idx="3">
                  <c:v>3.5019947922375113E-3</c:v>
                </c:pt>
                <c:pt idx="4">
                  <c:v>6.2273579105870079E-3</c:v>
                </c:pt>
                <c:pt idx="5">
                  <c:v>6.6136489895777806E-3</c:v>
                </c:pt>
                <c:pt idx="6">
                  <c:v>6.7775401856831376E-3</c:v>
                </c:pt>
                <c:pt idx="7">
                  <c:v>4.276271571961936E-3</c:v>
                </c:pt>
                <c:pt idx="8">
                  <c:v>6.1955950614076627E-3</c:v>
                </c:pt>
                <c:pt idx="9">
                  <c:v>6.4050646723897361E-3</c:v>
                </c:pt>
                <c:pt idx="10">
                  <c:v>6.4618472031865333E-3</c:v>
                </c:pt>
                <c:pt idx="11">
                  <c:v>4.1478291536596722E-3</c:v>
                </c:pt>
                <c:pt idx="12">
                  <c:v>5.4872405572352883E-3</c:v>
                </c:pt>
                <c:pt idx="13">
                  <c:v>6.0958638212635606E-3</c:v>
                </c:pt>
                <c:pt idx="14">
                  <c:v>5.5753564122286514E-3</c:v>
                </c:pt>
                <c:pt idx="15">
                  <c:v>4.5639452448737383E-3</c:v>
                </c:pt>
                <c:pt idx="16">
                  <c:v>5.7851333317353246E-3</c:v>
                </c:pt>
                <c:pt idx="17">
                  <c:v>6.0339497696054248E-3</c:v>
                </c:pt>
                <c:pt idx="18">
                  <c:v>4.8321686605362069E-3</c:v>
                </c:pt>
                <c:pt idx="19">
                  <c:v>3.8049917713929631E-3</c:v>
                </c:pt>
                <c:pt idx="20">
                  <c:v>4.5040847361505366E-3</c:v>
                </c:pt>
                <c:pt idx="21">
                  <c:v>4.8949120279448925E-3</c:v>
                </c:pt>
                <c:pt idx="22">
                  <c:v>4.6553060049792363E-3</c:v>
                </c:pt>
                <c:pt idx="23">
                  <c:v>2.3264872930663489E-3</c:v>
                </c:pt>
                <c:pt idx="24">
                  <c:v>4.1944524159232763E-3</c:v>
                </c:pt>
                <c:pt idx="25">
                  <c:v>4.1701979428458279E-3</c:v>
                </c:pt>
                <c:pt idx="26">
                  <c:v>3.885025663320611E-3</c:v>
                </c:pt>
                <c:pt idx="27">
                  <c:v>2.7313232242623191E-3</c:v>
                </c:pt>
                <c:pt idx="28">
                  <c:v>4.5307937693269233E-3</c:v>
                </c:pt>
                <c:pt idx="29">
                  <c:v>3.071241420019917E-3</c:v>
                </c:pt>
                <c:pt idx="30">
                  <c:v>4.3064944747689786E-3</c:v>
                </c:pt>
                <c:pt idx="31">
                  <c:v>2.7605466117994822E-3</c:v>
                </c:pt>
                <c:pt idx="32">
                  <c:v>3.83750557512633E-3</c:v>
                </c:pt>
                <c:pt idx="33">
                  <c:v>3.5906302934247906E-3</c:v>
                </c:pt>
                <c:pt idx="34">
                  <c:v>4.1242624239068854E-3</c:v>
                </c:pt>
                <c:pt idx="35">
                  <c:v>3.3607884384709488E-3</c:v>
                </c:pt>
                <c:pt idx="36">
                  <c:v>4.0580511138543374E-3</c:v>
                </c:pt>
                <c:pt idx="37">
                  <c:v>3.7794939490804627E-3</c:v>
                </c:pt>
                <c:pt idx="38">
                  <c:v>3.8730429134272593E-3</c:v>
                </c:pt>
                <c:pt idx="39">
                  <c:v>3.6470354829414584E-3</c:v>
                </c:pt>
                <c:pt idx="40">
                  <c:v>4.3465326314772942E-3</c:v>
                </c:pt>
                <c:pt idx="41">
                  <c:v>4.3510520624641157E-3</c:v>
                </c:pt>
                <c:pt idx="42">
                  <c:v>3.8194176166232684E-3</c:v>
                </c:pt>
                <c:pt idx="43">
                  <c:v>3.2080222771446688E-3</c:v>
                </c:pt>
                <c:pt idx="44">
                  <c:v>2.7458285006550977E-3</c:v>
                </c:pt>
                <c:pt idx="45">
                  <c:v>4.6671937453634099E-3</c:v>
                </c:pt>
                <c:pt idx="46">
                  <c:v>4.2235885129558795E-3</c:v>
                </c:pt>
                <c:pt idx="47">
                  <c:v>5.8779031243219376E-3</c:v>
                </c:pt>
                <c:pt idx="48">
                  <c:v>7.1615894473021132E-3</c:v>
                </c:pt>
              </c:numCache>
            </c:numRef>
          </c:val>
          <c:smooth val="0"/>
          <c:extLst>
            <c:ext xmlns:c16="http://schemas.microsoft.com/office/drawing/2014/chart" uri="{C3380CC4-5D6E-409C-BE32-E72D297353CC}">
              <c16:uniqueId val="{00000000-4D50-41D0-BFD6-8984A3A15F97}"/>
            </c:ext>
          </c:extLst>
        </c:ser>
        <c:ser>
          <c:idx val="1"/>
          <c:order val="1"/>
          <c:tx>
            <c:strRef>
              <c:f>'Delinquency data'!$E$6</c:f>
              <c:strCache>
                <c:ptCount val="1"/>
                <c:pt idx="0">
                  <c:v>[31-60] days</c:v>
                </c:pt>
              </c:strCache>
            </c:strRef>
          </c:tx>
          <c:spPr>
            <a:ln w="28575" cap="rnd">
              <a:solidFill>
                <a:schemeClr val="accent2"/>
              </a:solidFill>
              <a:round/>
            </a:ln>
            <a:effectLst/>
          </c:spPr>
          <c:marker>
            <c:symbol val="none"/>
          </c:marker>
          <c:cat>
            <c:numRef>
              <c:f>'Delinquency data'!$B$7:$B$55</c:f>
              <c:numCache>
                <c:formatCode>[$-809]dd\ mmmm\ yyyy;@</c:formatCode>
                <c:ptCount val="49"/>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pt idx="44">
                  <c:v>45382</c:v>
                </c:pt>
                <c:pt idx="45">
                  <c:v>45473</c:v>
                </c:pt>
                <c:pt idx="46">
                  <c:v>45565</c:v>
                </c:pt>
                <c:pt idx="47">
                  <c:v>45657</c:v>
                </c:pt>
                <c:pt idx="48">
                  <c:v>45747</c:v>
                </c:pt>
              </c:numCache>
            </c:numRef>
          </c:cat>
          <c:val>
            <c:numRef>
              <c:f>'Delinquency data'!$E$7:$E$55</c:f>
              <c:numCache>
                <c:formatCode>0.00%</c:formatCode>
                <c:ptCount val="49"/>
                <c:pt idx="0">
                  <c:v>4.7966058942844085E-3</c:v>
                </c:pt>
                <c:pt idx="1">
                  <c:v>3.4060702845995251E-3</c:v>
                </c:pt>
                <c:pt idx="2">
                  <c:v>3.2138632920123214E-3</c:v>
                </c:pt>
                <c:pt idx="3">
                  <c:v>4.4760263084572833E-3</c:v>
                </c:pt>
                <c:pt idx="4">
                  <c:v>4.7877363569182258E-3</c:v>
                </c:pt>
                <c:pt idx="5">
                  <c:v>3.6516030416548929E-3</c:v>
                </c:pt>
                <c:pt idx="6">
                  <c:v>3.4283152172658459E-3</c:v>
                </c:pt>
                <c:pt idx="7">
                  <c:v>4.1884760680823462E-3</c:v>
                </c:pt>
                <c:pt idx="8">
                  <c:v>4.7437104363861875E-3</c:v>
                </c:pt>
                <c:pt idx="9">
                  <c:v>3.6238640865056048E-3</c:v>
                </c:pt>
                <c:pt idx="10">
                  <c:v>3.2791732795598798E-3</c:v>
                </c:pt>
                <c:pt idx="11">
                  <c:v>2.8753118326975452E-3</c:v>
                </c:pt>
                <c:pt idx="12">
                  <c:v>2.9305070030390115E-3</c:v>
                </c:pt>
                <c:pt idx="13">
                  <c:v>2.0788961440791711E-3</c:v>
                </c:pt>
                <c:pt idx="14">
                  <c:v>2.2156098401700602E-3</c:v>
                </c:pt>
                <c:pt idx="15">
                  <c:v>2.8997550813580717E-3</c:v>
                </c:pt>
                <c:pt idx="16">
                  <c:v>2.8024430346542633E-3</c:v>
                </c:pt>
                <c:pt idx="17">
                  <c:v>1.9253212862502768E-3</c:v>
                </c:pt>
                <c:pt idx="18">
                  <c:v>2.3798469740404214E-3</c:v>
                </c:pt>
                <c:pt idx="19">
                  <c:v>2.351704069504816E-3</c:v>
                </c:pt>
                <c:pt idx="20">
                  <c:v>2.3935408463363968E-3</c:v>
                </c:pt>
                <c:pt idx="21">
                  <c:v>1.9125131383634433E-3</c:v>
                </c:pt>
                <c:pt idx="22">
                  <c:v>1.73986865272655E-3</c:v>
                </c:pt>
                <c:pt idx="23">
                  <c:v>2.3270327713898458E-3</c:v>
                </c:pt>
                <c:pt idx="24">
                  <c:v>1.6907932201457023E-3</c:v>
                </c:pt>
                <c:pt idx="25">
                  <c:v>1.6023145505827954E-3</c:v>
                </c:pt>
                <c:pt idx="26">
                  <c:v>1.6592894097750921E-3</c:v>
                </c:pt>
                <c:pt idx="27">
                  <c:v>1.8104159765766801E-3</c:v>
                </c:pt>
                <c:pt idx="28">
                  <c:v>1.9315459198021611E-3</c:v>
                </c:pt>
                <c:pt idx="29">
                  <c:v>1.2849828753823465E-3</c:v>
                </c:pt>
                <c:pt idx="30">
                  <c:v>1.3550535936632548E-3</c:v>
                </c:pt>
                <c:pt idx="31">
                  <c:v>1.3684462563802189E-3</c:v>
                </c:pt>
                <c:pt idx="32">
                  <c:v>9.9377481987932806E-4</c:v>
                </c:pt>
                <c:pt idx="33">
                  <c:v>9.472211521272851E-4</c:v>
                </c:pt>
                <c:pt idx="34">
                  <c:v>1.1524999235089277E-3</c:v>
                </c:pt>
                <c:pt idx="35">
                  <c:v>1.0849546491857453E-3</c:v>
                </c:pt>
                <c:pt idx="36">
                  <c:v>9.9365974272932274E-4</c:v>
                </c:pt>
                <c:pt idx="37">
                  <c:v>1.1172130441938267E-3</c:v>
                </c:pt>
                <c:pt idx="38">
                  <c:v>1.2736718813972214E-3</c:v>
                </c:pt>
                <c:pt idx="39">
                  <c:v>1.3603618843789783E-3</c:v>
                </c:pt>
                <c:pt idx="40">
                  <c:v>1.1169586037611564E-3</c:v>
                </c:pt>
                <c:pt idx="41">
                  <c:v>1.237108109903622E-3</c:v>
                </c:pt>
                <c:pt idx="42">
                  <c:v>1.3552441396840304E-3</c:v>
                </c:pt>
                <c:pt idx="43">
                  <c:v>1.4080838713507978E-3</c:v>
                </c:pt>
                <c:pt idx="44">
                  <c:v>1.2784053864013357E-3</c:v>
                </c:pt>
                <c:pt idx="45">
                  <c:v>2.1371398980141554E-3</c:v>
                </c:pt>
                <c:pt idx="46">
                  <c:v>1.5683997307111008E-3</c:v>
                </c:pt>
                <c:pt idx="47">
                  <c:v>1.7422784234680541E-3</c:v>
                </c:pt>
                <c:pt idx="48">
                  <c:v>1.6860927425535828E-3</c:v>
                </c:pt>
              </c:numCache>
            </c:numRef>
          </c:val>
          <c:smooth val="0"/>
          <c:extLst>
            <c:ext xmlns:c16="http://schemas.microsoft.com/office/drawing/2014/chart" uri="{C3380CC4-5D6E-409C-BE32-E72D297353CC}">
              <c16:uniqueId val="{00000001-4D50-41D0-BFD6-8984A3A15F97}"/>
            </c:ext>
          </c:extLst>
        </c:ser>
        <c:ser>
          <c:idx val="2"/>
          <c:order val="2"/>
          <c:tx>
            <c:strRef>
              <c:f>'Delinquency data'!$F$6</c:f>
              <c:strCache>
                <c:ptCount val="1"/>
                <c:pt idx="0">
                  <c:v>[61-90] days</c:v>
                </c:pt>
              </c:strCache>
            </c:strRef>
          </c:tx>
          <c:spPr>
            <a:ln w="28575" cap="rnd">
              <a:solidFill>
                <a:schemeClr val="accent3"/>
              </a:solidFill>
              <a:round/>
            </a:ln>
            <a:effectLst/>
          </c:spPr>
          <c:marker>
            <c:symbol val="none"/>
          </c:marker>
          <c:cat>
            <c:numRef>
              <c:f>'Delinquency data'!$B$7:$B$55</c:f>
              <c:numCache>
                <c:formatCode>[$-809]dd\ mmmm\ yyyy;@</c:formatCode>
                <c:ptCount val="49"/>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pt idx="44">
                  <c:v>45382</c:v>
                </c:pt>
                <c:pt idx="45">
                  <c:v>45473</c:v>
                </c:pt>
                <c:pt idx="46">
                  <c:v>45565</c:v>
                </c:pt>
                <c:pt idx="47">
                  <c:v>45657</c:v>
                </c:pt>
                <c:pt idx="48">
                  <c:v>45747</c:v>
                </c:pt>
              </c:numCache>
            </c:numRef>
          </c:cat>
          <c:val>
            <c:numRef>
              <c:f>'Delinquency data'!$F$7:$F$55</c:f>
              <c:numCache>
                <c:formatCode>0.00%</c:formatCode>
                <c:ptCount val="49"/>
                <c:pt idx="0">
                  <c:v>1.307222203725366E-3</c:v>
                </c:pt>
                <c:pt idx="1">
                  <c:v>1.5203967979088855E-3</c:v>
                </c:pt>
                <c:pt idx="2">
                  <c:v>1.5839231190507772E-3</c:v>
                </c:pt>
                <c:pt idx="3">
                  <c:v>1.4474330167649806E-3</c:v>
                </c:pt>
                <c:pt idx="4">
                  <c:v>1.1911840281040912E-3</c:v>
                </c:pt>
                <c:pt idx="5">
                  <c:v>1.2663326143078637E-3</c:v>
                </c:pt>
                <c:pt idx="6">
                  <c:v>1.3292786114306487E-3</c:v>
                </c:pt>
                <c:pt idx="7">
                  <c:v>1.3161844327402624E-3</c:v>
                </c:pt>
                <c:pt idx="8">
                  <c:v>1.1383938206725635E-3</c:v>
                </c:pt>
                <c:pt idx="9">
                  <c:v>1.2901862461707192E-3</c:v>
                </c:pt>
                <c:pt idx="10">
                  <c:v>1.0776104655977968E-3</c:v>
                </c:pt>
                <c:pt idx="11">
                  <c:v>1.1455601538632129E-3</c:v>
                </c:pt>
                <c:pt idx="12">
                  <c:v>1.0285295071898132E-3</c:v>
                </c:pt>
                <c:pt idx="13">
                  <c:v>9.3084411215126354E-4</c:v>
                </c:pt>
                <c:pt idx="14">
                  <c:v>9.0838090836718309E-4</c:v>
                </c:pt>
                <c:pt idx="15">
                  <c:v>6.3252124154224111E-4</c:v>
                </c:pt>
                <c:pt idx="16">
                  <c:v>8.6874562941919719E-4</c:v>
                </c:pt>
                <c:pt idx="17">
                  <c:v>6.4218949075382434E-4</c:v>
                </c:pt>
                <c:pt idx="18">
                  <c:v>6.4976619638328374E-4</c:v>
                </c:pt>
                <c:pt idx="19">
                  <c:v>5.9300539574899636E-4</c:v>
                </c:pt>
                <c:pt idx="20">
                  <c:v>5.7918941631772555E-4</c:v>
                </c:pt>
                <c:pt idx="21">
                  <c:v>6.4736040596066107E-4</c:v>
                </c:pt>
                <c:pt idx="22">
                  <c:v>6.9308501060779055E-4</c:v>
                </c:pt>
                <c:pt idx="23">
                  <c:v>7.2801714667621151E-4</c:v>
                </c:pt>
                <c:pt idx="24">
                  <c:v>4.5599896029286242E-4</c:v>
                </c:pt>
                <c:pt idx="25">
                  <c:v>5.8584376625282948E-4</c:v>
                </c:pt>
                <c:pt idx="26">
                  <c:v>5.4851281690841496E-4</c:v>
                </c:pt>
                <c:pt idx="27">
                  <c:v>6.4654193932198222E-4</c:v>
                </c:pt>
                <c:pt idx="28">
                  <c:v>4.2591421276090888E-4</c:v>
                </c:pt>
                <c:pt idx="29">
                  <c:v>5.5036280713342584E-4</c:v>
                </c:pt>
                <c:pt idx="30">
                  <c:v>6.2156478990472031E-4</c:v>
                </c:pt>
                <c:pt idx="31">
                  <c:v>4.2915547093411708E-4</c:v>
                </c:pt>
                <c:pt idx="32">
                  <c:v>4.0300811445405144E-4</c:v>
                </c:pt>
                <c:pt idx="33">
                  <c:v>3.2970444290449005E-4</c:v>
                </c:pt>
                <c:pt idx="34">
                  <c:v>5.3471485054671036E-4</c:v>
                </c:pt>
                <c:pt idx="35">
                  <c:v>2.7697460452265533E-4</c:v>
                </c:pt>
                <c:pt idx="36">
                  <c:v>3.4201038287511677E-4</c:v>
                </c:pt>
                <c:pt idx="37">
                  <c:v>2.7491482861383403E-4</c:v>
                </c:pt>
                <c:pt idx="38">
                  <c:v>2.6643794089064324E-4</c:v>
                </c:pt>
                <c:pt idx="39">
                  <c:v>3.3011811285686021E-4</c:v>
                </c:pt>
                <c:pt idx="40">
                  <c:v>3.5944326945559784E-4</c:v>
                </c:pt>
                <c:pt idx="41">
                  <c:v>3.6266664949485876E-4</c:v>
                </c:pt>
                <c:pt idx="42">
                  <c:v>3.9302998436563505E-4</c:v>
                </c:pt>
                <c:pt idx="43">
                  <c:v>4.6940736491416548E-4</c:v>
                </c:pt>
                <c:pt idx="44">
                  <c:v>4.3344419405386039E-4</c:v>
                </c:pt>
                <c:pt idx="45">
                  <c:v>6.6342909439300545E-4</c:v>
                </c:pt>
                <c:pt idx="46">
                  <c:v>5.3330742815590559E-4</c:v>
                </c:pt>
                <c:pt idx="47">
                  <c:v>6.5124030920705848E-4</c:v>
                </c:pt>
                <c:pt idx="48">
                  <c:v>5.4090727796357867E-4</c:v>
                </c:pt>
              </c:numCache>
            </c:numRef>
          </c:val>
          <c:smooth val="0"/>
          <c:extLst>
            <c:ext xmlns:c16="http://schemas.microsoft.com/office/drawing/2014/chart" uri="{C3380CC4-5D6E-409C-BE32-E72D297353CC}">
              <c16:uniqueId val="{00000002-4D50-41D0-BFD6-8984A3A15F97}"/>
            </c:ext>
          </c:extLst>
        </c:ser>
        <c:ser>
          <c:idx val="3"/>
          <c:order val="3"/>
          <c:tx>
            <c:strRef>
              <c:f>'Delinquency data'!$G$6</c:f>
              <c:strCache>
                <c:ptCount val="1"/>
                <c:pt idx="0">
                  <c:v>[91-120] days</c:v>
                </c:pt>
              </c:strCache>
            </c:strRef>
          </c:tx>
          <c:spPr>
            <a:ln w="28575" cap="rnd">
              <a:solidFill>
                <a:schemeClr val="accent4"/>
              </a:solidFill>
              <a:round/>
            </a:ln>
            <a:effectLst/>
          </c:spPr>
          <c:marker>
            <c:symbol val="none"/>
          </c:marker>
          <c:cat>
            <c:numRef>
              <c:f>'Delinquency data'!$B$7:$B$55</c:f>
              <c:numCache>
                <c:formatCode>[$-809]dd\ mmmm\ yyyy;@</c:formatCode>
                <c:ptCount val="49"/>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pt idx="44">
                  <c:v>45382</c:v>
                </c:pt>
                <c:pt idx="45">
                  <c:v>45473</c:v>
                </c:pt>
                <c:pt idx="46">
                  <c:v>45565</c:v>
                </c:pt>
                <c:pt idx="47">
                  <c:v>45657</c:v>
                </c:pt>
                <c:pt idx="48">
                  <c:v>45747</c:v>
                </c:pt>
              </c:numCache>
            </c:numRef>
          </c:cat>
          <c:val>
            <c:numRef>
              <c:f>'Delinquency data'!$G$7:$G$55</c:f>
              <c:numCache>
                <c:formatCode>0.00%</c:formatCode>
                <c:ptCount val="49"/>
                <c:pt idx="0">
                  <c:v>9.1662313342105218E-4</c:v>
                </c:pt>
                <c:pt idx="1">
                  <c:v>6.3070120424205687E-4</c:v>
                </c:pt>
                <c:pt idx="2">
                  <c:v>6.9132448898048219E-4</c:v>
                </c:pt>
                <c:pt idx="3">
                  <c:v>6.498160781242022E-4</c:v>
                </c:pt>
                <c:pt idx="4">
                  <c:v>6.2978716609936216E-4</c:v>
                </c:pt>
                <c:pt idx="5">
                  <c:v>7.1852607208943396E-4</c:v>
                </c:pt>
                <c:pt idx="6">
                  <c:v>6.1614648578857932E-4</c:v>
                </c:pt>
                <c:pt idx="7">
                  <c:v>5.3534023851356202E-4</c:v>
                </c:pt>
                <c:pt idx="8">
                  <c:v>7.0491368609083892E-4</c:v>
                </c:pt>
                <c:pt idx="9">
                  <c:v>4.8840289748628145E-4</c:v>
                </c:pt>
                <c:pt idx="10">
                  <c:v>5.6884459036826793E-4</c:v>
                </c:pt>
                <c:pt idx="11">
                  <c:v>6.8243304946824263E-4</c:v>
                </c:pt>
                <c:pt idx="12">
                  <c:v>5.0612232674005604E-4</c:v>
                </c:pt>
                <c:pt idx="13">
                  <c:v>5.3928320186223493E-4</c:v>
                </c:pt>
                <c:pt idx="14">
                  <c:v>5.100477414664784E-4</c:v>
                </c:pt>
                <c:pt idx="15">
                  <c:v>2.3837736236294546E-4</c:v>
                </c:pt>
                <c:pt idx="16">
                  <c:v>4.1900139924919697E-4</c:v>
                </c:pt>
                <c:pt idx="17">
                  <c:v>3.2807666564110897E-4</c:v>
                </c:pt>
                <c:pt idx="18">
                  <c:v>5.5354353431345447E-4</c:v>
                </c:pt>
                <c:pt idx="19">
                  <c:v>4.0413132652606878E-4</c:v>
                </c:pt>
                <c:pt idx="20">
                  <c:v>4.2919234766026961E-4</c:v>
                </c:pt>
                <c:pt idx="21">
                  <c:v>2.9292448736647207E-4</c:v>
                </c:pt>
                <c:pt idx="22">
                  <c:v>3.9535958927107293E-4</c:v>
                </c:pt>
                <c:pt idx="23">
                  <c:v>3.4581659151480674E-4</c:v>
                </c:pt>
                <c:pt idx="24">
                  <c:v>3.0484320578177791E-4</c:v>
                </c:pt>
                <c:pt idx="25">
                  <c:v>2.7322947940479022E-4</c:v>
                </c:pt>
                <c:pt idx="26">
                  <c:v>2.7610797100054141E-4</c:v>
                </c:pt>
                <c:pt idx="27">
                  <c:v>2.0257623348481351E-4</c:v>
                </c:pt>
                <c:pt idx="28">
                  <c:v>2.7441846607189501E-4</c:v>
                </c:pt>
                <c:pt idx="29">
                  <c:v>3.5186811958670114E-4</c:v>
                </c:pt>
                <c:pt idx="30">
                  <c:v>2.9055336661143352E-4</c:v>
                </c:pt>
                <c:pt idx="31">
                  <c:v>2.2323723051809782E-4</c:v>
                </c:pt>
                <c:pt idx="32">
                  <c:v>2.8335813383573052E-4</c:v>
                </c:pt>
                <c:pt idx="33">
                  <c:v>1.6355483259504992E-4</c:v>
                </c:pt>
                <c:pt idx="34">
                  <c:v>1.9775154166650386E-4</c:v>
                </c:pt>
                <c:pt idx="35">
                  <c:v>2.0443454525949505E-4</c:v>
                </c:pt>
                <c:pt idx="36">
                  <c:v>1.1749026049993459E-4</c:v>
                </c:pt>
                <c:pt idx="37">
                  <c:v>1.2898252876357847E-4</c:v>
                </c:pt>
                <c:pt idx="38">
                  <c:v>1.7492074738812834E-4</c:v>
                </c:pt>
                <c:pt idx="39">
                  <c:v>2.2100262680322877E-4</c:v>
                </c:pt>
                <c:pt idx="40">
                  <c:v>2.22215780873639E-4</c:v>
                </c:pt>
                <c:pt idx="41">
                  <c:v>2.0993208052533569E-4</c:v>
                </c:pt>
                <c:pt idx="42">
                  <c:v>1.7232759998114623E-4</c:v>
                </c:pt>
                <c:pt idx="43">
                  <c:v>2.2231745029292787E-4</c:v>
                </c:pt>
                <c:pt idx="44">
                  <c:v>1.694687697732155E-4</c:v>
                </c:pt>
                <c:pt idx="45">
                  <c:v>2.5119002850829098E-4</c:v>
                </c:pt>
                <c:pt idx="46">
                  <c:v>2.5756025764055515E-4</c:v>
                </c:pt>
                <c:pt idx="47">
                  <c:v>3.3147498125066683E-4</c:v>
                </c:pt>
                <c:pt idx="48">
                  <c:v>3.1458435854229299E-4</c:v>
                </c:pt>
              </c:numCache>
            </c:numRef>
          </c:val>
          <c:smooth val="0"/>
          <c:extLst>
            <c:ext xmlns:c16="http://schemas.microsoft.com/office/drawing/2014/chart" uri="{C3380CC4-5D6E-409C-BE32-E72D297353CC}">
              <c16:uniqueId val="{00000003-4D50-41D0-BFD6-8984A3A15F97}"/>
            </c:ext>
          </c:extLst>
        </c:ser>
        <c:ser>
          <c:idx val="4"/>
          <c:order val="4"/>
          <c:tx>
            <c:strRef>
              <c:f>'Delinquency data'!$H$6</c:f>
              <c:strCache>
                <c:ptCount val="1"/>
                <c:pt idx="0">
                  <c:v>[121-149] days</c:v>
                </c:pt>
              </c:strCache>
            </c:strRef>
          </c:tx>
          <c:spPr>
            <a:ln w="28575" cap="rnd">
              <a:solidFill>
                <a:schemeClr val="accent5"/>
              </a:solidFill>
              <a:round/>
            </a:ln>
            <a:effectLst/>
          </c:spPr>
          <c:marker>
            <c:symbol val="none"/>
          </c:marker>
          <c:cat>
            <c:numRef>
              <c:f>'Delinquency data'!$B$7:$B$55</c:f>
              <c:numCache>
                <c:formatCode>[$-809]dd\ mmmm\ yyyy;@</c:formatCode>
                <c:ptCount val="49"/>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pt idx="44">
                  <c:v>45382</c:v>
                </c:pt>
                <c:pt idx="45">
                  <c:v>45473</c:v>
                </c:pt>
                <c:pt idx="46">
                  <c:v>45565</c:v>
                </c:pt>
                <c:pt idx="47">
                  <c:v>45657</c:v>
                </c:pt>
                <c:pt idx="48">
                  <c:v>45747</c:v>
                </c:pt>
              </c:numCache>
            </c:numRef>
          </c:cat>
          <c:val>
            <c:numRef>
              <c:f>'Delinquency data'!$H$7:$H$55</c:f>
              <c:numCache>
                <c:formatCode>0.00%</c:formatCode>
                <c:ptCount val="49"/>
                <c:pt idx="0">
                  <c:v>3.3350679518952167E-4</c:v>
                </c:pt>
                <c:pt idx="1">
                  <c:v>6.9597040201395486E-4</c:v>
                </c:pt>
                <c:pt idx="2">
                  <c:v>4.4161445287499207E-4</c:v>
                </c:pt>
                <c:pt idx="3">
                  <c:v>5.5197385870179173E-4</c:v>
                </c:pt>
                <c:pt idx="4">
                  <c:v>5.8328922106034176E-4</c:v>
                </c:pt>
                <c:pt idx="5">
                  <c:v>5.7201873489945735E-4</c:v>
                </c:pt>
                <c:pt idx="6">
                  <c:v>4.0884711657559146E-4</c:v>
                </c:pt>
                <c:pt idx="7">
                  <c:v>3.653058064443815E-4</c:v>
                </c:pt>
                <c:pt idx="8">
                  <c:v>4.2812079494597974E-4</c:v>
                </c:pt>
                <c:pt idx="9">
                  <c:v>4.1599268090632889E-4</c:v>
                </c:pt>
                <c:pt idx="10">
                  <c:v>2.9029343163942668E-4</c:v>
                </c:pt>
                <c:pt idx="11">
                  <c:v>3.6670751576513565E-4</c:v>
                </c:pt>
                <c:pt idx="12">
                  <c:v>4.9005780986456496E-4</c:v>
                </c:pt>
                <c:pt idx="13">
                  <c:v>4.0273021166482788E-4</c:v>
                </c:pt>
                <c:pt idx="14">
                  <c:v>2.5449844068825279E-4</c:v>
                </c:pt>
                <c:pt idx="15">
                  <c:v>4.5008685656907878E-4</c:v>
                </c:pt>
                <c:pt idx="16">
                  <c:v>2.7860003313598701E-4</c:v>
                </c:pt>
                <c:pt idx="17">
                  <c:v>3.1633633937484806E-4</c:v>
                </c:pt>
                <c:pt idx="18">
                  <c:v>2.8302863798500348E-4</c:v>
                </c:pt>
                <c:pt idx="19">
                  <c:v>2.7356952880914885E-4</c:v>
                </c:pt>
                <c:pt idx="20">
                  <c:v>2.8164976687043838E-4</c:v>
                </c:pt>
                <c:pt idx="21">
                  <c:v>3.0447460359656092E-4</c:v>
                </c:pt>
                <c:pt idx="22">
                  <c:v>2.4812943139307511E-4</c:v>
                </c:pt>
                <c:pt idx="23">
                  <c:v>4.473744020809021E-4</c:v>
                </c:pt>
                <c:pt idx="24">
                  <c:v>1.2961567882393429E-4</c:v>
                </c:pt>
                <c:pt idx="25">
                  <c:v>2.0645817737672254E-4</c:v>
                </c:pt>
                <c:pt idx="26">
                  <c:v>1.3665829785165784E-4</c:v>
                </c:pt>
                <c:pt idx="27">
                  <c:v>1.9698339375010044E-4</c:v>
                </c:pt>
                <c:pt idx="28">
                  <c:v>1.2656760232337952E-4</c:v>
                </c:pt>
                <c:pt idx="29">
                  <c:v>2.0646786840243376E-4</c:v>
                </c:pt>
                <c:pt idx="30">
                  <c:v>1.5022996855159826E-4</c:v>
                </c:pt>
                <c:pt idx="31">
                  <c:v>1.387002292209012E-4</c:v>
                </c:pt>
                <c:pt idx="32">
                  <c:v>9.5280508180314651E-5</c:v>
                </c:pt>
                <c:pt idx="33">
                  <c:v>1.0521672871444889E-4</c:v>
                </c:pt>
                <c:pt idx="34">
                  <c:v>8.4724375319236245E-5</c:v>
                </c:pt>
                <c:pt idx="35">
                  <c:v>6.2201538336355606E-5</c:v>
                </c:pt>
                <c:pt idx="36">
                  <c:v>9.1978214876273153E-5</c:v>
                </c:pt>
                <c:pt idx="37">
                  <c:v>1.043836594905498E-4</c:v>
                </c:pt>
                <c:pt idx="38">
                  <c:v>8.6228211810021022E-5</c:v>
                </c:pt>
                <c:pt idx="39">
                  <c:v>1.031560003084971E-4</c:v>
                </c:pt>
                <c:pt idx="40">
                  <c:v>2.1985736470481502E-4</c:v>
                </c:pt>
                <c:pt idx="41">
                  <c:v>1.0598570751602225E-4</c:v>
                </c:pt>
                <c:pt idx="42">
                  <c:v>1.0829432421040287E-4</c:v>
                </c:pt>
                <c:pt idx="43">
                  <c:v>9.2629337891915264E-5</c:v>
                </c:pt>
                <c:pt idx="44">
                  <c:v>1.5537300882896912E-4</c:v>
                </c:pt>
                <c:pt idx="45">
                  <c:v>9.9987137490810027E-5</c:v>
                </c:pt>
                <c:pt idx="46">
                  <c:v>2.1719436196353747E-4</c:v>
                </c:pt>
                <c:pt idx="47">
                  <c:v>1.6480913799127954E-4</c:v>
                </c:pt>
                <c:pt idx="48">
                  <c:v>2.1597610011793558E-4</c:v>
                </c:pt>
              </c:numCache>
            </c:numRef>
          </c:val>
          <c:smooth val="0"/>
          <c:extLst>
            <c:ext xmlns:c16="http://schemas.microsoft.com/office/drawing/2014/chart" uri="{C3380CC4-5D6E-409C-BE32-E72D297353CC}">
              <c16:uniqueId val="{00000004-4D50-41D0-BFD6-8984A3A15F97}"/>
            </c:ext>
          </c:extLst>
        </c:ser>
        <c:ser>
          <c:idx val="5"/>
          <c:order val="5"/>
          <c:tx>
            <c:strRef>
              <c:f>'Delinquency data'!$I$6</c:f>
              <c:strCache>
                <c:ptCount val="1"/>
                <c:pt idx="0">
                  <c:v>&gt;= 150 days</c:v>
                </c:pt>
              </c:strCache>
            </c:strRef>
          </c:tx>
          <c:spPr>
            <a:ln w="28575" cap="rnd">
              <a:solidFill>
                <a:schemeClr val="accent6"/>
              </a:solidFill>
              <a:round/>
            </a:ln>
            <a:effectLst/>
          </c:spPr>
          <c:marker>
            <c:symbol val="none"/>
          </c:marker>
          <c:cat>
            <c:numRef>
              <c:f>'Delinquency data'!$B$7:$B$55</c:f>
              <c:numCache>
                <c:formatCode>[$-809]dd\ mmmm\ yyyy;@</c:formatCode>
                <c:ptCount val="49"/>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pt idx="38">
                  <c:v>44834</c:v>
                </c:pt>
                <c:pt idx="39">
                  <c:v>44926</c:v>
                </c:pt>
                <c:pt idx="40">
                  <c:v>45016</c:v>
                </c:pt>
                <c:pt idx="41">
                  <c:v>45107</c:v>
                </c:pt>
                <c:pt idx="42">
                  <c:v>45199</c:v>
                </c:pt>
                <c:pt idx="43">
                  <c:v>45291</c:v>
                </c:pt>
                <c:pt idx="44">
                  <c:v>45382</c:v>
                </c:pt>
                <c:pt idx="45">
                  <c:v>45473</c:v>
                </c:pt>
                <c:pt idx="46">
                  <c:v>45565</c:v>
                </c:pt>
                <c:pt idx="47">
                  <c:v>45657</c:v>
                </c:pt>
                <c:pt idx="48">
                  <c:v>45747</c:v>
                </c:pt>
              </c:numCache>
            </c:numRef>
          </c:cat>
          <c:val>
            <c:numRef>
              <c:f>'Delinquency data'!$I$7:$I$55</c:f>
              <c:numCache>
                <c:formatCode>0.00%</c:formatCode>
                <c:ptCount val="49"/>
                <c:pt idx="0">
                  <c:v>8.3412103981810766E-3</c:v>
                </c:pt>
                <c:pt idx="1">
                  <c:v>8.4477005903948101E-3</c:v>
                </c:pt>
                <c:pt idx="2">
                  <c:v>8.7299364771350196E-3</c:v>
                </c:pt>
                <c:pt idx="3">
                  <c:v>8.9462720566817634E-3</c:v>
                </c:pt>
                <c:pt idx="4">
                  <c:v>8.9216435910369849E-3</c:v>
                </c:pt>
                <c:pt idx="5">
                  <c:v>9.41081164749368E-3</c:v>
                </c:pt>
                <c:pt idx="6">
                  <c:v>9.4132874364683261E-3</c:v>
                </c:pt>
                <c:pt idx="7">
                  <c:v>6.3806557689002523E-3</c:v>
                </c:pt>
                <c:pt idx="8">
                  <c:v>6.3887627591997778E-3</c:v>
                </c:pt>
                <c:pt idx="9">
                  <c:v>6.3128801855348703E-3</c:v>
                </c:pt>
                <c:pt idx="10">
                  <c:v>5.7942209807675255E-3</c:v>
                </c:pt>
                <c:pt idx="11">
                  <c:v>5.6617178064490396E-3</c:v>
                </c:pt>
                <c:pt idx="12">
                  <c:v>5.7368262096060526E-3</c:v>
                </c:pt>
                <c:pt idx="13">
                  <c:v>5.8135601401477941E-3</c:v>
                </c:pt>
                <c:pt idx="14">
                  <c:v>5.6051964710688981E-3</c:v>
                </c:pt>
                <c:pt idx="15">
                  <c:v>5.2410899478471636E-3</c:v>
                </c:pt>
                <c:pt idx="16">
                  <c:v>4.5364423576227638E-3</c:v>
                </c:pt>
                <c:pt idx="17">
                  <c:v>4.1834051947211561E-3</c:v>
                </c:pt>
                <c:pt idx="18">
                  <c:v>3.7534167979883519E-3</c:v>
                </c:pt>
                <c:pt idx="19">
                  <c:v>3.5681240993744971E-3</c:v>
                </c:pt>
                <c:pt idx="20">
                  <c:v>2.9733158181699483E-3</c:v>
                </c:pt>
                <c:pt idx="21">
                  <c:v>2.7354850868347076E-3</c:v>
                </c:pt>
                <c:pt idx="22">
                  <c:v>2.512410020631778E-3</c:v>
                </c:pt>
                <c:pt idx="23">
                  <c:v>2.3064284570266675E-3</c:v>
                </c:pt>
                <c:pt idx="24">
                  <c:v>2.3765565069638747E-3</c:v>
                </c:pt>
                <c:pt idx="25">
                  <c:v>1.9952300813199687E-3</c:v>
                </c:pt>
                <c:pt idx="26">
                  <c:v>1.8029963084559234E-3</c:v>
                </c:pt>
                <c:pt idx="27">
                  <c:v>1.7537670260283965E-3</c:v>
                </c:pt>
                <c:pt idx="28">
                  <c:v>1.6492024546826013E-3</c:v>
                </c:pt>
                <c:pt idx="29">
                  <c:v>1.5477919309243491E-3</c:v>
                </c:pt>
                <c:pt idx="30">
                  <c:v>1.51564674438753E-3</c:v>
                </c:pt>
                <c:pt idx="31">
                  <c:v>1.3613061851245277E-3</c:v>
                </c:pt>
                <c:pt idx="32">
                  <c:v>1.3552577267652139E-3</c:v>
                </c:pt>
                <c:pt idx="33">
                  <c:v>1.2864761500480564E-3</c:v>
                </c:pt>
                <c:pt idx="34">
                  <c:v>1.1866150686800972E-3</c:v>
                </c:pt>
                <c:pt idx="35">
                  <c:v>1.2838499039719087E-3</c:v>
                </c:pt>
                <c:pt idx="36">
                  <c:v>1.0807910914725125E-3</c:v>
                </c:pt>
                <c:pt idx="37">
                  <c:v>1.1028875044579538E-3</c:v>
                </c:pt>
                <c:pt idx="38">
                  <c:v>1.0296507403452118E-3</c:v>
                </c:pt>
                <c:pt idx="39">
                  <c:v>1.0709936866876745E-3</c:v>
                </c:pt>
                <c:pt idx="40">
                  <c:v>1.067361532171573E-3</c:v>
                </c:pt>
                <c:pt idx="41">
                  <c:v>1.0610505314480267E-3</c:v>
                </c:pt>
                <c:pt idx="42">
                  <c:v>1.0080954277837582E-3</c:v>
                </c:pt>
                <c:pt idx="43">
                  <c:v>9.1868246880576437E-4</c:v>
                </c:pt>
                <c:pt idx="44">
                  <c:v>8.0989047790460452E-4</c:v>
                </c:pt>
                <c:pt idx="45">
                  <c:v>7.7021187384082254E-4</c:v>
                </c:pt>
                <c:pt idx="46">
                  <c:v>7.2864972518327459E-4</c:v>
                </c:pt>
                <c:pt idx="47">
                  <c:v>9.2827255072413487E-4</c:v>
                </c:pt>
                <c:pt idx="48">
                  <c:v>1.1751431669524853E-3</c:v>
                </c:pt>
              </c:numCache>
            </c:numRef>
          </c:val>
          <c:smooth val="0"/>
          <c:extLst>
            <c:ext xmlns:c16="http://schemas.microsoft.com/office/drawing/2014/chart" uri="{C3380CC4-5D6E-409C-BE32-E72D297353CC}">
              <c16:uniqueId val="{00000005-4D50-41D0-BFD6-8984A3A15F97}"/>
            </c:ext>
          </c:extLst>
        </c:ser>
        <c:dLbls>
          <c:showLegendKey val="0"/>
          <c:showVal val="0"/>
          <c:showCatName val="0"/>
          <c:showSerName val="0"/>
          <c:showPercent val="0"/>
          <c:showBubbleSize val="0"/>
        </c:dLbls>
        <c:smooth val="0"/>
        <c:axId val="429337968"/>
        <c:axId val="429339936"/>
      </c:lineChart>
      <c:dateAx>
        <c:axId val="429337968"/>
        <c:scaling>
          <c:orientation val="minMax"/>
        </c:scaling>
        <c:delete val="0"/>
        <c:axPos val="b"/>
        <c:numFmt formatCode="[$-809]mmm\ 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crossAx val="429339936"/>
        <c:crosses val="autoZero"/>
        <c:auto val="1"/>
        <c:lblOffset val="100"/>
        <c:baseTimeUnit val="months"/>
        <c:majorUnit val="1"/>
        <c:majorTimeUnit val="months"/>
      </c:dateAx>
      <c:valAx>
        <c:axId val="429339936"/>
        <c:scaling>
          <c:orientation val="minMax"/>
          <c:max val="2.5000000000000005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2933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73AB9EE414479790C82EA0502152C5"/>
        <w:category>
          <w:name w:val="General"/>
          <w:gallery w:val="placeholder"/>
        </w:category>
        <w:types>
          <w:type w:val="bbPlcHdr"/>
        </w:types>
        <w:behaviors>
          <w:behavior w:val="content"/>
        </w:behaviors>
        <w:guid w:val="{41780A6B-72EA-46CF-8CCF-153370F82000}"/>
      </w:docPartPr>
      <w:docPartBody>
        <w:p w:rsidR="001C4DAC" w:rsidRDefault="00863D2E" w:rsidP="00863D2E">
          <w:pPr>
            <w:pStyle w:val="4073AB9EE414479790C82EA0502152C5"/>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Arial Bold">
    <w:altName w:val="Times New Roman"/>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FA"/>
    <w:rsid w:val="00032674"/>
    <w:rsid w:val="00047726"/>
    <w:rsid w:val="00090088"/>
    <w:rsid w:val="000B5FB3"/>
    <w:rsid w:val="000F46B1"/>
    <w:rsid w:val="001010BF"/>
    <w:rsid w:val="00164C7A"/>
    <w:rsid w:val="001717E1"/>
    <w:rsid w:val="00196DDF"/>
    <w:rsid w:val="001A0581"/>
    <w:rsid w:val="001B099D"/>
    <w:rsid w:val="001C4DAC"/>
    <w:rsid w:val="001E2B02"/>
    <w:rsid w:val="001F0125"/>
    <w:rsid w:val="00216A26"/>
    <w:rsid w:val="00241FC1"/>
    <w:rsid w:val="00243563"/>
    <w:rsid w:val="00262E41"/>
    <w:rsid w:val="0028442D"/>
    <w:rsid w:val="002A7FB8"/>
    <w:rsid w:val="002C3C4B"/>
    <w:rsid w:val="002F20B7"/>
    <w:rsid w:val="00306C2C"/>
    <w:rsid w:val="00310E9B"/>
    <w:rsid w:val="003339FD"/>
    <w:rsid w:val="00341F83"/>
    <w:rsid w:val="0035004E"/>
    <w:rsid w:val="00377E6B"/>
    <w:rsid w:val="0038237F"/>
    <w:rsid w:val="00386962"/>
    <w:rsid w:val="003952AA"/>
    <w:rsid w:val="003B1B70"/>
    <w:rsid w:val="003D04BE"/>
    <w:rsid w:val="003F2AE0"/>
    <w:rsid w:val="00404944"/>
    <w:rsid w:val="0041546D"/>
    <w:rsid w:val="0043707A"/>
    <w:rsid w:val="0045078C"/>
    <w:rsid w:val="004533B3"/>
    <w:rsid w:val="004609A1"/>
    <w:rsid w:val="004679A0"/>
    <w:rsid w:val="00470E6D"/>
    <w:rsid w:val="0048097E"/>
    <w:rsid w:val="004868B6"/>
    <w:rsid w:val="004949F3"/>
    <w:rsid w:val="00495E43"/>
    <w:rsid w:val="00495F1A"/>
    <w:rsid w:val="004E79D8"/>
    <w:rsid w:val="005061FE"/>
    <w:rsid w:val="00517F39"/>
    <w:rsid w:val="005435AD"/>
    <w:rsid w:val="005643CC"/>
    <w:rsid w:val="00597829"/>
    <w:rsid w:val="005A39F2"/>
    <w:rsid w:val="005C6912"/>
    <w:rsid w:val="005D20F7"/>
    <w:rsid w:val="005F0F8E"/>
    <w:rsid w:val="006204B9"/>
    <w:rsid w:val="00632A8A"/>
    <w:rsid w:val="006A1A5D"/>
    <w:rsid w:val="006B4356"/>
    <w:rsid w:val="006B747F"/>
    <w:rsid w:val="006C2FBD"/>
    <w:rsid w:val="006F2F34"/>
    <w:rsid w:val="00720332"/>
    <w:rsid w:val="0072289E"/>
    <w:rsid w:val="00746CF4"/>
    <w:rsid w:val="007E5016"/>
    <w:rsid w:val="007E5EA3"/>
    <w:rsid w:val="00820944"/>
    <w:rsid w:val="008219CF"/>
    <w:rsid w:val="00836B4B"/>
    <w:rsid w:val="00863D2E"/>
    <w:rsid w:val="00892646"/>
    <w:rsid w:val="008936BD"/>
    <w:rsid w:val="008A5D38"/>
    <w:rsid w:val="008B02DE"/>
    <w:rsid w:val="008C0761"/>
    <w:rsid w:val="008C18F5"/>
    <w:rsid w:val="008D1210"/>
    <w:rsid w:val="00901579"/>
    <w:rsid w:val="00923D66"/>
    <w:rsid w:val="009975B4"/>
    <w:rsid w:val="009D07C0"/>
    <w:rsid w:val="009D3D3E"/>
    <w:rsid w:val="00A37B89"/>
    <w:rsid w:val="00A50053"/>
    <w:rsid w:val="00A5782D"/>
    <w:rsid w:val="00A659AC"/>
    <w:rsid w:val="00AC6E85"/>
    <w:rsid w:val="00AE1AAA"/>
    <w:rsid w:val="00B2431A"/>
    <w:rsid w:val="00B31DC3"/>
    <w:rsid w:val="00B34735"/>
    <w:rsid w:val="00B54DDB"/>
    <w:rsid w:val="00BB23B1"/>
    <w:rsid w:val="00C26ECD"/>
    <w:rsid w:val="00C669D9"/>
    <w:rsid w:val="00C7489C"/>
    <w:rsid w:val="00CA39C2"/>
    <w:rsid w:val="00CA6E48"/>
    <w:rsid w:val="00CB022D"/>
    <w:rsid w:val="00CB07B4"/>
    <w:rsid w:val="00CC55AF"/>
    <w:rsid w:val="00CC5F10"/>
    <w:rsid w:val="00CD7DBB"/>
    <w:rsid w:val="00D01B2E"/>
    <w:rsid w:val="00D43E74"/>
    <w:rsid w:val="00D51B83"/>
    <w:rsid w:val="00D67BC0"/>
    <w:rsid w:val="00D966B4"/>
    <w:rsid w:val="00DA486D"/>
    <w:rsid w:val="00DB04AE"/>
    <w:rsid w:val="00DC165E"/>
    <w:rsid w:val="00DD7CF9"/>
    <w:rsid w:val="00DE0221"/>
    <w:rsid w:val="00E65962"/>
    <w:rsid w:val="00E67528"/>
    <w:rsid w:val="00EA49C0"/>
    <w:rsid w:val="00EA4FFE"/>
    <w:rsid w:val="00EB78C5"/>
    <w:rsid w:val="00EF1F16"/>
    <w:rsid w:val="00EF5416"/>
    <w:rsid w:val="00F128FD"/>
    <w:rsid w:val="00F22FED"/>
    <w:rsid w:val="00F23E4E"/>
    <w:rsid w:val="00F25915"/>
    <w:rsid w:val="00F26B1A"/>
    <w:rsid w:val="00F86D85"/>
    <w:rsid w:val="00FA35AC"/>
    <w:rsid w:val="00FB29FA"/>
    <w:rsid w:val="00FF2263"/>
    <w:rsid w:val="00FF71B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761"/>
    <w:rPr>
      <w:color w:val="808080"/>
    </w:rPr>
  </w:style>
  <w:style w:type="paragraph" w:customStyle="1" w:styleId="4073AB9EE414479790C82EA0502152C5">
    <w:name w:val="4073AB9EE414479790C82EA0502152C5"/>
    <w:rsid w:val="00863D2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Hogan Lovells">
      <a:dk1>
        <a:sysClr val="windowText" lastClr="000000"/>
      </a:dk1>
      <a:lt1>
        <a:srgbClr val="FFFFFF"/>
      </a:lt1>
      <a:dk2>
        <a:srgbClr val="1F497D"/>
      </a:dk2>
      <a:lt2>
        <a:srgbClr val="BED600"/>
      </a:lt2>
      <a:accent1>
        <a:srgbClr val="005A8C"/>
      </a:accent1>
      <a:accent2>
        <a:srgbClr val="4B116F"/>
      </a:accent2>
      <a:accent3>
        <a:srgbClr val="567632"/>
      </a:accent3>
      <a:accent4>
        <a:srgbClr val="EF8200"/>
      </a:accent4>
      <a:accent5>
        <a:srgbClr val="00AAD2"/>
      </a:accent5>
      <a:accent6>
        <a:srgbClr val="F32837"/>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Hogan Lovells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Hogan Lovells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Hogan Lovells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Hogan Lovells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Hogan Lovells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Hogan Lovells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Hogan Lovells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Hogan Lovells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Hogan Lovells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Hogan Lovells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Hogan Lovells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Hogan Lovells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Hogan Lovells 13">
        <a:dk1>
          <a:srgbClr val="000000"/>
        </a:dk1>
        <a:lt1>
          <a:srgbClr val="FFFFFF"/>
        </a:lt1>
        <a:dk2>
          <a:srgbClr val="000000"/>
        </a:dk2>
        <a:lt2>
          <a:srgbClr val="EF8200"/>
        </a:lt2>
        <a:accent1>
          <a:srgbClr val="B6ACA7"/>
        </a:accent1>
        <a:accent2>
          <a:srgbClr val="005A8C"/>
        </a:accent2>
        <a:accent3>
          <a:srgbClr val="FFFFFF"/>
        </a:accent3>
        <a:accent4>
          <a:srgbClr val="000000"/>
        </a:accent4>
        <a:accent5>
          <a:srgbClr val="D7D2D0"/>
        </a:accent5>
        <a:accent6>
          <a:srgbClr val="00517E"/>
        </a:accent6>
        <a:hlink>
          <a:srgbClr val="00BEB7"/>
        </a:hlink>
        <a:folHlink>
          <a:srgbClr val="984874"/>
        </a:folHlink>
      </a:clrScheme>
      <a:clrMap bg1="lt1" tx1="dk1" bg2="lt2" tx2="dk2" accent1="accent1" accent2="accent2" accent3="accent3" accent4="accent4" accent5="accent5" accent6="accent6" hlink="hlink" folHlink="folHlink"/>
    </a:extraClrScheme>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ources xmlns:b="http://schemas.openxmlformats.org/officeDocument/2006/bibliography" xmlns="http://schemas.openxmlformats.org/officeDocument/2006/bibliography" SelectedStyle="\APA.XSL" StyleName="APA"/>
</file>

<file path=customXml/item2.xml><?xml version="1.0" encoding="utf-8"?>
<customdocument xmlns="http://hoganlovells.com/word2010/custom">
  <fields>
    <field id="Author" dmfield="AUTHOR_ID" type="string">1080220</field>
    <field id="AuthorName" dmfield="" type="string"/>
    <field id="ClientNumber" dmfield="CLIENT_ID" type="string">772229</field>
    <field id="MatterNumber" dmfield="MATTER_ID" type="string">000004</field>
    <field id="DocumentType" dmfield="TYPE_ID" type="string">OTH</field>
    <field id="DocumentTitle" dmfield="DOCNAME" type="string"/>
    <field id="DocumentNumber" dmfield="DOCNUM" type="string">4128-1992-6098</field>
    <field id="Library" dmfield="" type="string">NG-D3AJFPW7</field>
    <field id="Version" dmfield="" type="string">18</field>
    <field id="Language" dmfield="" type="string"/>
    <field id="Office" dmfield="" type="string"/>
    <field id="PaperTypeFirst" dmfield="" type="string"/>
    <field id="PaperTypeCont" dmfield="" type="string"/>
    <field id="ExcludeFooterUpdate" dmfield="" type="string">False</field>
    <field id="LtrDocNo" dmfield="" type=""/>
    <field id="FirstPageHeaded" dmfield="" type="">False</field>
    <field id="ContPage" dmfield="" type="">False</field>
    <field id="DraftSpacing" dmfield="" type="">False</field>
    <field id="DocID" dmfield="" type="">\\1080220 4128-1992-6098 v18</field>
    <field id="FirmName" dmfield="" type="">Hogan Lovells</field>
    <field id="FooterType" dmfield="" type="">Doc ID and firm name| (Landscape Pages)</field>
    <field id="IncludeFooterAuthor" dmfield="" type="">True</field>
  </fields>
</customdocument>
</file>

<file path=customXml/itemProps1.xml><?xml version="1.0" encoding="utf-8"?>
<ds:datastoreItem xmlns:ds="http://schemas.openxmlformats.org/officeDocument/2006/customXml" ds:itemID="{87D15552-056A-4A31-AE52-22968BB8C4C0}">
  <ds:schemaRefs>
    <ds:schemaRef ds:uri="http://schemas.openxmlformats.org/officeDocument/2006/bibliography"/>
  </ds:schemaRefs>
</ds:datastoreItem>
</file>

<file path=customXml/itemProps2.xml><?xml version="1.0" encoding="utf-8"?>
<ds:datastoreItem xmlns:ds="http://schemas.openxmlformats.org/officeDocument/2006/customXml" ds:itemID="{D14155B8-47EB-43EE-A958-0E2701544FBB}">
  <ds:schemaRefs>
    <ds:schemaRef ds:uri="http://hoganlovells.com/word2010/custom"/>
  </ds:schemaRefs>
</ds:datastoreItem>
</file>

<file path=docProps/app.xml><?xml version="1.0" encoding="utf-8"?>
<Properties xmlns="http://schemas.openxmlformats.org/officeDocument/2006/extended-properties" xmlns:vt="http://schemas.openxmlformats.org/officeDocument/2006/docPropsVTypes">
  <Template>blank document</Template>
  <TotalTime>0</TotalTime>
  <Pages>249</Pages>
  <Words>117726</Words>
  <Characters>741676</Characters>
  <Application>Microsoft Office Word</Application>
  <DocSecurity>0</DocSecurity>
  <Lines>6180</Lines>
  <Paragraphs>1715</Paragraphs>
  <ScaleCrop>false</ScaleCrop>
  <HeadingPairs>
    <vt:vector size="2" baseType="variant">
      <vt:variant>
        <vt:lpstr>Title</vt:lpstr>
      </vt:variant>
      <vt:variant>
        <vt:i4>1</vt:i4>
      </vt:variant>
    </vt:vector>
  </HeadingPairs>
  <TitlesOfParts>
    <vt:vector size="1" baseType="lpstr">
      <vt:lpstr/>
    </vt:vector>
  </TitlesOfParts>
  <Company>Hogan Lovells</Company>
  <LinksUpToDate>false</LinksUpToDate>
  <CharactersWithSpaces>857687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Schopfeg</dc:creator>
  <cp:keywords/>
  <dc:description/>
  <cp:lastModifiedBy>Oebels, Sebastian</cp:lastModifiedBy>
  <cp:revision>23</cp:revision>
  <cp:lastPrinted>2025-05-22T09:47:00Z</cp:lastPrinted>
  <dcterms:created xsi:type="dcterms:W3CDTF">2025-06-16T11:01:00Z</dcterms:created>
  <dcterms:modified xsi:type="dcterms:W3CDTF">2025-06-17T16:29:00Z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